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57F95B">
      <w:pPr>
        <w:pStyle w:val="2"/>
        <w:spacing w:line="360" w:lineRule="auto"/>
        <w:jc w:val="both"/>
        <w:rPr>
          <w:rFonts w:hint="eastAsia" w:ascii="宋体" w:hAnsi="宋体" w:eastAsia="宋体" w:cs="宋体"/>
          <w:sz w:val="24"/>
          <w:szCs w:val="24"/>
        </w:rPr>
      </w:pPr>
      <w:bookmarkStart w:id="7" w:name="_GoBack"/>
      <w:bookmarkEnd w:id="7"/>
      <w:r>
        <w:rPr>
          <w:rFonts w:hint="eastAsia" w:ascii="宋体" w:hAnsi="宋体" w:eastAsia="宋体" w:cs="宋体"/>
          <w:sz w:val="24"/>
          <w:szCs w:val="24"/>
        </w:rPr>
        <w:t>1、需求一览表</w:t>
      </w:r>
    </w:p>
    <w:tbl>
      <w:tblPr>
        <w:tblStyle w:val="6"/>
        <w:tblW w:w="36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1"/>
        <w:gridCol w:w="2915"/>
        <w:gridCol w:w="1069"/>
        <w:gridCol w:w="1343"/>
      </w:tblGrid>
      <w:tr w14:paraId="5EEAD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771" w:type="pct"/>
            <w:shd w:val="clear" w:color="000000" w:fill="FFFFFF"/>
            <w:vAlign w:val="center"/>
          </w:tcPr>
          <w:p w14:paraId="1705EA1C">
            <w:pPr>
              <w:widowControl/>
              <w:spacing w:line="360" w:lineRule="auto"/>
              <w:jc w:val="center"/>
              <w:rPr>
                <w:rFonts w:hint="eastAsia" w:ascii="宋体" w:hAnsi="宋体" w:cs="宋体"/>
                <w:b/>
                <w:bCs/>
                <w:color w:val="000000"/>
                <w:kern w:val="0"/>
                <w:sz w:val="24"/>
              </w:rPr>
            </w:pPr>
            <w:r>
              <w:rPr>
                <w:rFonts w:hint="eastAsia" w:ascii="宋体" w:hAnsi="宋体" w:cs="宋体"/>
                <w:b/>
                <w:bCs/>
                <w:color w:val="000000"/>
                <w:kern w:val="0"/>
                <w:sz w:val="24"/>
              </w:rPr>
              <w:t>序号</w:t>
            </w:r>
          </w:p>
        </w:tc>
        <w:tc>
          <w:tcPr>
            <w:tcW w:w="2313" w:type="pct"/>
            <w:shd w:val="clear" w:color="000000" w:fill="FFFFFF"/>
            <w:vAlign w:val="center"/>
          </w:tcPr>
          <w:p w14:paraId="58F2E3AD">
            <w:pPr>
              <w:widowControl/>
              <w:spacing w:line="360" w:lineRule="auto"/>
              <w:jc w:val="center"/>
              <w:rPr>
                <w:rFonts w:hint="eastAsia" w:ascii="宋体" w:hAnsi="宋体" w:cs="宋体"/>
                <w:b/>
                <w:bCs/>
                <w:color w:val="000000"/>
                <w:kern w:val="0"/>
                <w:sz w:val="24"/>
              </w:rPr>
            </w:pPr>
            <w:r>
              <w:rPr>
                <w:rFonts w:hint="eastAsia" w:ascii="宋体" w:hAnsi="宋体" w:cs="宋体"/>
                <w:b/>
                <w:bCs/>
                <w:color w:val="000000"/>
                <w:kern w:val="0"/>
                <w:sz w:val="24"/>
              </w:rPr>
              <w:t>货物名称</w:t>
            </w:r>
          </w:p>
        </w:tc>
        <w:tc>
          <w:tcPr>
            <w:tcW w:w="848" w:type="pct"/>
            <w:shd w:val="clear" w:color="000000" w:fill="FFFFFF"/>
            <w:vAlign w:val="center"/>
          </w:tcPr>
          <w:p w14:paraId="791543D4">
            <w:pPr>
              <w:widowControl/>
              <w:spacing w:line="360" w:lineRule="auto"/>
              <w:jc w:val="center"/>
              <w:rPr>
                <w:rFonts w:hint="eastAsia" w:ascii="宋体" w:hAnsi="宋体" w:cs="宋体"/>
                <w:b/>
                <w:bCs/>
                <w:color w:val="000000"/>
                <w:kern w:val="0"/>
                <w:sz w:val="24"/>
              </w:rPr>
            </w:pPr>
            <w:r>
              <w:rPr>
                <w:rFonts w:hint="eastAsia" w:ascii="宋体" w:hAnsi="宋体" w:cs="宋体"/>
                <w:b/>
                <w:bCs/>
                <w:color w:val="000000"/>
                <w:kern w:val="0"/>
                <w:sz w:val="24"/>
              </w:rPr>
              <w:t>数量</w:t>
            </w:r>
          </w:p>
        </w:tc>
        <w:tc>
          <w:tcPr>
            <w:tcW w:w="1066" w:type="pct"/>
            <w:shd w:val="clear" w:color="000000" w:fill="FFFFFF"/>
            <w:vAlign w:val="center"/>
          </w:tcPr>
          <w:p w14:paraId="3FD81001">
            <w:pPr>
              <w:widowControl/>
              <w:spacing w:line="360" w:lineRule="auto"/>
              <w:jc w:val="center"/>
              <w:rPr>
                <w:rFonts w:hint="eastAsia" w:ascii="宋体" w:hAnsi="宋体" w:cs="宋体"/>
                <w:b/>
                <w:bCs/>
                <w:color w:val="000000"/>
                <w:kern w:val="0"/>
                <w:sz w:val="24"/>
              </w:rPr>
            </w:pPr>
            <w:r>
              <w:rPr>
                <w:rFonts w:hint="eastAsia" w:ascii="宋体" w:hAnsi="宋体" w:cs="宋体"/>
                <w:b/>
                <w:bCs/>
                <w:color w:val="000000"/>
                <w:kern w:val="0"/>
                <w:sz w:val="24"/>
              </w:rPr>
              <w:t>单位</w:t>
            </w:r>
          </w:p>
        </w:tc>
      </w:tr>
      <w:tr w14:paraId="58035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71" w:type="pct"/>
            <w:shd w:val="clear" w:color="000000" w:fill="FFFFFF"/>
            <w:vAlign w:val="center"/>
          </w:tcPr>
          <w:p w14:paraId="724AA0A9">
            <w:pPr>
              <w:widowControl/>
              <w:spacing w:line="360" w:lineRule="auto"/>
              <w:jc w:val="center"/>
              <w:rPr>
                <w:rFonts w:hint="eastAsia" w:ascii="宋体" w:hAnsi="宋体" w:cs="宋体"/>
                <w:color w:val="000000"/>
                <w:kern w:val="0"/>
                <w:sz w:val="24"/>
              </w:rPr>
            </w:pPr>
            <w:bookmarkStart w:id="0" w:name="_Hlk192158811"/>
            <w:r>
              <w:rPr>
                <w:rFonts w:hint="eastAsia" w:ascii="宋体" w:hAnsi="宋体" w:cs="宋体"/>
                <w:color w:val="000000"/>
                <w:kern w:val="0"/>
                <w:sz w:val="24"/>
              </w:rPr>
              <w:t>1</w:t>
            </w:r>
          </w:p>
        </w:tc>
        <w:tc>
          <w:tcPr>
            <w:tcW w:w="2313" w:type="pct"/>
            <w:shd w:val="clear" w:color="000000" w:fill="FFFFFF"/>
            <w:noWrap/>
            <w:vAlign w:val="center"/>
          </w:tcPr>
          <w:p w14:paraId="340277A5">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24"/>
              </w:rPr>
              <w:t>抗菌药物管理</w:t>
            </w:r>
          </w:p>
        </w:tc>
        <w:tc>
          <w:tcPr>
            <w:tcW w:w="848" w:type="pct"/>
            <w:shd w:val="clear" w:color="000000" w:fill="FFFFFF"/>
            <w:noWrap/>
            <w:vAlign w:val="center"/>
          </w:tcPr>
          <w:p w14:paraId="5DB4BF58">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24"/>
              </w:rPr>
              <w:t>1</w:t>
            </w:r>
          </w:p>
        </w:tc>
        <w:tc>
          <w:tcPr>
            <w:tcW w:w="1066" w:type="pct"/>
            <w:shd w:val="clear" w:color="000000" w:fill="FFFFFF"/>
            <w:noWrap/>
            <w:vAlign w:val="center"/>
          </w:tcPr>
          <w:p w14:paraId="7A1D7AF7">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24"/>
              </w:rPr>
              <w:t>套</w:t>
            </w:r>
          </w:p>
        </w:tc>
      </w:tr>
      <w:tr w14:paraId="61988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71" w:type="pct"/>
            <w:shd w:val="clear" w:color="000000" w:fill="FFFFFF"/>
            <w:vAlign w:val="center"/>
          </w:tcPr>
          <w:p w14:paraId="13B0FBD1">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24"/>
              </w:rPr>
              <w:t>2</w:t>
            </w:r>
          </w:p>
        </w:tc>
        <w:tc>
          <w:tcPr>
            <w:tcW w:w="2313" w:type="pct"/>
            <w:shd w:val="clear" w:color="000000" w:fill="FFFFFF"/>
            <w:noWrap/>
            <w:vAlign w:val="center"/>
          </w:tcPr>
          <w:p w14:paraId="07B929D7">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24"/>
              </w:rPr>
              <w:t>危急值管理</w:t>
            </w:r>
          </w:p>
        </w:tc>
        <w:tc>
          <w:tcPr>
            <w:tcW w:w="848" w:type="pct"/>
            <w:shd w:val="clear" w:color="000000" w:fill="FFFFFF"/>
            <w:noWrap/>
            <w:vAlign w:val="center"/>
          </w:tcPr>
          <w:p w14:paraId="6586D753">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24"/>
              </w:rPr>
              <w:t>1</w:t>
            </w:r>
          </w:p>
        </w:tc>
        <w:tc>
          <w:tcPr>
            <w:tcW w:w="1066" w:type="pct"/>
            <w:shd w:val="clear" w:color="000000" w:fill="FFFFFF"/>
            <w:noWrap/>
            <w:vAlign w:val="center"/>
          </w:tcPr>
          <w:p w14:paraId="00FF6A2A">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24"/>
              </w:rPr>
              <w:t>套</w:t>
            </w:r>
          </w:p>
        </w:tc>
      </w:tr>
      <w:tr w14:paraId="4BFED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71" w:type="pct"/>
            <w:shd w:val="clear" w:color="000000" w:fill="FFFFFF"/>
            <w:vAlign w:val="center"/>
          </w:tcPr>
          <w:p w14:paraId="3466E8C3">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24"/>
              </w:rPr>
              <w:t>3</w:t>
            </w:r>
          </w:p>
        </w:tc>
        <w:tc>
          <w:tcPr>
            <w:tcW w:w="2313" w:type="pct"/>
            <w:shd w:val="clear" w:color="000000" w:fill="FFFFFF"/>
            <w:noWrap/>
            <w:vAlign w:val="center"/>
          </w:tcPr>
          <w:p w14:paraId="6AFC4E04">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24"/>
              </w:rPr>
              <w:t>电子病历质控</w:t>
            </w:r>
          </w:p>
        </w:tc>
        <w:tc>
          <w:tcPr>
            <w:tcW w:w="848" w:type="pct"/>
            <w:shd w:val="clear" w:color="000000" w:fill="FFFFFF"/>
            <w:noWrap/>
            <w:vAlign w:val="center"/>
          </w:tcPr>
          <w:p w14:paraId="6C49CCBD">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24"/>
              </w:rPr>
              <w:t>1</w:t>
            </w:r>
          </w:p>
        </w:tc>
        <w:tc>
          <w:tcPr>
            <w:tcW w:w="1066" w:type="pct"/>
            <w:shd w:val="clear" w:color="000000" w:fill="FFFFFF"/>
            <w:noWrap/>
            <w:vAlign w:val="center"/>
          </w:tcPr>
          <w:p w14:paraId="66404E0B">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24"/>
              </w:rPr>
              <w:t>套</w:t>
            </w:r>
          </w:p>
        </w:tc>
      </w:tr>
      <w:tr w14:paraId="69E7E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71" w:type="pct"/>
            <w:shd w:val="clear" w:color="000000" w:fill="FFFFFF"/>
            <w:vAlign w:val="center"/>
          </w:tcPr>
          <w:p w14:paraId="0BB17528">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24"/>
              </w:rPr>
              <w:t>4</w:t>
            </w:r>
          </w:p>
        </w:tc>
        <w:tc>
          <w:tcPr>
            <w:tcW w:w="2313" w:type="pct"/>
            <w:shd w:val="clear" w:color="000000" w:fill="FFFFFF"/>
            <w:noWrap/>
            <w:vAlign w:val="center"/>
          </w:tcPr>
          <w:p w14:paraId="31E83EFF">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24"/>
              </w:rPr>
              <w:t>病历日常管理</w:t>
            </w:r>
          </w:p>
        </w:tc>
        <w:tc>
          <w:tcPr>
            <w:tcW w:w="848" w:type="pct"/>
            <w:shd w:val="clear" w:color="000000" w:fill="FFFFFF"/>
            <w:noWrap/>
            <w:vAlign w:val="center"/>
          </w:tcPr>
          <w:p w14:paraId="35C590B5">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24"/>
              </w:rPr>
              <w:t>1</w:t>
            </w:r>
          </w:p>
        </w:tc>
        <w:tc>
          <w:tcPr>
            <w:tcW w:w="1066" w:type="pct"/>
            <w:shd w:val="clear" w:color="000000" w:fill="FFFFFF"/>
            <w:noWrap/>
            <w:vAlign w:val="center"/>
          </w:tcPr>
          <w:p w14:paraId="774D41F2">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24"/>
              </w:rPr>
              <w:t>套</w:t>
            </w:r>
          </w:p>
        </w:tc>
      </w:tr>
      <w:tr w14:paraId="71973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71" w:type="pct"/>
            <w:shd w:val="clear" w:color="000000" w:fill="FFFFFF"/>
            <w:vAlign w:val="center"/>
          </w:tcPr>
          <w:p w14:paraId="01325C60">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24"/>
              </w:rPr>
              <w:t>5</w:t>
            </w:r>
          </w:p>
        </w:tc>
        <w:tc>
          <w:tcPr>
            <w:tcW w:w="2313" w:type="pct"/>
            <w:shd w:val="clear" w:color="000000" w:fill="FFFFFF"/>
            <w:noWrap/>
            <w:vAlign w:val="center"/>
          </w:tcPr>
          <w:p w14:paraId="040E76E4">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24"/>
              </w:rPr>
              <w:t>移动医生</w:t>
            </w:r>
          </w:p>
        </w:tc>
        <w:tc>
          <w:tcPr>
            <w:tcW w:w="848" w:type="pct"/>
            <w:shd w:val="clear" w:color="000000" w:fill="FFFFFF"/>
            <w:noWrap/>
            <w:vAlign w:val="center"/>
          </w:tcPr>
          <w:p w14:paraId="39F3BC28">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24"/>
              </w:rPr>
              <w:t>1</w:t>
            </w:r>
          </w:p>
        </w:tc>
        <w:tc>
          <w:tcPr>
            <w:tcW w:w="1066" w:type="pct"/>
            <w:shd w:val="clear" w:color="000000" w:fill="FFFFFF"/>
            <w:noWrap/>
            <w:vAlign w:val="center"/>
          </w:tcPr>
          <w:p w14:paraId="568619C3">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24"/>
              </w:rPr>
              <w:t>套</w:t>
            </w:r>
          </w:p>
        </w:tc>
      </w:tr>
      <w:tr w14:paraId="2CCB3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71" w:type="pct"/>
            <w:shd w:val="clear" w:color="000000" w:fill="FFFFFF"/>
            <w:vAlign w:val="center"/>
          </w:tcPr>
          <w:p w14:paraId="51133647">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24"/>
              </w:rPr>
              <w:t>6</w:t>
            </w:r>
          </w:p>
        </w:tc>
        <w:tc>
          <w:tcPr>
            <w:tcW w:w="2313" w:type="pct"/>
            <w:shd w:val="clear" w:color="000000" w:fill="FFFFFF"/>
            <w:noWrap/>
            <w:vAlign w:val="center"/>
          </w:tcPr>
          <w:p w14:paraId="691610D7">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24"/>
              </w:rPr>
              <w:t>移动护理</w:t>
            </w:r>
          </w:p>
        </w:tc>
        <w:tc>
          <w:tcPr>
            <w:tcW w:w="848" w:type="pct"/>
            <w:shd w:val="clear" w:color="000000" w:fill="FFFFFF"/>
            <w:noWrap/>
            <w:vAlign w:val="center"/>
          </w:tcPr>
          <w:p w14:paraId="0E90FA26">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24"/>
              </w:rPr>
              <w:t>1</w:t>
            </w:r>
          </w:p>
        </w:tc>
        <w:tc>
          <w:tcPr>
            <w:tcW w:w="1066" w:type="pct"/>
            <w:shd w:val="clear" w:color="000000" w:fill="FFFFFF"/>
            <w:noWrap/>
            <w:vAlign w:val="center"/>
          </w:tcPr>
          <w:p w14:paraId="6AD948D0">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24"/>
              </w:rPr>
              <w:t>套</w:t>
            </w:r>
          </w:p>
        </w:tc>
      </w:tr>
      <w:tr w14:paraId="31539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71" w:type="pct"/>
            <w:shd w:val="clear" w:color="000000" w:fill="FFFFFF"/>
            <w:vAlign w:val="center"/>
          </w:tcPr>
          <w:p w14:paraId="0B45E6D3">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24"/>
              </w:rPr>
              <w:t>7</w:t>
            </w:r>
          </w:p>
        </w:tc>
        <w:tc>
          <w:tcPr>
            <w:tcW w:w="2313" w:type="pct"/>
            <w:shd w:val="clear" w:color="000000" w:fill="FFFFFF"/>
            <w:noWrap/>
            <w:vAlign w:val="center"/>
          </w:tcPr>
          <w:p w14:paraId="13B4DF75">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24"/>
              </w:rPr>
              <w:t>一体化护理管理</w:t>
            </w:r>
          </w:p>
        </w:tc>
        <w:tc>
          <w:tcPr>
            <w:tcW w:w="848" w:type="pct"/>
            <w:shd w:val="clear" w:color="000000" w:fill="FFFFFF"/>
            <w:noWrap/>
            <w:vAlign w:val="center"/>
          </w:tcPr>
          <w:p w14:paraId="1CED44D4">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24"/>
              </w:rPr>
              <w:t>1</w:t>
            </w:r>
          </w:p>
        </w:tc>
        <w:tc>
          <w:tcPr>
            <w:tcW w:w="1066" w:type="pct"/>
            <w:shd w:val="clear" w:color="000000" w:fill="FFFFFF"/>
            <w:noWrap/>
            <w:vAlign w:val="center"/>
          </w:tcPr>
          <w:p w14:paraId="55762AC4">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24"/>
              </w:rPr>
              <w:t>套</w:t>
            </w:r>
          </w:p>
        </w:tc>
      </w:tr>
      <w:tr w14:paraId="6D62E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71" w:type="pct"/>
            <w:shd w:val="clear" w:color="000000" w:fill="FFFFFF"/>
            <w:vAlign w:val="center"/>
          </w:tcPr>
          <w:p w14:paraId="6E24FE51">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24"/>
              </w:rPr>
              <w:t>8</w:t>
            </w:r>
          </w:p>
        </w:tc>
        <w:tc>
          <w:tcPr>
            <w:tcW w:w="2313" w:type="pct"/>
            <w:shd w:val="clear" w:color="000000" w:fill="FFFFFF"/>
            <w:noWrap/>
            <w:vAlign w:val="center"/>
          </w:tcPr>
          <w:p w14:paraId="1C3D5566">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24"/>
              </w:rPr>
              <w:t>合理用药监测</w:t>
            </w:r>
          </w:p>
        </w:tc>
        <w:tc>
          <w:tcPr>
            <w:tcW w:w="848" w:type="pct"/>
            <w:shd w:val="clear" w:color="000000" w:fill="FFFFFF"/>
            <w:noWrap/>
            <w:vAlign w:val="center"/>
          </w:tcPr>
          <w:p w14:paraId="7801FA26">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24"/>
              </w:rPr>
              <w:t>1</w:t>
            </w:r>
          </w:p>
        </w:tc>
        <w:tc>
          <w:tcPr>
            <w:tcW w:w="1066" w:type="pct"/>
            <w:shd w:val="clear" w:color="000000" w:fill="FFFFFF"/>
            <w:noWrap/>
            <w:vAlign w:val="center"/>
          </w:tcPr>
          <w:p w14:paraId="7EE68AAC">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24"/>
              </w:rPr>
              <w:t>套</w:t>
            </w:r>
          </w:p>
        </w:tc>
      </w:tr>
      <w:tr w14:paraId="5CCB4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71" w:type="pct"/>
            <w:shd w:val="clear" w:color="000000" w:fill="FFFFFF"/>
            <w:vAlign w:val="center"/>
          </w:tcPr>
          <w:p w14:paraId="06407CCB">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24"/>
              </w:rPr>
              <w:t>9</w:t>
            </w:r>
          </w:p>
        </w:tc>
        <w:tc>
          <w:tcPr>
            <w:tcW w:w="2313" w:type="pct"/>
            <w:shd w:val="clear" w:color="000000" w:fill="FFFFFF"/>
            <w:noWrap/>
            <w:vAlign w:val="center"/>
          </w:tcPr>
          <w:p w14:paraId="730021A1">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24"/>
              </w:rPr>
              <w:t>临床药学（处方点评）</w:t>
            </w:r>
          </w:p>
        </w:tc>
        <w:tc>
          <w:tcPr>
            <w:tcW w:w="848" w:type="pct"/>
            <w:shd w:val="clear" w:color="000000" w:fill="FFFFFF"/>
            <w:noWrap/>
            <w:vAlign w:val="center"/>
          </w:tcPr>
          <w:p w14:paraId="67170BEE">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24"/>
              </w:rPr>
              <w:t>1</w:t>
            </w:r>
          </w:p>
        </w:tc>
        <w:tc>
          <w:tcPr>
            <w:tcW w:w="1066" w:type="pct"/>
            <w:shd w:val="clear" w:color="000000" w:fill="FFFFFF"/>
            <w:noWrap/>
            <w:vAlign w:val="center"/>
          </w:tcPr>
          <w:p w14:paraId="7A319FC5">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24"/>
              </w:rPr>
              <w:t>套</w:t>
            </w:r>
          </w:p>
        </w:tc>
      </w:tr>
      <w:tr w14:paraId="04F42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71" w:type="pct"/>
            <w:shd w:val="clear" w:color="000000" w:fill="FFFFFF"/>
            <w:vAlign w:val="center"/>
          </w:tcPr>
          <w:p w14:paraId="7C9CABEE">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24"/>
              </w:rPr>
              <w:t>10</w:t>
            </w:r>
          </w:p>
        </w:tc>
        <w:tc>
          <w:tcPr>
            <w:tcW w:w="2313" w:type="pct"/>
            <w:shd w:val="clear" w:color="000000" w:fill="FFFFFF"/>
            <w:noWrap/>
            <w:vAlign w:val="center"/>
          </w:tcPr>
          <w:p w14:paraId="217CC0E6">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24"/>
              </w:rPr>
              <w:t>实时审方</w:t>
            </w:r>
          </w:p>
        </w:tc>
        <w:tc>
          <w:tcPr>
            <w:tcW w:w="848" w:type="pct"/>
            <w:shd w:val="clear" w:color="000000" w:fill="FFFFFF"/>
            <w:noWrap/>
            <w:vAlign w:val="center"/>
          </w:tcPr>
          <w:p w14:paraId="4A00FFB6">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24"/>
              </w:rPr>
              <w:t>1</w:t>
            </w:r>
          </w:p>
        </w:tc>
        <w:tc>
          <w:tcPr>
            <w:tcW w:w="1066" w:type="pct"/>
            <w:shd w:val="clear" w:color="000000" w:fill="FFFFFF"/>
            <w:noWrap/>
            <w:vAlign w:val="center"/>
          </w:tcPr>
          <w:p w14:paraId="235EBFE3">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24"/>
              </w:rPr>
              <w:t>套</w:t>
            </w:r>
          </w:p>
        </w:tc>
      </w:tr>
      <w:bookmarkEnd w:id="0"/>
      <w:tr w14:paraId="6D715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71" w:type="pct"/>
            <w:shd w:val="clear" w:color="000000" w:fill="FFFFFF"/>
            <w:vAlign w:val="center"/>
          </w:tcPr>
          <w:p w14:paraId="25AE8AB9">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24"/>
              </w:rPr>
              <w:t>11</w:t>
            </w:r>
          </w:p>
        </w:tc>
        <w:tc>
          <w:tcPr>
            <w:tcW w:w="2313" w:type="pct"/>
            <w:shd w:val="clear" w:color="000000" w:fill="FFFFFF"/>
            <w:noWrap/>
            <w:vAlign w:val="center"/>
          </w:tcPr>
          <w:p w14:paraId="340C9A13">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24"/>
              </w:rPr>
              <w:t>服务器CPU扩容</w:t>
            </w:r>
          </w:p>
        </w:tc>
        <w:tc>
          <w:tcPr>
            <w:tcW w:w="848" w:type="pct"/>
            <w:shd w:val="clear" w:color="000000" w:fill="FFFFFF"/>
            <w:noWrap/>
            <w:vAlign w:val="center"/>
          </w:tcPr>
          <w:p w14:paraId="627F8D96">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24"/>
              </w:rPr>
              <w:t>6</w:t>
            </w:r>
          </w:p>
        </w:tc>
        <w:tc>
          <w:tcPr>
            <w:tcW w:w="1066" w:type="pct"/>
            <w:shd w:val="clear" w:color="000000" w:fill="FFFFFF"/>
            <w:noWrap/>
            <w:vAlign w:val="center"/>
          </w:tcPr>
          <w:p w14:paraId="5267A6A8">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24"/>
              </w:rPr>
              <w:t>颗</w:t>
            </w:r>
          </w:p>
        </w:tc>
      </w:tr>
      <w:tr w14:paraId="089FE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71" w:type="pct"/>
            <w:shd w:val="clear" w:color="000000" w:fill="FFFFFF"/>
            <w:vAlign w:val="center"/>
          </w:tcPr>
          <w:p w14:paraId="30DD14A8">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24"/>
              </w:rPr>
              <w:t>12</w:t>
            </w:r>
          </w:p>
        </w:tc>
        <w:tc>
          <w:tcPr>
            <w:tcW w:w="2313" w:type="pct"/>
            <w:shd w:val="clear" w:color="000000" w:fill="FFFFFF"/>
            <w:noWrap/>
            <w:vAlign w:val="center"/>
          </w:tcPr>
          <w:p w14:paraId="2C6E4ADF">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24"/>
              </w:rPr>
              <w:t>服务器内存扩容</w:t>
            </w:r>
          </w:p>
        </w:tc>
        <w:tc>
          <w:tcPr>
            <w:tcW w:w="848" w:type="pct"/>
            <w:shd w:val="clear" w:color="000000" w:fill="FFFFFF"/>
            <w:noWrap/>
            <w:vAlign w:val="center"/>
          </w:tcPr>
          <w:p w14:paraId="1E3B1EB0">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24"/>
              </w:rPr>
              <w:t>12</w:t>
            </w:r>
          </w:p>
        </w:tc>
        <w:tc>
          <w:tcPr>
            <w:tcW w:w="1066" w:type="pct"/>
            <w:shd w:val="clear" w:color="000000" w:fill="FFFFFF"/>
            <w:noWrap/>
            <w:vAlign w:val="center"/>
          </w:tcPr>
          <w:p w14:paraId="5D14F8F6">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24"/>
              </w:rPr>
              <w:t>条</w:t>
            </w:r>
          </w:p>
        </w:tc>
      </w:tr>
      <w:tr w14:paraId="53A7E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71" w:type="pct"/>
            <w:shd w:val="clear" w:color="000000" w:fill="FFFFFF"/>
            <w:vAlign w:val="center"/>
          </w:tcPr>
          <w:p w14:paraId="79DF27C1">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24"/>
              </w:rPr>
              <w:t>13</w:t>
            </w:r>
          </w:p>
        </w:tc>
        <w:tc>
          <w:tcPr>
            <w:tcW w:w="2313" w:type="pct"/>
            <w:shd w:val="clear" w:color="000000" w:fill="FFFFFF"/>
            <w:noWrap/>
            <w:vAlign w:val="center"/>
          </w:tcPr>
          <w:p w14:paraId="01050975">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24"/>
              </w:rPr>
              <w:t>服务器配件（扩展托盘）</w:t>
            </w:r>
          </w:p>
        </w:tc>
        <w:tc>
          <w:tcPr>
            <w:tcW w:w="848" w:type="pct"/>
            <w:shd w:val="clear" w:color="000000" w:fill="FFFFFF"/>
            <w:noWrap/>
            <w:vAlign w:val="center"/>
          </w:tcPr>
          <w:p w14:paraId="3948882C">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24"/>
              </w:rPr>
              <w:t>3</w:t>
            </w:r>
          </w:p>
        </w:tc>
        <w:tc>
          <w:tcPr>
            <w:tcW w:w="1066" w:type="pct"/>
            <w:shd w:val="clear" w:color="000000" w:fill="FFFFFF"/>
            <w:noWrap/>
            <w:vAlign w:val="center"/>
          </w:tcPr>
          <w:p w14:paraId="2E9CE271">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24"/>
              </w:rPr>
              <w:t>套</w:t>
            </w:r>
          </w:p>
        </w:tc>
      </w:tr>
      <w:tr w14:paraId="082F0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71" w:type="pct"/>
            <w:shd w:val="clear" w:color="000000" w:fill="FFFFFF"/>
            <w:vAlign w:val="center"/>
          </w:tcPr>
          <w:p w14:paraId="6A92B82E">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24"/>
              </w:rPr>
              <w:t>14</w:t>
            </w:r>
          </w:p>
        </w:tc>
        <w:tc>
          <w:tcPr>
            <w:tcW w:w="2313" w:type="pct"/>
            <w:shd w:val="clear" w:color="000000" w:fill="FFFFFF"/>
            <w:noWrap/>
            <w:vAlign w:val="center"/>
          </w:tcPr>
          <w:p w14:paraId="19B0A550">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24"/>
              </w:rPr>
              <w:t>虚拟化存储扩盘</w:t>
            </w:r>
          </w:p>
        </w:tc>
        <w:tc>
          <w:tcPr>
            <w:tcW w:w="848" w:type="pct"/>
            <w:shd w:val="clear" w:color="000000" w:fill="FFFFFF"/>
            <w:noWrap/>
            <w:vAlign w:val="center"/>
          </w:tcPr>
          <w:p w14:paraId="28C2B76B">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24"/>
              </w:rPr>
              <w:t>12</w:t>
            </w:r>
          </w:p>
        </w:tc>
        <w:tc>
          <w:tcPr>
            <w:tcW w:w="1066" w:type="pct"/>
            <w:shd w:val="clear" w:color="000000" w:fill="FFFFFF"/>
            <w:noWrap/>
            <w:vAlign w:val="center"/>
          </w:tcPr>
          <w:p w14:paraId="5103570A">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24"/>
              </w:rPr>
              <w:t>块</w:t>
            </w:r>
          </w:p>
        </w:tc>
      </w:tr>
      <w:tr w14:paraId="3EA24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71" w:type="pct"/>
            <w:shd w:val="clear" w:color="000000" w:fill="FFFFFF"/>
            <w:vAlign w:val="center"/>
          </w:tcPr>
          <w:p w14:paraId="0FF7AE82">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24"/>
              </w:rPr>
              <w:t>15</w:t>
            </w:r>
          </w:p>
        </w:tc>
        <w:tc>
          <w:tcPr>
            <w:tcW w:w="2313" w:type="pct"/>
            <w:shd w:val="clear" w:color="000000" w:fill="FFFFFF"/>
            <w:noWrap/>
            <w:vAlign w:val="center"/>
          </w:tcPr>
          <w:p w14:paraId="2BEE5E1C">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24"/>
              </w:rPr>
              <w:t>虚拟化软件（含授权</w:t>
            </w:r>
            <w:r>
              <w:rPr>
                <w:rFonts w:hint="eastAsia" w:ascii="宋体" w:hAnsi="宋体" w:cs="宋体"/>
                <w:color w:val="000000"/>
                <w:kern w:val="0"/>
                <w:sz w:val="24"/>
              </w:rPr>
              <w:br w:type="textWrapping"/>
            </w:r>
            <w:r>
              <w:rPr>
                <w:rFonts w:hint="eastAsia" w:ascii="宋体" w:hAnsi="宋体" w:cs="宋体"/>
                <w:color w:val="000000"/>
                <w:kern w:val="0"/>
                <w:sz w:val="24"/>
              </w:rPr>
              <w:t>及管理中心）</w:t>
            </w:r>
          </w:p>
        </w:tc>
        <w:tc>
          <w:tcPr>
            <w:tcW w:w="848" w:type="pct"/>
            <w:shd w:val="clear" w:color="000000" w:fill="FFFFFF"/>
            <w:noWrap/>
            <w:vAlign w:val="center"/>
          </w:tcPr>
          <w:p w14:paraId="729D2A71">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24"/>
              </w:rPr>
              <w:t>1</w:t>
            </w:r>
          </w:p>
        </w:tc>
        <w:tc>
          <w:tcPr>
            <w:tcW w:w="1066" w:type="pct"/>
            <w:shd w:val="clear" w:color="000000" w:fill="FFFFFF"/>
            <w:noWrap/>
            <w:vAlign w:val="center"/>
          </w:tcPr>
          <w:p w14:paraId="12721BD4">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24"/>
              </w:rPr>
              <w:t>套</w:t>
            </w:r>
          </w:p>
        </w:tc>
      </w:tr>
      <w:tr w14:paraId="5941A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71" w:type="pct"/>
            <w:shd w:val="clear" w:color="000000" w:fill="FFFFFF"/>
            <w:vAlign w:val="center"/>
          </w:tcPr>
          <w:p w14:paraId="71B1C90C">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24"/>
              </w:rPr>
              <w:t>16</w:t>
            </w:r>
          </w:p>
        </w:tc>
        <w:tc>
          <w:tcPr>
            <w:tcW w:w="2313" w:type="pct"/>
            <w:shd w:val="clear" w:color="000000" w:fill="FFFFFF"/>
            <w:noWrap/>
            <w:vAlign w:val="center"/>
          </w:tcPr>
          <w:p w14:paraId="4C7AC9C5">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24"/>
              </w:rPr>
              <w:t>面板无线AP</w:t>
            </w:r>
          </w:p>
        </w:tc>
        <w:tc>
          <w:tcPr>
            <w:tcW w:w="848" w:type="pct"/>
            <w:shd w:val="clear" w:color="000000" w:fill="FFFFFF"/>
            <w:noWrap/>
            <w:vAlign w:val="center"/>
          </w:tcPr>
          <w:p w14:paraId="1D9B6083">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24"/>
              </w:rPr>
              <w:t>15</w:t>
            </w:r>
          </w:p>
        </w:tc>
        <w:tc>
          <w:tcPr>
            <w:tcW w:w="1066" w:type="pct"/>
            <w:shd w:val="clear" w:color="000000" w:fill="FFFFFF"/>
            <w:noWrap/>
            <w:vAlign w:val="center"/>
          </w:tcPr>
          <w:p w14:paraId="6CD2422D">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24"/>
              </w:rPr>
              <w:t>台</w:t>
            </w:r>
          </w:p>
        </w:tc>
      </w:tr>
      <w:tr w14:paraId="5F201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71" w:type="pct"/>
            <w:shd w:val="clear" w:color="000000" w:fill="FFFFFF"/>
            <w:vAlign w:val="center"/>
          </w:tcPr>
          <w:p w14:paraId="46DF272A">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24"/>
              </w:rPr>
              <w:t>17</w:t>
            </w:r>
          </w:p>
        </w:tc>
        <w:tc>
          <w:tcPr>
            <w:tcW w:w="2313" w:type="pct"/>
            <w:shd w:val="clear" w:color="000000" w:fill="FFFFFF"/>
            <w:noWrap/>
            <w:vAlign w:val="center"/>
          </w:tcPr>
          <w:p w14:paraId="79EE4049">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24"/>
              </w:rPr>
              <w:t>放装无线AP</w:t>
            </w:r>
          </w:p>
        </w:tc>
        <w:tc>
          <w:tcPr>
            <w:tcW w:w="848" w:type="pct"/>
            <w:shd w:val="clear" w:color="000000" w:fill="FFFFFF"/>
            <w:noWrap/>
            <w:vAlign w:val="center"/>
          </w:tcPr>
          <w:p w14:paraId="44251C0B">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24"/>
              </w:rPr>
              <w:t>25</w:t>
            </w:r>
          </w:p>
        </w:tc>
        <w:tc>
          <w:tcPr>
            <w:tcW w:w="1066" w:type="pct"/>
            <w:shd w:val="clear" w:color="000000" w:fill="FFFFFF"/>
            <w:noWrap/>
            <w:vAlign w:val="center"/>
          </w:tcPr>
          <w:p w14:paraId="5EB19EA5">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24"/>
              </w:rPr>
              <w:t>台</w:t>
            </w:r>
          </w:p>
        </w:tc>
      </w:tr>
      <w:tr w14:paraId="76B49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71" w:type="pct"/>
            <w:shd w:val="clear" w:color="000000" w:fill="FFFFFF"/>
            <w:vAlign w:val="center"/>
          </w:tcPr>
          <w:p w14:paraId="6D72A923">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24"/>
              </w:rPr>
              <w:t>18</w:t>
            </w:r>
          </w:p>
        </w:tc>
        <w:tc>
          <w:tcPr>
            <w:tcW w:w="2313" w:type="pct"/>
            <w:shd w:val="clear" w:color="000000" w:fill="FFFFFF"/>
            <w:noWrap/>
            <w:vAlign w:val="center"/>
          </w:tcPr>
          <w:p w14:paraId="62CFA317">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24"/>
              </w:rPr>
              <w:t>24口POE交换机</w:t>
            </w:r>
          </w:p>
        </w:tc>
        <w:tc>
          <w:tcPr>
            <w:tcW w:w="848" w:type="pct"/>
            <w:shd w:val="clear" w:color="000000" w:fill="FFFFFF"/>
            <w:noWrap/>
            <w:vAlign w:val="center"/>
          </w:tcPr>
          <w:p w14:paraId="52B0A177">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24"/>
              </w:rPr>
              <w:t>5</w:t>
            </w:r>
          </w:p>
        </w:tc>
        <w:tc>
          <w:tcPr>
            <w:tcW w:w="1066" w:type="pct"/>
            <w:shd w:val="clear" w:color="000000" w:fill="FFFFFF"/>
            <w:noWrap/>
            <w:vAlign w:val="center"/>
          </w:tcPr>
          <w:p w14:paraId="5D2F3296">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24"/>
              </w:rPr>
              <w:t>台</w:t>
            </w:r>
          </w:p>
        </w:tc>
      </w:tr>
      <w:tr w14:paraId="2AA44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71" w:type="pct"/>
            <w:shd w:val="clear" w:color="000000" w:fill="FFFFFF"/>
            <w:vAlign w:val="center"/>
          </w:tcPr>
          <w:p w14:paraId="08C36D7F">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24"/>
              </w:rPr>
              <w:t>19</w:t>
            </w:r>
          </w:p>
        </w:tc>
        <w:tc>
          <w:tcPr>
            <w:tcW w:w="2313" w:type="pct"/>
            <w:shd w:val="clear" w:color="000000" w:fill="FFFFFF"/>
            <w:noWrap/>
            <w:vAlign w:val="center"/>
          </w:tcPr>
          <w:p w14:paraId="4C4C6998">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24"/>
              </w:rPr>
              <w:t>光模块</w:t>
            </w:r>
          </w:p>
        </w:tc>
        <w:tc>
          <w:tcPr>
            <w:tcW w:w="848" w:type="pct"/>
            <w:shd w:val="clear" w:color="000000" w:fill="FFFFFF"/>
            <w:noWrap/>
            <w:vAlign w:val="center"/>
          </w:tcPr>
          <w:p w14:paraId="2A7BB87F">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24"/>
              </w:rPr>
              <w:t>10</w:t>
            </w:r>
          </w:p>
        </w:tc>
        <w:tc>
          <w:tcPr>
            <w:tcW w:w="1066" w:type="pct"/>
            <w:shd w:val="clear" w:color="000000" w:fill="FFFFFF"/>
            <w:noWrap/>
            <w:vAlign w:val="center"/>
          </w:tcPr>
          <w:p w14:paraId="6761B687">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24"/>
              </w:rPr>
              <w:t>个</w:t>
            </w:r>
          </w:p>
        </w:tc>
      </w:tr>
      <w:tr w14:paraId="412D9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71" w:type="pct"/>
            <w:shd w:val="clear" w:color="000000" w:fill="FFFFFF"/>
            <w:vAlign w:val="center"/>
          </w:tcPr>
          <w:p w14:paraId="7ABC1D30">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24"/>
              </w:rPr>
              <w:t>20</w:t>
            </w:r>
          </w:p>
        </w:tc>
        <w:tc>
          <w:tcPr>
            <w:tcW w:w="2313" w:type="pct"/>
            <w:shd w:val="clear" w:color="000000" w:fill="FFFFFF"/>
            <w:noWrap/>
            <w:vAlign w:val="center"/>
          </w:tcPr>
          <w:p w14:paraId="1DB8C428">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24"/>
              </w:rPr>
              <w:t>无线控制器</w:t>
            </w:r>
          </w:p>
        </w:tc>
        <w:tc>
          <w:tcPr>
            <w:tcW w:w="848" w:type="pct"/>
            <w:shd w:val="clear" w:color="000000" w:fill="FFFFFF"/>
            <w:noWrap/>
            <w:vAlign w:val="center"/>
          </w:tcPr>
          <w:p w14:paraId="544A06F9">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24"/>
              </w:rPr>
              <w:t>1</w:t>
            </w:r>
          </w:p>
        </w:tc>
        <w:tc>
          <w:tcPr>
            <w:tcW w:w="1066" w:type="pct"/>
            <w:shd w:val="clear" w:color="000000" w:fill="FFFFFF"/>
            <w:noWrap/>
            <w:vAlign w:val="center"/>
          </w:tcPr>
          <w:p w14:paraId="36FA737F">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24"/>
              </w:rPr>
              <w:t>台</w:t>
            </w:r>
          </w:p>
        </w:tc>
      </w:tr>
      <w:tr w14:paraId="67EBF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71" w:type="pct"/>
            <w:shd w:val="clear" w:color="000000" w:fill="FFFFFF"/>
            <w:vAlign w:val="center"/>
          </w:tcPr>
          <w:p w14:paraId="0E2022DC">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24"/>
              </w:rPr>
              <w:t>21</w:t>
            </w:r>
          </w:p>
        </w:tc>
        <w:tc>
          <w:tcPr>
            <w:tcW w:w="2313" w:type="pct"/>
            <w:shd w:val="clear" w:color="000000" w:fill="FFFFFF"/>
            <w:noWrap/>
            <w:vAlign w:val="center"/>
          </w:tcPr>
          <w:p w14:paraId="01E60EB1">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24"/>
              </w:rPr>
              <w:t>交换能力扩容（交换机）</w:t>
            </w:r>
          </w:p>
        </w:tc>
        <w:tc>
          <w:tcPr>
            <w:tcW w:w="848" w:type="pct"/>
            <w:shd w:val="clear" w:color="000000" w:fill="FFFFFF"/>
            <w:noWrap/>
            <w:vAlign w:val="center"/>
          </w:tcPr>
          <w:p w14:paraId="71CE5BB0">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24"/>
              </w:rPr>
              <w:t>2</w:t>
            </w:r>
          </w:p>
        </w:tc>
        <w:tc>
          <w:tcPr>
            <w:tcW w:w="1066" w:type="pct"/>
            <w:shd w:val="clear" w:color="000000" w:fill="FFFFFF"/>
            <w:noWrap/>
            <w:vAlign w:val="center"/>
          </w:tcPr>
          <w:p w14:paraId="14A06268">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24"/>
              </w:rPr>
              <w:t>台</w:t>
            </w:r>
          </w:p>
        </w:tc>
      </w:tr>
      <w:tr w14:paraId="0E59C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71" w:type="pct"/>
            <w:shd w:val="clear" w:color="000000" w:fill="FFFFFF"/>
            <w:vAlign w:val="center"/>
          </w:tcPr>
          <w:p w14:paraId="62658B06">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24"/>
              </w:rPr>
              <w:t>22</w:t>
            </w:r>
          </w:p>
        </w:tc>
        <w:tc>
          <w:tcPr>
            <w:tcW w:w="2313" w:type="pct"/>
            <w:shd w:val="clear" w:color="000000" w:fill="FFFFFF"/>
            <w:noWrap/>
            <w:vAlign w:val="center"/>
          </w:tcPr>
          <w:p w14:paraId="6C934144">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24"/>
              </w:rPr>
              <w:t>PDA（护士）</w:t>
            </w:r>
          </w:p>
        </w:tc>
        <w:tc>
          <w:tcPr>
            <w:tcW w:w="848" w:type="pct"/>
            <w:shd w:val="clear" w:color="000000" w:fill="FFFFFF"/>
            <w:noWrap/>
            <w:vAlign w:val="center"/>
          </w:tcPr>
          <w:p w14:paraId="683BB09B">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24"/>
              </w:rPr>
              <w:t>9</w:t>
            </w:r>
          </w:p>
        </w:tc>
        <w:tc>
          <w:tcPr>
            <w:tcW w:w="1066" w:type="pct"/>
            <w:shd w:val="clear" w:color="000000" w:fill="FFFFFF"/>
            <w:noWrap/>
            <w:vAlign w:val="center"/>
          </w:tcPr>
          <w:p w14:paraId="54F32185">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24"/>
              </w:rPr>
              <w:t>个</w:t>
            </w:r>
          </w:p>
        </w:tc>
      </w:tr>
      <w:tr w14:paraId="52718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71" w:type="pct"/>
            <w:shd w:val="clear" w:color="000000" w:fill="FFFFFF"/>
            <w:vAlign w:val="center"/>
          </w:tcPr>
          <w:p w14:paraId="24DF01DA">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24"/>
              </w:rPr>
              <w:t>23</w:t>
            </w:r>
          </w:p>
        </w:tc>
        <w:tc>
          <w:tcPr>
            <w:tcW w:w="2313" w:type="pct"/>
            <w:shd w:val="clear" w:color="000000" w:fill="FFFFFF"/>
            <w:noWrap/>
            <w:vAlign w:val="center"/>
          </w:tcPr>
          <w:p w14:paraId="1A56CFD4">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24"/>
              </w:rPr>
              <w:t>平板电脑（医生）</w:t>
            </w:r>
          </w:p>
        </w:tc>
        <w:tc>
          <w:tcPr>
            <w:tcW w:w="848" w:type="pct"/>
            <w:shd w:val="clear" w:color="000000" w:fill="FFFFFF"/>
            <w:noWrap/>
            <w:vAlign w:val="center"/>
          </w:tcPr>
          <w:p w14:paraId="0F6FC45F">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24"/>
              </w:rPr>
              <w:t>9</w:t>
            </w:r>
          </w:p>
        </w:tc>
        <w:tc>
          <w:tcPr>
            <w:tcW w:w="1066" w:type="pct"/>
            <w:shd w:val="clear" w:color="000000" w:fill="FFFFFF"/>
            <w:noWrap/>
            <w:vAlign w:val="center"/>
          </w:tcPr>
          <w:p w14:paraId="4DCD2782">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24"/>
              </w:rPr>
              <w:t>个</w:t>
            </w:r>
          </w:p>
        </w:tc>
      </w:tr>
      <w:tr w14:paraId="59596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71" w:type="pct"/>
            <w:shd w:val="clear" w:color="000000" w:fill="FFFFFF"/>
            <w:vAlign w:val="center"/>
          </w:tcPr>
          <w:p w14:paraId="69280861">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24"/>
              </w:rPr>
              <w:t>24</w:t>
            </w:r>
          </w:p>
        </w:tc>
        <w:tc>
          <w:tcPr>
            <w:tcW w:w="2313" w:type="pct"/>
            <w:shd w:val="clear" w:color="000000" w:fill="FFFFFF"/>
            <w:noWrap/>
            <w:vAlign w:val="center"/>
          </w:tcPr>
          <w:p w14:paraId="3FD65112">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24"/>
              </w:rPr>
              <w:t>系统集成</w:t>
            </w:r>
          </w:p>
        </w:tc>
        <w:tc>
          <w:tcPr>
            <w:tcW w:w="848" w:type="pct"/>
            <w:shd w:val="clear" w:color="000000" w:fill="FFFFFF"/>
            <w:noWrap/>
            <w:vAlign w:val="center"/>
          </w:tcPr>
          <w:p w14:paraId="1BF10598">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24"/>
              </w:rPr>
              <w:t>1</w:t>
            </w:r>
          </w:p>
        </w:tc>
        <w:tc>
          <w:tcPr>
            <w:tcW w:w="1066" w:type="pct"/>
            <w:shd w:val="clear" w:color="000000" w:fill="FFFFFF"/>
            <w:noWrap/>
            <w:vAlign w:val="center"/>
          </w:tcPr>
          <w:p w14:paraId="08705AD5">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24"/>
              </w:rPr>
              <w:t>项</w:t>
            </w:r>
          </w:p>
        </w:tc>
      </w:tr>
    </w:tbl>
    <w:p w14:paraId="553FF38B">
      <w:pPr>
        <w:spacing w:line="360" w:lineRule="auto"/>
        <w:rPr>
          <w:rFonts w:hint="eastAsia" w:ascii="宋体" w:hAnsi="宋体" w:cs="宋体"/>
          <w:sz w:val="24"/>
        </w:rPr>
      </w:pPr>
    </w:p>
    <w:p w14:paraId="116F0F0A">
      <w:pPr>
        <w:pStyle w:val="2"/>
        <w:spacing w:line="360" w:lineRule="auto"/>
        <w:jc w:val="both"/>
        <w:rPr>
          <w:rFonts w:hint="eastAsia" w:ascii="宋体" w:hAnsi="宋体" w:eastAsia="宋体" w:cs="宋体"/>
          <w:sz w:val="24"/>
          <w:szCs w:val="24"/>
        </w:rPr>
      </w:pPr>
      <w:r>
        <w:rPr>
          <w:rFonts w:hint="eastAsia" w:ascii="宋体" w:hAnsi="宋体" w:eastAsia="宋体" w:cs="宋体"/>
          <w:sz w:val="24"/>
          <w:szCs w:val="24"/>
        </w:rPr>
        <w:t>2、项目背景及建设内容</w:t>
      </w:r>
    </w:p>
    <w:p w14:paraId="6CA0A98E">
      <w:pPr>
        <w:pStyle w:val="10"/>
        <w:rPr>
          <w:rFonts w:hint="eastAsia" w:ascii="宋体" w:hAnsi="宋体" w:cs="宋体"/>
        </w:rPr>
      </w:pPr>
      <w:r>
        <w:rPr>
          <w:rFonts w:hint="eastAsia" w:ascii="宋体" w:hAnsi="宋体" w:cs="宋体"/>
        </w:rPr>
        <w:t>北京市安佳医院信息化系统建设项目的总体目标是建立和完善医院信息系统，加强医疗救治能力，改善群众看病就医条件，推进医院信息系统的互联互通和数据共享，全面提升医院信息化水平、管理水平和服务水平，加强医院内部管理，保障医疗质量，提高服务效率，促进区域医疗协作和交流，方便群众就医，使医疗资源有序化使用和最大化利用，并通过与本区域全民健康信息平台对接，实现医疗信息交换与共享，进一步为人民群众提供更加安全、有效、方便、价廉的医疗服务,使医院信息化建设达到本地域内领先水平。</w:t>
      </w:r>
    </w:p>
    <w:p w14:paraId="6A958BE4">
      <w:pPr>
        <w:pStyle w:val="10"/>
        <w:rPr>
          <w:rFonts w:hint="eastAsia" w:ascii="宋体" w:hAnsi="宋体" w:cs="宋体"/>
        </w:rPr>
      </w:pPr>
      <w:r>
        <w:rPr>
          <w:rFonts w:hint="eastAsia" w:ascii="宋体" w:hAnsi="宋体" w:cs="宋体"/>
        </w:rPr>
        <w:t>本项目是医院信息化总体规划的二期项目，具体建设内容包括：</w:t>
      </w:r>
    </w:p>
    <w:p w14:paraId="0624ABD5">
      <w:pPr>
        <w:pStyle w:val="10"/>
        <w:rPr>
          <w:rFonts w:hint="eastAsia" w:ascii="宋体" w:hAnsi="宋体" w:cs="宋体"/>
        </w:rPr>
      </w:pPr>
      <w:r>
        <w:rPr>
          <w:rFonts w:hint="eastAsia" w:ascii="宋体" w:hAnsi="宋体" w:cs="宋体"/>
        </w:rPr>
        <w:t>临床业务信息化完善：根据医院业务需求，完善临床业务信息系统，升级电子病历系统增加质控等相应功能，建设包括移动临床（移动医生、移动护理、整体护理）、合理用药（药品查询、临床药学、前置审方）等业务系统，基本实现临床主要业务的信息化处理。</w:t>
      </w:r>
    </w:p>
    <w:p w14:paraId="47E0C379">
      <w:pPr>
        <w:pStyle w:val="10"/>
        <w:rPr>
          <w:rFonts w:hint="eastAsia" w:ascii="宋体" w:hAnsi="宋体" w:cs="宋体"/>
        </w:rPr>
      </w:pPr>
      <w:r>
        <w:rPr>
          <w:rFonts w:hint="eastAsia" w:ascii="宋体" w:hAnsi="宋体" w:cs="宋体"/>
        </w:rPr>
        <w:t xml:space="preserve">IT支撑环境扩容：本着实用和经济的原则，依照本期建设业务系统的需要，建设院内无线网络，并对硬件和系统软件进行扩容，虚拟化服务器CPU、内存扩容，存储设备磁盘扩容，配置虚拟化软件等系统软件。同时为满足移动临床使用需要，购置少量医生和护士使用的平板电脑及PDA设备。 </w:t>
      </w:r>
    </w:p>
    <w:p w14:paraId="14B7E289">
      <w:pPr>
        <w:pStyle w:val="2"/>
        <w:spacing w:line="360" w:lineRule="auto"/>
        <w:jc w:val="both"/>
        <w:rPr>
          <w:rFonts w:hint="eastAsia" w:ascii="宋体" w:hAnsi="宋体" w:eastAsia="宋体" w:cs="宋体"/>
          <w:sz w:val="24"/>
          <w:szCs w:val="24"/>
        </w:rPr>
      </w:pPr>
      <w:r>
        <w:rPr>
          <w:rFonts w:hint="eastAsia" w:ascii="宋体" w:hAnsi="宋体" w:eastAsia="宋体" w:cs="宋体"/>
          <w:sz w:val="24"/>
          <w:szCs w:val="24"/>
        </w:rPr>
        <w:t>3、业务应用系统技术规格要求</w:t>
      </w:r>
    </w:p>
    <w:p w14:paraId="6D7A529F">
      <w:pPr>
        <w:pStyle w:val="3"/>
        <w:spacing w:line="360" w:lineRule="auto"/>
        <w:rPr>
          <w:rFonts w:hint="eastAsia" w:hAnsi="宋体" w:cs="宋体"/>
          <w:szCs w:val="24"/>
          <w:u w:val="none"/>
        </w:rPr>
      </w:pPr>
      <w:r>
        <w:rPr>
          <w:rFonts w:hint="eastAsia" w:hAnsi="宋体" w:cs="宋体"/>
          <w:szCs w:val="24"/>
          <w:u w:val="none"/>
        </w:rPr>
        <w:t>3.1 抗菌药物管理技术要求</w:t>
      </w:r>
    </w:p>
    <w:tbl>
      <w:tblPr>
        <w:tblStyle w:val="7"/>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2"/>
        <w:gridCol w:w="567"/>
        <w:gridCol w:w="7938"/>
      </w:tblGrid>
      <w:tr w14:paraId="6F293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08C08817">
            <w:pPr>
              <w:pStyle w:val="11"/>
              <w:spacing w:line="360" w:lineRule="auto"/>
              <w:jc w:val="center"/>
              <w:rPr>
                <w:rFonts w:hint="eastAsia"/>
                <w:b/>
                <w:bCs/>
                <w:sz w:val="24"/>
                <w:szCs w:val="24"/>
              </w:rPr>
            </w:pPr>
            <w:r>
              <w:rPr>
                <w:rFonts w:hint="eastAsia"/>
                <w:b/>
                <w:bCs/>
                <w:sz w:val="24"/>
                <w:szCs w:val="24"/>
              </w:rPr>
              <w:t>序号</w:t>
            </w:r>
          </w:p>
        </w:tc>
        <w:tc>
          <w:tcPr>
            <w:tcW w:w="567" w:type="dxa"/>
            <w:vAlign w:val="center"/>
          </w:tcPr>
          <w:p w14:paraId="5D31843D">
            <w:pPr>
              <w:pStyle w:val="11"/>
              <w:spacing w:line="360" w:lineRule="auto"/>
              <w:jc w:val="center"/>
              <w:rPr>
                <w:rFonts w:hint="eastAsia"/>
                <w:b/>
                <w:bCs/>
                <w:sz w:val="24"/>
                <w:szCs w:val="24"/>
              </w:rPr>
            </w:pPr>
            <w:r>
              <w:rPr>
                <w:rFonts w:hint="eastAsia"/>
                <w:b/>
                <w:bCs/>
                <w:sz w:val="24"/>
                <w:szCs w:val="24"/>
              </w:rPr>
              <w:t>标记</w:t>
            </w:r>
          </w:p>
        </w:tc>
        <w:tc>
          <w:tcPr>
            <w:tcW w:w="7938" w:type="dxa"/>
            <w:vAlign w:val="center"/>
          </w:tcPr>
          <w:p w14:paraId="4FAB069B">
            <w:pPr>
              <w:pStyle w:val="11"/>
              <w:spacing w:line="360" w:lineRule="auto"/>
              <w:jc w:val="center"/>
              <w:rPr>
                <w:rFonts w:hint="eastAsia"/>
                <w:b/>
                <w:bCs/>
                <w:sz w:val="24"/>
                <w:szCs w:val="24"/>
              </w:rPr>
            </w:pPr>
            <w:r>
              <w:rPr>
                <w:rFonts w:hint="eastAsia"/>
                <w:b/>
                <w:bCs/>
                <w:sz w:val="24"/>
                <w:szCs w:val="24"/>
              </w:rPr>
              <w:t>技术指标要求</w:t>
            </w:r>
          </w:p>
        </w:tc>
      </w:tr>
      <w:tr w14:paraId="6A2FD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14:paraId="1B5A4ECF">
            <w:pPr>
              <w:pStyle w:val="11"/>
              <w:spacing w:line="360" w:lineRule="auto"/>
              <w:jc w:val="center"/>
              <w:rPr>
                <w:rFonts w:hint="eastAsia"/>
                <w:sz w:val="24"/>
                <w:szCs w:val="24"/>
              </w:rPr>
            </w:pPr>
            <w:r>
              <w:rPr>
                <w:rFonts w:hint="eastAsia"/>
                <w:sz w:val="24"/>
                <w:szCs w:val="24"/>
              </w:rPr>
              <w:t>1</w:t>
            </w:r>
          </w:p>
        </w:tc>
        <w:tc>
          <w:tcPr>
            <w:tcW w:w="567" w:type="dxa"/>
          </w:tcPr>
          <w:p w14:paraId="728E1D5C">
            <w:pPr>
              <w:pStyle w:val="11"/>
              <w:spacing w:line="360" w:lineRule="auto"/>
              <w:jc w:val="center"/>
              <w:rPr>
                <w:rFonts w:hint="eastAsia"/>
                <w:sz w:val="24"/>
                <w:szCs w:val="24"/>
              </w:rPr>
            </w:pPr>
          </w:p>
        </w:tc>
        <w:tc>
          <w:tcPr>
            <w:tcW w:w="7938" w:type="dxa"/>
          </w:tcPr>
          <w:p w14:paraId="51093B2C">
            <w:pPr>
              <w:pStyle w:val="11"/>
              <w:spacing w:line="360" w:lineRule="auto"/>
              <w:rPr>
                <w:rFonts w:hint="eastAsia"/>
                <w:sz w:val="24"/>
                <w:szCs w:val="24"/>
              </w:rPr>
            </w:pPr>
            <w:r>
              <w:rPr>
                <w:rFonts w:hint="eastAsia"/>
                <w:sz w:val="24"/>
                <w:szCs w:val="24"/>
              </w:rPr>
              <w:t>支持设定专门的抗菌药物分级目录</w:t>
            </w:r>
          </w:p>
        </w:tc>
      </w:tr>
      <w:tr w14:paraId="0CA4D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14:paraId="4974D476">
            <w:pPr>
              <w:pStyle w:val="11"/>
              <w:spacing w:line="360" w:lineRule="auto"/>
              <w:jc w:val="center"/>
              <w:rPr>
                <w:rFonts w:hint="eastAsia"/>
                <w:sz w:val="24"/>
                <w:szCs w:val="24"/>
              </w:rPr>
            </w:pPr>
            <w:r>
              <w:rPr>
                <w:rFonts w:hint="eastAsia"/>
                <w:sz w:val="24"/>
                <w:szCs w:val="24"/>
              </w:rPr>
              <w:t>2</w:t>
            </w:r>
          </w:p>
        </w:tc>
        <w:tc>
          <w:tcPr>
            <w:tcW w:w="567" w:type="dxa"/>
          </w:tcPr>
          <w:p w14:paraId="22079D0B">
            <w:pPr>
              <w:pStyle w:val="11"/>
              <w:spacing w:line="360" w:lineRule="auto"/>
              <w:jc w:val="center"/>
              <w:rPr>
                <w:rFonts w:hint="eastAsia"/>
                <w:sz w:val="24"/>
                <w:szCs w:val="24"/>
              </w:rPr>
            </w:pPr>
          </w:p>
        </w:tc>
        <w:tc>
          <w:tcPr>
            <w:tcW w:w="7938" w:type="dxa"/>
          </w:tcPr>
          <w:p w14:paraId="1920713C">
            <w:pPr>
              <w:pStyle w:val="11"/>
              <w:spacing w:line="360" w:lineRule="auto"/>
              <w:rPr>
                <w:rFonts w:hint="eastAsia"/>
                <w:sz w:val="24"/>
                <w:szCs w:val="24"/>
              </w:rPr>
            </w:pPr>
            <w:r>
              <w:rPr>
                <w:rFonts w:hint="eastAsia"/>
                <w:sz w:val="24"/>
                <w:szCs w:val="24"/>
              </w:rPr>
              <w:t>支持设定抗菌药物DDD值</w:t>
            </w:r>
          </w:p>
        </w:tc>
      </w:tr>
      <w:tr w14:paraId="46977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14:paraId="2A6BAF57">
            <w:pPr>
              <w:pStyle w:val="11"/>
              <w:spacing w:line="360" w:lineRule="auto"/>
              <w:jc w:val="center"/>
              <w:rPr>
                <w:rFonts w:hint="eastAsia"/>
                <w:sz w:val="24"/>
                <w:szCs w:val="24"/>
              </w:rPr>
            </w:pPr>
            <w:r>
              <w:rPr>
                <w:rFonts w:hint="eastAsia"/>
                <w:sz w:val="24"/>
                <w:szCs w:val="24"/>
              </w:rPr>
              <w:t>3</w:t>
            </w:r>
          </w:p>
        </w:tc>
        <w:tc>
          <w:tcPr>
            <w:tcW w:w="567" w:type="dxa"/>
          </w:tcPr>
          <w:p w14:paraId="003267EA">
            <w:pPr>
              <w:pStyle w:val="11"/>
              <w:spacing w:line="360" w:lineRule="auto"/>
              <w:jc w:val="center"/>
              <w:rPr>
                <w:rFonts w:hint="eastAsia"/>
                <w:sz w:val="24"/>
                <w:szCs w:val="24"/>
              </w:rPr>
            </w:pPr>
          </w:p>
        </w:tc>
        <w:tc>
          <w:tcPr>
            <w:tcW w:w="7938" w:type="dxa"/>
          </w:tcPr>
          <w:p w14:paraId="28C91E2D">
            <w:pPr>
              <w:pStyle w:val="11"/>
              <w:spacing w:line="360" w:lineRule="auto"/>
              <w:rPr>
                <w:rFonts w:hint="eastAsia"/>
                <w:sz w:val="24"/>
                <w:szCs w:val="24"/>
              </w:rPr>
            </w:pPr>
            <w:r>
              <w:rPr>
                <w:rFonts w:hint="eastAsia"/>
                <w:sz w:val="24"/>
                <w:szCs w:val="24"/>
              </w:rPr>
              <w:t>支持维护医生的专业技术职务任职资格</w:t>
            </w:r>
          </w:p>
        </w:tc>
      </w:tr>
      <w:tr w14:paraId="45B9C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14:paraId="3BD3E2E0">
            <w:pPr>
              <w:pStyle w:val="11"/>
              <w:spacing w:line="360" w:lineRule="auto"/>
              <w:jc w:val="center"/>
              <w:rPr>
                <w:rFonts w:hint="eastAsia"/>
                <w:sz w:val="24"/>
                <w:szCs w:val="24"/>
              </w:rPr>
            </w:pPr>
            <w:r>
              <w:rPr>
                <w:rFonts w:hint="eastAsia"/>
                <w:sz w:val="24"/>
                <w:szCs w:val="24"/>
              </w:rPr>
              <w:t>4</w:t>
            </w:r>
          </w:p>
        </w:tc>
        <w:tc>
          <w:tcPr>
            <w:tcW w:w="567" w:type="dxa"/>
          </w:tcPr>
          <w:p w14:paraId="4AB3915A">
            <w:pPr>
              <w:pStyle w:val="11"/>
              <w:spacing w:line="360" w:lineRule="auto"/>
              <w:jc w:val="center"/>
              <w:rPr>
                <w:rFonts w:hint="eastAsia"/>
                <w:sz w:val="24"/>
                <w:szCs w:val="24"/>
              </w:rPr>
            </w:pPr>
          </w:p>
        </w:tc>
        <w:tc>
          <w:tcPr>
            <w:tcW w:w="7938" w:type="dxa"/>
          </w:tcPr>
          <w:p w14:paraId="65DC0BB3">
            <w:pPr>
              <w:pStyle w:val="11"/>
              <w:spacing w:line="360" w:lineRule="auto"/>
              <w:rPr>
                <w:rFonts w:hint="eastAsia"/>
                <w:sz w:val="24"/>
                <w:szCs w:val="24"/>
              </w:rPr>
            </w:pPr>
            <w:r>
              <w:rPr>
                <w:rFonts w:hint="eastAsia"/>
                <w:sz w:val="24"/>
                <w:szCs w:val="24"/>
              </w:rPr>
              <w:t>支持授权医生按规定级别使用抗菌药物，可具体授权到单个医生</w:t>
            </w:r>
          </w:p>
        </w:tc>
      </w:tr>
      <w:tr w14:paraId="404C6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14:paraId="02618E87">
            <w:pPr>
              <w:pStyle w:val="11"/>
              <w:spacing w:line="360" w:lineRule="auto"/>
              <w:jc w:val="center"/>
              <w:rPr>
                <w:rFonts w:hint="eastAsia"/>
                <w:sz w:val="24"/>
                <w:szCs w:val="24"/>
              </w:rPr>
            </w:pPr>
            <w:r>
              <w:rPr>
                <w:rFonts w:hint="eastAsia"/>
                <w:sz w:val="24"/>
                <w:szCs w:val="24"/>
              </w:rPr>
              <w:t>5</w:t>
            </w:r>
          </w:p>
        </w:tc>
        <w:tc>
          <w:tcPr>
            <w:tcW w:w="567" w:type="dxa"/>
          </w:tcPr>
          <w:p w14:paraId="73A57B60">
            <w:pPr>
              <w:pStyle w:val="11"/>
              <w:spacing w:line="360" w:lineRule="auto"/>
              <w:jc w:val="center"/>
              <w:rPr>
                <w:rFonts w:hint="eastAsia"/>
                <w:sz w:val="24"/>
                <w:szCs w:val="24"/>
              </w:rPr>
            </w:pPr>
          </w:p>
        </w:tc>
        <w:tc>
          <w:tcPr>
            <w:tcW w:w="7938" w:type="dxa"/>
          </w:tcPr>
          <w:p w14:paraId="2E7B03C5">
            <w:pPr>
              <w:pStyle w:val="11"/>
              <w:spacing w:line="360" w:lineRule="auto"/>
              <w:rPr>
                <w:rFonts w:hint="eastAsia"/>
                <w:sz w:val="24"/>
                <w:szCs w:val="24"/>
              </w:rPr>
            </w:pPr>
            <w:r>
              <w:rPr>
                <w:rFonts w:hint="eastAsia"/>
                <w:sz w:val="24"/>
                <w:szCs w:val="24"/>
              </w:rPr>
              <w:t>支持单个医师和批量医师授权</w:t>
            </w:r>
          </w:p>
        </w:tc>
      </w:tr>
      <w:tr w14:paraId="19619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14:paraId="4EA6D9A1">
            <w:pPr>
              <w:pStyle w:val="11"/>
              <w:spacing w:line="360" w:lineRule="auto"/>
              <w:jc w:val="center"/>
              <w:rPr>
                <w:rFonts w:hint="eastAsia"/>
                <w:sz w:val="24"/>
                <w:szCs w:val="24"/>
              </w:rPr>
            </w:pPr>
            <w:r>
              <w:rPr>
                <w:rFonts w:hint="eastAsia"/>
                <w:sz w:val="24"/>
                <w:szCs w:val="24"/>
              </w:rPr>
              <w:t>6</w:t>
            </w:r>
          </w:p>
        </w:tc>
        <w:tc>
          <w:tcPr>
            <w:tcW w:w="567" w:type="dxa"/>
          </w:tcPr>
          <w:p w14:paraId="71F7C595">
            <w:pPr>
              <w:pStyle w:val="11"/>
              <w:spacing w:line="360" w:lineRule="auto"/>
              <w:jc w:val="center"/>
              <w:rPr>
                <w:rFonts w:hint="eastAsia"/>
                <w:sz w:val="24"/>
                <w:szCs w:val="24"/>
              </w:rPr>
            </w:pPr>
          </w:p>
        </w:tc>
        <w:tc>
          <w:tcPr>
            <w:tcW w:w="7938" w:type="dxa"/>
          </w:tcPr>
          <w:p w14:paraId="4963EC00">
            <w:pPr>
              <w:pStyle w:val="11"/>
              <w:spacing w:line="360" w:lineRule="auto"/>
              <w:rPr>
                <w:rFonts w:hint="eastAsia"/>
                <w:sz w:val="24"/>
                <w:szCs w:val="24"/>
              </w:rPr>
            </w:pPr>
            <w:r>
              <w:rPr>
                <w:rFonts w:hint="eastAsia"/>
                <w:sz w:val="24"/>
                <w:szCs w:val="24"/>
              </w:rPr>
              <w:t>支持抗菌药物越级使用审核。</w:t>
            </w:r>
          </w:p>
        </w:tc>
      </w:tr>
      <w:tr w14:paraId="4B94F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14:paraId="4F792DE1">
            <w:pPr>
              <w:pStyle w:val="11"/>
              <w:spacing w:line="360" w:lineRule="auto"/>
              <w:jc w:val="center"/>
              <w:rPr>
                <w:rFonts w:hint="eastAsia"/>
                <w:sz w:val="24"/>
                <w:szCs w:val="24"/>
              </w:rPr>
            </w:pPr>
            <w:r>
              <w:rPr>
                <w:rFonts w:hint="eastAsia"/>
                <w:sz w:val="24"/>
                <w:szCs w:val="24"/>
              </w:rPr>
              <w:t>7</w:t>
            </w:r>
          </w:p>
        </w:tc>
        <w:tc>
          <w:tcPr>
            <w:tcW w:w="567" w:type="dxa"/>
          </w:tcPr>
          <w:p w14:paraId="76E2004E">
            <w:pPr>
              <w:pStyle w:val="11"/>
              <w:spacing w:line="360" w:lineRule="auto"/>
              <w:jc w:val="center"/>
              <w:rPr>
                <w:rFonts w:hint="eastAsia"/>
                <w:sz w:val="24"/>
                <w:szCs w:val="24"/>
              </w:rPr>
            </w:pPr>
          </w:p>
        </w:tc>
        <w:tc>
          <w:tcPr>
            <w:tcW w:w="7938" w:type="dxa"/>
          </w:tcPr>
          <w:p w14:paraId="57329BEF">
            <w:pPr>
              <w:pStyle w:val="11"/>
              <w:spacing w:line="360" w:lineRule="auto"/>
              <w:rPr>
                <w:rFonts w:hint="eastAsia"/>
                <w:sz w:val="24"/>
                <w:szCs w:val="24"/>
              </w:rPr>
            </w:pPr>
            <w:r>
              <w:rPr>
                <w:rFonts w:hint="eastAsia"/>
                <w:sz w:val="24"/>
                <w:szCs w:val="24"/>
              </w:rPr>
              <w:t>支持门诊和住院分别进行审核</w:t>
            </w:r>
          </w:p>
        </w:tc>
      </w:tr>
      <w:tr w14:paraId="12E0D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14:paraId="2C494B4B">
            <w:pPr>
              <w:pStyle w:val="11"/>
              <w:spacing w:line="360" w:lineRule="auto"/>
              <w:jc w:val="center"/>
              <w:rPr>
                <w:rFonts w:hint="eastAsia"/>
                <w:sz w:val="24"/>
                <w:szCs w:val="24"/>
              </w:rPr>
            </w:pPr>
            <w:r>
              <w:rPr>
                <w:rFonts w:hint="eastAsia"/>
                <w:sz w:val="24"/>
                <w:szCs w:val="24"/>
              </w:rPr>
              <w:t>8</w:t>
            </w:r>
          </w:p>
        </w:tc>
        <w:tc>
          <w:tcPr>
            <w:tcW w:w="567" w:type="dxa"/>
          </w:tcPr>
          <w:p w14:paraId="12DA568A">
            <w:pPr>
              <w:pStyle w:val="11"/>
              <w:spacing w:line="360" w:lineRule="auto"/>
              <w:jc w:val="center"/>
              <w:rPr>
                <w:rFonts w:hint="eastAsia"/>
                <w:sz w:val="24"/>
                <w:szCs w:val="24"/>
              </w:rPr>
            </w:pPr>
          </w:p>
        </w:tc>
        <w:tc>
          <w:tcPr>
            <w:tcW w:w="7938" w:type="dxa"/>
          </w:tcPr>
          <w:p w14:paraId="5D369AE3">
            <w:pPr>
              <w:pStyle w:val="11"/>
              <w:spacing w:line="360" w:lineRule="auto"/>
              <w:rPr>
                <w:rFonts w:hint="eastAsia"/>
                <w:sz w:val="24"/>
                <w:szCs w:val="24"/>
              </w:rPr>
            </w:pPr>
            <w:r>
              <w:rPr>
                <w:rFonts w:hint="eastAsia"/>
                <w:sz w:val="24"/>
                <w:szCs w:val="24"/>
              </w:rPr>
              <w:t>支持默认只显示有越级用药申请的医生</w:t>
            </w:r>
          </w:p>
        </w:tc>
      </w:tr>
      <w:tr w14:paraId="0D01D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14:paraId="579DFB3F">
            <w:pPr>
              <w:pStyle w:val="11"/>
              <w:spacing w:line="360" w:lineRule="auto"/>
              <w:jc w:val="center"/>
              <w:rPr>
                <w:rFonts w:hint="eastAsia"/>
                <w:sz w:val="24"/>
                <w:szCs w:val="24"/>
              </w:rPr>
            </w:pPr>
            <w:r>
              <w:rPr>
                <w:rFonts w:hint="eastAsia"/>
                <w:sz w:val="24"/>
                <w:szCs w:val="24"/>
              </w:rPr>
              <w:t>9</w:t>
            </w:r>
          </w:p>
        </w:tc>
        <w:tc>
          <w:tcPr>
            <w:tcW w:w="567" w:type="dxa"/>
          </w:tcPr>
          <w:p w14:paraId="62BC7CDF">
            <w:pPr>
              <w:pStyle w:val="11"/>
              <w:spacing w:line="360" w:lineRule="auto"/>
              <w:jc w:val="center"/>
              <w:rPr>
                <w:rFonts w:hint="eastAsia"/>
                <w:sz w:val="24"/>
                <w:szCs w:val="24"/>
              </w:rPr>
            </w:pPr>
          </w:p>
        </w:tc>
        <w:tc>
          <w:tcPr>
            <w:tcW w:w="7938" w:type="dxa"/>
          </w:tcPr>
          <w:p w14:paraId="740F60CF">
            <w:pPr>
              <w:pStyle w:val="11"/>
              <w:spacing w:line="360" w:lineRule="auto"/>
              <w:rPr>
                <w:rFonts w:hint="eastAsia"/>
                <w:sz w:val="24"/>
                <w:szCs w:val="24"/>
              </w:rPr>
            </w:pPr>
            <w:r>
              <w:rPr>
                <w:rFonts w:hint="eastAsia"/>
                <w:sz w:val="24"/>
                <w:szCs w:val="24"/>
              </w:rPr>
              <w:t>支持上级医师审核时查看患者详细信息</w:t>
            </w:r>
          </w:p>
        </w:tc>
      </w:tr>
      <w:tr w14:paraId="1D77E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14:paraId="19C814D4">
            <w:pPr>
              <w:pStyle w:val="11"/>
              <w:spacing w:line="360" w:lineRule="auto"/>
              <w:jc w:val="center"/>
              <w:rPr>
                <w:rFonts w:hint="eastAsia"/>
                <w:sz w:val="24"/>
                <w:szCs w:val="24"/>
              </w:rPr>
            </w:pPr>
            <w:r>
              <w:rPr>
                <w:rFonts w:hint="eastAsia"/>
                <w:sz w:val="24"/>
                <w:szCs w:val="24"/>
              </w:rPr>
              <w:t>10</w:t>
            </w:r>
          </w:p>
        </w:tc>
        <w:tc>
          <w:tcPr>
            <w:tcW w:w="567" w:type="dxa"/>
          </w:tcPr>
          <w:p w14:paraId="2BD3BAEB">
            <w:pPr>
              <w:pStyle w:val="11"/>
              <w:spacing w:line="360" w:lineRule="auto"/>
              <w:jc w:val="center"/>
              <w:rPr>
                <w:rFonts w:hint="eastAsia"/>
                <w:sz w:val="24"/>
                <w:szCs w:val="24"/>
              </w:rPr>
            </w:pPr>
          </w:p>
        </w:tc>
        <w:tc>
          <w:tcPr>
            <w:tcW w:w="7938" w:type="dxa"/>
          </w:tcPr>
          <w:p w14:paraId="74B6A229">
            <w:pPr>
              <w:pStyle w:val="11"/>
              <w:spacing w:line="360" w:lineRule="auto"/>
              <w:rPr>
                <w:rFonts w:hint="eastAsia"/>
                <w:sz w:val="24"/>
                <w:szCs w:val="24"/>
              </w:rPr>
            </w:pPr>
            <w:r>
              <w:rPr>
                <w:rFonts w:hint="eastAsia"/>
                <w:sz w:val="24"/>
                <w:szCs w:val="24"/>
              </w:rPr>
              <w:t>支持紧急情况下，越级使用抗菌药物</w:t>
            </w:r>
          </w:p>
        </w:tc>
      </w:tr>
      <w:tr w14:paraId="39690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14:paraId="1B29C5CE">
            <w:pPr>
              <w:pStyle w:val="11"/>
              <w:spacing w:line="360" w:lineRule="auto"/>
              <w:jc w:val="center"/>
              <w:rPr>
                <w:rFonts w:hint="eastAsia"/>
                <w:sz w:val="24"/>
                <w:szCs w:val="24"/>
              </w:rPr>
            </w:pPr>
            <w:r>
              <w:rPr>
                <w:rFonts w:hint="eastAsia"/>
                <w:sz w:val="24"/>
                <w:szCs w:val="24"/>
              </w:rPr>
              <w:t>11</w:t>
            </w:r>
          </w:p>
        </w:tc>
        <w:tc>
          <w:tcPr>
            <w:tcW w:w="567" w:type="dxa"/>
          </w:tcPr>
          <w:p w14:paraId="2C9638D1">
            <w:pPr>
              <w:pStyle w:val="11"/>
              <w:spacing w:line="360" w:lineRule="auto"/>
              <w:jc w:val="center"/>
              <w:rPr>
                <w:rFonts w:hint="eastAsia"/>
                <w:sz w:val="24"/>
                <w:szCs w:val="24"/>
              </w:rPr>
            </w:pPr>
          </w:p>
        </w:tc>
        <w:tc>
          <w:tcPr>
            <w:tcW w:w="7938" w:type="dxa"/>
          </w:tcPr>
          <w:p w14:paraId="1A0E809F">
            <w:pPr>
              <w:pStyle w:val="11"/>
              <w:spacing w:line="360" w:lineRule="auto"/>
              <w:rPr>
                <w:rFonts w:hint="eastAsia"/>
                <w:sz w:val="24"/>
                <w:szCs w:val="24"/>
              </w:rPr>
            </w:pPr>
            <w:r>
              <w:rPr>
                <w:rFonts w:hint="eastAsia"/>
                <w:sz w:val="24"/>
                <w:szCs w:val="24"/>
              </w:rPr>
              <w:t>支持用药目的选择，下达抗菌药物医嘱必须选择用药目的</w:t>
            </w:r>
          </w:p>
        </w:tc>
      </w:tr>
      <w:tr w14:paraId="1800E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14:paraId="0E30565C">
            <w:pPr>
              <w:pStyle w:val="11"/>
              <w:spacing w:line="360" w:lineRule="auto"/>
              <w:jc w:val="center"/>
              <w:rPr>
                <w:rFonts w:hint="eastAsia"/>
                <w:sz w:val="24"/>
                <w:szCs w:val="24"/>
              </w:rPr>
            </w:pPr>
            <w:r>
              <w:rPr>
                <w:rFonts w:hint="eastAsia"/>
                <w:sz w:val="24"/>
                <w:szCs w:val="24"/>
              </w:rPr>
              <w:t>12</w:t>
            </w:r>
          </w:p>
        </w:tc>
        <w:tc>
          <w:tcPr>
            <w:tcW w:w="567" w:type="dxa"/>
          </w:tcPr>
          <w:p w14:paraId="6F6DC5E9">
            <w:pPr>
              <w:pStyle w:val="11"/>
              <w:spacing w:line="360" w:lineRule="auto"/>
              <w:jc w:val="center"/>
              <w:rPr>
                <w:rFonts w:hint="eastAsia"/>
                <w:sz w:val="24"/>
                <w:szCs w:val="24"/>
              </w:rPr>
            </w:pPr>
          </w:p>
        </w:tc>
        <w:tc>
          <w:tcPr>
            <w:tcW w:w="7938" w:type="dxa"/>
          </w:tcPr>
          <w:p w14:paraId="614E6837">
            <w:pPr>
              <w:pStyle w:val="11"/>
              <w:spacing w:line="360" w:lineRule="auto"/>
              <w:rPr>
                <w:rFonts w:hint="eastAsia"/>
                <w:sz w:val="24"/>
                <w:szCs w:val="24"/>
              </w:rPr>
            </w:pPr>
            <w:r>
              <w:rPr>
                <w:rFonts w:hint="eastAsia"/>
                <w:sz w:val="24"/>
                <w:szCs w:val="24"/>
              </w:rPr>
              <w:t>支持用药理由输入，下达抗菌药物医嘱需要填写用药理由</w:t>
            </w:r>
          </w:p>
        </w:tc>
      </w:tr>
      <w:tr w14:paraId="4A713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14:paraId="75BC7FC4">
            <w:pPr>
              <w:pStyle w:val="11"/>
              <w:spacing w:line="360" w:lineRule="auto"/>
              <w:jc w:val="center"/>
              <w:rPr>
                <w:rFonts w:hint="eastAsia"/>
                <w:sz w:val="24"/>
                <w:szCs w:val="24"/>
              </w:rPr>
            </w:pPr>
            <w:r>
              <w:rPr>
                <w:rFonts w:hint="eastAsia"/>
                <w:sz w:val="24"/>
                <w:szCs w:val="24"/>
              </w:rPr>
              <w:t>13</w:t>
            </w:r>
          </w:p>
        </w:tc>
        <w:tc>
          <w:tcPr>
            <w:tcW w:w="567" w:type="dxa"/>
          </w:tcPr>
          <w:p w14:paraId="5B7E839A">
            <w:pPr>
              <w:pStyle w:val="11"/>
              <w:spacing w:line="360" w:lineRule="auto"/>
              <w:jc w:val="center"/>
              <w:rPr>
                <w:rFonts w:hint="eastAsia"/>
                <w:sz w:val="24"/>
                <w:szCs w:val="24"/>
              </w:rPr>
            </w:pPr>
          </w:p>
        </w:tc>
        <w:tc>
          <w:tcPr>
            <w:tcW w:w="7938" w:type="dxa"/>
          </w:tcPr>
          <w:p w14:paraId="1F8B9F76">
            <w:pPr>
              <w:pStyle w:val="11"/>
              <w:spacing w:line="360" w:lineRule="auto"/>
              <w:rPr>
                <w:rFonts w:hint="eastAsia"/>
                <w:sz w:val="24"/>
                <w:szCs w:val="24"/>
              </w:rPr>
            </w:pPr>
            <w:r>
              <w:rPr>
                <w:rFonts w:hint="eastAsia"/>
                <w:sz w:val="24"/>
                <w:szCs w:val="24"/>
              </w:rPr>
              <w:t>支持用药理由模板输入</w:t>
            </w:r>
          </w:p>
        </w:tc>
      </w:tr>
      <w:tr w14:paraId="7EDC8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14:paraId="744A74C3">
            <w:pPr>
              <w:pStyle w:val="11"/>
              <w:spacing w:line="360" w:lineRule="auto"/>
              <w:jc w:val="center"/>
              <w:rPr>
                <w:rFonts w:hint="eastAsia"/>
                <w:sz w:val="24"/>
                <w:szCs w:val="24"/>
              </w:rPr>
            </w:pPr>
            <w:r>
              <w:rPr>
                <w:rFonts w:hint="eastAsia"/>
                <w:sz w:val="24"/>
                <w:szCs w:val="24"/>
              </w:rPr>
              <w:t>14</w:t>
            </w:r>
          </w:p>
        </w:tc>
        <w:tc>
          <w:tcPr>
            <w:tcW w:w="567" w:type="dxa"/>
          </w:tcPr>
          <w:p w14:paraId="676E63B5">
            <w:pPr>
              <w:pStyle w:val="11"/>
              <w:spacing w:line="360" w:lineRule="auto"/>
              <w:jc w:val="center"/>
              <w:rPr>
                <w:rFonts w:hint="eastAsia"/>
                <w:sz w:val="24"/>
                <w:szCs w:val="24"/>
              </w:rPr>
            </w:pPr>
          </w:p>
        </w:tc>
        <w:tc>
          <w:tcPr>
            <w:tcW w:w="7938" w:type="dxa"/>
          </w:tcPr>
          <w:p w14:paraId="10F41529">
            <w:pPr>
              <w:pStyle w:val="11"/>
              <w:spacing w:line="360" w:lineRule="auto"/>
              <w:rPr>
                <w:rFonts w:hint="eastAsia"/>
                <w:sz w:val="24"/>
                <w:szCs w:val="24"/>
              </w:rPr>
            </w:pPr>
            <w:r>
              <w:rPr>
                <w:rFonts w:hint="eastAsia"/>
                <w:sz w:val="24"/>
                <w:szCs w:val="24"/>
              </w:rPr>
              <w:t>支持在门诊处方中限制使用特殊使用级抗菌药物</w:t>
            </w:r>
          </w:p>
        </w:tc>
      </w:tr>
    </w:tbl>
    <w:p w14:paraId="6D9E86DC">
      <w:pPr>
        <w:spacing w:line="360" w:lineRule="auto"/>
        <w:rPr>
          <w:rFonts w:hint="eastAsia" w:ascii="宋体" w:hAnsi="宋体" w:cs="宋体"/>
          <w:sz w:val="24"/>
        </w:rPr>
      </w:pPr>
    </w:p>
    <w:p w14:paraId="75A89197">
      <w:pPr>
        <w:pStyle w:val="3"/>
        <w:spacing w:line="360" w:lineRule="auto"/>
        <w:rPr>
          <w:rFonts w:hint="eastAsia" w:hAnsi="宋体" w:cs="宋体"/>
          <w:szCs w:val="24"/>
          <w:u w:val="none"/>
        </w:rPr>
      </w:pPr>
      <w:r>
        <w:rPr>
          <w:rFonts w:hint="eastAsia" w:hAnsi="宋体" w:cs="宋体"/>
          <w:szCs w:val="24"/>
          <w:u w:val="none"/>
        </w:rPr>
        <w:t>3.2 危急值管理技术要求</w:t>
      </w:r>
    </w:p>
    <w:tbl>
      <w:tblPr>
        <w:tblStyle w:val="7"/>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2"/>
        <w:gridCol w:w="567"/>
        <w:gridCol w:w="7938"/>
      </w:tblGrid>
      <w:tr w14:paraId="37470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5EE64ECE">
            <w:pPr>
              <w:pStyle w:val="11"/>
              <w:spacing w:line="360" w:lineRule="auto"/>
              <w:jc w:val="center"/>
              <w:rPr>
                <w:rFonts w:hint="eastAsia"/>
                <w:b/>
                <w:bCs/>
                <w:sz w:val="24"/>
                <w:szCs w:val="24"/>
              </w:rPr>
            </w:pPr>
            <w:r>
              <w:rPr>
                <w:rFonts w:hint="eastAsia"/>
                <w:b/>
                <w:bCs/>
                <w:sz w:val="24"/>
                <w:szCs w:val="24"/>
              </w:rPr>
              <w:t>序号</w:t>
            </w:r>
          </w:p>
        </w:tc>
        <w:tc>
          <w:tcPr>
            <w:tcW w:w="567" w:type="dxa"/>
            <w:vAlign w:val="center"/>
          </w:tcPr>
          <w:p w14:paraId="446A25E7">
            <w:pPr>
              <w:pStyle w:val="11"/>
              <w:spacing w:line="360" w:lineRule="auto"/>
              <w:jc w:val="center"/>
              <w:rPr>
                <w:rFonts w:hint="eastAsia"/>
                <w:b/>
                <w:bCs/>
                <w:sz w:val="24"/>
                <w:szCs w:val="24"/>
              </w:rPr>
            </w:pPr>
            <w:r>
              <w:rPr>
                <w:rFonts w:hint="eastAsia"/>
                <w:b/>
                <w:bCs/>
                <w:sz w:val="24"/>
                <w:szCs w:val="24"/>
              </w:rPr>
              <w:t>标记</w:t>
            </w:r>
          </w:p>
        </w:tc>
        <w:tc>
          <w:tcPr>
            <w:tcW w:w="7938" w:type="dxa"/>
            <w:vAlign w:val="center"/>
          </w:tcPr>
          <w:p w14:paraId="373CEC6E">
            <w:pPr>
              <w:pStyle w:val="11"/>
              <w:spacing w:line="360" w:lineRule="auto"/>
              <w:jc w:val="center"/>
              <w:rPr>
                <w:rFonts w:hint="eastAsia"/>
                <w:b/>
                <w:bCs/>
                <w:sz w:val="24"/>
                <w:szCs w:val="24"/>
              </w:rPr>
            </w:pPr>
            <w:r>
              <w:rPr>
                <w:rFonts w:hint="eastAsia"/>
                <w:b/>
                <w:bCs/>
                <w:sz w:val="24"/>
                <w:szCs w:val="24"/>
              </w:rPr>
              <w:t>技术指标要求</w:t>
            </w:r>
          </w:p>
        </w:tc>
      </w:tr>
      <w:tr w14:paraId="0D1CB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14:paraId="3AB6CBD6">
            <w:pPr>
              <w:pStyle w:val="11"/>
              <w:spacing w:line="360" w:lineRule="auto"/>
              <w:jc w:val="center"/>
              <w:rPr>
                <w:rFonts w:hint="eastAsia"/>
                <w:sz w:val="24"/>
                <w:szCs w:val="24"/>
              </w:rPr>
            </w:pPr>
            <w:r>
              <w:rPr>
                <w:rFonts w:hint="eastAsia"/>
                <w:sz w:val="24"/>
                <w:szCs w:val="24"/>
              </w:rPr>
              <w:t>1</w:t>
            </w:r>
          </w:p>
        </w:tc>
        <w:tc>
          <w:tcPr>
            <w:tcW w:w="567" w:type="dxa"/>
          </w:tcPr>
          <w:p w14:paraId="11B6B154">
            <w:pPr>
              <w:pStyle w:val="11"/>
              <w:spacing w:line="360" w:lineRule="auto"/>
              <w:jc w:val="center"/>
              <w:rPr>
                <w:rFonts w:hint="eastAsia"/>
                <w:sz w:val="24"/>
                <w:szCs w:val="24"/>
              </w:rPr>
            </w:pPr>
          </w:p>
        </w:tc>
        <w:tc>
          <w:tcPr>
            <w:tcW w:w="7938" w:type="dxa"/>
          </w:tcPr>
          <w:p w14:paraId="28BD9C2A">
            <w:pPr>
              <w:pStyle w:val="11"/>
              <w:spacing w:line="360" w:lineRule="auto"/>
              <w:rPr>
                <w:rFonts w:hint="eastAsia"/>
                <w:sz w:val="24"/>
                <w:szCs w:val="24"/>
              </w:rPr>
            </w:pPr>
            <w:r>
              <w:rPr>
                <w:rFonts w:hint="eastAsia"/>
                <w:sz w:val="24"/>
                <w:szCs w:val="24"/>
              </w:rPr>
              <w:t>支持危急值电子上报处理；</w:t>
            </w:r>
          </w:p>
        </w:tc>
      </w:tr>
      <w:tr w14:paraId="71F74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14:paraId="21A62AC3">
            <w:pPr>
              <w:pStyle w:val="11"/>
              <w:spacing w:line="360" w:lineRule="auto"/>
              <w:jc w:val="center"/>
              <w:rPr>
                <w:rFonts w:hint="eastAsia"/>
                <w:sz w:val="24"/>
                <w:szCs w:val="24"/>
              </w:rPr>
            </w:pPr>
            <w:r>
              <w:rPr>
                <w:rFonts w:hint="eastAsia"/>
                <w:sz w:val="24"/>
                <w:szCs w:val="24"/>
              </w:rPr>
              <w:t>2</w:t>
            </w:r>
          </w:p>
        </w:tc>
        <w:tc>
          <w:tcPr>
            <w:tcW w:w="567" w:type="dxa"/>
          </w:tcPr>
          <w:p w14:paraId="7EC33C8C">
            <w:pPr>
              <w:pStyle w:val="11"/>
              <w:spacing w:line="360" w:lineRule="auto"/>
              <w:jc w:val="center"/>
              <w:rPr>
                <w:rFonts w:hint="eastAsia"/>
                <w:sz w:val="24"/>
                <w:szCs w:val="24"/>
              </w:rPr>
            </w:pPr>
          </w:p>
        </w:tc>
        <w:tc>
          <w:tcPr>
            <w:tcW w:w="7938" w:type="dxa"/>
          </w:tcPr>
          <w:p w14:paraId="22F6D287">
            <w:pPr>
              <w:pStyle w:val="11"/>
              <w:spacing w:line="360" w:lineRule="auto"/>
              <w:rPr>
                <w:rFonts w:hint="eastAsia"/>
                <w:sz w:val="24"/>
                <w:szCs w:val="24"/>
              </w:rPr>
            </w:pPr>
            <w:r>
              <w:rPr>
                <w:rFonts w:hint="eastAsia"/>
                <w:sz w:val="24"/>
                <w:szCs w:val="24"/>
              </w:rPr>
              <w:t>支持危急值指标设定后，智能判定结果是否为危急值，提醒上报；</w:t>
            </w:r>
          </w:p>
        </w:tc>
      </w:tr>
      <w:tr w14:paraId="748CC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14:paraId="3792F1B5">
            <w:pPr>
              <w:pStyle w:val="11"/>
              <w:spacing w:line="360" w:lineRule="auto"/>
              <w:jc w:val="center"/>
              <w:rPr>
                <w:rFonts w:hint="eastAsia"/>
                <w:sz w:val="24"/>
                <w:szCs w:val="24"/>
              </w:rPr>
            </w:pPr>
            <w:r>
              <w:rPr>
                <w:rFonts w:hint="eastAsia"/>
                <w:sz w:val="24"/>
                <w:szCs w:val="24"/>
              </w:rPr>
              <w:t>3</w:t>
            </w:r>
          </w:p>
        </w:tc>
        <w:tc>
          <w:tcPr>
            <w:tcW w:w="567" w:type="dxa"/>
          </w:tcPr>
          <w:p w14:paraId="1B4F8E17">
            <w:pPr>
              <w:pStyle w:val="11"/>
              <w:spacing w:line="360" w:lineRule="auto"/>
              <w:jc w:val="center"/>
              <w:rPr>
                <w:rFonts w:hint="eastAsia"/>
                <w:sz w:val="24"/>
                <w:szCs w:val="24"/>
              </w:rPr>
            </w:pPr>
          </w:p>
        </w:tc>
        <w:tc>
          <w:tcPr>
            <w:tcW w:w="7938" w:type="dxa"/>
          </w:tcPr>
          <w:p w14:paraId="560AB9F5">
            <w:pPr>
              <w:pStyle w:val="11"/>
              <w:spacing w:line="360" w:lineRule="auto"/>
              <w:rPr>
                <w:rFonts w:hint="eastAsia"/>
                <w:sz w:val="24"/>
                <w:szCs w:val="24"/>
              </w:rPr>
            </w:pPr>
            <w:r>
              <w:rPr>
                <w:rFonts w:hint="eastAsia"/>
                <w:sz w:val="24"/>
                <w:szCs w:val="24"/>
              </w:rPr>
              <w:t>支持危急值上报后，临床医生站消息自动推送到消息列表，以醒目颜色显示；</w:t>
            </w:r>
          </w:p>
        </w:tc>
      </w:tr>
      <w:tr w14:paraId="1505B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14:paraId="58F8F0D8">
            <w:pPr>
              <w:pStyle w:val="11"/>
              <w:spacing w:line="360" w:lineRule="auto"/>
              <w:jc w:val="center"/>
              <w:rPr>
                <w:rFonts w:hint="eastAsia"/>
                <w:sz w:val="24"/>
                <w:szCs w:val="24"/>
              </w:rPr>
            </w:pPr>
            <w:r>
              <w:rPr>
                <w:rFonts w:hint="eastAsia"/>
                <w:sz w:val="24"/>
                <w:szCs w:val="24"/>
              </w:rPr>
              <w:t>4</w:t>
            </w:r>
          </w:p>
        </w:tc>
        <w:tc>
          <w:tcPr>
            <w:tcW w:w="567" w:type="dxa"/>
          </w:tcPr>
          <w:p w14:paraId="613C79B0">
            <w:pPr>
              <w:pStyle w:val="11"/>
              <w:spacing w:line="360" w:lineRule="auto"/>
              <w:jc w:val="center"/>
              <w:rPr>
                <w:rFonts w:hint="eastAsia"/>
                <w:sz w:val="24"/>
                <w:szCs w:val="24"/>
              </w:rPr>
            </w:pPr>
          </w:p>
        </w:tc>
        <w:tc>
          <w:tcPr>
            <w:tcW w:w="7938" w:type="dxa"/>
          </w:tcPr>
          <w:p w14:paraId="6815525E">
            <w:pPr>
              <w:pStyle w:val="11"/>
              <w:spacing w:line="360" w:lineRule="auto"/>
              <w:rPr>
                <w:rFonts w:hint="eastAsia"/>
                <w:sz w:val="24"/>
                <w:szCs w:val="24"/>
              </w:rPr>
            </w:pPr>
            <w:r>
              <w:rPr>
                <w:rFonts w:hint="eastAsia"/>
                <w:sz w:val="24"/>
                <w:szCs w:val="24"/>
              </w:rPr>
              <w:t>支持便捷危急值处理(消息列表点击消息直接打开危急值处理界面)；</w:t>
            </w:r>
          </w:p>
        </w:tc>
      </w:tr>
      <w:tr w14:paraId="6F528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14:paraId="181EAC30">
            <w:pPr>
              <w:pStyle w:val="11"/>
              <w:spacing w:line="360" w:lineRule="auto"/>
              <w:jc w:val="center"/>
              <w:rPr>
                <w:rFonts w:hint="eastAsia"/>
                <w:sz w:val="24"/>
                <w:szCs w:val="24"/>
              </w:rPr>
            </w:pPr>
            <w:r>
              <w:rPr>
                <w:rFonts w:hint="eastAsia"/>
                <w:sz w:val="24"/>
                <w:szCs w:val="24"/>
              </w:rPr>
              <w:t>5</w:t>
            </w:r>
          </w:p>
        </w:tc>
        <w:tc>
          <w:tcPr>
            <w:tcW w:w="567" w:type="dxa"/>
          </w:tcPr>
          <w:p w14:paraId="6BC06DCC">
            <w:pPr>
              <w:pStyle w:val="11"/>
              <w:spacing w:line="360" w:lineRule="auto"/>
              <w:jc w:val="center"/>
              <w:rPr>
                <w:rFonts w:hint="eastAsia"/>
                <w:sz w:val="24"/>
                <w:szCs w:val="24"/>
              </w:rPr>
            </w:pPr>
          </w:p>
        </w:tc>
        <w:tc>
          <w:tcPr>
            <w:tcW w:w="7938" w:type="dxa"/>
          </w:tcPr>
          <w:p w14:paraId="50412C6F">
            <w:pPr>
              <w:pStyle w:val="11"/>
              <w:spacing w:line="360" w:lineRule="auto"/>
              <w:rPr>
                <w:rFonts w:hint="eastAsia"/>
                <w:sz w:val="24"/>
                <w:szCs w:val="24"/>
              </w:rPr>
            </w:pPr>
            <w:r>
              <w:rPr>
                <w:rFonts w:hint="eastAsia"/>
                <w:sz w:val="24"/>
                <w:szCs w:val="24"/>
              </w:rPr>
              <w:t>支持危急值处理界面编辑，处理记录保存到数据库，便于数据追溯和责任明确；</w:t>
            </w:r>
          </w:p>
        </w:tc>
      </w:tr>
      <w:tr w14:paraId="6DAC3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14:paraId="4CCF92CA">
            <w:pPr>
              <w:pStyle w:val="11"/>
              <w:spacing w:line="360" w:lineRule="auto"/>
              <w:jc w:val="center"/>
              <w:rPr>
                <w:rFonts w:hint="eastAsia"/>
                <w:sz w:val="24"/>
                <w:szCs w:val="24"/>
              </w:rPr>
            </w:pPr>
            <w:r>
              <w:rPr>
                <w:rFonts w:hint="eastAsia"/>
                <w:sz w:val="24"/>
                <w:szCs w:val="24"/>
              </w:rPr>
              <w:t>6</w:t>
            </w:r>
          </w:p>
        </w:tc>
        <w:tc>
          <w:tcPr>
            <w:tcW w:w="567" w:type="dxa"/>
          </w:tcPr>
          <w:p w14:paraId="523F1B22">
            <w:pPr>
              <w:pStyle w:val="11"/>
              <w:spacing w:line="360" w:lineRule="auto"/>
              <w:jc w:val="center"/>
              <w:rPr>
                <w:rFonts w:hint="eastAsia"/>
                <w:sz w:val="24"/>
                <w:szCs w:val="24"/>
              </w:rPr>
            </w:pPr>
          </w:p>
        </w:tc>
        <w:tc>
          <w:tcPr>
            <w:tcW w:w="7938" w:type="dxa"/>
          </w:tcPr>
          <w:p w14:paraId="5A00D9B1">
            <w:pPr>
              <w:pStyle w:val="11"/>
              <w:spacing w:line="360" w:lineRule="auto"/>
              <w:rPr>
                <w:rFonts w:hint="eastAsia"/>
                <w:sz w:val="24"/>
                <w:szCs w:val="24"/>
              </w:rPr>
            </w:pPr>
            <w:r>
              <w:rPr>
                <w:rFonts w:hint="eastAsia"/>
                <w:sz w:val="24"/>
                <w:szCs w:val="24"/>
              </w:rPr>
              <w:t>支持危急值上报后，临床医生站直接以消息、语音方式提醒临床医师对危急值处理；</w:t>
            </w:r>
          </w:p>
        </w:tc>
      </w:tr>
      <w:tr w14:paraId="78DC4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14:paraId="038DAB99">
            <w:pPr>
              <w:pStyle w:val="11"/>
              <w:spacing w:line="360" w:lineRule="auto"/>
              <w:jc w:val="center"/>
              <w:rPr>
                <w:rFonts w:hint="eastAsia"/>
                <w:sz w:val="24"/>
                <w:szCs w:val="24"/>
              </w:rPr>
            </w:pPr>
            <w:r>
              <w:rPr>
                <w:rFonts w:hint="eastAsia"/>
                <w:sz w:val="24"/>
                <w:szCs w:val="24"/>
              </w:rPr>
              <w:t>7</w:t>
            </w:r>
          </w:p>
        </w:tc>
        <w:tc>
          <w:tcPr>
            <w:tcW w:w="567" w:type="dxa"/>
          </w:tcPr>
          <w:p w14:paraId="6CFCBBDC">
            <w:pPr>
              <w:pStyle w:val="11"/>
              <w:spacing w:line="360" w:lineRule="auto"/>
              <w:jc w:val="center"/>
              <w:rPr>
                <w:rFonts w:hint="eastAsia"/>
                <w:sz w:val="24"/>
                <w:szCs w:val="24"/>
              </w:rPr>
            </w:pPr>
          </w:p>
        </w:tc>
        <w:tc>
          <w:tcPr>
            <w:tcW w:w="7938" w:type="dxa"/>
          </w:tcPr>
          <w:p w14:paraId="36BFD85D">
            <w:pPr>
              <w:pStyle w:val="11"/>
              <w:spacing w:line="360" w:lineRule="auto"/>
              <w:rPr>
                <w:rFonts w:hint="eastAsia"/>
                <w:sz w:val="24"/>
                <w:szCs w:val="24"/>
              </w:rPr>
            </w:pPr>
            <w:r>
              <w:rPr>
                <w:rFonts w:hint="eastAsia"/>
                <w:sz w:val="24"/>
                <w:szCs w:val="24"/>
              </w:rPr>
              <w:t>支持危急值临床医生处理后，医技科室调阅危急值处理记录；</w:t>
            </w:r>
          </w:p>
        </w:tc>
      </w:tr>
      <w:tr w14:paraId="659D7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14:paraId="34D9E848">
            <w:pPr>
              <w:pStyle w:val="11"/>
              <w:spacing w:line="360" w:lineRule="auto"/>
              <w:jc w:val="center"/>
              <w:rPr>
                <w:rFonts w:hint="eastAsia"/>
                <w:sz w:val="24"/>
                <w:szCs w:val="24"/>
              </w:rPr>
            </w:pPr>
            <w:r>
              <w:rPr>
                <w:rFonts w:hint="eastAsia"/>
                <w:sz w:val="24"/>
                <w:szCs w:val="24"/>
              </w:rPr>
              <w:t>8</w:t>
            </w:r>
          </w:p>
        </w:tc>
        <w:tc>
          <w:tcPr>
            <w:tcW w:w="567" w:type="dxa"/>
          </w:tcPr>
          <w:p w14:paraId="26B0DB37">
            <w:pPr>
              <w:pStyle w:val="11"/>
              <w:spacing w:line="360" w:lineRule="auto"/>
              <w:jc w:val="center"/>
              <w:rPr>
                <w:rFonts w:hint="eastAsia"/>
                <w:sz w:val="24"/>
                <w:szCs w:val="24"/>
              </w:rPr>
            </w:pPr>
          </w:p>
        </w:tc>
        <w:tc>
          <w:tcPr>
            <w:tcW w:w="7938" w:type="dxa"/>
          </w:tcPr>
          <w:p w14:paraId="69D68446">
            <w:pPr>
              <w:pStyle w:val="11"/>
              <w:spacing w:line="360" w:lineRule="auto"/>
              <w:rPr>
                <w:rFonts w:hint="eastAsia"/>
                <w:sz w:val="24"/>
                <w:szCs w:val="24"/>
              </w:rPr>
            </w:pPr>
            <w:r>
              <w:rPr>
                <w:rFonts w:hint="eastAsia"/>
                <w:sz w:val="24"/>
                <w:szCs w:val="24"/>
              </w:rPr>
              <w:t>支持危急值上报、确认、处理过程、处理结果、是否危急值等状态和过程进行监控；</w:t>
            </w:r>
          </w:p>
        </w:tc>
      </w:tr>
      <w:tr w14:paraId="502C2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14:paraId="6467E229">
            <w:pPr>
              <w:pStyle w:val="11"/>
              <w:spacing w:line="360" w:lineRule="auto"/>
              <w:jc w:val="center"/>
              <w:rPr>
                <w:rFonts w:hint="eastAsia"/>
                <w:sz w:val="24"/>
                <w:szCs w:val="24"/>
              </w:rPr>
            </w:pPr>
            <w:r>
              <w:rPr>
                <w:rFonts w:hint="eastAsia"/>
                <w:sz w:val="24"/>
                <w:szCs w:val="24"/>
              </w:rPr>
              <w:t>9</w:t>
            </w:r>
          </w:p>
        </w:tc>
        <w:tc>
          <w:tcPr>
            <w:tcW w:w="567" w:type="dxa"/>
          </w:tcPr>
          <w:p w14:paraId="005C203B">
            <w:pPr>
              <w:pStyle w:val="11"/>
              <w:spacing w:line="360" w:lineRule="auto"/>
              <w:jc w:val="center"/>
              <w:rPr>
                <w:rFonts w:hint="eastAsia"/>
                <w:sz w:val="24"/>
                <w:szCs w:val="24"/>
              </w:rPr>
            </w:pPr>
          </w:p>
        </w:tc>
        <w:tc>
          <w:tcPr>
            <w:tcW w:w="7938" w:type="dxa"/>
          </w:tcPr>
          <w:p w14:paraId="694D2909">
            <w:pPr>
              <w:pStyle w:val="11"/>
              <w:spacing w:line="360" w:lineRule="auto"/>
              <w:rPr>
                <w:rFonts w:hint="eastAsia"/>
                <w:sz w:val="24"/>
                <w:szCs w:val="24"/>
              </w:rPr>
            </w:pPr>
            <w:r>
              <w:rPr>
                <w:rFonts w:hint="eastAsia"/>
                <w:sz w:val="24"/>
                <w:szCs w:val="24"/>
              </w:rPr>
              <w:t>支持危急值监控界面，危急值处理记录以信息列表、卡片列表进行显示</w:t>
            </w:r>
          </w:p>
        </w:tc>
      </w:tr>
      <w:tr w14:paraId="3FED6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14:paraId="480FF9EF">
            <w:pPr>
              <w:pStyle w:val="11"/>
              <w:spacing w:line="360" w:lineRule="auto"/>
              <w:jc w:val="center"/>
              <w:rPr>
                <w:rFonts w:hint="eastAsia"/>
                <w:sz w:val="24"/>
                <w:szCs w:val="24"/>
              </w:rPr>
            </w:pPr>
            <w:r>
              <w:rPr>
                <w:rFonts w:hint="eastAsia"/>
                <w:sz w:val="24"/>
                <w:szCs w:val="24"/>
              </w:rPr>
              <w:t>10</w:t>
            </w:r>
          </w:p>
        </w:tc>
        <w:tc>
          <w:tcPr>
            <w:tcW w:w="567" w:type="dxa"/>
          </w:tcPr>
          <w:p w14:paraId="27F42C41">
            <w:pPr>
              <w:pStyle w:val="11"/>
              <w:spacing w:line="360" w:lineRule="auto"/>
              <w:jc w:val="center"/>
              <w:rPr>
                <w:rFonts w:hint="eastAsia"/>
                <w:sz w:val="24"/>
                <w:szCs w:val="24"/>
              </w:rPr>
            </w:pPr>
          </w:p>
        </w:tc>
        <w:tc>
          <w:tcPr>
            <w:tcW w:w="7938" w:type="dxa"/>
          </w:tcPr>
          <w:p w14:paraId="5D5278B4">
            <w:pPr>
              <w:pStyle w:val="11"/>
              <w:spacing w:line="360" w:lineRule="auto"/>
              <w:rPr>
                <w:rFonts w:hint="eastAsia"/>
                <w:sz w:val="24"/>
                <w:szCs w:val="24"/>
              </w:rPr>
            </w:pPr>
            <w:r>
              <w:rPr>
                <w:rFonts w:hint="eastAsia"/>
                <w:sz w:val="24"/>
                <w:szCs w:val="24"/>
              </w:rPr>
              <w:t>支持危急值监控界面，直接调阅患者完整的电子档案，包含首页、医嘱、病历、辅检报告、疾病报告、知情文件等；</w:t>
            </w:r>
          </w:p>
        </w:tc>
      </w:tr>
      <w:tr w14:paraId="1D545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14:paraId="11E14BFD">
            <w:pPr>
              <w:pStyle w:val="11"/>
              <w:spacing w:line="360" w:lineRule="auto"/>
              <w:jc w:val="center"/>
              <w:rPr>
                <w:rFonts w:hint="eastAsia"/>
                <w:sz w:val="24"/>
                <w:szCs w:val="24"/>
              </w:rPr>
            </w:pPr>
            <w:r>
              <w:rPr>
                <w:rFonts w:hint="eastAsia"/>
                <w:sz w:val="24"/>
                <w:szCs w:val="24"/>
              </w:rPr>
              <w:t>11</w:t>
            </w:r>
          </w:p>
        </w:tc>
        <w:tc>
          <w:tcPr>
            <w:tcW w:w="567" w:type="dxa"/>
          </w:tcPr>
          <w:p w14:paraId="0B2CE47B">
            <w:pPr>
              <w:pStyle w:val="11"/>
              <w:spacing w:line="360" w:lineRule="auto"/>
              <w:jc w:val="center"/>
              <w:rPr>
                <w:rFonts w:hint="eastAsia"/>
                <w:sz w:val="24"/>
                <w:szCs w:val="24"/>
              </w:rPr>
            </w:pPr>
          </w:p>
        </w:tc>
        <w:tc>
          <w:tcPr>
            <w:tcW w:w="7938" w:type="dxa"/>
          </w:tcPr>
          <w:p w14:paraId="544605AB">
            <w:pPr>
              <w:pStyle w:val="11"/>
              <w:spacing w:line="360" w:lineRule="auto"/>
              <w:rPr>
                <w:rFonts w:hint="eastAsia"/>
                <w:sz w:val="24"/>
                <w:szCs w:val="24"/>
              </w:rPr>
            </w:pPr>
            <w:r>
              <w:rPr>
                <w:rFonts w:hint="eastAsia"/>
                <w:sz w:val="24"/>
                <w:szCs w:val="24"/>
              </w:rPr>
              <w:t>支持门诊、住院危急值分类监控；</w:t>
            </w:r>
          </w:p>
        </w:tc>
      </w:tr>
      <w:tr w14:paraId="06750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14:paraId="4805B76F">
            <w:pPr>
              <w:pStyle w:val="11"/>
              <w:spacing w:line="360" w:lineRule="auto"/>
              <w:jc w:val="center"/>
              <w:rPr>
                <w:rFonts w:hint="eastAsia"/>
                <w:sz w:val="24"/>
                <w:szCs w:val="24"/>
              </w:rPr>
            </w:pPr>
            <w:r>
              <w:rPr>
                <w:rFonts w:hint="eastAsia"/>
                <w:sz w:val="24"/>
                <w:szCs w:val="24"/>
              </w:rPr>
              <w:t>12</w:t>
            </w:r>
          </w:p>
        </w:tc>
        <w:tc>
          <w:tcPr>
            <w:tcW w:w="567" w:type="dxa"/>
          </w:tcPr>
          <w:p w14:paraId="1E5AEC60">
            <w:pPr>
              <w:pStyle w:val="11"/>
              <w:spacing w:line="360" w:lineRule="auto"/>
              <w:jc w:val="center"/>
              <w:rPr>
                <w:rFonts w:hint="eastAsia"/>
                <w:sz w:val="24"/>
                <w:szCs w:val="24"/>
              </w:rPr>
            </w:pPr>
          </w:p>
        </w:tc>
        <w:tc>
          <w:tcPr>
            <w:tcW w:w="7938" w:type="dxa"/>
          </w:tcPr>
          <w:p w14:paraId="212AEA8E">
            <w:pPr>
              <w:pStyle w:val="11"/>
              <w:spacing w:line="360" w:lineRule="auto"/>
              <w:rPr>
                <w:rFonts w:hint="eastAsia"/>
                <w:sz w:val="24"/>
                <w:szCs w:val="24"/>
              </w:rPr>
            </w:pPr>
            <w:r>
              <w:rPr>
                <w:rFonts w:hint="eastAsia"/>
                <w:sz w:val="24"/>
                <w:szCs w:val="24"/>
              </w:rPr>
              <w:t>支持门诊、住院、危急值按照登记及确认科室、时间、危急值记录状态分类查询；</w:t>
            </w:r>
          </w:p>
        </w:tc>
      </w:tr>
      <w:tr w14:paraId="30AD3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14:paraId="53BDC239">
            <w:pPr>
              <w:pStyle w:val="11"/>
              <w:spacing w:line="360" w:lineRule="auto"/>
              <w:jc w:val="center"/>
              <w:rPr>
                <w:rFonts w:hint="eastAsia"/>
                <w:sz w:val="24"/>
                <w:szCs w:val="24"/>
              </w:rPr>
            </w:pPr>
            <w:r>
              <w:rPr>
                <w:rFonts w:hint="eastAsia"/>
                <w:sz w:val="24"/>
                <w:szCs w:val="24"/>
              </w:rPr>
              <w:t>13</w:t>
            </w:r>
          </w:p>
        </w:tc>
        <w:tc>
          <w:tcPr>
            <w:tcW w:w="567" w:type="dxa"/>
          </w:tcPr>
          <w:p w14:paraId="31D0D8DA">
            <w:pPr>
              <w:pStyle w:val="11"/>
              <w:spacing w:line="360" w:lineRule="auto"/>
              <w:jc w:val="center"/>
              <w:rPr>
                <w:rFonts w:hint="eastAsia"/>
                <w:sz w:val="24"/>
                <w:szCs w:val="24"/>
              </w:rPr>
            </w:pPr>
          </w:p>
        </w:tc>
        <w:tc>
          <w:tcPr>
            <w:tcW w:w="7938" w:type="dxa"/>
          </w:tcPr>
          <w:p w14:paraId="341BFC5C">
            <w:pPr>
              <w:pStyle w:val="11"/>
              <w:spacing w:line="360" w:lineRule="auto"/>
              <w:rPr>
                <w:rFonts w:hint="eastAsia"/>
                <w:sz w:val="24"/>
                <w:szCs w:val="24"/>
              </w:rPr>
            </w:pPr>
            <w:r>
              <w:rPr>
                <w:rFonts w:hint="eastAsia"/>
                <w:sz w:val="24"/>
                <w:szCs w:val="24"/>
              </w:rPr>
              <w:t>支持危急值相关上报、确认、处理过程、处理结果，进行统计分析</w:t>
            </w:r>
          </w:p>
        </w:tc>
      </w:tr>
    </w:tbl>
    <w:p w14:paraId="7FDB24EC">
      <w:pPr>
        <w:spacing w:line="360" w:lineRule="auto"/>
        <w:rPr>
          <w:rFonts w:hint="eastAsia" w:ascii="宋体" w:hAnsi="宋体" w:cs="宋体"/>
          <w:sz w:val="24"/>
        </w:rPr>
      </w:pPr>
    </w:p>
    <w:p w14:paraId="152462F4">
      <w:pPr>
        <w:pStyle w:val="3"/>
        <w:spacing w:line="360" w:lineRule="auto"/>
        <w:rPr>
          <w:rFonts w:hint="eastAsia" w:hAnsi="宋体" w:cs="宋体"/>
          <w:szCs w:val="24"/>
          <w:u w:val="none"/>
        </w:rPr>
      </w:pPr>
      <w:r>
        <w:rPr>
          <w:rFonts w:hint="eastAsia" w:hAnsi="宋体" w:cs="宋体"/>
          <w:szCs w:val="24"/>
          <w:u w:val="none"/>
        </w:rPr>
        <w:t>3.3 病历质控技术要求</w:t>
      </w: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7"/>
        <w:gridCol w:w="457"/>
        <w:gridCol w:w="678"/>
        <w:gridCol w:w="6930"/>
      </w:tblGrid>
      <w:tr w14:paraId="0BA24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 w:type="pct"/>
            <w:vAlign w:val="center"/>
          </w:tcPr>
          <w:p w14:paraId="2FF4EFCD">
            <w:pPr>
              <w:pStyle w:val="11"/>
              <w:spacing w:line="360" w:lineRule="auto"/>
              <w:jc w:val="center"/>
              <w:rPr>
                <w:rFonts w:hint="eastAsia"/>
                <w:b/>
                <w:bCs/>
                <w:sz w:val="24"/>
                <w:szCs w:val="24"/>
              </w:rPr>
            </w:pPr>
            <w:r>
              <w:rPr>
                <w:rFonts w:hint="eastAsia"/>
                <w:b/>
                <w:bCs/>
                <w:sz w:val="24"/>
                <w:szCs w:val="24"/>
              </w:rPr>
              <w:t>序号</w:t>
            </w:r>
          </w:p>
        </w:tc>
        <w:tc>
          <w:tcPr>
            <w:tcW w:w="257" w:type="pct"/>
            <w:vAlign w:val="center"/>
          </w:tcPr>
          <w:p w14:paraId="62A0580C">
            <w:pPr>
              <w:pStyle w:val="11"/>
              <w:spacing w:line="360" w:lineRule="auto"/>
              <w:jc w:val="center"/>
              <w:rPr>
                <w:rFonts w:hint="eastAsia"/>
                <w:b/>
                <w:bCs/>
                <w:sz w:val="24"/>
                <w:szCs w:val="24"/>
              </w:rPr>
            </w:pPr>
            <w:r>
              <w:rPr>
                <w:rFonts w:hint="eastAsia"/>
                <w:b/>
                <w:bCs/>
                <w:sz w:val="24"/>
                <w:szCs w:val="24"/>
              </w:rPr>
              <w:t>标记</w:t>
            </w:r>
          </w:p>
        </w:tc>
        <w:tc>
          <w:tcPr>
            <w:tcW w:w="409" w:type="pct"/>
          </w:tcPr>
          <w:p w14:paraId="3C5EB6A0">
            <w:pPr>
              <w:pStyle w:val="11"/>
              <w:spacing w:line="360" w:lineRule="auto"/>
              <w:jc w:val="center"/>
              <w:rPr>
                <w:rFonts w:hint="eastAsia"/>
                <w:b/>
                <w:bCs/>
                <w:sz w:val="24"/>
                <w:szCs w:val="24"/>
              </w:rPr>
            </w:pPr>
            <w:r>
              <w:rPr>
                <w:rFonts w:hint="eastAsia"/>
                <w:b/>
                <w:bCs/>
                <w:sz w:val="24"/>
                <w:szCs w:val="24"/>
              </w:rPr>
              <w:t>指标类别</w:t>
            </w:r>
          </w:p>
        </w:tc>
        <w:tc>
          <w:tcPr>
            <w:tcW w:w="4077" w:type="pct"/>
            <w:vAlign w:val="center"/>
          </w:tcPr>
          <w:p w14:paraId="1890F20B">
            <w:pPr>
              <w:pStyle w:val="11"/>
              <w:spacing w:line="360" w:lineRule="auto"/>
              <w:jc w:val="center"/>
              <w:rPr>
                <w:rFonts w:hint="eastAsia"/>
                <w:b/>
                <w:bCs/>
                <w:sz w:val="24"/>
                <w:szCs w:val="24"/>
              </w:rPr>
            </w:pPr>
            <w:r>
              <w:rPr>
                <w:rFonts w:hint="eastAsia"/>
                <w:b/>
                <w:bCs/>
                <w:sz w:val="24"/>
                <w:szCs w:val="24"/>
              </w:rPr>
              <w:t>技术指标要求</w:t>
            </w:r>
          </w:p>
        </w:tc>
      </w:tr>
      <w:tr w14:paraId="49418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 w:type="pct"/>
          </w:tcPr>
          <w:p w14:paraId="6AD54CB2">
            <w:pPr>
              <w:pStyle w:val="11"/>
              <w:spacing w:line="360" w:lineRule="auto"/>
              <w:jc w:val="center"/>
              <w:rPr>
                <w:rFonts w:hint="eastAsia"/>
                <w:sz w:val="24"/>
                <w:szCs w:val="24"/>
              </w:rPr>
            </w:pPr>
            <w:r>
              <w:rPr>
                <w:rFonts w:hint="eastAsia"/>
                <w:sz w:val="24"/>
                <w:szCs w:val="24"/>
              </w:rPr>
              <w:t>1</w:t>
            </w:r>
          </w:p>
        </w:tc>
        <w:tc>
          <w:tcPr>
            <w:tcW w:w="257" w:type="pct"/>
          </w:tcPr>
          <w:p w14:paraId="13EC3DA1">
            <w:pPr>
              <w:pStyle w:val="11"/>
              <w:spacing w:line="360" w:lineRule="auto"/>
              <w:jc w:val="center"/>
              <w:rPr>
                <w:rFonts w:hint="eastAsia"/>
                <w:sz w:val="24"/>
                <w:szCs w:val="24"/>
              </w:rPr>
            </w:pPr>
          </w:p>
        </w:tc>
        <w:tc>
          <w:tcPr>
            <w:tcW w:w="409" w:type="pct"/>
            <w:vMerge w:val="restart"/>
          </w:tcPr>
          <w:p w14:paraId="690511CB">
            <w:pPr>
              <w:pStyle w:val="11"/>
              <w:spacing w:line="360" w:lineRule="auto"/>
              <w:rPr>
                <w:rFonts w:hint="eastAsia"/>
                <w:sz w:val="24"/>
                <w:szCs w:val="24"/>
              </w:rPr>
            </w:pPr>
            <w:r>
              <w:rPr>
                <w:rFonts w:hint="eastAsia"/>
                <w:sz w:val="24"/>
                <w:szCs w:val="24"/>
              </w:rPr>
              <w:t>质控规则管理</w:t>
            </w:r>
          </w:p>
        </w:tc>
        <w:tc>
          <w:tcPr>
            <w:tcW w:w="4077" w:type="pct"/>
          </w:tcPr>
          <w:p w14:paraId="02887D74">
            <w:pPr>
              <w:pStyle w:val="11"/>
              <w:spacing w:line="360" w:lineRule="auto"/>
              <w:rPr>
                <w:rFonts w:hint="eastAsia"/>
                <w:sz w:val="24"/>
                <w:szCs w:val="24"/>
              </w:rPr>
            </w:pPr>
            <w:r>
              <w:rPr>
                <w:rFonts w:hint="eastAsia"/>
                <w:sz w:val="24"/>
                <w:szCs w:val="24"/>
              </w:rPr>
              <w:t>支持质控规则定义，包括时限规则、缺失规则、内容规则、脚本规则、人工规则、首页规则、符合病历书写规范的病案质控评分标准规则。</w:t>
            </w:r>
          </w:p>
        </w:tc>
      </w:tr>
      <w:tr w14:paraId="03731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 w:type="pct"/>
          </w:tcPr>
          <w:p w14:paraId="715B3CCB">
            <w:pPr>
              <w:pStyle w:val="11"/>
              <w:spacing w:line="360" w:lineRule="auto"/>
              <w:jc w:val="center"/>
              <w:rPr>
                <w:rFonts w:hint="eastAsia"/>
                <w:sz w:val="24"/>
                <w:szCs w:val="24"/>
              </w:rPr>
            </w:pPr>
            <w:r>
              <w:rPr>
                <w:rFonts w:hint="eastAsia"/>
                <w:sz w:val="24"/>
                <w:szCs w:val="24"/>
              </w:rPr>
              <w:t>2</w:t>
            </w:r>
          </w:p>
        </w:tc>
        <w:tc>
          <w:tcPr>
            <w:tcW w:w="257" w:type="pct"/>
          </w:tcPr>
          <w:p w14:paraId="54382CEF">
            <w:pPr>
              <w:pStyle w:val="11"/>
              <w:spacing w:line="360" w:lineRule="auto"/>
              <w:jc w:val="center"/>
              <w:rPr>
                <w:rFonts w:hint="eastAsia"/>
                <w:sz w:val="24"/>
                <w:szCs w:val="24"/>
              </w:rPr>
            </w:pPr>
          </w:p>
        </w:tc>
        <w:tc>
          <w:tcPr>
            <w:tcW w:w="409" w:type="pct"/>
            <w:vMerge w:val="continue"/>
          </w:tcPr>
          <w:p w14:paraId="0A20A9F7">
            <w:pPr>
              <w:pStyle w:val="11"/>
              <w:spacing w:line="360" w:lineRule="auto"/>
              <w:rPr>
                <w:rFonts w:hint="eastAsia"/>
                <w:sz w:val="24"/>
                <w:szCs w:val="24"/>
              </w:rPr>
            </w:pPr>
          </w:p>
        </w:tc>
        <w:tc>
          <w:tcPr>
            <w:tcW w:w="4077" w:type="pct"/>
          </w:tcPr>
          <w:p w14:paraId="222513BE">
            <w:pPr>
              <w:pStyle w:val="11"/>
              <w:spacing w:line="360" w:lineRule="auto"/>
              <w:rPr>
                <w:rFonts w:hint="eastAsia"/>
                <w:sz w:val="24"/>
                <w:szCs w:val="24"/>
              </w:rPr>
            </w:pPr>
            <w:r>
              <w:rPr>
                <w:rFonts w:hint="eastAsia"/>
                <w:sz w:val="24"/>
                <w:szCs w:val="24"/>
              </w:rPr>
              <w:t>支持质控规则提醒内容及分值设置。</w:t>
            </w:r>
          </w:p>
        </w:tc>
      </w:tr>
      <w:tr w14:paraId="26047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 w:type="pct"/>
          </w:tcPr>
          <w:p w14:paraId="724115D7">
            <w:pPr>
              <w:pStyle w:val="11"/>
              <w:spacing w:line="360" w:lineRule="auto"/>
              <w:jc w:val="center"/>
              <w:rPr>
                <w:rFonts w:hint="eastAsia"/>
                <w:sz w:val="24"/>
                <w:szCs w:val="24"/>
              </w:rPr>
            </w:pPr>
            <w:r>
              <w:rPr>
                <w:rFonts w:hint="eastAsia"/>
                <w:sz w:val="24"/>
                <w:szCs w:val="24"/>
              </w:rPr>
              <w:t>3</w:t>
            </w:r>
          </w:p>
        </w:tc>
        <w:tc>
          <w:tcPr>
            <w:tcW w:w="257" w:type="pct"/>
          </w:tcPr>
          <w:p w14:paraId="45EFC9B9">
            <w:pPr>
              <w:pStyle w:val="11"/>
              <w:spacing w:line="360" w:lineRule="auto"/>
              <w:jc w:val="center"/>
              <w:rPr>
                <w:rFonts w:hint="eastAsia"/>
                <w:sz w:val="24"/>
                <w:szCs w:val="24"/>
              </w:rPr>
            </w:pPr>
          </w:p>
        </w:tc>
        <w:tc>
          <w:tcPr>
            <w:tcW w:w="409" w:type="pct"/>
            <w:vMerge w:val="continue"/>
          </w:tcPr>
          <w:p w14:paraId="1B1A9859">
            <w:pPr>
              <w:pStyle w:val="11"/>
              <w:spacing w:line="360" w:lineRule="auto"/>
              <w:rPr>
                <w:rFonts w:hint="eastAsia"/>
                <w:sz w:val="24"/>
                <w:szCs w:val="24"/>
              </w:rPr>
            </w:pPr>
          </w:p>
        </w:tc>
        <w:tc>
          <w:tcPr>
            <w:tcW w:w="4077" w:type="pct"/>
          </w:tcPr>
          <w:p w14:paraId="66535583">
            <w:pPr>
              <w:pStyle w:val="11"/>
              <w:spacing w:line="360" w:lineRule="auto"/>
              <w:rPr>
                <w:rFonts w:hint="eastAsia"/>
                <w:sz w:val="24"/>
                <w:szCs w:val="24"/>
              </w:rPr>
            </w:pPr>
            <w:r>
              <w:rPr>
                <w:rFonts w:hint="eastAsia"/>
                <w:sz w:val="24"/>
                <w:szCs w:val="24"/>
              </w:rPr>
              <w:t>支持质控规条件设置，针对不同病人情况进行计算。</w:t>
            </w:r>
          </w:p>
        </w:tc>
      </w:tr>
      <w:tr w14:paraId="66490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 w:type="pct"/>
          </w:tcPr>
          <w:p w14:paraId="1390D4A6">
            <w:pPr>
              <w:pStyle w:val="11"/>
              <w:spacing w:line="360" w:lineRule="auto"/>
              <w:jc w:val="center"/>
              <w:rPr>
                <w:rFonts w:hint="eastAsia"/>
                <w:sz w:val="24"/>
                <w:szCs w:val="24"/>
              </w:rPr>
            </w:pPr>
            <w:r>
              <w:rPr>
                <w:rFonts w:hint="eastAsia"/>
                <w:sz w:val="24"/>
                <w:szCs w:val="24"/>
              </w:rPr>
              <w:t>4</w:t>
            </w:r>
          </w:p>
        </w:tc>
        <w:tc>
          <w:tcPr>
            <w:tcW w:w="257" w:type="pct"/>
          </w:tcPr>
          <w:p w14:paraId="363AA1F9">
            <w:pPr>
              <w:pStyle w:val="11"/>
              <w:spacing w:line="360" w:lineRule="auto"/>
              <w:jc w:val="center"/>
              <w:rPr>
                <w:rFonts w:hint="eastAsia"/>
                <w:sz w:val="24"/>
                <w:szCs w:val="24"/>
              </w:rPr>
            </w:pPr>
          </w:p>
        </w:tc>
        <w:tc>
          <w:tcPr>
            <w:tcW w:w="409" w:type="pct"/>
            <w:vMerge w:val="continue"/>
          </w:tcPr>
          <w:p w14:paraId="026493BE">
            <w:pPr>
              <w:pStyle w:val="11"/>
              <w:spacing w:line="360" w:lineRule="auto"/>
              <w:rPr>
                <w:rFonts w:hint="eastAsia"/>
                <w:sz w:val="24"/>
                <w:szCs w:val="24"/>
              </w:rPr>
            </w:pPr>
          </w:p>
        </w:tc>
        <w:tc>
          <w:tcPr>
            <w:tcW w:w="4077" w:type="pct"/>
          </w:tcPr>
          <w:p w14:paraId="6784A208">
            <w:pPr>
              <w:pStyle w:val="11"/>
              <w:spacing w:line="360" w:lineRule="auto"/>
              <w:rPr>
                <w:rFonts w:hint="eastAsia"/>
                <w:sz w:val="24"/>
                <w:szCs w:val="24"/>
              </w:rPr>
            </w:pPr>
            <w:r>
              <w:rPr>
                <w:rFonts w:hint="eastAsia"/>
                <w:sz w:val="24"/>
                <w:szCs w:val="24"/>
              </w:rPr>
              <w:t>支持质控规则定义，包括时限规则、缺失规则、内容规则、脚本规则、人工规则、首页规则、符合病历书写规范的病案质控评分标准规则。</w:t>
            </w:r>
          </w:p>
        </w:tc>
      </w:tr>
      <w:tr w14:paraId="59B95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 w:type="pct"/>
          </w:tcPr>
          <w:p w14:paraId="1BAE322B">
            <w:pPr>
              <w:pStyle w:val="11"/>
              <w:spacing w:line="360" w:lineRule="auto"/>
              <w:jc w:val="center"/>
              <w:rPr>
                <w:rFonts w:hint="eastAsia"/>
                <w:sz w:val="24"/>
                <w:szCs w:val="24"/>
              </w:rPr>
            </w:pPr>
            <w:r>
              <w:rPr>
                <w:rFonts w:hint="eastAsia"/>
                <w:sz w:val="24"/>
                <w:szCs w:val="24"/>
              </w:rPr>
              <w:t>5</w:t>
            </w:r>
          </w:p>
        </w:tc>
        <w:tc>
          <w:tcPr>
            <w:tcW w:w="257" w:type="pct"/>
          </w:tcPr>
          <w:p w14:paraId="04C75CBD">
            <w:pPr>
              <w:pStyle w:val="11"/>
              <w:spacing w:line="360" w:lineRule="auto"/>
              <w:jc w:val="center"/>
              <w:rPr>
                <w:rFonts w:hint="eastAsia"/>
                <w:sz w:val="24"/>
                <w:szCs w:val="24"/>
              </w:rPr>
            </w:pPr>
          </w:p>
        </w:tc>
        <w:tc>
          <w:tcPr>
            <w:tcW w:w="409" w:type="pct"/>
            <w:vMerge w:val="restart"/>
          </w:tcPr>
          <w:p w14:paraId="6F3D6C37">
            <w:pPr>
              <w:pStyle w:val="11"/>
              <w:spacing w:line="360" w:lineRule="auto"/>
              <w:rPr>
                <w:rFonts w:hint="eastAsia"/>
                <w:sz w:val="24"/>
                <w:szCs w:val="24"/>
              </w:rPr>
            </w:pPr>
            <w:r>
              <w:rPr>
                <w:rFonts w:hint="eastAsia"/>
                <w:sz w:val="24"/>
                <w:szCs w:val="24"/>
              </w:rPr>
              <w:t>质控方案管理</w:t>
            </w:r>
          </w:p>
        </w:tc>
        <w:tc>
          <w:tcPr>
            <w:tcW w:w="4077" w:type="pct"/>
          </w:tcPr>
          <w:p w14:paraId="226D649B">
            <w:pPr>
              <w:pStyle w:val="11"/>
              <w:spacing w:line="360" w:lineRule="auto"/>
              <w:rPr>
                <w:rFonts w:hint="eastAsia"/>
                <w:sz w:val="24"/>
                <w:szCs w:val="24"/>
              </w:rPr>
            </w:pPr>
            <w:r>
              <w:rPr>
                <w:rFonts w:hint="eastAsia"/>
                <w:sz w:val="24"/>
                <w:szCs w:val="24"/>
              </w:rPr>
              <w:t>支持质控否决规则定义，可关联多个质控规则。可设置质控等级。</w:t>
            </w:r>
          </w:p>
        </w:tc>
      </w:tr>
      <w:tr w14:paraId="3B433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 w:type="pct"/>
          </w:tcPr>
          <w:p w14:paraId="35DAEE23">
            <w:pPr>
              <w:pStyle w:val="11"/>
              <w:spacing w:line="360" w:lineRule="auto"/>
              <w:jc w:val="center"/>
              <w:rPr>
                <w:rFonts w:hint="eastAsia"/>
                <w:sz w:val="24"/>
                <w:szCs w:val="24"/>
              </w:rPr>
            </w:pPr>
            <w:r>
              <w:rPr>
                <w:rFonts w:hint="eastAsia"/>
                <w:sz w:val="24"/>
                <w:szCs w:val="24"/>
              </w:rPr>
              <w:t>6</w:t>
            </w:r>
          </w:p>
        </w:tc>
        <w:tc>
          <w:tcPr>
            <w:tcW w:w="257" w:type="pct"/>
          </w:tcPr>
          <w:p w14:paraId="2AEE8603">
            <w:pPr>
              <w:pStyle w:val="11"/>
              <w:spacing w:line="360" w:lineRule="auto"/>
              <w:jc w:val="center"/>
              <w:rPr>
                <w:rFonts w:hint="eastAsia"/>
                <w:sz w:val="24"/>
                <w:szCs w:val="24"/>
              </w:rPr>
            </w:pPr>
          </w:p>
        </w:tc>
        <w:tc>
          <w:tcPr>
            <w:tcW w:w="409" w:type="pct"/>
            <w:vMerge w:val="continue"/>
          </w:tcPr>
          <w:p w14:paraId="1B97FE01">
            <w:pPr>
              <w:pStyle w:val="11"/>
              <w:spacing w:line="360" w:lineRule="auto"/>
              <w:rPr>
                <w:rFonts w:hint="eastAsia"/>
                <w:sz w:val="24"/>
                <w:szCs w:val="24"/>
              </w:rPr>
            </w:pPr>
          </w:p>
        </w:tc>
        <w:tc>
          <w:tcPr>
            <w:tcW w:w="4077" w:type="pct"/>
          </w:tcPr>
          <w:p w14:paraId="30F828D5">
            <w:pPr>
              <w:pStyle w:val="11"/>
              <w:spacing w:line="360" w:lineRule="auto"/>
              <w:rPr>
                <w:rFonts w:hint="eastAsia"/>
                <w:sz w:val="24"/>
                <w:szCs w:val="24"/>
              </w:rPr>
            </w:pPr>
            <w:r>
              <w:rPr>
                <w:rFonts w:hint="eastAsia"/>
                <w:sz w:val="24"/>
                <w:szCs w:val="24"/>
              </w:rPr>
              <w:t>支持质控方案定义，设置质控方案总分、质控类型及甲乙丙/优良劣三级对应分数范围。可设置质控规则分组、分组分数及对应质控质控规则。也可设置不同质控方案的前提条件，针对不同病人类型使用不同质控方案。</w:t>
            </w:r>
          </w:p>
        </w:tc>
      </w:tr>
      <w:tr w14:paraId="1E59F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 w:type="pct"/>
          </w:tcPr>
          <w:p w14:paraId="1D91EA90">
            <w:pPr>
              <w:pStyle w:val="11"/>
              <w:spacing w:line="360" w:lineRule="auto"/>
              <w:jc w:val="center"/>
              <w:rPr>
                <w:rFonts w:hint="eastAsia"/>
                <w:sz w:val="24"/>
                <w:szCs w:val="24"/>
              </w:rPr>
            </w:pPr>
            <w:r>
              <w:rPr>
                <w:rFonts w:hint="eastAsia"/>
                <w:sz w:val="24"/>
                <w:szCs w:val="24"/>
              </w:rPr>
              <w:t>7</w:t>
            </w:r>
          </w:p>
        </w:tc>
        <w:tc>
          <w:tcPr>
            <w:tcW w:w="257" w:type="pct"/>
          </w:tcPr>
          <w:p w14:paraId="01E06B23">
            <w:pPr>
              <w:pStyle w:val="11"/>
              <w:spacing w:line="360" w:lineRule="auto"/>
              <w:jc w:val="center"/>
              <w:rPr>
                <w:rFonts w:hint="eastAsia"/>
                <w:sz w:val="24"/>
                <w:szCs w:val="24"/>
              </w:rPr>
            </w:pPr>
          </w:p>
        </w:tc>
        <w:tc>
          <w:tcPr>
            <w:tcW w:w="409" w:type="pct"/>
            <w:vMerge w:val="continue"/>
          </w:tcPr>
          <w:p w14:paraId="197AC282">
            <w:pPr>
              <w:pStyle w:val="11"/>
              <w:spacing w:line="360" w:lineRule="auto"/>
              <w:rPr>
                <w:rFonts w:hint="eastAsia"/>
                <w:sz w:val="24"/>
                <w:szCs w:val="24"/>
              </w:rPr>
            </w:pPr>
          </w:p>
        </w:tc>
        <w:tc>
          <w:tcPr>
            <w:tcW w:w="4077" w:type="pct"/>
          </w:tcPr>
          <w:p w14:paraId="1584AFD3">
            <w:pPr>
              <w:pStyle w:val="11"/>
              <w:spacing w:line="360" w:lineRule="auto"/>
              <w:rPr>
                <w:rFonts w:hint="eastAsia"/>
                <w:sz w:val="24"/>
                <w:szCs w:val="24"/>
              </w:rPr>
            </w:pPr>
            <w:r>
              <w:rPr>
                <w:rFonts w:hint="eastAsia"/>
                <w:sz w:val="24"/>
                <w:szCs w:val="24"/>
              </w:rPr>
              <w:t>支持质控方案导出、导入。</w:t>
            </w:r>
          </w:p>
        </w:tc>
      </w:tr>
      <w:tr w14:paraId="00402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 w:type="pct"/>
          </w:tcPr>
          <w:p w14:paraId="7D69AA1C">
            <w:pPr>
              <w:pStyle w:val="11"/>
              <w:spacing w:line="360" w:lineRule="auto"/>
              <w:jc w:val="center"/>
              <w:rPr>
                <w:rFonts w:hint="eastAsia"/>
                <w:sz w:val="24"/>
                <w:szCs w:val="24"/>
              </w:rPr>
            </w:pPr>
            <w:r>
              <w:rPr>
                <w:rFonts w:hint="eastAsia"/>
                <w:sz w:val="24"/>
                <w:szCs w:val="24"/>
              </w:rPr>
              <w:t>8</w:t>
            </w:r>
          </w:p>
        </w:tc>
        <w:tc>
          <w:tcPr>
            <w:tcW w:w="257" w:type="pct"/>
          </w:tcPr>
          <w:p w14:paraId="59AFE6D0">
            <w:pPr>
              <w:pStyle w:val="11"/>
              <w:spacing w:line="360" w:lineRule="auto"/>
              <w:jc w:val="center"/>
              <w:rPr>
                <w:rFonts w:hint="eastAsia"/>
                <w:sz w:val="24"/>
                <w:szCs w:val="24"/>
              </w:rPr>
            </w:pPr>
          </w:p>
        </w:tc>
        <w:tc>
          <w:tcPr>
            <w:tcW w:w="409" w:type="pct"/>
            <w:vMerge w:val="continue"/>
          </w:tcPr>
          <w:p w14:paraId="4C36901B">
            <w:pPr>
              <w:pStyle w:val="11"/>
              <w:spacing w:line="360" w:lineRule="auto"/>
              <w:rPr>
                <w:rFonts w:hint="eastAsia"/>
                <w:sz w:val="24"/>
                <w:szCs w:val="24"/>
              </w:rPr>
            </w:pPr>
          </w:p>
        </w:tc>
        <w:tc>
          <w:tcPr>
            <w:tcW w:w="4077" w:type="pct"/>
          </w:tcPr>
          <w:p w14:paraId="64432DC7">
            <w:pPr>
              <w:pStyle w:val="11"/>
              <w:spacing w:line="360" w:lineRule="auto"/>
              <w:rPr>
                <w:rFonts w:hint="eastAsia"/>
                <w:sz w:val="24"/>
                <w:szCs w:val="24"/>
              </w:rPr>
            </w:pPr>
            <w:r>
              <w:rPr>
                <w:rFonts w:hint="eastAsia"/>
                <w:sz w:val="24"/>
                <w:szCs w:val="24"/>
              </w:rPr>
              <w:t>支持质控人员定义，可停用、启用，批量质控抽插时分配给不同质控员进行质控。</w:t>
            </w:r>
          </w:p>
        </w:tc>
      </w:tr>
      <w:tr w14:paraId="728A7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 w:type="pct"/>
          </w:tcPr>
          <w:p w14:paraId="372DCBB1">
            <w:pPr>
              <w:pStyle w:val="11"/>
              <w:spacing w:line="360" w:lineRule="auto"/>
              <w:jc w:val="center"/>
              <w:rPr>
                <w:rFonts w:hint="eastAsia"/>
                <w:sz w:val="24"/>
                <w:szCs w:val="24"/>
              </w:rPr>
            </w:pPr>
            <w:r>
              <w:rPr>
                <w:rFonts w:hint="eastAsia"/>
                <w:sz w:val="24"/>
                <w:szCs w:val="24"/>
              </w:rPr>
              <w:t>9</w:t>
            </w:r>
          </w:p>
        </w:tc>
        <w:tc>
          <w:tcPr>
            <w:tcW w:w="257" w:type="pct"/>
          </w:tcPr>
          <w:p w14:paraId="72EC128D">
            <w:pPr>
              <w:pStyle w:val="11"/>
              <w:spacing w:line="360" w:lineRule="auto"/>
              <w:jc w:val="center"/>
              <w:rPr>
                <w:rFonts w:hint="eastAsia"/>
                <w:sz w:val="24"/>
                <w:szCs w:val="24"/>
              </w:rPr>
            </w:pPr>
          </w:p>
        </w:tc>
        <w:tc>
          <w:tcPr>
            <w:tcW w:w="409" w:type="pct"/>
            <w:vMerge w:val="continue"/>
          </w:tcPr>
          <w:p w14:paraId="65909DDC">
            <w:pPr>
              <w:pStyle w:val="11"/>
              <w:spacing w:line="360" w:lineRule="auto"/>
              <w:rPr>
                <w:rFonts w:hint="eastAsia"/>
                <w:sz w:val="24"/>
                <w:szCs w:val="24"/>
              </w:rPr>
            </w:pPr>
          </w:p>
        </w:tc>
        <w:tc>
          <w:tcPr>
            <w:tcW w:w="4077" w:type="pct"/>
          </w:tcPr>
          <w:p w14:paraId="7804FDD3">
            <w:pPr>
              <w:pStyle w:val="11"/>
              <w:spacing w:line="360" w:lineRule="auto"/>
              <w:rPr>
                <w:rFonts w:hint="eastAsia"/>
                <w:sz w:val="24"/>
                <w:szCs w:val="24"/>
              </w:rPr>
            </w:pPr>
            <w:r>
              <w:rPr>
                <w:rFonts w:hint="eastAsia"/>
                <w:sz w:val="24"/>
                <w:szCs w:val="24"/>
              </w:rPr>
              <w:t>支持质控员质控范围定义。</w:t>
            </w:r>
          </w:p>
        </w:tc>
      </w:tr>
      <w:tr w14:paraId="73DCD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 w:type="pct"/>
          </w:tcPr>
          <w:p w14:paraId="465CDBF6">
            <w:pPr>
              <w:pStyle w:val="11"/>
              <w:spacing w:line="360" w:lineRule="auto"/>
              <w:jc w:val="center"/>
              <w:rPr>
                <w:rFonts w:hint="eastAsia"/>
                <w:sz w:val="24"/>
                <w:szCs w:val="24"/>
              </w:rPr>
            </w:pPr>
            <w:r>
              <w:rPr>
                <w:rFonts w:hint="eastAsia"/>
                <w:sz w:val="24"/>
                <w:szCs w:val="24"/>
              </w:rPr>
              <w:t>10</w:t>
            </w:r>
          </w:p>
        </w:tc>
        <w:tc>
          <w:tcPr>
            <w:tcW w:w="257" w:type="pct"/>
          </w:tcPr>
          <w:p w14:paraId="736F381E">
            <w:pPr>
              <w:pStyle w:val="11"/>
              <w:spacing w:line="360" w:lineRule="auto"/>
              <w:jc w:val="center"/>
              <w:rPr>
                <w:rFonts w:hint="eastAsia"/>
                <w:sz w:val="24"/>
                <w:szCs w:val="24"/>
              </w:rPr>
            </w:pPr>
          </w:p>
        </w:tc>
        <w:tc>
          <w:tcPr>
            <w:tcW w:w="409" w:type="pct"/>
            <w:vMerge w:val="continue"/>
          </w:tcPr>
          <w:p w14:paraId="0CC8C93E">
            <w:pPr>
              <w:pStyle w:val="11"/>
              <w:spacing w:line="360" w:lineRule="auto"/>
              <w:rPr>
                <w:rFonts w:hint="eastAsia"/>
                <w:sz w:val="24"/>
                <w:szCs w:val="24"/>
              </w:rPr>
            </w:pPr>
          </w:p>
        </w:tc>
        <w:tc>
          <w:tcPr>
            <w:tcW w:w="4077" w:type="pct"/>
          </w:tcPr>
          <w:p w14:paraId="0DDD0A32">
            <w:pPr>
              <w:pStyle w:val="11"/>
              <w:spacing w:line="360" w:lineRule="auto"/>
              <w:rPr>
                <w:rFonts w:hint="eastAsia"/>
                <w:sz w:val="24"/>
                <w:szCs w:val="24"/>
              </w:rPr>
            </w:pPr>
            <w:r>
              <w:rPr>
                <w:rFonts w:hint="eastAsia"/>
                <w:sz w:val="24"/>
                <w:szCs w:val="24"/>
              </w:rPr>
              <w:t>支持患者类型定义，可设置患者类型优先级及过滤方式，支持自定义SQL定义患者类型。</w:t>
            </w:r>
          </w:p>
        </w:tc>
      </w:tr>
      <w:tr w14:paraId="4135F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 w:type="pct"/>
          </w:tcPr>
          <w:p w14:paraId="7AFA9D60">
            <w:pPr>
              <w:pStyle w:val="11"/>
              <w:spacing w:line="360" w:lineRule="auto"/>
              <w:jc w:val="center"/>
              <w:rPr>
                <w:rFonts w:hint="eastAsia"/>
                <w:sz w:val="24"/>
                <w:szCs w:val="24"/>
              </w:rPr>
            </w:pPr>
            <w:r>
              <w:rPr>
                <w:rFonts w:hint="eastAsia"/>
                <w:sz w:val="24"/>
                <w:szCs w:val="24"/>
              </w:rPr>
              <w:t>11</w:t>
            </w:r>
          </w:p>
        </w:tc>
        <w:tc>
          <w:tcPr>
            <w:tcW w:w="257" w:type="pct"/>
          </w:tcPr>
          <w:p w14:paraId="7B745E23">
            <w:pPr>
              <w:pStyle w:val="11"/>
              <w:spacing w:line="360" w:lineRule="auto"/>
              <w:jc w:val="center"/>
              <w:rPr>
                <w:rFonts w:hint="eastAsia"/>
                <w:sz w:val="24"/>
                <w:szCs w:val="24"/>
              </w:rPr>
            </w:pPr>
          </w:p>
        </w:tc>
        <w:tc>
          <w:tcPr>
            <w:tcW w:w="409" w:type="pct"/>
            <w:vMerge w:val="continue"/>
          </w:tcPr>
          <w:p w14:paraId="3A4C6511">
            <w:pPr>
              <w:pStyle w:val="11"/>
              <w:spacing w:line="360" w:lineRule="auto"/>
              <w:rPr>
                <w:rFonts w:hint="eastAsia"/>
                <w:sz w:val="24"/>
                <w:szCs w:val="24"/>
              </w:rPr>
            </w:pPr>
          </w:p>
        </w:tc>
        <w:tc>
          <w:tcPr>
            <w:tcW w:w="4077" w:type="pct"/>
          </w:tcPr>
          <w:p w14:paraId="1FCE1CDD">
            <w:pPr>
              <w:pStyle w:val="11"/>
              <w:spacing w:line="360" w:lineRule="auto"/>
              <w:rPr>
                <w:rFonts w:hint="eastAsia"/>
                <w:sz w:val="24"/>
                <w:szCs w:val="24"/>
              </w:rPr>
            </w:pPr>
            <w:r>
              <w:rPr>
                <w:rFonts w:hint="eastAsia"/>
                <w:sz w:val="24"/>
                <w:szCs w:val="24"/>
              </w:rPr>
              <w:t>支持质控规则分类定义、符合病历书写规范的病案质控评分标准分类。</w:t>
            </w:r>
          </w:p>
        </w:tc>
      </w:tr>
      <w:tr w14:paraId="5F0D1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 w:type="pct"/>
          </w:tcPr>
          <w:p w14:paraId="4F12D67C">
            <w:pPr>
              <w:pStyle w:val="11"/>
              <w:spacing w:line="360" w:lineRule="auto"/>
              <w:jc w:val="center"/>
              <w:rPr>
                <w:rFonts w:hint="eastAsia"/>
                <w:sz w:val="24"/>
                <w:szCs w:val="24"/>
              </w:rPr>
            </w:pPr>
            <w:r>
              <w:rPr>
                <w:rFonts w:hint="eastAsia"/>
                <w:sz w:val="24"/>
                <w:szCs w:val="24"/>
              </w:rPr>
              <w:t>12</w:t>
            </w:r>
          </w:p>
        </w:tc>
        <w:tc>
          <w:tcPr>
            <w:tcW w:w="257" w:type="pct"/>
          </w:tcPr>
          <w:p w14:paraId="20BB3E7F">
            <w:pPr>
              <w:pStyle w:val="11"/>
              <w:spacing w:line="360" w:lineRule="auto"/>
              <w:jc w:val="center"/>
              <w:rPr>
                <w:rFonts w:hint="eastAsia"/>
                <w:sz w:val="24"/>
                <w:szCs w:val="24"/>
              </w:rPr>
            </w:pPr>
          </w:p>
        </w:tc>
        <w:tc>
          <w:tcPr>
            <w:tcW w:w="409" w:type="pct"/>
            <w:vMerge w:val="restart"/>
          </w:tcPr>
          <w:p w14:paraId="4A5953BF">
            <w:pPr>
              <w:pStyle w:val="11"/>
              <w:spacing w:line="360" w:lineRule="auto"/>
              <w:rPr>
                <w:rFonts w:hint="eastAsia"/>
                <w:sz w:val="24"/>
                <w:szCs w:val="24"/>
              </w:rPr>
            </w:pPr>
            <w:r>
              <w:rPr>
                <w:rFonts w:hint="eastAsia"/>
                <w:sz w:val="24"/>
                <w:szCs w:val="24"/>
              </w:rPr>
              <w:t>运行病历质控</w:t>
            </w:r>
          </w:p>
        </w:tc>
        <w:tc>
          <w:tcPr>
            <w:tcW w:w="4077" w:type="pct"/>
          </w:tcPr>
          <w:p w14:paraId="5FEE9669">
            <w:pPr>
              <w:pStyle w:val="11"/>
              <w:spacing w:line="360" w:lineRule="auto"/>
              <w:rPr>
                <w:rFonts w:hint="eastAsia"/>
                <w:sz w:val="24"/>
                <w:szCs w:val="24"/>
              </w:rPr>
            </w:pPr>
            <w:r>
              <w:rPr>
                <w:rFonts w:hint="eastAsia"/>
                <w:sz w:val="24"/>
                <w:szCs w:val="24"/>
              </w:rPr>
              <w:t>支持运行病历的质控评分及临床反馈。</w:t>
            </w:r>
          </w:p>
        </w:tc>
      </w:tr>
      <w:tr w14:paraId="66D37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 w:type="pct"/>
          </w:tcPr>
          <w:p w14:paraId="13B8FCBD">
            <w:pPr>
              <w:pStyle w:val="11"/>
              <w:spacing w:line="360" w:lineRule="auto"/>
              <w:jc w:val="center"/>
              <w:rPr>
                <w:rFonts w:hint="eastAsia"/>
                <w:sz w:val="24"/>
                <w:szCs w:val="24"/>
              </w:rPr>
            </w:pPr>
            <w:r>
              <w:rPr>
                <w:rFonts w:hint="eastAsia"/>
                <w:sz w:val="24"/>
                <w:szCs w:val="24"/>
              </w:rPr>
              <w:t>13</w:t>
            </w:r>
          </w:p>
        </w:tc>
        <w:tc>
          <w:tcPr>
            <w:tcW w:w="257" w:type="pct"/>
          </w:tcPr>
          <w:p w14:paraId="3AC4A22C">
            <w:pPr>
              <w:pStyle w:val="11"/>
              <w:spacing w:line="360" w:lineRule="auto"/>
              <w:jc w:val="center"/>
              <w:rPr>
                <w:rFonts w:hint="eastAsia"/>
                <w:sz w:val="24"/>
                <w:szCs w:val="24"/>
              </w:rPr>
            </w:pPr>
          </w:p>
        </w:tc>
        <w:tc>
          <w:tcPr>
            <w:tcW w:w="409" w:type="pct"/>
            <w:vMerge w:val="continue"/>
          </w:tcPr>
          <w:p w14:paraId="248E3EB7">
            <w:pPr>
              <w:pStyle w:val="11"/>
              <w:spacing w:line="360" w:lineRule="auto"/>
              <w:rPr>
                <w:rFonts w:hint="eastAsia"/>
                <w:sz w:val="24"/>
                <w:szCs w:val="24"/>
              </w:rPr>
            </w:pPr>
          </w:p>
        </w:tc>
        <w:tc>
          <w:tcPr>
            <w:tcW w:w="4077" w:type="pct"/>
          </w:tcPr>
          <w:p w14:paraId="0008A5F6">
            <w:pPr>
              <w:pStyle w:val="11"/>
              <w:spacing w:line="360" w:lineRule="auto"/>
              <w:rPr>
                <w:rFonts w:hint="eastAsia"/>
                <w:sz w:val="24"/>
                <w:szCs w:val="24"/>
              </w:rPr>
            </w:pPr>
            <w:r>
              <w:rPr>
                <w:rFonts w:hint="eastAsia"/>
                <w:sz w:val="24"/>
                <w:szCs w:val="24"/>
              </w:rPr>
              <w:t>支持质控报告输出打印。</w:t>
            </w:r>
          </w:p>
        </w:tc>
      </w:tr>
      <w:tr w14:paraId="000C5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 w:type="pct"/>
          </w:tcPr>
          <w:p w14:paraId="59EFBB3D">
            <w:pPr>
              <w:pStyle w:val="11"/>
              <w:spacing w:line="360" w:lineRule="auto"/>
              <w:jc w:val="center"/>
              <w:rPr>
                <w:rFonts w:hint="eastAsia"/>
                <w:sz w:val="24"/>
                <w:szCs w:val="24"/>
              </w:rPr>
            </w:pPr>
            <w:r>
              <w:rPr>
                <w:rFonts w:hint="eastAsia"/>
                <w:sz w:val="24"/>
                <w:szCs w:val="24"/>
              </w:rPr>
              <w:t>14</w:t>
            </w:r>
          </w:p>
        </w:tc>
        <w:tc>
          <w:tcPr>
            <w:tcW w:w="257" w:type="pct"/>
          </w:tcPr>
          <w:p w14:paraId="5CEEEF05">
            <w:pPr>
              <w:pStyle w:val="11"/>
              <w:spacing w:line="360" w:lineRule="auto"/>
              <w:jc w:val="center"/>
              <w:rPr>
                <w:rFonts w:hint="eastAsia"/>
                <w:sz w:val="24"/>
                <w:szCs w:val="24"/>
              </w:rPr>
            </w:pPr>
          </w:p>
        </w:tc>
        <w:tc>
          <w:tcPr>
            <w:tcW w:w="409" w:type="pct"/>
            <w:vMerge w:val="continue"/>
          </w:tcPr>
          <w:p w14:paraId="5554872E">
            <w:pPr>
              <w:pStyle w:val="11"/>
              <w:spacing w:line="360" w:lineRule="auto"/>
              <w:rPr>
                <w:rFonts w:hint="eastAsia"/>
                <w:sz w:val="24"/>
                <w:szCs w:val="24"/>
              </w:rPr>
            </w:pPr>
          </w:p>
        </w:tc>
        <w:tc>
          <w:tcPr>
            <w:tcW w:w="4077" w:type="pct"/>
          </w:tcPr>
          <w:p w14:paraId="26D2CCEC">
            <w:pPr>
              <w:pStyle w:val="11"/>
              <w:spacing w:line="360" w:lineRule="auto"/>
              <w:rPr>
                <w:rFonts w:hint="eastAsia"/>
                <w:sz w:val="24"/>
                <w:szCs w:val="24"/>
              </w:rPr>
            </w:pPr>
            <w:r>
              <w:rPr>
                <w:rFonts w:hint="eastAsia"/>
                <w:sz w:val="24"/>
                <w:szCs w:val="24"/>
              </w:rPr>
              <w:t>支持对质控反馈处理进行复核。</w:t>
            </w:r>
          </w:p>
        </w:tc>
      </w:tr>
      <w:tr w14:paraId="4367C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 w:type="pct"/>
          </w:tcPr>
          <w:p w14:paraId="73B582A8">
            <w:pPr>
              <w:pStyle w:val="11"/>
              <w:spacing w:line="360" w:lineRule="auto"/>
              <w:jc w:val="center"/>
              <w:rPr>
                <w:rFonts w:hint="eastAsia"/>
                <w:sz w:val="24"/>
                <w:szCs w:val="24"/>
              </w:rPr>
            </w:pPr>
            <w:r>
              <w:rPr>
                <w:rFonts w:hint="eastAsia"/>
                <w:sz w:val="24"/>
                <w:szCs w:val="24"/>
              </w:rPr>
              <w:t>15</w:t>
            </w:r>
          </w:p>
        </w:tc>
        <w:tc>
          <w:tcPr>
            <w:tcW w:w="257" w:type="pct"/>
          </w:tcPr>
          <w:p w14:paraId="15626C7C">
            <w:pPr>
              <w:pStyle w:val="11"/>
              <w:spacing w:line="360" w:lineRule="auto"/>
              <w:jc w:val="center"/>
              <w:rPr>
                <w:rFonts w:hint="eastAsia"/>
                <w:sz w:val="24"/>
                <w:szCs w:val="24"/>
              </w:rPr>
            </w:pPr>
          </w:p>
        </w:tc>
        <w:tc>
          <w:tcPr>
            <w:tcW w:w="409" w:type="pct"/>
            <w:vMerge w:val="restart"/>
          </w:tcPr>
          <w:p w14:paraId="7BE87F20">
            <w:pPr>
              <w:pStyle w:val="11"/>
              <w:spacing w:line="360" w:lineRule="auto"/>
              <w:rPr>
                <w:rFonts w:hint="eastAsia"/>
                <w:sz w:val="24"/>
                <w:szCs w:val="24"/>
              </w:rPr>
            </w:pPr>
            <w:r>
              <w:rPr>
                <w:rFonts w:hint="eastAsia"/>
                <w:sz w:val="24"/>
                <w:szCs w:val="24"/>
              </w:rPr>
              <w:t>科内质控管理</w:t>
            </w:r>
          </w:p>
        </w:tc>
        <w:tc>
          <w:tcPr>
            <w:tcW w:w="4077" w:type="pct"/>
          </w:tcPr>
          <w:p w14:paraId="2161E3AA">
            <w:pPr>
              <w:pStyle w:val="11"/>
              <w:spacing w:line="360" w:lineRule="auto"/>
              <w:rPr>
                <w:rFonts w:hint="eastAsia"/>
                <w:sz w:val="24"/>
                <w:szCs w:val="24"/>
              </w:rPr>
            </w:pPr>
            <w:r>
              <w:rPr>
                <w:rFonts w:hint="eastAsia"/>
                <w:sz w:val="24"/>
                <w:szCs w:val="24"/>
              </w:rPr>
              <w:t>支持批量运行病历质控。</w:t>
            </w:r>
          </w:p>
        </w:tc>
      </w:tr>
      <w:tr w14:paraId="6092B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 w:type="pct"/>
          </w:tcPr>
          <w:p w14:paraId="7E41B35B">
            <w:pPr>
              <w:pStyle w:val="11"/>
              <w:spacing w:line="360" w:lineRule="auto"/>
              <w:jc w:val="center"/>
              <w:rPr>
                <w:rFonts w:hint="eastAsia"/>
                <w:sz w:val="24"/>
                <w:szCs w:val="24"/>
              </w:rPr>
            </w:pPr>
            <w:r>
              <w:rPr>
                <w:rFonts w:hint="eastAsia"/>
                <w:sz w:val="24"/>
                <w:szCs w:val="24"/>
              </w:rPr>
              <w:t>16</w:t>
            </w:r>
          </w:p>
        </w:tc>
        <w:tc>
          <w:tcPr>
            <w:tcW w:w="257" w:type="pct"/>
          </w:tcPr>
          <w:p w14:paraId="398AAB50">
            <w:pPr>
              <w:pStyle w:val="11"/>
              <w:spacing w:line="360" w:lineRule="auto"/>
              <w:jc w:val="center"/>
              <w:rPr>
                <w:rFonts w:hint="eastAsia"/>
                <w:sz w:val="24"/>
                <w:szCs w:val="24"/>
              </w:rPr>
            </w:pPr>
          </w:p>
        </w:tc>
        <w:tc>
          <w:tcPr>
            <w:tcW w:w="409" w:type="pct"/>
            <w:vMerge w:val="continue"/>
          </w:tcPr>
          <w:p w14:paraId="17DADC47">
            <w:pPr>
              <w:pStyle w:val="11"/>
              <w:spacing w:line="360" w:lineRule="auto"/>
              <w:rPr>
                <w:rFonts w:hint="eastAsia"/>
                <w:sz w:val="24"/>
                <w:szCs w:val="24"/>
              </w:rPr>
            </w:pPr>
          </w:p>
        </w:tc>
        <w:tc>
          <w:tcPr>
            <w:tcW w:w="4077" w:type="pct"/>
          </w:tcPr>
          <w:p w14:paraId="42415CD2">
            <w:pPr>
              <w:pStyle w:val="11"/>
              <w:spacing w:line="360" w:lineRule="auto"/>
              <w:rPr>
                <w:rFonts w:hint="eastAsia"/>
                <w:sz w:val="24"/>
                <w:szCs w:val="24"/>
              </w:rPr>
            </w:pPr>
            <w:r>
              <w:rPr>
                <w:rFonts w:hint="eastAsia"/>
                <w:sz w:val="24"/>
                <w:szCs w:val="24"/>
              </w:rPr>
              <w:t>支持临床科室环节质控评分及临床反馈。</w:t>
            </w:r>
          </w:p>
        </w:tc>
      </w:tr>
      <w:tr w14:paraId="7A9E0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 w:type="pct"/>
          </w:tcPr>
          <w:p w14:paraId="77025BC3">
            <w:pPr>
              <w:pStyle w:val="11"/>
              <w:spacing w:line="360" w:lineRule="auto"/>
              <w:jc w:val="center"/>
              <w:rPr>
                <w:rFonts w:hint="eastAsia"/>
                <w:sz w:val="24"/>
                <w:szCs w:val="24"/>
              </w:rPr>
            </w:pPr>
            <w:r>
              <w:rPr>
                <w:rFonts w:hint="eastAsia"/>
                <w:sz w:val="24"/>
                <w:szCs w:val="24"/>
              </w:rPr>
              <w:t>17</w:t>
            </w:r>
          </w:p>
        </w:tc>
        <w:tc>
          <w:tcPr>
            <w:tcW w:w="257" w:type="pct"/>
          </w:tcPr>
          <w:p w14:paraId="30874918">
            <w:pPr>
              <w:pStyle w:val="11"/>
              <w:spacing w:line="360" w:lineRule="auto"/>
              <w:jc w:val="center"/>
              <w:rPr>
                <w:rFonts w:hint="eastAsia"/>
                <w:sz w:val="24"/>
                <w:szCs w:val="24"/>
              </w:rPr>
            </w:pPr>
          </w:p>
        </w:tc>
        <w:tc>
          <w:tcPr>
            <w:tcW w:w="409" w:type="pct"/>
            <w:vMerge w:val="continue"/>
          </w:tcPr>
          <w:p w14:paraId="510BDDEE">
            <w:pPr>
              <w:pStyle w:val="11"/>
              <w:spacing w:line="360" w:lineRule="auto"/>
              <w:rPr>
                <w:rFonts w:hint="eastAsia"/>
                <w:sz w:val="24"/>
                <w:szCs w:val="24"/>
              </w:rPr>
            </w:pPr>
          </w:p>
        </w:tc>
        <w:tc>
          <w:tcPr>
            <w:tcW w:w="4077" w:type="pct"/>
          </w:tcPr>
          <w:p w14:paraId="4F4DE6DA">
            <w:pPr>
              <w:pStyle w:val="11"/>
              <w:spacing w:line="360" w:lineRule="auto"/>
              <w:rPr>
                <w:rFonts w:hint="eastAsia"/>
                <w:sz w:val="24"/>
                <w:szCs w:val="24"/>
              </w:rPr>
            </w:pPr>
            <w:r>
              <w:rPr>
                <w:rFonts w:hint="eastAsia"/>
                <w:sz w:val="24"/>
                <w:szCs w:val="24"/>
              </w:rPr>
              <w:t>支持批量质控抽查分配质控执行，可对批量抽查分配的任务进行质控评分及临床反馈。</w:t>
            </w:r>
          </w:p>
        </w:tc>
      </w:tr>
      <w:tr w14:paraId="1F783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 w:type="pct"/>
          </w:tcPr>
          <w:p w14:paraId="1BBAA40D">
            <w:pPr>
              <w:pStyle w:val="11"/>
              <w:spacing w:line="360" w:lineRule="auto"/>
              <w:jc w:val="center"/>
              <w:rPr>
                <w:rFonts w:hint="eastAsia"/>
                <w:sz w:val="24"/>
                <w:szCs w:val="24"/>
              </w:rPr>
            </w:pPr>
            <w:r>
              <w:rPr>
                <w:rFonts w:hint="eastAsia"/>
                <w:sz w:val="24"/>
                <w:szCs w:val="24"/>
              </w:rPr>
              <w:t>18</w:t>
            </w:r>
          </w:p>
        </w:tc>
        <w:tc>
          <w:tcPr>
            <w:tcW w:w="257" w:type="pct"/>
          </w:tcPr>
          <w:p w14:paraId="62343B65">
            <w:pPr>
              <w:pStyle w:val="11"/>
              <w:spacing w:line="360" w:lineRule="auto"/>
              <w:jc w:val="center"/>
              <w:rPr>
                <w:rFonts w:hint="eastAsia"/>
                <w:sz w:val="24"/>
                <w:szCs w:val="24"/>
              </w:rPr>
            </w:pPr>
          </w:p>
        </w:tc>
        <w:tc>
          <w:tcPr>
            <w:tcW w:w="409" w:type="pct"/>
            <w:vMerge w:val="continue"/>
          </w:tcPr>
          <w:p w14:paraId="08D78622">
            <w:pPr>
              <w:pStyle w:val="11"/>
              <w:spacing w:line="360" w:lineRule="auto"/>
              <w:rPr>
                <w:rFonts w:hint="eastAsia"/>
                <w:sz w:val="24"/>
                <w:szCs w:val="24"/>
              </w:rPr>
            </w:pPr>
          </w:p>
        </w:tc>
        <w:tc>
          <w:tcPr>
            <w:tcW w:w="4077" w:type="pct"/>
          </w:tcPr>
          <w:p w14:paraId="4F41842B">
            <w:pPr>
              <w:pStyle w:val="11"/>
              <w:spacing w:line="360" w:lineRule="auto"/>
              <w:rPr>
                <w:rFonts w:hint="eastAsia"/>
                <w:sz w:val="24"/>
                <w:szCs w:val="24"/>
              </w:rPr>
            </w:pPr>
            <w:r>
              <w:rPr>
                <w:rFonts w:hint="eastAsia"/>
                <w:sz w:val="24"/>
                <w:szCs w:val="24"/>
              </w:rPr>
              <w:t>支持质控报告输出打印。</w:t>
            </w:r>
          </w:p>
        </w:tc>
      </w:tr>
      <w:tr w14:paraId="3087C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 w:type="pct"/>
          </w:tcPr>
          <w:p w14:paraId="624FCD3D">
            <w:pPr>
              <w:pStyle w:val="11"/>
              <w:spacing w:line="360" w:lineRule="auto"/>
              <w:jc w:val="center"/>
              <w:rPr>
                <w:rFonts w:hint="eastAsia"/>
                <w:sz w:val="24"/>
                <w:szCs w:val="24"/>
              </w:rPr>
            </w:pPr>
            <w:r>
              <w:rPr>
                <w:rFonts w:hint="eastAsia"/>
                <w:sz w:val="24"/>
                <w:szCs w:val="24"/>
              </w:rPr>
              <w:t>19</w:t>
            </w:r>
          </w:p>
        </w:tc>
        <w:tc>
          <w:tcPr>
            <w:tcW w:w="257" w:type="pct"/>
          </w:tcPr>
          <w:p w14:paraId="2A8178B9">
            <w:pPr>
              <w:pStyle w:val="11"/>
              <w:spacing w:line="360" w:lineRule="auto"/>
              <w:jc w:val="center"/>
              <w:rPr>
                <w:rFonts w:hint="eastAsia"/>
                <w:sz w:val="24"/>
                <w:szCs w:val="24"/>
              </w:rPr>
            </w:pPr>
          </w:p>
        </w:tc>
        <w:tc>
          <w:tcPr>
            <w:tcW w:w="409" w:type="pct"/>
            <w:vMerge w:val="continue"/>
          </w:tcPr>
          <w:p w14:paraId="440129B3">
            <w:pPr>
              <w:pStyle w:val="11"/>
              <w:spacing w:line="360" w:lineRule="auto"/>
              <w:rPr>
                <w:rFonts w:hint="eastAsia"/>
                <w:sz w:val="24"/>
                <w:szCs w:val="24"/>
              </w:rPr>
            </w:pPr>
          </w:p>
        </w:tc>
        <w:tc>
          <w:tcPr>
            <w:tcW w:w="4077" w:type="pct"/>
          </w:tcPr>
          <w:p w14:paraId="7BA97F5B">
            <w:pPr>
              <w:pStyle w:val="11"/>
              <w:spacing w:line="360" w:lineRule="auto"/>
              <w:rPr>
                <w:rFonts w:hint="eastAsia"/>
                <w:sz w:val="24"/>
                <w:szCs w:val="24"/>
              </w:rPr>
            </w:pPr>
            <w:r>
              <w:rPr>
                <w:rFonts w:hint="eastAsia"/>
                <w:sz w:val="24"/>
                <w:szCs w:val="24"/>
              </w:rPr>
              <w:t>同时支持运行病历质控，方便科室质控员进行运行病历质控。</w:t>
            </w:r>
          </w:p>
        </w:tc>
      </w:tr>
      <w:tr w14:paraId="7BD81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 w:type="pct"/>
          </w:tcPr>
          <w:p w14:paraId="635ACF42">
            <w:pPr>
              <w:pStyle w:val="11"/>
              <w:spacing w:line="360" w:lineRule="auto"/>
              <w:jc w:val="center"/>
              <w:rPr>
                <w:rFonts w:hint="eastAsia"/>
                <w:sz w:val="24"/>
                <w:szCs w:val="24"/>
              </w:rPr>
            </w:pPr>
            <w:r>
              <w:rPr>
                <w:rFonts w:hint="eastAsia"/>
                <w:sz w:val="24"/>
                <w:szCs w:val="24"/>
              </w:rPr>
              <w:t>20</w:t>
            </w:r>
          </w:p>
        </w:tc>
        <w:tc>
          <w:tcPr>
            <w:tcW w:w="257" w:type="pct"/>
          </w:tcPr>
          <w:p w14:paraId="2DCE02BA">
            <w:pPr>
              <w:pStyle w:val="11"/>
              <w:spacing w:line="360" w:lineRule="auto"/>
              <w:jc w:val="center"/>
              <w:rPr>
                <w:rFonts w:hint="eastAsia"/>
                <w:sz w:val="24"/>
                <w:szCs w:val="24"/>
              </w:rPr>
            </w:pPr>
          </w:p>
        </w:tc>
        <w:tc>
          <w:tcPr>
            <w:tcW w:w="409" w:type="pct"/>
            <w:vMerge w:val="continue"/>
          </w:tcPr>
          <w:p w14:paraId="534B54B0">
            <w:pPr>
              <w:pStyle w:val="11"/>
              <w:spacing w:line="360" w:lineRule="auto"/>
              <w:rPr>
                <w:rFonts w:hint="eastAsia"/>
                <w:sz w:val="24"/>
                <w:szCs w:val="24"/>
              </w:rPr>
            </w:pPr>
          </w:p>
        </w:tc>
        <w:tc>
          <w:tcPr>
            <w:tcW w:w="4077" w:type="pct"/>
          </w:tcPr>
          <w:p w14:paraId="0BFCC9D8">
            <w:pPr>
              <w:pStyle w:val="11"/>
              <w:spacing w:line="360" w:lineRule="auto"/>
              <w:rPr>
                <w:rFonts w:hint="eastAsia"/>
                <w:sz w:val="24"/>
                <w:szCs w:val="24"/>
              </w:rPr>
            </w:pPr>
            <w:r>
              <w:rPr>
                <w:rFonts w:hint="eastAsia"/>
                <w:sz w:val="24"/>
                <w:szCs w:val="24"/>
              </w:rPr>
              <w:t>支持病历召回修改申请和取消完成申请审核。</w:t>
            </w:r>
          </w:p>
        </w:tc>
      </w:tr>
      <w:tr w14:paraId="4CBBB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 w:type="pct"/>
          </w:tcPr>
          <w:p w14:paraId="2C231185">
            <w:pPr>
              <w:pStyle w:val="11"/>
              <w:spacing w:line="360" w:lineRule="auto"/>
              <w:jc w:val="center"/>
              <w:rPr>
                <w:rFonts w:hint="eastAsia"/>
                <w:sz w:val="24"/>
                <w:szCs w:val="24"/>
              </w:rPr>
            </w:pPr>
            <w:r>
              <w:rPr>
                <w:rFonts w:hint="eastAsia"/>
                <w:sz w:val="24"/>
                <w:szCs w:val="24"/>
              </w:rPr>
              <w:t>21</w:t>
            </w:r>
          </w:p>
        </w:tc>
        <w:tc>
          <w:tcPr>
            <w:tcW w:w="257" w:type="pct"/>
          </w:tcPr>
          <w:p w14:paraId="5863D948">
            <w:pPr>
              <w:pStyle w:val="11"/>
              <w:spacing w:line="360" w:lineRule="auto"/>
              <w:jc w:val="center"/>
              <w:rPr>
                <w:rFonts w:hint="eastAsia"/>
                <w:sz w:val="24"/>
                <w:szCs w:val="24"/>
              </w:rPr>
            </w:pPr>
          </w:p>
        </w:tc>
        <w:tc>
          <w:tcPr>
            <w:tcW w:w="409" w:type="pct"/>
            <w:vMerge w:val="continue"/>
          </w:tcPr>
          <w:p w14:paraId="09938151">
            <w:pPr>
              <w:pStyle w:val="11"/>
              <w:spacing w:line="360" w:lineRule="auto"/>
              <w:rPr>
                <w:rFonts w:hint="eastAsia"/>
                <w:sz w:val="24"/>
                <w:szCs w:val="24"/>
              </w:rPr>
            </w:pPr>
          </w:p>
        </w:tc>
        <w:tc>
          <w:tcPr>
            <w:tcW w:w="4077" w:type="pct"/>
          </w:tcPr>
          <w:p w14:paraId="7AD4B1F3">
            <w:pPr>
              <w:pStyle w:val="11"/>
              <w:spacing w:line="360" w:lineRule="auto"/>
              <w:rPr>
                <w:rFonts w:hint="eastAsia"/>
                <w:sz w:val="24"/>
                <w:szCs w:val="24"/>
              </w:rPr>
            </w:pPr>
            <w:r>
              <w:rPr>
                <w:rFonts w:hint="eastAsia"/>
                <w:sz w:val="24"/>
                <w:szCs w:val="24"/>
              </w:rPr>
              <w:t>支持对质控反馈处理进行复核。</w:t>
            </w:r>
          </w:p>
        </w:tc>
      </w:tr>
      <w:tr w14:paraId="07ABC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 w:type="pct"/>
          </w:tcPr>
          <w:p w14:paraId="58D99716">
            <w:pPr>
              <w:pStyle w:val="11"/>
              <w:spacing w:line="360" w:lineRule="auto"/>
              <w:jc w:val="center"/>
              <w:rPr>
                <w:rFonts w:hint="eastAsia"/>
                <w:sz w:val="24"/>
                <w:szCs w:val="24"/>
              </w:rPr>
            </w:pPr>
            <w:r>
              <w:rPr>
                <w:rFonts w:hint="eastAsia"/>
                <w:sz w:val="24"/>
                <w:szCs w:val="24"/>
              </w:rPr>
              <w:t>22</w:t>
            </w:r>
          </w:p>
        </w:tc>
        <w:tc>
          <w:tcPr>
            <w:tcW w:w="257" w:type="pct"/>
          </w:tcPr>
          <w:p w14:paraId="2E8611D7">
            <w:pPr>
              <w:pStyle w:val="11"/>
              <w:spacing w:line="360" w:lineRule="auto"/>
              <w:jc w:val="center"/>
              <w:rPr>
                <w:rFonts w:hint="eastAsia"/>
                <w:sz w:val="24"/>
                <w:szCs w:val="24"/>
              </w:rPr>
            </w:pPr>
          </w:p>
        </w:tc>
        <w:tc>
          <w:tcPr>
            <w:tcW w:w="409" w:type="pct"/>
            <w:vMerge w:val="restart"/>
          </w:tcPr>
          <w:p w14:paraId="68673FB1">
            <w:pPr>
              <w:pStyle w:val="11"/>
              <w:spacing w:line="360" w:lineRule="auto"/>
              <w:rPr>
                <w:rFonts w:hint="eastAsia"/>
                <w:sz w:val="24"/>
                <w:szCs w:val="24"/>
              </w:rPr>
            </w:pPr>
            <w:r>
              <w:rPr>
                <w:rFonts w:hint="eastAsia"/>
                <w:sz w:val="24"/>
                <w:szCs w:val="24"/>
              </w:rPr>
              <w:t>终末质控管理</w:t>
            </w:r>
          </w:p>
        </w:tc>
        <w:tc>
          <w:tcPr>
            <w:tcW w:w="4077" w:type="pct"/>
          </w:tcPr>
          <w:p w14:paraId="5C035A4B">
            <w:pPr>
              <w:pStyle w:val="11"/>
              <w:spacing w:line="360" w:lineRule="auto"/>
              <w:rPr>
                <w:rFonts w:hint="eastAsia"/>
                <w:sz w:val="24"/>
                <w:szCs w:val="24"/>
              </w:rPr>
            </w:pPr>
            <w:r>
              <w:rPr>
                <w:rFonts w:hint="eastAsia"/>
                <w:sz w:val="24"/>
                <w:szCs w:val="24"/>
              </w:rPr>
              <w:t>支持医务科、质控办或病案室终末质控评分及临床反馈。</w:t>
            </w:r>
          </w:p>
        </w:tc>
      </w:tr>
      <w:tr w14:paraId="7071C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 w:type="pct"/>
          </w:tcPr>
          <w:p w14:paraId="63CFA85A">
            <w:pPr>
              <w:pStyle w:val="11"/>
              <w:spacing w:line="360" w:lineRule="auto"/>
              <w:jc w:val="center"/>
              <w:rPr>
                <w:rFonts w:hint="eastAsia"/>
                <w:sz w:val="24"/>
                <w:szCs w:val="24"/>
              </w:rPr>
            </w:pPr>
            <w:r>
              <w:rPr>
                <w:rFonts w:hint="eastAsia"/>
                <w:sz w:val="24"/>
                <w:szCs w:val="24"/>
              </w:rPr>
              <w:t>23</w:t>
            </w:r>
          </w:p>
        </w:tc>
        <w:tc>
          <w:tcPr>
            <w:tcW w:w="257" w:type="pct"/>
          </w:tcPr>
          <w:p w14:paraId="307A79F6">
            <w:pPr>
              <w:pStyle w:val="11"/>
              <w:spacing w:line="360" w:lineRule="auto"/>
              <w:jc w:val="center"/>
              <w:rPr>
                <w:rFonts w:hint="eastAsia"/>
                <w:sz w:val="24"/>
                <w:szCs w:val="24"/>
              </w:rPr>
            </w:pPr>
          </w:p>
        </w:tc>
        <w:tc>
          <w:tcPr>
            <w:tcW w:w="409" w:type="pct"/>
            <w:vMerge w:val="continue"/>
          </w:tcPr>
          <w:p w14:paraId="65A5901B">
            <w:pPr>
              <w:pStyle w:val="11"/>
              <w:spacing w:line="360" w:lineRule="auto"/>
              <w:rPr>
                <w:rFonts w:hint="eastAsia"/>
                <w:sz w:val="24"/>
                <w:szCs w:val="24"/>
              </w:rPr>
            </w:pPr>
          </w:p>
        </w:tc>
        <w:tc>
          <w:tcPr>
            <w:tcW w:w="4077" w:type="pct"/>
          </w:tcPr>
          <w:p w14:paraId="1B964F6D">
            <w:pPr>
              <w:pStyle w:val="11"/>
              <w:spacing w:line="360" w:lineRule="auto"/>
              <w:rPr>
                <w:rFonts w:hint="eastAsia"/>
                <w:sz w:val="24"/>
                <w:szCs w:val="24"/>
              </w:rPr>
            </w:pPr>
            <w:r>
              <w:rPr>
                <w:rFonts w:hint="eastAsia"/>
                <w:sz w:val="24"/>
                <w:szCs w:val="24"/>
              </w:rPr>
              <w:t>支持批量质控抽查分配质控执行，可对批量抽查分配的任务进行质控评分及临床反馈。</w:t>
            </w:r>
          </w:p>
        </w:tc>
      </w:tr>
      <w:tr w14:paraId="7781A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 w:type="pct"/>
          </w:tcPr>
          <w:p w14:paraId="57D88499">
            <w:pPr>
              <w:pStyle w:val="11"/>
              <w:spacing w:line="360" w:lineRule="auto"/>
              <w:jc w:val="center"/>
              <w:rPr>
                <w:rFonts w:hint="eastAsia"/>
                <w:sz w:val="24"/>
                <w:szCs w:val="24"/>
              </w:rPr>
            </w:pPr>
            <w:r>
              <w:rPr>
                <w:rFonts w:hint="eastAsia"/>
                <w:sz w:val="24"/>
                <w:szCs w:val="24"/>
              </w:rPr>
              <w:t>24</w:t>
            </w:r>
          </w:p>
        </w:tc>
        <w:tc>
          <w:tcPr>
            <w:tcW w:w="257" w:type="pct"/>
          </w:tcPr>
          <w:p w14:paraId="2863BDAC">
            <w:pPr>
              <w:pStyle w:val="11"/>
              <w:spacing w:line="360" w:lineRule="auto"/>
              <w:jc w:val="center"/>
              <w:rPr>
                <w:rFonts w:hint="eastAsia"/>
                <w:sz w:val="24"/>
                <w:szCs w:val="24"/>
              </w:rPr>
            </w:pPr>
          </w:p>
        </w:tc>
        <w:tc>
          <w:tcPr>
            <w:tcW w:w="409" w:type="pct"/>
            <w:vMerge w:val="continue"/>
          </w:tcPr>
          <w:p w14:paraId="15702C08">
            <w:pPr>
              <w:pStyle w:val="11"/>
              <w:spacing w:line="360" w:lineRule="auto"/>
              <w:rPr>
                <w:rFonts w:hint="eastAsia"/>
                <w:sz w:val="24"/>
                <w:szCs w:val="24"/>
              </w:rPr>
            </w:pPr>
          </w:p>
        </w:tc>
        <w:tc>
          <w:tcPr>
            <w:tcW w:w="4077" w:type="pct"/>
          </w:tcPr>
          <w:p w14:paraId="0B55D965">
            <w:pPr>
              <w:pStyle w:val="11"/>
              <w:spacing w:line="360" w:lineRule="auto"/>
              <w:rPr>
                <w:rFonts w:hint="eastAsia"/>
                <w:sz w:val="24"/>
                <w:szCs w:val="24"/>
              </w:rPr>
            </w:pPr>
            <w:r>
              <w:rPr>
                <w:rFonts w:hint="eastAsia"/>
                <w:sz w:val="24"/>
                <w:szCs w:val="24"/>
              </w:rPr>
              <w:t>支持质控报告输出打印。</w:t>
            </w:r>
          </w:p>
        </w:tc>
      </w:tr>
      <w:tr w14:paraId="15A20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 w:type="pct"/>
          </w:tcPr>
          <w:p w14:paraId="448202F1">
            <w:pPr>
              <w:pStyle w:val="11"/>
              <w:spacing w:line="360" w:lineRule="auto"/>
              <w:jc w:val="center"/>
              <w:rPr>
                <w:rFonts w:hint="eastAsia"/>
                <w:sz w:val="24"/>
                <w:szCs w:val="24"/>
              </w:rPr>
            </w:pPr>
            <w:r>
              <w:rPr>
                <w:rFonts w:hint="eastAsia"/>
                <w:sz w:val="24"/>
                <w:szCs w:val="24"/>
              </w:rPr>
              <w:t>25</w:t>
            </w:r>
          </w:p>
        </w:tc>
        <w:tc>
          <w:tcPr>
            <w:tcW w:w="257" w:type="pct"/>
          </w:tcPr>
          <w:p w14:paraId="4AB79F42">
            <w:pPr>
              <w:pStyle w:val="11"/>
              <w:spacing w:line="360" w:lineRule="auto"/>
              <w:jc w:val="center"/>
              <w:rPr>
                <w:rFonts w:hint="eastAsia"/>
                <w:sz w:val="24"/>
                <w:szCs w:val="24"/>
              </w:rPr>
            </w:pPr>
          </w:p>
        </w:tc>
        <w:tc>
          <w:tcPr>
            <w:tcW w:w="409" w:type="pct"/>
            <w:vMerge w:val="continue"/>
          </w:tcPr>
          <w:p w14:paraId="01657A4D">
            <w:pPr>
              <w:pStyle w:val="11"/>
              <w:spacing w:line="360" w:lineRule="auto"/>
              <w:rPr>
                <w:rFonts w:hint="eastAsia"/>
                <w:sz w:val="24"/>
                <w:szCs w:val="24"/>
              </w:rPr>
            </w:pPr>
          </w:p>
        </w:tc>
        <w:tc>
          <w:tcPr>
            <w:tcW w:w="4077" w:type="pct"/>
          </w:tcPr>
          <w:p w14:paraId="2D118EDA">
            <w:pPr>
              <w:pStyle w:val="11"/>
              <w:spacing w:line="360" w:lineRule="auto"/>
              <w:rPr>
                <w:rFonts w:hint="eastAsia"/>
                <w:sz w:val="24"/>
                <w:szCs w:val="24"/>
              </w:rPr>
            </w:pPr>
            <w:r>
              <w:rPr>
                <w:rFonts w:hint="eastAsia"/>
                <w:sz w:val="24"/>
                <w:szCs w:val="24"/>
              </w:rPr>
              <w:t>同时支持运行病历质控，方便医务科、质控办或病案室质控员进行运行病历质控。</w:t>
            </w:r>
          </w:p>
        </w:tc>
      </w:tr>
      <w:tr w14:paraId="26158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 w:type="pct"/>
          </w:tcPr>
          <w:p w14:paraId="031FD18C">
            <w:pPr>
              <w:pStyle w:val="11"/>
              <w:spacing w:line="360" w:lineRule="auto"/>
              <w:jc w:val="center"/>
              <w:rPr>
                <w:rFonts w:hint="eastAsia"/>
                <w:sz w:val="24"/>
                <w:szCs w:val="24"/>
              </w:rPr>
            </w:pPr>
            <w:r>
              <w:rPr>
                <w:rFonts w:hint="eastAsia"/>
                <w:sz w:val="24"/>
                <w:szCs w:val="24"/>
              </w:rPr>
              <w:t>26</w:t>
            </w:r>
          </w:p>
        </w:tc>
        <w:tc>
          <w:tcPr>
            <w:tcW w:w="257" w:type="pct"/>
          </w:tcPr>
          <w:p w14:paraId="76B69B5F">
            <w:pPr>
              <w:pStyle w:val="11"/>
              <w:spacing w:line="360" w:lineRule="auto"/>
              <w:jc w:val="center"/>
              <w:rPr>
                <w:rFonts w:hint="eastAsia"/>
                <w:sz w:val="24"/>
                <w:szCs w:val="24"/>
              </w:rPr>
            </w:pPr>
          </w:p>
        </w:tc>
        <w:tc>
          <w:tcPr>
            <w:tcW w:w="409" w:type="pct"/>
            <w:vMerge w:val="continue"/>
          </w:tcPr>
          <w:p w14:paraId="567373DA">
            <w:pPr>
              <w:pStyle w:val="11"/>
              <w:spacing w:line="360" w:lineRule="auto"/>
              <w:rPr>
                <w:rFonts w:hint="eastAsia"/>
                <w:sz w:val="24"/>
                <w:szCs w:val="24"/>
              </w:rPr>
            </w:pPr>
          </w:p>
        </w:tc>
        <w:tc>
          <w:tcPr>
            <w:tcW w:w="4077" w:type="pct"/>
          </w:tcPr>
          <w:p w14:paraId="26304D63">
            <w:pPr>
              <w:pStyle w:val="11"/>
              <w:spacing w:line="360" w:lineRule="auto"/>
              <w:rPr>
                <w:rFonts w:hint="eastAsia"/>
                <w:sz w:val="24"/>
                <w:szCs w:val="24"/>
              </w:rPr>
            </w:pPr>
            <w:r>
              <w:rPr>
                <w:rFonts w:hint="eastAsia"/>
                <w:sz w:val="24"/>
                <w:szCs w:val="24"/>
              </w:rPr>
              <w:t>支持病历召回修改申请和取消完成申请审核。</w:t>
            </w:r>
          </w:p>
        </w:tc>
      </w:tr>
      <w:tr w14:paraId="78744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 w:type="pct"/>
          </w:tcPr>
          <w:p w14:paraId="228D56F9">
            <w:pPr>
              <w:pStyle w:val="11"/>
              <w:spacing w:line="360" w:lineRule="auto"/>
              <w:jc w:val="center"/>
              <w:rPr>
                <w:rFonts w:hint="eastAsia"/>
                <w:sz w:val="24"/>
                <w:szCs w:val="24"/>
              </w:rPr>
            </w:pPr>
            <w:r>
              <w:rPr>
                <w:rFonts w:hint="eastAsia"/>
                <w:sz w:val="24"/>
                <w:szCs w:val="24"/>
              </w:rPr>
              <w:t>27</w:t>
            </w:r>
          </w:p>
        </w:tc>
        <w:tc>
          <w:tcPr>
            <w:tcW w:w="257" w:type="pct"/>
          </w:tcPr>
          <w:p w14:paraId="234E636E">
            <w:pPr>
              <w:pStyle w:val="11"/>
              <w:spacing w:line="360" w:lineRule="auto"/>
              <w:jc w:val="center"/>
              <w:rPr>
                <w:rFonts w:hint="eastAsia"/>
                <w:sz w:val="24"/>
                <w:szCs w:val="24"/>
              </w:rPr>
            </w:pPr>
          </w:p>
        </w:tc>
        <w:tc>
          <w:tcPr>
            <w:tcW w:w="409" w:type="pct"/>
            <w:vMerge w:val="continue"/>
          </w:tcPr>
          <w:p w14:paraId="114925B1">
            <w:pPr>
              <w:pStyle w:val="11"/>
              <w:spacing w:line="360" w:lineRule="auto"/>
              <w:rPr>
                <w:rFonts w:hint="eastAsia"/>
                <w:sz w:val="24"/>
                <w:szCs w:val="24"/>
              </w:rPr>
            </w:pPr>
          </w:p>
        </w:tc>
        <w:tc>
          <w:tcPr>
            <w:tcW w:w="4077" w:type="pct"/>
          </w:tcPr>
          <w:p w14:paraId="3E37A9A7">
            <w:pPr>
              <w:pStyle w:val="11"/>
              <w:spacing w:line="360" w:lineRule="auto"/>
              <w:rPr>
                <w:rFonts w:hint="eastAsia"/>
                <w:sz w:val="24"/>
                <w:szCs w:val="24"/>
              </w:rPr>
            </w:pPr>
            <w:r>
              <w:rPr>
                <w:rFonts w:hint="eastAsia"/>
                <w:sz w:val="24"/>
                <w:szCs w:val="24"/>
              </w:rPr>
              <w:t>支持对质控反馈处理进行复核。</w:t>
            </w:r>
          </w:p>
        </w:tc>
      </w:tr>
      <w:tr w14:paraId="17CE8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 w:type="pct"/>
          </w:tcPr>
          <w:p w14:paraId="1FF759C3">
            <w:pPr>
              <w:pStyle w:val="11"/>
              <w:spacing w:line="360" w:lineRule="auto"/>
              <w:jc w:val="center"/>
              <w:rPr>
                <w:rFonts w:hint="eastAsia"/>
                <w:sz w:val="24"/>
                <w:szCs w:val="24"/>
              </w:rPr>
            </w:pPr>
            <w:r>
              <w:rPr>
                <w:rFonts w:hint="eastAsia"/>
                <w:sz w:val="24"/>
                <w:szCs w:val="24"/>
              </w:rPr>
              <w:t>28</w:t>
            </w:r>
          </w:p>
        </w:tc>
        <w:tc>
          <w:tcPr>
            <w:tcW w:w="257" w:type="pct"/>
          </w:tcPr>
          <w:p w14:paraId="6F3B5698">
            <w:pPr>
              <w:pStyle w:val="11"/>
              <w:spacing w:line="360" w:lineRule="auto"/>
              <w:jc w:val="center"/>
              <w:rPr>
                <w:rFonts w:hint="eastAsia"/>
                <w:sz w:val="24"/>
                <w:szCs w:val="24"/>
              </w:rPr>
            </w:pPr>
          </w:p>
        </w:tc>
        <w:tc>
          <w:tcPr>
            <w:tcW w:w="409" w:type="pct"/>
            <w:vMerge w:val="continue"/>
          </w:tcPr>
          <w:p w14:paraId="5275ED5E">
            <w:pPr>
              <w:pStyle w:val="11"/>
              <w:spacing w:line="360" w:lineRule="auto"/>
              <w:rPr>
                <w:rFonts w:hint="eastAsia"/>
                <w:sz w:val="24"/>
                <w:szCs w:val="24"/>
              </w:rPr>
            </w:pPr>
          </w:p>
        </w:tc>
        <w:tc>
          <w:tcPr>
            <w:tcW w:w="4077" w:type="pct"/>
          </w:tcPr>
          <w:p w14:paraId="11201B93">
            <w:pPr>
              <w:pStyle w:val="11"/>
              <w:spacing w:line="360" w:lineRule="auto"/>
              <w:rPr>
                <w:rFonts w:hint="eastAsia"/>
                <w:sz w:val="24"/>
                <w:szCs w:val="24"/>
              </w:rPr>
            </w:pPr>
            <w:r>
              <w:rPr>
                <w:rFonts w:hint="eastAsia"/>
                <w:sz w:val="24"/>
                <w:szCs w:val="24"/>
              </w:rPr>
              <w:t>支持批量终末质控。</w:t>
            </w:r>
          </w:p>
        </w:tc>
      </w:tr>
      <w:tr w14:paraId="62CC9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 w:type="pct"/>
          </w:tcPr>
          <w:p w14:paraId="6897F967">
            <w:pPr>
              <w:pStyle w:val="11"/>
              <w:spacing w:line="360" w:lineRule="auto"/>
              <w:jc w:val="center"/>
              <w:rPr>
                <w:rFonts w:hint="eastAsia"/>
                <w:sz w:val="24"/>
                <w:szCs w:val="24"/>
              </w:rPr>
            </w:pPr>
            <w:r>
              <w:rPr>
                <w:rFonts w:hint="eastAsia"/>
                <w:sz w:val="24"/>
                <w:szCs w:val="24"/>
              </w:rPr>
              <w:t>29</w:t>
            </w:r>
          </w:p>
        </w:tc>
        <w:tc>
          <w:tcPr>
            <w:tcW w:w="257" w:type="pct"/>
          </w:tcPr>
          <w:p w14:paraId="2947C2D4">
            <w:pPr>
              <w:pStyle w:val="11"/>
              <w:spacing w:line="360" w:lineRule="auto"/>
              <w:jc w:val="center"/>
              <w:rPr>
                <w:rFonts w:hint="eastAsia"/>
                <w:sz w:val="24"/>
                <w:szCs w:val="24"/>
              </w:rPr>
            </w:pPr>
          </w:p>
        </w:tc>
        <w:tc>
          <w:tcPr>
            <w:tcW w:w="409" w:type="pct"/>
            <w:vMerge w:val="restart"/>
          </w:tcPr>
          <w:p w14:paraId="410A13C3">
            <w:pPr>
              <w:pStyle w:val="11"/>
              <w:spacing w:line="360" w:lineRule="auto"/>
              <w:rPr>
                <w:rFonts w:hint="eastAsia"/>
                <w:sz w:val="24"/>
                <w:szCs w:val="24"/>
              </w:rPr>
            </w:pPr>
            <w:r>
              <w:rPr>
                <w:rFonts w:hint="eastAsia"/>
                <w:sz w:val="24"/>
                <w:szCs w:val="24"/>
              </w:rPr>
              <w:t>病历质控抽查</w:t>
            </w:r>
          </w:p>
        </w:tc>
        <w:tc>
          <w:tcPr>
            <w:tcW w:w="4077" w:type="pct"/>
          </w:tcPr>
          <w:p w14:paraId="3AA4E406">
            <w:pPr>
              <w:pStyle w:val="11"/>
              <w:spacing w:line="360" w:lineRule="auto"/>
              <w:rPr>
                <w:rFonts w:hint="eastAsia"/>
                <w:sz w:val="24"/>
                <w:szCs w:val="24"/>
              </w:rPr>
            </w:pPr>
            <w:r>
              <w:rPr>
                <w:rFonts w:hint="eastAsia"/>
                <w:sz w:val="24"/>
                <w:szCs w:val="24"/>
              </w:rPr>
              <w:t>支持批量质控抽查，可通过患者类型进行过滤筛选，可选择必抽患者类型，根据患者类型的优先级进行患者抽取。</w:t>
            </w:r>
          </w:p>
        </w:tc>
      </w:tr>
      <w:tr w14:paraId="5DC5D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 w:type="pct"/>
          </w:tcPr>
          <w:p w14:paraId="5F068216">
            <w:pPr>
              <w:pStyle w:val="11"/>
              <w:spacing w:line="360" w:lineRule="auto"/>
              <w:jc w:val="center"/>
              <w:rPr>
                <w:rFonts w:hint="eastAsia"/>
                <w:sz w:val="24"/>
                <w:szCs w:val="24"/>
              </w:rPr>
            </w:pPr>
            <w:r>
              <w:rPr>
                <w:rFonts w:hint="eastAsia"/>
                <w:sz w:val="24"/>
                <w:szCs w:val="24"/>
              </w:rPr>
              <w:t>30</w:t>
            </w:r>
          </w:p>
        </w:tc>
        <w:tc>
          <w:tcPr>
            <w:tcW w:w="257" w:type="pct"/>
          </w:tcPr>
          <w:p w14:paraId="17B98167">
            <w:pPr>
              <w:pStyle w:val="11"/>
              <w:spacing w:line="360" w:lineRule="auto"/>
              <w:jc w:val="center"/>
              <w:rPr>
                <w:rFonts w:hint="eastAsia"/>
                <w:sz w:val="24"/>
                <w:szCs w:val="24"/>
              </w:rPr>
            </w:pPr>
          </w:p>
        </w:tc>
        <w:tc>
          <w:tcPr>
            <w:tcW w:w="409" w:type="pct"/>
            <w:vMerge w:val="continue"/>
          </w:tcPr>
          <w:p w14:paraId="42A6061D">
            <w:pPr>
              <w:pStyle w:val="11"/>
              <w:spacing w:line="360" w:lineRule="auto"/>
              <w:rPr>
                <w:rFonts w:hint="eastAsia"/>
                <w:sz w:val="24"/>
                <w:szCs w:val="24"/>
              </w:rPr>
            </w:pPr>
          </w:p>
        </w:tc>
        <w:tc>
          <w:tcPr>
            <w:tcW w:w="4077" w:type="pct"/>
          </w:tcPr>
          <w:p w14:paraId="76455B20">
            <w:pPr>
              <w:pStyle w:val="11"/>
              <w:spacing w:line="360" w:lineRule="auto"/>
              <w:rPr>
                <w:rFonts w:hint="eastAsia"/>
                <w:sz w:val="24"/>
                <w:szCs w:val="24"/>
              </w:rPr>
            </w:pPr>
            <w:r>
              <w:rPr>
                <w:rFonts w:hint="eastAsia"/>
                <w:sz w:val="24"/>
                <w:szCs w:val="24"/>
              </w:rPr>
              <w:t>支持批量质控抽查患者分配质控员进行质控。</w:t>
            </w:r>
          </w:p>
        </w:tc>
      </w:tr>
      <w:tr w14:paraId="011AE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 w:type="pct"/>
          </w:tcPr>
          <w:p w14:paraId="0AD323E8">
            <w:pPr>
              <w:pStyle w:val="11"/>
              <w:spacing w:line="360" w:lineRule="auto"/>
              <w:jc w:val="center"/>
              <w:rPr>
                <w:rFonts w:hint="eastAsia"/>
                <w:sz w:val="24"/>
                <w:szCs w:val="24"/>
              </w:rPr>
            </w:pPr>
            <w:r>
              <w:rPr>
                <w:rFonts w:hint="eastAsia"/>
                <w:sz w:val="24"/>
                <w:szCs w:val="24"/>
              </w:rPr>
              <w:t>31</w:t>
            </w:r>
          </w:p>
        </w:tc>
        <w:tc>
          <w:tcPr>
            <w:tcW w:w="257" w:type="pct"/>
          </w:tcPr>
          <w:p w14:paraId="61152F48">
            <w:pPr>
              <w:pStyle w:val="11"/>
              <w:spacing w:line="360" w:lineRule="auto"/>
              <w:jc w:val="center"/>
              <w:rPr>
                <w:rFonts w:hint="eastAsia"/>
                <w:sz w:val="24"/>
                <w:szCs w:val="24"/>
              </w:rPr>
            </w:pPr>
          </w:p>
        </w:tc>
        <w:tc>
          <w:tcPr>
            <w:tcW w:w="409" w:type="pct"/>
            <w:vMerge w:val="continue"/>
          </w:tcPr>
          <w:p w14:paraId="04C3B93F">
            <w:pPr>
              <w:pStyle w:val="11"/>
              <w:spacing w:line="360" w:lineRule="auto"/>
              <w:rPr>
                <w:rFonts w:hint="eastAsia"/>
                <w:sz w:val="24"/>
                <w:szCs w:val="24"/>
              </w:rPr>
            </w:pPr>
          </w:p>
        </w:tc>
        <w:tc>
          <w:tcPr>
            <w:tcW w:w="4077" w:type="pct"/>
          </w:tcPr>
          <w:p w14:paraId="63A6626D">
            <w:pPr>
              <w:pStyle w:val="11"/>
              <w:spacing w:line="360" w:lineRule="auto"/>
              <w:rPr>
                <w:rFonts w:hint="eastAsia"/>
                <w:sz w:val="24"/>
                <w:szCs w:val="24"/>
              </w:rPr>
            </w:pPr>
            <w:r>
              <w:rPr>
                <w:rFonts w:hint="eastAsia"/>
                <w:sz w:val="24"/>
                <w:szCs w:val="24"/>
              </w:rPr>
              <w:t>支持批量抽查分配时根据指控范围进行自动分配。</w:t>
            </w:r>
          </w:p>
        </w:tc>
      </w:tr>
      <w:tr w14:paraId="61E51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 w:type="pct"/>
          </w:tcPr>
          <w:p w14:paraId="00156CAB">
            <w:pPr>
              <w:pStyle w:val="11"/>
              <w:spacing w:line="360" w:lineRule="auto"/>
              <w:jc w:val="center"/>
              <w:rPr>
                <w:rFonts w:hint="eastAsia"/>
                <w:sz w:val="24"/>
                <w:szCs w:val="24"/>
              </w:rPr>
            </w:pPr>
            <w:r>
              <w:rPr>
                <w:rFonts w:hint="eastAsia"/>
                <w:sz w:val="24"/>
                <w:szCs w:val="24"/>
              </w:rPr>
              <w:t>32</w:t>
            </w:r>
          </w:p>
        </w:tc>
        <w:tc>
          <w:tcPr>
            <w:tcW w:w="257" w:type="pct"/>
          </w:tcPr>
          <w:p w14:paraId="50F68AF4">
            <w:pPr>
              <w:pStyle w:val="11"/>
              <w:spacing w:line="360" w:lineRule="auto"/>
              <w:jc w:val="center"/>
              <w:rPr>
                <w:rFonts w:hint="eastAsia"/>
                <w:sz w:val="24"/>
                <w:szCs w:val="24"/>
              </w:rPr>
            </w:pPr>
          </w:p>
        </w:tc>
        <w:tc>
          <w:tcPr>
            <w:tcW w:w="409" w:type="pct"/>
            <w:vMerge w:val="continue"/>
          </w:tcPr>
          <w:p w14:paraId="1D3D85C6">
            <w:pPr>
              <w:pStyle w:val="11"/>
              <w:spacing w:line="360" w:lineRule="auto"/>
              <w:rPr>
                <w:rFonts w:hint="eastAsia"/>
                <w:sz w:val="24"/>
                <w:szCs w:val="24"/>
              </w:rPr>
            </w:pPr>
          </w:p>
        </w:tc>
        <w:tc>
          <w:tcPr>
            <w:tcW w:w="4077" w:type="pct"/>
          </w:tcPr>
          <w:p w14:paraId="5C41C310">
            <w:pPr>
              <w:pStyle w:val="11"/>
              <w:spacing w:line="360" w:lineRule="auto"/>
              <w:rPr>
                <w:rFonts w:hint="eastAsia"/>
                <w:sz w:val="24"/>
                <w:szCs w:val="24"/>
              </w:rPr>
            </w:pPr>
            <w:r>
              <w:rPr>
                <w:rFonts w:hint="eastAsia"/>
                <w:sz w:val="24"/>
                <w:szCs w:val="24"/>
              </w:rPr>
              <w:t>支持批量抽查动态均衡分配，保证每个医生都能被平均抽取。</w:t>
            </w:r>
          </w:p>
        </w:tc>
      </w:tr>
      <w:tr w14:paraId="4AC8A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 w:type="pct"/>
          </w:tcPr>
          <w:p w14:paraId="2CB9D54F">
            <w:pPr>
              <w:pStyle w:val="11"/>
              <w:spacing w:line="360" w:lineRule="auto"/>
              <w:jc w:val="center"/>
              <w:rPr>
                <w:rFonts w:hint="eastAsia"/>
                <w:sz w:val="24"/>
                <w:szCs w:val="24"/>
              </w:rPr>
            </w:pPr>
            <w:r>
              <w:rPr>
                <w:rFonts w:hint="eastAsia"/>
                <w:sz w:val="24"/>
                <w:szCs w:val="24"/>
              </w:rPr>
              <w:t>33</w:t>
            </w:r>
          </w:p>
        </w:tc>
        <w:tc>
          <w:tcPr>
            <w:tcW w:w="257" w:type="pct"/>
          </w:tcPr>
          <w:p w14:paraId="7038F01E">
            <w:pPr>
              <w:pStyle w:val="11"/>
              <w:spacing w:line="360" w:lineRule="auto"/>
              <w:jc w:val="center"/>
              <w:rPr>
                <w:rFonts w:hint="eastAsia"/>
                <w:sz w:val="24"/>
                <w:szCs w:val="24"/>
              </w:rPr>
            </w:pPr>
          </w:p>
        </w:tc>
        <w:tc>
          <w:tcPr>
            <w:tcW w:w="409" w:type="pct"/>
            <w:vMerge w:val="continue"/>
          </w:tcPr>
          <w:p w14:paraId="5360A67C">
            <w:pPr>
              <w:pStyle w:val="11"/>
              <w:spacing w:line="360" w:lineRule="auto"/>
              <w:rPr>
                <w:rFonts w:hint="eastAsia"/>
                <w:sz w:val="24"/>
                <w:szCs w:val="24"/>
              </w:rPr>
            </w:pPr>
          </w:p>
        </w:tc>
        <w:tc>
          <w:tcPr>
            <w:tcW w:w="4077" w:type="pct"/>
          </w:tcPr>
          <w:p w14:paraId="3DDFB8FD">
            <w:pPr>
              <w:pStyle w:val="11"/>
              <w:spacing w:line="360" w:lineRule="auto"/>
              <w:rPr>
                <w:rFonts w:hint="eastAsia"/>
                <w:sz w:val="24"/>
                <w:szCs w:val="24"/>
              </w:rPr>
            </w:pPr>
            <w:r>
              <w:rPr>
                <w:rFonts w:hint="eastAsia"/>
                <w:sz w:val="24"/>
                <w:szCs w:val="24"/>
              </w:rPr>
              <w:t>支持批量质控抽查，可通过患者类型进行过滤筛选，可选择必抽患者类型，根据患者类型的优先级进行患者抽取。</w:t>
            </w:r>
          </w:p>
        </w:tc>
      </w:tr>
      <w:tr w14:paraId="05DFC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 w:type="pct"/>
          </w:tcPr>
          <w:p w14:paraId="0F02EFCB">
            <w:pPr>
              <w:pStyle w:val="11"/>
              <w:spacing w:line="360" w:lineRule="auto"/>
              <w:jc w:val="center"/>
              <w:rPr>
                <w:rFonts w:hint="eastAsia"/>
                <w:sz w:val="24"/>
                <w:szCs w:val="24"/>
              </w:rPr>
            </w:pPr>
            <w:r>
              <w:rPr>
                <w:rFonts w:hint="eastAsia"/>
                <w:sz w:val="24"/>
                <w:szCs w:val="24"/>
              </w:rPr>
              <w:t>34</w:t>
            </w:r>
          </w:p>
        </w:tc>
        <w:tc>
          <w:tcPr>
            <w:tcW w:w="257" w:type="pct"/>
          </w:tcPr>
          <w:p w14:paraId="7EB5F97D">
            <w:pPr>
              <w:pStyle w:val="11"/>
              <w:spacing w:line="360" w:lineRule="auto"/>
              <w:jc w:val="center"/>
              <w:rPr>
                <w:rFonts w:hint="eastAsia"/>
                <w:sz w:val="24"/>
                <w:szCs w:val="24"/>
              </w:rPr>
            </w:pPr>
          </w:p>
        </w:tc>
        <w:tc>
          <w:tcPr>
            <w:tcW w:w="409" w:type="pct"/>
            <w:vMerge w:val="continue"/>
          </w:tcPr>
          <w:p w14:paraId="263119D6">
            <w:pPr>
              <w:pStyle w:val="11"/>
              <w:spacing w:line="360" w:lineRule="auto"/>
              <w:rPr>
                <w:rFonts w:hint="eastAsia"/>
                <w:sz w:val="24"/>
                <w:szCs w:val="24"/>
              </w:rPr>
            </w:pPr>
          </w:p>
        </w:tc>
        <w:tc>
          <w:tcPr>
            <w:tcW w:w="4077" w:type="pct"/>
          </w:tcPr>
          <w:p w14:paraId="44B8F019">
            <w:pPr>
              <w:pStyle w:val="11"/>
              <w:spacing w:line="360" w:lineRule="auto"/>
              <w:rPr>
                <w:rFonts w:hint="eastAsia"/>
                <w:sz w:val="24"/>
                <w:szCs w:val="24"/>
              </w:rPr>
            </w:pPr>
            <w:r>
              <w:rPr>
                <w:rFonts w:hint="eastAsia"/>
                <w:sz w:val="24"/>
                <w:szCs w:val="24"/>
              </w:rPr>
              <w:t>支持批量质控抽查患者分配质控员进行质控。</w:t>
            </w:r>
          </w:p>
        </w:tc>
      </w:tr>
      <w:tr w14:paraId="75F10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 w:type="pct"/>
          </w:tcPr>
          <w:p w14:paraId="742C02EA">
            <w:pPr>
              <w:pStyle w:val="11"/>
              <w:spacing w:line="360" w:lineRule="auto"/>
              <w:jc w:val="center"/>
              <w:rPr>
                <w:rFonts w:hint="eastAsia"/>
                <w:sz w:val="24"/>
                <w:szCs w:val="24"/>
              </w:rPr>
            </w:pPr>
            <w:r>
              <w:rPr>
                <w:rFonts w:hint="eastAsia"/>
                <w:sz w:val="24"/>
                <w:szCs w:val="24"/>
              </w:rPr>
              <w:t>35</w:t>
            </w:r>
          </w:p>
        </w:tc>
        <w:tc>
          <w:tcPr>
            <w:tcW w:w="257" w:type="pct"/>
          </w:tcPr>
          <w:p w14:paraId="5778B9E7">
            <w:pPr>
              <w:pStyle w:val="11"/>
              <w:spacing w:line="360" w:lineRule="auto"/>
              <w:jc w:val="center"/>
              <w:rPr>
                <w:rFonts w:hint="eastAsia"/>
                <w:sz w:val="24"/>
                <w:szCs w:val="24"/>
              </w:rPr>
            </w:pPr>
          </w:p>
        </w:tc>
        <w:tc>
          <w:tcPr>
            <w:tcW w:w="409" w:type="pct"/>
            <w:vMerge w:val="continue"/>
          </w:tcPr>
          <w:p w14:paraId="4D80A62A">
            <w:pPr>
              <w:pStyle w:val="11"/>
              <w:spacing w:line="360" w:lineRule="auto"/>
              <w:rPr>
                <w:rFonts w:hint="eastAsia"/>
                <w:sz w:val="24"/>
                <w:szCs w:val="24"/>
              </w:rPr>
            </w:pPr>
          </w:p>
        </w:tc>
        <w:tc>
          <w:tcPr>
            <w:tcW w:w="4077" w:type="pct"/>
          </w:tcPr>
          <w:p w14:paraId="5B736B87">
            <w:pPr>
              <w:pStyle w:val="11"/>
              <w:spacing w:line="360" w:lineRule="auto"/>
              <w:rPr>
                <w:rFonts w:hint="eastAsia"/>
                <w:sz w:val="24"/>
                <w:szCs w:val="24"/>
              </w:rPr>
            </w:pPr>
            <w:r>
              <w:rPr>
                <w:rFonts w:hint="eastAsia"/>
                <w:sz w:val="24"/>
                <w:szCs w:val="24"/>
              </w:rPr>
              <w:t>支持批量抽查分配时根据指控范围进行自动分配。</w:t>
            </w:r>
          </w:p>
        </w:tc>
      </w:tr>
      <w:tr w14:paraId="106AC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 w:type="pct"/>
          </w:tcPr>
          <w:p w14:paraId="3A52998C">
            <w:pPr>
              <w:pStyle w:val="11"/>
              <w:spacing w:line="360" w:lineRule="auto"/>
              <w:jc w:val="center"/>
              <w:rPr>
                <w:rFonts w:hint="eastAsia"/>
                <w:sz w:val="24"/>
                <w:szCs w:val="24"/>
              </w:rPr>
            </w:pPr>
            <w:r>
              <w:rPr>
                <w:rFonts w:hint="eastAsia"/>
                <w:sz w:val="24"/>
                <w:szCs w:val="24"/>
              </w:rPr>
              <w:t>36</w:t>
            </w:r>
          </w:p>
        </w:tc>
        <w:tc>
          <w:tcPr>
            <w:tcW w:w="257" w:type="pct"/>
          </w:tcPr>
          <w:p w14:paraId="0DD95E9D">
            <w:pPr>
              <w:pStyle w:val="11"/>
              <w:spacing w:line="360" w:lineRule="auto"/>
              <w:jc w:val="center"/>
              <w:rPr>
                <w:rFonts w:hint="eastAsia"/>
                <w:sz w:val="24"/>
                <w:szCs w:val="24"/>
              </w:rPr>
            </w:pPr>
          </w:p>
        </w:tc>
        <w:tc>
          <w:tcPr>
            <w:tcW w:w="409" w:type="pct"/>
          </w:tcPr>
          <w:p w14:paraId="670F5CD6">
            <w:pPr>
              <w:pStyle w:val="11"/>
              <w:spacing w:line="360" w:lineRule="auto"/>
              <w:rPr>
                <w:rFonts w:hint="eastAsia"/>
                <w:sz w:val="24"/>
                <w:szCs w:val="24"/>
              </w:rPr>
            </w:pPr>
            <w:r>
              <w:rPr>
                <w:rFonts w:hint="eastAsia"/>
                <w:sz w:val="24"/>
                <w:szCs w:val="24"/>
              </w:rPr>
              <w:t>取消完成审核</w:t>
            </w:r>
          </w:p>
        </w:tc>
        <w:tc>
          <w:tcPr>
            <w:tcW w:w="4077" w:type="pct"/>
          </w:tcPr>
          <w:p w14:paraId="53697999">
            <w:pPr>
              <w:pStyle w:val="11"/>
              <w:spacing w:line="360" w:lineRule="auto"/>
              <w:rPr>
                <w:rFonts w:hint="eastAsia"/>
                <w:sz w:val="24"/>
                <w:szCs w:val="24"/>
              </w:rPr>
            </w:pPr>
            <w:r>
              <w:rPr>
                <w:rFonts w:hint="eastAsia"/>
                <w:sz w:val="24"/>
                <w:szCs w:val="24"/>
              </w:rPr>
              <w:t>支持取消病历完成申请审核。</w:t>
            </w:r>
          </w:p>
        </w:tc>
      </w:tr>
      <w:tr w14:paraId="48083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 w:type="pct"/>
          </w:tcPr>
          <w:p w14:paraId="6B3E1C39">
            <w:pPr>
              <w:pStyle w:val="11"/>
              <w:spacing w:line="360" w:lineRule="auto"/>
              <w:jc w:val="center"/>
              <w:rPr>
                <w:rFonts w:hint="eastAsia"/>
                <w:sz w:val="24"/>
                <w:szCs w:val="24"/>
              </w:rPr>
            </w:pPr>
            <w:r>
              <w:rPr>
                <w:rFonts w:hint="eastAsia"/>
                <w:sz w:val="24"/>
                <w:szCs w:val="24"/>
              </w:rPr>
              <w:t>37</w:t>
            </w:r>
          </w:p>
        </w:tc>
        <w:tc>
          <w:tcPr>
            <w:tcW w:w="257" w:type="pct"/>
          </w:tcPr>
          <w:p w14:paraId="48CD9591">
            <w:pPr>
              <w:pStyle w:val="11"/>
              <w:spacing w:line="360" w:lineRule="auto"/>
              <w:jc w:val="center"/>
              <w:rPr>
                <w:rFonts w:hint="eastAsia"/>
                <w:sz w:val="24"/>
                <w:szCs w:val="24"/>
              </w:rPr>
            </w:pPr>
          </w:p>
        </w:tc>
        <w:tc>
          <w:tcPr>
            <w:tcW w:w="409" w:type="pct"/>
          </w:tcPr>
          <w:p w14:paraId="11EFB405">
            <w:pPr>
              <w:pStyle w:val="11"/>
              <w:spacing w:line="360" w:lineRule="auto"/>
              <w:rPr>
                <w:rFonts w:hint="eastAsia"/>
                <w:sz w:val="24"/>
                <w:szCs w:val="24"/>
              </w:rPr>
            </w:pPr>
            <w:r>
              <w:rPr>
                <w:rFonts w:hint="eastAsia"/>
                <w:sz w:val="24"/>
                <w:szCs w:val="24"/>
              </w:rPr>
              <w:t>超时审核</w:t>
            </w:r>
          </w:p>
        </w:tc>
        <w:tc>
          <w:tcPr>
            <w:tcW w:w="4077" w:type="pct"/>
          </w:tcPr>
          <w:p w14:paraId="33D9DD36">
            <w:pPr>
              <w:pStyle w:val="11"/>
              <w:spacing w:line="360" w:lineRule="auto"/>
              <w:rPr>
                <w:rFonts w:hint="eastAsia"/>
                <w:sz w:val="24"/>
                <w:szCs w:val="24"/>
              </w:rPr>
            </w:pPr>
            <w:r>
              <w:rPr>
                <w:rFonts w:hint="eastAsia"/>
                <w:sz w:val="24"/>
                <w:szCs w:val="24"/>
              </w:rPr>
              <w:t>支持病历超时书写申请、审核。</w:t>
            </w:r>
          </w:p>
        </w:tc>
      </w:tr>
    </w:tbl>
    <w:p w14:paraId="7F80A31F">
      <w:pPr>
        <w:pStyle w:val="3"/>
        <w:spacing w:line="360" w:lineRule="auto"/>
        <w:rPr>
          <w:rFonts w:hint="eastAsia" w:hAnsi="宋体" w:cs="宋体"/>
          <w:szCs w:val="24"/>
          <w:u w:val="none"/>
        </w:rPr>
      </w:pPr>
      <w:r>
        <w:rPr>
          <w:rFonts w:hint="eastAsia" w:hAnsi="宋体" w:cs="宋体"/>
          <w:szCs w:val="24"/>
          <w:u w:val="none"/>
        </w:rPr>
        <w:t>3.4 病历日常管理技术要求</w:t>
      </w:r>
    </w:p>
    <w:tbl>
      <w:tblPr>
        <w:tblStyle w:val="7"/>
        <w:tblW w:w="503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7"/>
        <w:gridCol w:w="457"/>
        <w:gridCol w:w="989"/>
        <w:gridCol w:w="6684"/>
      </w:tblGrid>
      <w:tr w14:paraId="29E1A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 w:type="pct"/>
            <w:vAlign w:val="center"/>
          </w:tcPr>
          <w:p w14:paraId="04FEC816">
            <w:pPr>
              <w:pStyle w:val="11"/>
              <w:spacing w:line="360" w:lineRule="auto"/>
              <w:jc w:val="center"/>
              <w:rPr>
                <w:rFonts w:hint="eastAsia"/>
                <w:b/>
                <w:bCs/>
                <w:sz w:val="24"/>
                <w:szCs w:val="24"/>
              </w:rPr>
            </w:pPr>
            <w:r>
              <w:rPr>
                <w:rFonts w:hint="eastAsia"/>
                <w:b/>
                <w:bCs/>
                <w:sz w:val="24"/>
                <w:szCs w:val="24"/>
              </w:rPr>
              <w:t>序号</w:t>
            </w:r>
          </w:p>
        </w:tc>
        <w:tc>
          <w:tcPr>
            <w:tcW w:w="255" w:type="pct"/>
            <w:vAlign w:val="center"/>
          </w:tcPr>
          <w:p w14:paraId="3D4EB628">
            <w:pPr>
              <w:pStyle w:val="11"/>
              <w:spacing w:line="360" w:lineRule="auto"/>
              <w:jc w:val="center"/>
              <w:rPr>
                <w:rFonts w:hint="eastAsia"/>
                <w:b/>
                <w:bCs/>
                <w:sz w:val="24"/>
                <w:szCs w:val="24"/>
              </w:rPr>
            </w:pPr>
            <w:r>
              <w:rPr>
                <w:rFonts w:hint="eastAsia"/>
                <w:b/>
                <w:bCs/>
                <w:sz w:val="24"/>
                <w:szCs w:val="24"/>
              </w:rPr>
              <w:t>标记</w:t>
            </w:r>
          </w:p>
        </w:tc>
        <w:tc>
          <w:tcPr>
            <w:tcW w:w="587" w:type="pct"/>
          </w:tcPr>
          <w:p w14:paraId="0FAEDEEC">
            <w:pPr>
              <w:pStyle w:val="11"/>
              <w:spacing w:line="360" w:lineRule="auto"/>
              <w:jc w:val="center"/>
              <w:rPr>
                <w:rFonts w:hint="eastAsia"/>
                <w:b/>
                <w:bCs/>
                <w:sz w:val="24"/>
                <w:szCs w:val="24"/>
              </w:rPr>
            </w:pPr>
            <w:r>
              <w:rPr>
                <w:rFonts w:hint="eastAsia"/>
                <w:b/>
                <w:bCs/>
                <w:sz w:val="24"/>
                <w:szCs w:val="24"/>
              </w:rPr>
              <w:t>指标类别</w:t>
            </w:r>
          </w:p>
        </w:tc>
        <w:tc>
          <w:tcPr>
            <w:tcW w:w="3902" w:type="pct"/>
            <w:vAlign w:val="center"/>
          </w:tcPr>
          <w:p w14:paraId="42AAB4AA">
            <w:pPr>
              <w:pStyle w:val="11"/>
              <w:spacing w:line="360" w:lineRule="auto"/>
              <w:jc w:val="center"/>
              <w:rPr>
                <w:rFonts w:hint="eastAsia"/>
                <w:b/>
                <w:bCs/>
                <w:sz w:val="24"/>
                <w:szCs w:val="24"/>
              </w:rPr>
            </w:pPr>
            <w:r>
              <w:rPr>
                <w:rFonts w:hint="eastAsia"/>
                <w:b/>
                <w:bCs/>
                <w:sz w:val="24"/>
                <w:szCs w:val="24"/>
              </w:rPr>
              <w:t>技术指标要求</w:t>
            </w:r>
          </w:p>
        </w:tc>
      </w:tr>
      <w:tr w14:paraId="41A74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 w:type="pct"/>
          </w:tcPr>
          <w:p w14:paraId="511133FD">
            <w:pPr>
              <w:pStyle w:val="11"/>
              <w:spacing w:line="360" w:lineRule="auto"/>
              <w:jc w:val="center"/>
              <w:rPr>
                <w:rFonts w:hint="eastAsia"/>
                <w:sz w:val="24"/>
                <w:szCs w:val="24"/>
              </w:rPr>
            </w:pPr>
            <w:r>
              <w:rPr>
                <w:rFonts w:hint="eastAsia"/>
                <w:sz w:val="24"/>
                <w:szCs w:val="24"/>
              </w:rPr>
              <w:t>1</w:t>
            </w:r>
          </w:p>
        </w:tc>
        <w:tc>
          <w:tcPr>
            <w:tcW w:w="255" w:type="pct"/>
          </w:tcPr>
          <w:p w14:paraId="1C0458C3">
            <w:pPr>
              <w:pStyle w:val="11"/>
              <w:spacing w:line="360" w:lineRule="auto"/>
              <w:jc w:val="center"/>
              <w:rPr>
                <w:rFonts w:hint="eastAsia"/>
                <w:sz w:val="24"/>
                <w:szCs w:val="24"/>
              </w:rPr>
            </w:pPr>
          </w:p>
        </w:tc>
        <w:tc>
          <w:tcPr>
            <w:tcW w:w="587" w:type="pct"/>
            <w:vMerge w:val="restart"/>
          </w:tcPr>
          <w:p w14:paraId="6DCE013C">
            <w:pPr>
              <w:pStyle w:val="11"/>
              <w:spacing w:line="360" w:lineRule="auto"/>
              <w:rPr>
                <w:rFonts w:hint="eastAsia"/>
                <w:sz w:val="24"/>
                <w:szCs w:val="24"/>
              </w:rPr>
            </w:pPr>
            <w:r>
              <w:rPr>
                <w:rFonts w:hint="eastAsia"/>
                <w:sz w:val="24"/>
                <w:szCs w:val="24"/>
              </w:rPr>
              <w:t>病历归档管理</w:t>
            </w:r>
          </w:p>
        </w:tc>
        <w:tc>
          <w:tcPr>
            <w:tcW w:w="3902" w:type="pct"/>
          </w:tcPr>
          <w:p w14:paraId="1312572E">
            <w:pPr>
              <w:pStyle w:val="11"/>
              <w:spacing w:line="360" w:lineRule="auto"/>
              <w:rPr>
                <w:rFonts w:hint="eastAsia"/>
                <w:sz w:val="24"/>
                <w:szCs w:val="24"/>
              </w:rPr>
            </w:pPr>
            <w:r>
              <w:rPr>
                <w:rFonts w:hint="eastAsia"/>
                <w:sz w:val="24"/>
                <w:szCs w:val="24"/>
              </w:rPr>
              <w:t>支持病历完成病人批量病历归档和取消归档。</w:t>
            </w:r>
          </w:p>
        </w:tc>
      </w:tr>
      <w:tr w14:paraId="346BA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 w:type="pct"/>
          </w:tcPr>
          <w:p w14:paraId="4965E773">
            <w:pPr>
              <w:pStyle w:val="11"/>
              <w:spacing w:line="360" w:lineRule="auto"/>
              <w:jc w:val="center"/>
              <w:rPr>
                <w:rFonts w:hint="eastAsia"/>
                <w:sz w:val="24"/>
                <w:szCs w:val="24"/>
              </w:rPr>
            </w:pPr>
            <w:r>
              <w:rPr>
                <w:rFonts w:hint="eastAsia"/>
                <w:sz w:val="24"/>
                <w:szCs w:val="24"/>
              </w:rPr>
              <w:t>2</w:t>
            </w:r>
          </w:p>
        </w:tc>
        <w:tc>
          <w:tcPr>
            <w:tcW w:w="255" w:type="pct"/>
          </w:tcPr>
          <w:p w14:paraId="656D0842">
            <w:pPr>
              <w:pStyle w:val="11"/>
              <w:spacing w:line="360" w:lineRule="auto"/>
              <w:jc w:val="center"/>
              <w:rPr>
                <w:rFonts w:hint="eastAsia"/>
                <w:sz w:val="24"/>
                <w:szCs w:val="24"/>
              </w:rPr>
            </w:pPr>
          </w:p>
        </w:tc>
        <w:tc>
          <w:tcPr>
            <w:tcW w:w="587" w:type="pct"/>
            <w:vMerge w:val="continue"/>
          </w:tcPr>
          <w:p w14:paraId="22E2B1E2">
            <w:pPr>
              <w:pStyle w:val="11"/>
              <w:spacing w:line="360" w:lineRule="auto"/>
              <w:rPr>
                <w:rFonts w:hint="eastAsia"/>
                <w:sz w:val="24"/>
                <w:szCs w:val="24"/>
              </w:rPr>
            </w:pPr>
          </w:p>
        </w:tc>
        <w:tc>
          <w:tcPr>
            <w:tcW w:w="3902" w:type="pct"/>
          </w:tcPr>
          <w:p w14:paraId="6DCEDFC6">
            <w:pPr>
              <w:pStyle w:val="11"/>
              <w:spacing w:line="360" w:lineRule="auto"/>
              <w:rPr>
                <w:rFonts w:hint="eastAsia"/>
                <w:sz w:val="24"/>
                <w:szCs w:val="24"/>
              </w:rPr>
            </w:pPr>
            <w:r>
              <w:rPr>
                <w:rFonts w:hint="eastAsia"/>
                <w:sz w:val="24"/>
                <w:szCs w:val="24"/>
              </w:rPr>
              <w:t>支持调整病历归档时间。</w:t>
            </w:r>
          </w:p>
        </w:tc>
      </w:tr>
      <w:tr w14:paraId="4B50B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 w:type="pct"/>
          </w:tcPr>
          <w:p w14:paraId="2067317B">
            <w:pPr>
              <w:pStyle w:val="11"/>
              <w:spacing w:line="360" w:lineRule="auto"/>
              <w:jc w:val="center"/>
              <w:rPr>
                <w:rFonts w:hint="eastAsia"/>
                <w:sz w:val="24"/>
                <w:szCs w:val="24"/>
              </w:rPr>
            </w:pPr>
            <w:r>
              <w:rPr>
                <w:rFonts w:hint="eastAsia"/>
                <w:sz w:val="24"/>
                <w:szCs w:val="24"/>
              </w:rPr>
              <w:t>3</w:t>
            </w:r>
          </w:p>
        </w:tc>
        <w:tc>
          <w:tcPr>
            <w:tcW w:w="255" w:type="pct"/>
          </w:tcPr>
          <w:p w14:paraId="31E1F77A">
            <w:pPr>
              <w:pStyle w:val="11"/>
              <w:spacing w:line="360" w:lineRule="auto"/>
              <w:jc w:val="center"/>
              <w:rPr>
                <w:rFonts w:hint="eastAsia"/>
                <w:sz w:val="24"/>
                <w:szCs w:val="24"/>
              </w:rPr>
            </w:pPr>
          </w:p>
        </w:tc>
        <w:tc>
          <w:tcPr>
            <w:tcW w:w="587" w:type="pct"/>
            <w:vMerge w:val="continue"/>
          </w:tcPr>
          <w:p w14:paraId="44DFDB36">
            <w:pPr>
              <w:pStyle w:val="11"/>
              <w:spacing w:line="360" w:lineRule="auto"/>
              <w:rPr>
                <w:rFonts w:hint="eastAsia"/>
                <w:sz w:val="24"/>
                <w:szCs w:val="24"/>
              </w:rPr>
            </w:pPr>
          </w:p>
        </w:tc>
        <w:tc>
          <w:tcPr>
            <w:tcW w:w="3902" w:type="pct"/>
          </w:tcPr>
          <w:p w14:paraId="5AE982ED">
            <w:pPr>
              <w:pStyle w:val="11"/>
              <w:spacing w:line="360" w:lineRule="auto"/>
              <w:rPr>
                <w:rFonts w:hint="eastAsia"/>
                <w:sz w:val="24"/>
                <w:szCs w:val="24"/>
              </w:rPr>
            </w:pPr>
            <w:r>
              <w:rPr>
                <w:rFonts w:hint="eastAsia"/>
                <w:sz w:val="24"/>
                <w:szCs w:val="24"/>
              </w:rPr>
              <w:t>支持病历归档列表输出打印。</w:t>
            </w:r>
          </w:p>
        </w:tc>
      </w:tr>
      <w:tr w14:paraId="09BBD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 w:type="pct"/>
          </w:tcPr>
          <w:p w14:paraId="725F7020">
            <w:pPr>
              <w:pStyle w:val="11"/>
              <w:spacing w:line="360" w:lineRule="auto"/>
              <w:jc w:val="center"/>
              <w:rPr>
                <w:rFonts w:hint="eastAsia"/>
                <w:sz w:val="24"/>
                <w:szCs w:val="24"/>
              </w:rPr>
            </w:pPr>
            <w:r>
              <w:rPr>
                <w:rFonts w:hint="eastAsia"/>
                <w:sz w:val="24"/>
                <w:szCs w:val="24"/>
              </w:rPr>
              <w:t>4</w:t>
            </w:r>
          </w:p>
        </w:tc>
        <w:tc>
          <w:tcPr>
            <w:tcW w:w="255" w:type="pct"/>
          </w:tcPr>
          <w:p w14:paraId="525D7C93">
            <w:pPr>
              <w:pStyle w:val="11"/>
              <w:spacing w:line="360" w:lineRule="auto"/>
              <w:jc w:val="center"/>
              <w:rPr>
                <w:rFonts w:hint="eastAsia"/>
                <w:sz w:val="24"/>
                <w:szCs w:val="24"/>
              </w:rPr>
            </w:pPr>
          </w:p>
        </w:tc>
        <w:tc>
          <w:tcPr>
            <w:tcW w:w="587" w:type="pct"/>
            <w:vMerge w:val="restart"/>
          </w:tcPr>
          <w:p w14:paraId="67810478">
            <w:pPr>
              <w:pStyle w:val="11"/>
              <w:spacing w:line="360" w:lineRule="auto"/>
              <w:rPr>
                <w:rFonts w:hint="eastAsia"/>
                <w:sz w:val="24"/>
                <w:szCs w:val="24"/>
              </w:rPr>
            </w:pPr>
            <w:r>
              <w:rPr>
                <w:rFonts w:hint="eastAsia"/>
                <w:sz w:val="24"/>
                <w:szCs w:val="24"/>
              </w:rPr>
              <w:t>病历封存管理</w:t>
            </w:r>
          </w:p>
        </w:tc>
        <w:tc>
          <w:tcPr>
            <w:tcW w:w="3902" w:type="pct"/>
          </w:tcPr>
          <w:p w14:paraId="5B954D1A">
            <w:pPr>
              <w:pStyle w:val="11"/>
              <w:spacing w:line="360" w:lineRule="auto"/>
              <w:rPr>
                <w:rFonts w:hint="eastAsia"/>
                <w:sz w:val="24"/>
                <w:szCs w:val="24"/>
              </w:rPr>
            </w:pPr>
            <w:r>
              <w:rPr>
                <w:rFonts w:hint="eastAsia"/>
                <w:sz w:val="24"/>
                <w:szCs w:val="24"/>
              </w:rPr>
              <w:t>支持病人病历封存和取消封存。</w:t>
            </w:r>
          </w:p>
        </w:tc>
      </w:tr>
      <w:tr w14:paraId="12B52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 w:type="pct"/>
          </w:tcPr>
          <w:p w14:paraId="058D6CAC">
            <w:pPr>
              <w:pStyle w:val="11"/>
              <w:spacing w:line="360" w:lineRule="auto"/>
              <w:jc w:val="center"/>
              <w:rPr>
                <w:rFonts w:hint="eastAsia"/>
                <w:sz w:val="24"/>
                <w:szCs w:val="24"/>
              </w:rPr>
            </w:pPr>
            <w:r>
              <w:rPr>
                <w:rFonts w:hint="eastAsia"/>
                <w:sz w:val="24"/>
                <w:szCs w:val="24"/>
              </w:rPr>
              <w:t>5</w:t>
            </w:r>
          </w:p>
        </w:tc>
        <w:tc>
          <w:tcPr>
            <w:tcW w:w="255" w:type="pct"/>
          </w:tcPr>
          <w:p w14:paraId="1D8EBCB5">
            <w:pPr>
              <w:pStyle w:val="11"/>
              <w:spacing w:line="360" w:lineRule="auto"/>
              <w:jc w:val="center"/>
              <w:rPr>
                <w:rFonts w:hint="eastAsia"/>
                <w:sz w:val="24"/>
                <w:szCs w:val="24"/>
              </w:rPr>
            </w:pPr>
          </w:p>
        </w:tc>
        <w:tc>
          <w:tcPr>
            <w:tcW w:w="587" w:type="pct"/>
            <w:vMerge w:val="continue"/>
          </w:tcPr>
          <w:p w14:paraId="07EA2467">
            <w:pPr>
              <w:pStyle w:val="11"/>
              <w:spacing w:line="360" w:lineRule="auto"/>
              <w:rPr>
                <w:rFonts w:hint="eastAsia"/>
                <w:sz w:val="24"/>
                <w:szCs w:val="24"/>
              </w:rPr>
            </w:pPr>
          </w:p>
        </w:tc>
        <w:tc>
          <w:tcPr>
            <w:tcW w:w="3902" w:type="pct"/>
          </w:tcPr>
          <w:p w14:paraId="3C83432F">
            <w:pPr>
              <w:pStyle w:val="11"/>
              <w:spacing w:line="360" w:lineRule="auto"/>
              <w:rPr>
                <w:rFonts w:hint="eastAsia"/>
                <w:sz w:val="24"/>
                <w:szCs w:val="24"/>
              </w:rPr>
            </w:pPr>
            <w:r>
              <w:rPr>
                <w:rFonts w:hint="eastAsia"/>
                <w:sz w:val="24"/>
                <w:szCs w:val="24"/>
              </w:rPr>
              <w:t>支持控制病历封存后是否允许打印。</w:t>
            </w:r>
          </w:p>
        </w:tc>
      </w:tr>
      <w:tr w14:paraId="0B818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 w:type="pct"/>
          </w:tcPr>
          <w:p w14:paraId="4B588DBE">
            <w:pPr>
              <w:pStyle w:val="11"/>
              <w:spacing w:line="360" w:lineRule="auto"/>
              <w:jc w:val="center"/>
              <w:rPr>
                <w:rFonts w:hint="eastAsia"/>
                <w:sz w:val="24"/>
                <w:szCs w:val="24"/>
              </w:rPr>
            </w:pPr>
            <w:r>
              <w:rPr>
                <w:rFonts w:hint="eastAsia"/>
                <w:sz w:val="24"/>
                <w:szCs w:val="24"/>
              </w:rPr>
              <w:t>6</w:t>
            </w:r>
          </w:p>
        </w:tc>
        <w:tc>
          <w:tcPr>
            <w:tcW w:w="255" w:type="pct"/>
          </w:tcPr>
          <w:p w14:paraId="1F429754">
            <w:pPr>
              <w:pStyle w:val="11"/>
              <w:spacing w:line="360" w:lineRule="auto"/>
              <w:jc w:val="center"/>
              <w:rPr>
                <w:rFonts w:hint="eastAsia"/>
                <w:sz w:val="24"/>
                <w:szCs w:val="24"/>
              </w:rPr>
            </w:pPr>
          </w:p>
        </w:tc>
        <w:tc>
          <w:tcPr>
            <w:tcW w:w="587" w:type="pct"/>
            <w:vMerge w:val="restart"/>
          </w:tcPr>
          <w:p w14:paraId="58B43B2B">
            <w:pPr>
              <w:pStyle w:val="11"/>
              <w:spacing w:line="360" w:lineRule="auto"/>
              <w:rPr>
                <w:rFonts w:hint="eastAsia"/>
                <w:sz w:val="24"/>
                <w:szCs w:val="24"/>
              </w:rPr>
            </w:pPr>
            <w:r>
              <w:rPr>
                <w:rFonts w:hint="eastAsia"/>
                <w:sz w:val="24"/>
                <w:szCs w:val="24"/>
              </w:rPr>
              <w:t>病历检索分析</w:t>
            </w:r>
          </w:p>
        </w:tc>
        <w:tc>
          <w:tcPr>
            <w:tcW w:w="3902" w:type="pct"/>
          </w:tcPr>
          <w:p w14:paraId="154ECFAB">
            <w:pPr>
              <w:pStyle w:val="11"/>
              <w:spacing w:line="360" w:lineRule="auto"/>
              <w:rPr>
                <w:rFonts w:hint="eastAsia"/>
                <w:sz w:val="24"/>
                <w:szCs w:val="24"/>
              </w:rPr>
            </w:pPr>
            <w:r>
              <w:rPr>
                <w:rFonts w:hint="eastAsia"/>
                <w:sz w:val="24"/>
                <w:szCs w:val="24"/>
              </w:rPr>
              <w:t>支持已书写病历内容结构化数据查询分析。</w:t>
            </w:r>
          </w:p>
        </w:tc>
      </w:tr>
      <w:tr w14:paraId="2F418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 w:type="pct"/>
          </w:tcPr>
          <w:p w14:paraId="042F2095">
            <w:pPr>
              <w:pStyle w:val="11"/>
              <w:spacing w:line="360" w:lineRule="auto"/>
              <w:jc w:val="center"/>
              <w:rPr>
                <w:rFonts w:hint="eastAsia"/>
                <w:sz w:val="24"/>
                <w:szCs w:val="24"/>
              </w:rPr>
            </w:pPr>
            <w:r>
              <w:rPr>
                <w:rFonts w:hint="eastAsia"/>
                <w:sz w:val="24"/>
                <w:szCs w:val="24"/>
              </w:rPr>
              <w:t>7</w:t>
            </w:r>
          </w:p>
        </w:tc>
        <w:tc>
          <w:tcPr>
            <w:tcW w:w="255" w:type="pct"/>
          </w:tcPr>
          <w:p w14:paraId="1F01B94A">
            <w:pPr>
              <w:pStyle w:val="11"/>
              <w:spacing w:line="360" w:lineRule="auto"/>
              <w:jc w:val="center"/>
              <w:rPr>
                <w:rFonts w:hint="eastAsia"/>
                <w:sz w:val="24"/>
                <w:szCs w:val="24"/>
              </w:rPr>
            </w:pPr>
          </w:p>
        </w:tc>
        <w:tc>
          <w:tcPr>
            <w:tcW w:w="587" w:type="pct"/>
            <w:vMerge w:val="continue"/>
          </w:tcPr>
          <w:p w14:paraId="202E1876">
            <w:pPr>
              <w:pStyle w:val="11"/>
              <w:spacing w:line="360" w:lineRule="auto"/>
              <w:rPr>
                <w:rFonts w:hint="eastAsia"/>
                <w:sz w:val="24"/>
                <w:szCs w:val="24"/>
              </w:rPr>
            </w:pPr>
          </w:p>
        </w:tc>
        <w:tc>
          <w:tcPr>
            <w:tcW w:w="3902" w:type="pct"/>
          </w:tcPr>
          <w:p w14:paraId="236D32C6">
            <w:pPr>
              <w:pStyle w:val="11"/>
              <w:spacing w:line="360" w:lineRule="auto"/>
              <w:rPr>
                <w:rFonts w:hint="eastAsia"/>
                <w:sz w:val="24"/>
                <w:szCs w:val="24"/>
              </w:rPr>
            </w:pPr>
            <w:r>
              <w:rPr>
                <w:rFonts w:hint="eastAsia"/>
                <w:sz w:val="24"/>
                <w:szCs w:val="24"/>
              </w:rPr>
              <w:t>支持检索结果列表输出。</w:t>
            </w:r>
          </w:p>
        </w:tc>
      </w:tr>
      <w:tr w14:paraId="552EB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 w:type="pct"/>
          </w:tcPr>
          <w:p w14:paraId="00440C54">
            <w:pPr>
              <w:pStyle w:val="11"/>
              <w:spacing w:line="360" w:lineRule="auto"/>
              <w:jc w:val="center"/>
              <w:rPr>
                <w:rFonts w:hint="eastAsia"/>
                <w:sz w:val="24"/>
                <w:szCs w:val="24"/>
              </w:rPr>
            </w:pPr>
            <w:r>
              <w:rPr>
                <w:rFonts w:hint="eastAsia"/>
                <w:sz w:val="24"/>
                <w:szCs w:val="24"/>
              </w:rPr>
              <w:t>8</w:t>
            </w:r>
          </w:p>
        </w:tc>
        <w:tc>
          <w:tcPr>
            <w:tcW w:w="255" w:type="pct"/>
          </w:tcPr>
          <w:p w14:paraId="4D99A16C">
            <w:pPr>
              <w:pStyle w:val="11"/>
              <w:spacing w:line="360" w:lineRule="auto"/>
              <w:jc w:val="center"/>
              <w:rPr>
                <w:rFonts w:hint="eastAsia"/>
                <w:sz w:val="24"/>
                <w:szCs w:val="24"/>
              </w:rPr>
            </w:pPr>
          </w:p>
        </w:tc>
        <w:tc>
          <w:tcPr>
            <w:tcW w:w="587" w:type="pct"/>
            <w:vMerge w:val="continue"/>
          </w:tcPr>
          <w:p w14:paraId="19D27AD7">
            <w:pPr>
              <w:pStyle w:val="11"/>
              <w:spacing w:line="360" w:lineRule="auto"/>
              <w:rPr>
                <w:rFonts w:hint="eastAsia"/>
                <w:sz w:val="24"/>
                <w:szCs w:val="24"/>
              </w:rPr>
            </w:pPr>
          </w:p>
        </w:tc>
        <w:tc>
          <w:tcPr>
            <w:tcW w:w="3902" w:type="pct"/>
          </w:tcPr>
          <w:p w14:paraId="3ABF3A5C">
            <w:pPr>
              <w:pStyle w:val="11"/>
              <w:spacing w:line="360" w:lineRule="auto"/>
              <w:rPr>
                <w:rFonts w:hint="eastAsia"/>
                <w:sz w:val="24"/>
                <w:szCs w:val="24"/>
              </w:rPr>
            </w:pPr>
            <w:r>
              <w:rPr>
                <w:rFonts w:hint="eastAsia"/>
                <w:sz w:val="24"/>
                <w:szCs w:val="24"/>
              </w:rPr>
              <w:t>支持检索结果病历内容批量输出PDF。</w:t>
            </w:r>
          </w:p>
        </w:tc>
      </w:tr>
      <w:tr w14:paraId="46BC3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 w:type="pct"/>
          </w:tcPr>
          <w:p w14:paraId="7BCA1E8F">
            <w:pPr>
              <w:pStyle w:val="11"/>
              <w:spacing w:line="360" w:lineRule="auto"/>
              <w:jc w:val="center"/>
              <w:rPr>
                <w:rFonts w:hint="eastAsia"/>
                <w:sz w:val="24"/>
                <w:szCs w:val="24"/>
              </w:rPr>
            </w:pPr>
            <w:r>
              <w:rPr>
                <w:rFonts w:hint="eastAsia"/>
                <w:sz w:val="24"/>
                <w:szCs w:val="24"/>
              </w:rPr>
              <w:t>9</w:t>
            </w:r>
          </w:p>
        </w:tc>
        <w:tc>
          <w:tcPr>
            <w:tcW w:w="255" w:type="pct"/>
          </w:tcPr>
          <w:p w14:paraId="14035ECB">
            <w:pPr>
              <w:pStyle w:val="11"/>
              <w:spacing w:line="360" w:lineRule="auto"/>
              <w:jc w:val="center"/>
              <w:rPr>
                <w:rFonts w:hint="eastAsia"/>
                <w:sz w:val="24"/>
                <w:szCs w:val="24"/>
              </w:rPr>
            </w:pPr>
          </w:p>
        </w:tc>
        <w:tc>
          <w:tcPr>
            <w:tcW w:w="587" w:type="pct"/>
            <w:vMerge w:val="continue"/>
          </w:tcPr>
          <w:p w14:paraId="60585B8C">
            <w:pPr>
              <w:pStyle w:val="11"/>
              <w:spacing w:line="360" w:lineRule="auto"/>
              <w:rPr>
                <w:rFonts w:hint="eastAsia"/>
                <w:sz w:val="24"/>
                <w:szCs w:val="24"/>
              </w:rPr>
            </w:pPr>
          </w:p>
        </w:tc>
        <w:tc>
          <w:tcPr>
            <w:tcW w:w="3902" w:type="pct"/>
          </w:tcPr>
          <w:p w14:paraId="38BD06D7">
            <w:pPr>
              <w:pStyle w:val="11"/>
              <w:spacing w:line="360" w:lineRule="auto"/>
              <w:rPr>
                <w:rFonts w:hint="eastAsia"/>
                <w:sz w:val="24"/>
                <w:szCs w:val="24"/>
              </w:rPr>
            </w:pPr>
            <w:r>
              <w:rPr>
                <w:rFonts w:hint="eastAsia"/>
                <w:sz w:val="24"/>
                <w:szCs w:val="24"/>
              </w:rPr>
              <w:t>支持病历检索列表查看打印状态。</w:t>
            </w:r>
          </w:p>
        </w:tc>
      </w:tr>
      <w:tr w14:paraId="1C49B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 w:type="pct"/>
          </w:tcPr>
          <w:p w14:paraId="3ECB7A23">
            <w:pPr>
              <w:pStyle w:val="11"/>
              <w:spacing w:line="360" w:lineRule="auto"/>
              <w:jc w:val="center"/>
              <w:rPr>
                <w:rFonts w:hint="eastAsia"/>
                <w:sz w:val="24"/>
                <w:szCs w:val="24"/>
              </w:rPr>
            </w:pPr>
            <w:r>
              <w:rPr>
                <w:rFonts w:hint="eastAsia"/>
                <w:sz w:val="24"/>
                <w:szCs w:val="24"/>
              </w:rPr>
              <w:t>10</w:t>
            </w:r>
          </w:p>
        </w:tc>
        <w:tc>
          <w:tcPr>
            <w:tcW w:w="255" w:type="pct"/>
          </w:tcPr>
          <w:p w14:paraId="1F197532">
            <w:pPr>
              <w:pStyle w:val="11"/>
              <w:spacing w:line="360" w:lineRule="auto"/>
              <w:jc w:val="center"/>
              <w:rPr>
                <w:rFonts w:hint="eastAsia"/>
                <w:sz w:val="24"/>
                <w:szCs w:val="24"/>
              </w:rPr>
            </w:pPr>
          </w:p>
        </w:tc>
        <w:tc>
          <w:tcPr>
            <w:tcW w:w="587" w:type="pct"/>
            <w:vMerge w:val="continue"/>
          </w:tcPr>
          <w:p w14:paraId="2EB1C8E5">
            <w:pPr>
              <w:pStyle w:val="11"/>
              <w:spacing w:line="360" w:lineRule="auto"/>
              <w:rPr>
                <w:rFonts w:hint="eastAsia"/>
                <w:sz w:val="24"/>
                <w:szCs w:val="24"/>
              </w:rPr>
            </w:pPr>
          </w:p>
        </w:tc>
        <w:tc>
          <w:tcPr>
            <w:tcW w:w="3902" w:type="pct"/>
          </w:tcPr>
          <w:p w14:paraId="7574C8D6">
            <w:pPr>
              <w:pStyle w:val="11"/>
              <w:spacing w:line="360" w:lineRule="auto"/>
              <w:rPr>
                <w:rFonts w:hint="eastAsia"/>
                <w:sz w:val="24"/>
                <w:szCs w:val="24"/>
              </w:rPr>
            </w:pPr>
            <w:r>
              <w:rPr>
                <w:rFonts w:hint="eastAsia"/>
                <w:sz w:val="24"/>
                <w:szCs w:val="24"/>
              </w:rPr>
              <w:t>支持导出PDF操作日志记录。</w:t>
            </w:r>
          </w:p>
        </w:tc>
      </w:tr>
      <w:tr w14:paraId="3D189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 w:type="pct"/>
          </w:tcPr>
          <w:p w14:paraId="53EAE52D">
            <w:pPr>
              <w:pStyle w:val="11"/>
              <w:spacing w:line="360" w:lineRule="auto"/>
              <w:jc w:val="center"/>
              <w:rPr>
                <w:rFonts w:hint="eastAsia"/>
                <w:sz w:val="24"/>
                <w:szCs w:val="24"/>
              </w:rPr>
            </w:pPr>
            <w:r>
              <w:rPr>
                <w:rFonts w:hint="eastAsia"/>
                <w:sz w:val="24"/>
                <w:szCs w:val="24"/>
              </w:rPr>
              <w:t>11</w:t>
            </w:r>
          </w:p>
        </w:tc>
        <w:tc>
          <w:tcPr>
            <w:tcW w:w="255" w:type="pct"/>
          </w:tcPr>
          <w:p w14:paraId="7566BEEB">
            <w:pPr>
              <w:pStyle w:val="11"/>
              <w:spacing w:line="360" w:lineRule="auto"/>
              <w:jc w:val="center"/>
              <w:rPr>
                <w:rFonts w:hint="eastAsia"/>
                <w:sz w:val="24"/>
                <w:szCs w:val="24"/>
              </w:rPr>
            </w:pPr>
          </w:p>
        </w:tc>
        <w:tc>
          <w:tcPr>
            <w:tcW w:w="587" w:type="pct"/>
            <w:vMerge w:val="continue"/>
          </w:tcPr>
          <w:p w14:paraId="01B739D5">
            <w:pPr>
              <w:pStyle w:val="11"/>
              <w:spacing w:line="360" w:lineRule="auto"/>
              <w:rPr>
                <w:rFonts w:hint="eastAsia"/>
                <w:sz w:val="24"/>
                <w:szCs w:val="24"/>
              </w:rPr>
            </w:pPr>
          </w:p>
        </w:tc>
        <w:tc>
          <w:tcPr>
            <w:tcW w:w="3902" w:type="pct"/>
          </w:tcPr>
          <w:p w14:paraId="6D32489D">
            <w:pPr>
              <w:pStyle w:val="11"/>
              <w:spacing w:line="360" w:lineRule="auto"/>
              <w:rPr>
                <w:rFonts w:hint="eastAsia"/>
                <w:sz w:val="24"/>
                <w:szCs w:val="24"/>
              </w:rPr>
            </w:pPr>
            <w:r>
              <w:rPr>
                <w:rFonts w:hint="eastAsia"/>
                <w:sz w:val="24"/>
                <w:szCs w:val="24"/>
              </w:rPr>
              <w:t>支持检索出来的病历内容脱敏。</w:t>
            </w:r>
          </w:p>
        </w:tc>
      </w:tr>
      <w:tr w14:paraId="068D8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 w:type="pct"/>
          </w:tcPr>
          <w:p w14:paraId="74641E4C">
            <w:pPr>
              <w:pStyle w:val="11"/>
              <w:spacing w:line="360" w:lineRule="auto"/>
              <w:jc w:val="center"/>
              <w:rPr>
                <w:rFonts w:hint="eastAsia"/>
                <w:sz w:val="24"/>
                <w:szCs w:val="24"/>
              </w:rPr>
            </w:pPr>
            <w:r>
              <w:rPr>
                <w:rFonts w:hint="eastAsia"/>
                <w:sz w:val="24"/>
                <w:szCs w:val="24"/>
              </w:rPr>
              <w:t>12</w:t>
            </w:r>
          </w:p>
        </w:tc>
        <w:tc>
          <w:tcPr>
            <w:tcW w:w="255" w:type="pct"/>
          </w:tcPr>
          <w:p w14:paraId="3FEB50A1">
            <w:pPr>
              <w:pStyle w:val="11"/>
              <w:spacing w:line="360" w:lineRule="auto"/>
              <w:jc w:val="center"/>
              <w:rPr>
                <w:rFonts w:hint="eastAsia"/>
                <w:sz w:val="24"/>
                <w:szCs w:val="24"/>
              </w:rPr>
            </w:pPr>
          </w:p>
        </w:tc>
        <w:tc>
          <w:tcPr>
            <w:tcW w:w="587" w:type="pct"/>
          </w:tcPr>
          <w:p w14:paraId="4181169E">
            <w:pPr>
              <w:pStyle w:val="11"/>
              <w:spacing w:line="360" w:lineRule="auto"/>
              <w:rPr>
                <w:rFonts w:hint="eastAsia"/>
                <w:sz w:val="24"/>
                <w:szCs w:val="24"/>
              </w:rPr>
            </w:pPr>
            <w:r>
              <w:rPr>
                <w:rFonts w:hint="eastAsia"/>
                <w:sz w:val="24"/>
                <w:szCs w:val="24"/>
              </w:rPr>
              <w:t>质控结果分析</w:t>
            </w:r>
          </w:p>
        </w:tc>
        <w:tc>
          <w:tcPr>
            <w:tcW w:w="3902" w:type="pct"/>
          </w:tcPr>
          <w:p w14:paraId="104D74FB">
            <w:pPr>
              <w:pStyle w:val="11"/>
              <w:spacing w:line="360" w:lineRule="auto"/>
              <w:rPr>
                <w:rFonts w:hint="eastAsia"/>
                <w:sz w:val="24"/>
                <w:szCs w:val="24"/>
              </w:rPr>
            </w:pPr>
            <w:r>
              <w:rPr>
                <w:rFonts w:hint="eastAsia"/>
                <w:sz w:val="24"/>
                <w:szCs w:val="24"/>
              </w:rPr>
              <w:t>支持不同科室、不同质控类型的质控结果分析。</w:t>
            </w:r>
          </w:p>
        </w:tc>
      </w:tr>
      <w:tr w14:paraId="2E072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 w:type="pct"/>
          </w:tcPr>
          <w:p w14:paraId="7DE3707E">
            <w:pPr>
              <w:pStyle w:val="11"/>
              <w:spacing w:line="360" w:lineRule="auto"/>
              <w:jc w:val="center"/>
              <w:rPr>
                <w:rFonts w:hint="eastAsia"/>
                <w:sz w:val="24"/>
                <w:szCs w:val="24"/>
              </w:rPr>
            </w:pPr>
            <w:r>
              <w:rPr>
                <w:rFonts w:hint="eastAsia"/>
                <w:sz w:val="24"/>
                <w:szCs w:val="24"/>
              </w:rPr>
              <w:t>13</w:t>
            </w:r>
          </w:p>
        </w:tc>
        <w:tc>
          <w:tcPr>
            <w:tcW w:w="255" w:type="pct"/>
          </w:tcPr>
          <w:p w14:paraId="195F81CB">
            <w:pPr>
              <w:pStyle w:val="11"/>
              <w:spacing w:line="360" w:lineRule="auto"/>
              <w:jc w:val="center"/>
              <w:rPr>
                <w:rFonts w:hint="eastAsia"/>
                <w:sz w:val="24"/>
                <w:szCs w:val="24"/>
              </w:rPr>
            </w:pPr>
          </w:p>
        </w:tc>
        <w:tc>
          <w:tcPr>
            <w:tcW w:w="587" w:type="pct"/>
          </w:tcPr>
          <w:p w14:paraId="00031181">
            <w:pPr>
              <w:pStyle w:val="11"/>
              <w:spacing w:line="360" w:lineRule="auto"/>
              <w:rPr>
                <w:rFonts w:hint="eastAsia"/>
                <w:sz w:val="24"/>
                <w:szCs w:val="24"/>
              </w:rPr>
            </w:pPr>
            <w:r>
              <w:rPr>
                <w:rFonts w:hint="eastAsia"/>
                <w:sz w:val="24"/>
                <w:szCs w:val="24"/>
              </w:rPr>
              <w:t>病历统计分析</w:t>
            </w:r>
          </w:p>
        </w:tc>
        <w:tc>
          <w:tcPr>
            <w:tcW w:w="3902" w:type="pct"/>
          </w:tcPr>
          <w:p w14:paraId="10C343A7">
            <w:pPr>
              <w:pStyle w:val="11"/>
              <w:spacing w:line="360" w:lineRule="auto"/>
              <w:rPr>
                <w:rFonts w:hint="eastAsia"/>
                <w:sz w:val="24"/>
                <w:szCs w:val="24"/>
              </w:rPr>
            </w:pPr>
            <w:r>
              <w:rPr>
                <w:rFonts w:hint="eastAsia"/>
                <w:sz w:val="24"/>
                <w:szCs w:val="24"/>
              </w:rPr>
              <w:t>支持病历自定义报表查询分析。</w:t>
            </w:r>
          </w:p>
        </w:tc>
      </w:tr>
      <w:tr w14:paraId="58B04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 w:type="pct"/>
          </w:tcPr>
          <w:p w14:paraId="62ECB81F">
            <w:pPr>
              <w:pStyle w:val="11"/>
              <w:spacing w:line="360" w:lineRule="auto"/>
              <w:jc w:val="center"/>
              <w:rPr>
                <w:rFonts w:hint="eastAsia"/>
                <w:sz w:val="24"/>
                <w:szCs w:val="24"/>
              </w:rPr>
            </w:pPr>
            <w:r>
              <w:rPr>
                <w:rFonts w:hint="eastAsia"/>
                <w:sz w:val="24"/>
                <w:szCs w:val="24"/>
              </w:rPr>
              <w:t>14</w:t>
            </w:r>
          </w:p>
        </w:tc>
        <w:tc>
          <w:tcPr>
            <w:tcW w:w="255" w:type="pct"/>
          </w:tcPr>
          <w:p w14:paraId="2E606D2B">
            <w:pPr>
              <w:pStyle w:val="11"/>
              <w:spacing w:line="360" w:lineRule="auto"/>
              <w:jc w:val="center"/>
              <w:rPr>
                <w:rFonts w:hint="eastAsia"/>
                <w:sz w:val="24"/>
                <w:szCs w:val="24"/>
              </w:rPr>
            </w:pPr>
          </w:p>
        </w:tc>
        <w:tc>
          <w:tcPr>
            <w:tcW w:w="587" w:type="pct"/>
          </w:tcPr>
          <w:p w14:paraId="4448DBFE">
            <w:pPr>
              <w:pStyle w:val="11"/>
              <w:spacing w:line="360" w:lineRule="auto"/>
              <w:rPr>
                <w:rFonts w:hint="eastAsia"/>
                <w:sz w:val="24"/>
                <w:szCs w:val="24"/>
              </w:rPr>
            </w:pPr>
            <w:r>
              <w:rPr>
                <w:rFonts w:hint="eastAsia"/>
                <w:sz w:val="24"/>
                <w:szCs w:val="24"/>
              </w:rPr>
              <w:t>质控缺陷分析</w:t>
            </w:r>
          </w:p>
        </w:tc>
        <w:tc>
          <w:tcPr>
            <w:tcW w:w="3902" w:type="pct"/>
          </w:tcPr>
          <w:p w14:paraId="3A2C8327">
            <w:pPr>
              <w:pStyle w:val="11"/>
              <w:spacing w:line="360" w:lineRule="auto"/>
              <w:rPr>
                <w:rFonts w:hint="eastAsia"/>
                <w:sz w:val="24"/>
                <w:szCs w:val="24"/>
              </w:rPr>
            </w:pPr>
            <w:r>
              <w:rPr>
                <w:rFonts w:hint="eastAsia"/>
                <w:sz w:val="24"/>
                <w:szCs w:val="24"/>
              </w:rPr>
              <w:t>支持高发缺陷统计</w:t>
            </w:r>
          </w:p>
        </w:tc>
      </w:tr>
    </w:tbl>
    <w:p w14:paraId="7EA87AFD">
      <w:pPr>
        <w:spacing w:line="360" w:lineRule="auto"/>
        <w:rPr>
          <w:rFonts w:hint="eastAsia" w:ascii="宋体" w:hAnsi="宋体" w:cs="宋体"/>
          <w:sz w:val="24"/>
        </w:rPr>
      </w:pPr>
    </w:p>
    <w:p w14:paraId="20833C57">
      <w:pPr>
        <w:pStyle w:val="11"/>
        <w:spacing w:line="360" w:lineRule="auto"/>
        <w:rPr>
          <w:rFonts w:hint="eastAsia"/>
          <w:sz w:val="24"/>
          <w:szCs w:val="24"/>
        </w:rPr>
      </w:pPr>
    </w:p>
    <w:p w14:paraId="65AE95F8">
      <w:pPr>
        <w:pStyle w:val="3"/>
        <w:spacing w:line="360" w:lineRule="auto"/>
        <w:rPr>
          <w:rFonts w:hint="eastAsia" w:hAnsi="宋体" w:cs="宋体"/>
          <w:szCs w:val="24"/>
          <w:u w:val="none"/>
        </w:rPr>
      </w:pPr>
      <w:r>
        <w:rPr>
          <w:rFonts w:hint="eastAsia" w:hAnsi="宋体" w:cs="宋体"/>
          <w:szCs w:val="24"/>
          <w:u w:val="none"/>
        </w:rPr>
        <w:t>3.5 移动医生技术要求</w:t>
      </w: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7"/>
        <w:gridCol w:w="457"/>
        <w:gridCol w:w="678"/>
        <w:gridCol w:w="6930"/>
      </w:tblGrid>
      <w:tr w14:paraId="40DDA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 w:type="pct"/>
            <w:vAlign w:val="center"/>
          </w:tcPr>
          <w:p w14:paraId="75BC260E">
            <w:pPr>
              <w:pStyle w:val="11"/>
              <w:spacing w:line="360" w:lineRule="auto"/>
              <w:jc w:val="center"/>
              <w:rPr>
                <w:rFonts w:hint="eastAsia"/>
                <w:b/>
                <w:bCs/>
                <w:sz w:val="24"/>
                <w:szCs w:val="24"/>
              </w:rPr>
            </w:pPr>
            <w:r>
              <w:rPr>
                <w:rFonts w:hint="eastAsia"/>
                <w:b/>
                <w:bCs/>
                <w:sz w:val="24"/>
                <w:szCs w:val="24"/>
              </w:rPr>
              <w:t>序号</w:t>
            </w:r>
          </w:p>
        </w:tc>
        <w:tc>
          <w:tcPr>
            <w:tcW w:w="257" w:type="pct"/>
            <w:vAlign w:val="center"/>
          </w:tcPr>
          <w:p w14:paraId="4E0CD48E">
            <w:pPr>
              <w:pStyle w:val="11"/>
              <w:spacing w:line="360" w:lineRule="auto"/>
              <w:jc w:val="center"/>
              <w:rPr>
                <w:rFonts w:hint="eastAsia"/>
                <w:b/>
                <w:bCs/>
                <w:sz w:val="24"/>
                <w:szCs w:val="24"/>
              </w:rPr>
            </w:pPr>
            <w:r>
              <w:rPr>
                <w:rFonts w:hint="eastAsia"/>
                <w:b/>
                <w:bCs/>
                <w:sz w:val="24"/>
                <w:szCs w:val="24"/>
              </w:rPr>
              <w:t>标记</w:t>
            </w:r>
          </w:p>
        </w:tc>
        <w:tc>
          <w:tcPr>
            <w:tcW w:w="409" w:type="pct"/>
          </w:tcPr>
          <w:p w14:paraId="5D4333F6">
            <w:pPr>
              <w:pStyle w:val="11"/>
              <w:spacing w:line="360" w:lineRule="auto"/>
              <w:jc w:val="center"/>
              <w:rPr>
                <w:rFonts w:hint="eastAsia"/>
                <w:b/>
                <w:bCs/>
                <w:sz w:val="24"/>
                <w:szCs w:val="24"/>
              </w:rPr>
            </w:pPr>
            <w:r>
              <w:rPr>
                <w:rFonts w:hint="eastAsia"/>
                <w:b/>
                <w:bCs/>
                <w:sz w:val="24"/>
                <w:szCs w:val="24"/>
              </w:rPr>
              <w:t>指标类别</w:t>
            </w:r>
          </w:p>
        </w:tc>
        <w:tc>
          <w:tcPr>
            <w:tcW w:w="4077" w:type="pct"/>
            <w:vAlign w:val="center"/>
          </w:tcPr>
          <w:p w14:paraId="762D3F2D">
            <w:pPr>
              <w:pStyle w:val="11"/>
              <w:spacing w:line="360" w:lineRule="auto"/>
              <w:jc w:val="center"/>
              <w:rPr>
                <w:rFonts w:hint="eastAsia"/>
                <w:b/>
                <w:bCs/>
                <w:sz w:val="24"/>
                <w:szCs w:val="24"/>
              </w:rPr>
            </w:pPr>
            <w:r>
              <w:rPr>
                <w:rFonts w:hint="eastAsia"/>
                <w:b/>
                <w:bCs/>
                <w:sz w:val="24"/>
                <w:szCs w:val="24"/>
              </w:rPr>
              <w:t>技术指标要求</w:t>
            </w:r>
          </w:p>
        </w:tc>
      </w:tr>
      <w:tr w14:paraId="4D00C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 w:type="pct"/>
          </w:tcPr>
          <w:p w14:paraId="1265E625">
            <w:pPr>
              <w:pStyle w:val="11"/>
              <w:spacing w:line="360" w:lineRule="auto"/>
              <w:jc w:val="center"/>
              <w:rPr>
                <w:rFonts w:hint="eastAsia"/>
                <w:sz w:val="24"/>
                <w:szCs w:val="24"/>
              </w:rPr>
            </w:pPr>
            <w:r>
              <w:rPr>
                <w:rFonts w:hint="eastAsia"/>
                <w:sz w:val="24"/>
                <w:szCs w:val="24"/>
              </w:rPr>
              <w:t>1</w:t>
            </w:r>
          </w:p>
        </w:tc>
        <w:tc>
          <w:tcPr>
            <w:tcW w:w="257" w:type="pct"/>
          </w:tcPr>
          <w:p w14:paraId="6A3ACD24">
            <w:pPr>
              <w:pStyle w:val="11"/>
              <w:spacing w:line="360" w:lineRule="auto"/>
              <w:jc w:val="center"/>
              <w:rPr>
                <w:rFonts w:hint="eastAsia"/>
                <w:sz w:val="24"/>
                <w:szCs w:val="24"/>
              </w:rPr>
            </w:pPr>
          </w:p>
        </w:tc>
        <w:tc>
          <w:tcPr>
            <w:tcW w:w="409" w:type="pct"/>
            <w:vMerge w:val="restart"/>
          </w:tcPr>
          <w:p w14:paraId="6CDCC4A7">
            <w:pPr>
              <w:pStyle w:val="11"/>
              <w:spacing w:line="360" w:lineRule="auto"/>
              <w:rPr>
                <w:rFonts w:hint="eastAsia"/>
                <w:sz w:val="24"/>
                <w:szCs w:val="24"/>
              </w:rPr>
            </w:pPr>
            <w:r>
              <w:rPr>
                <w:rFonts w:hint="eastAsia"/>
                <w:sz w:val="24"/>
                <w:szCs w:val="24"/>
              </w:rPr>
              <w:t>病人信息查看</w:t>
            </w:r>
          </w:p>
        </w:tc>
        <w:tc>
          <w:tcPr>
            <w:tcW w:w="4077" w:type="pct"/>
          </w:tcPr>
          <w:p w14:paraId="6C712E0E">
            <w:pPr>
              <w:pStyle w:val="11"/>
              <w:spacing w:line="360" w:lineRule="auto"/>
              <w:rPr>
                <w:rFonts w:hint="eastAsia"/>
                <w:sz w:val="24"/>
                <w:szCs w:val="24"/>
              </w:rPr>
            </w:pPr>
            <w:r>
              <w:rPr>
                <w:rFonts w:hint="eastAsia"/>
                <w:sz w:val="24"/>
                <w:szCs w:val="24"/>
              </w:rPr>
              <w:t>支持科室内的病人列表查看和选择功能</w:t>
            </w:r>
          </w:p>
        </w:tc>
      </w:tr>
      <w:tr w14:paraId="5C567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 w:type="pct"/>
          </w:tcPr>
          <w:p w14:paraId="318AADBD">
            <w:pPr>
              <w:pStyle w:val="11"/>
              <w:spacing w:line="360" w:lineRule="auto"/>
              <w:jc w:val="center"/>
              <w:rPr>
                <w:rFonts w:hint="eastAsia"/>
                <w:sz w:val="24"/>
                <w:szCs w:val="24"/>
              </w:rPr>
            </w:pPr>
            <w:r>
              <w:rPr>
                <w:rFonts w:hint="eastAsia"/>
                <w:sz w:val="24"/>
                <w:szCs w:val="24"/>
              </w:rPr>
              <w:t>2</w:t>
            </w:r>
          </w:p>
        </w:tc>
        <w:tc>
          <w:tcPr>
            <w:tcW w:w="257" w:type="pct"/>
          </w:tcPr>
          <w:p w14:paraId="3037E728">
            <w:pPr>
              <w:pStyle w:val="11"/>
              <w:spacing w:line="360" w:lineRule="auto"/>
              <w:jc w:val="center"/>
              <w:rPr>
                <w:rFonts w:hint="eastAsia"/>
                <w:sz w:val="24"/>
                <w:szCs w:val="24"/>
              </w:rPr>
            </w:pPr>
          </w:p>
        </w:tc>
        <w:tc>
          <w:tcPr>
            <w:tcW w:w="409" w:type="pct"/>
            <w:vMerge w:val="continue"/>
          </w:tcPr>
          <w:p w14:paraId="6BABA58C">
            <w:pPr>
              <w:pStyle w:val="11"/>
              <w:spacing w:line="360" w:lineRule="auto"/>
              <w:rPr>
                <w:rFonts w:hint="eastAsia"/>
                <w:sz w:val="24"/>
                <w:szCs w:val="24"/>
              </w:rPr>
            </w:pPr>
          </w:p>
        </w:tc>
        <w:tc>
          <w:tcPr>
            <w:tcW w:w="4077" w:type="pct"/>
          </w:tcPr>
          <w:p w14:paraId="32FAD8A8">
            <w:pPr>
              <w:pStyle w:val="11"/>
              <w:spacing w:line="360" w:lineRule="auto"/>
              <w:rPr>
                <w:rFonts w:hint="eastAsia"/>
                <w:sz w:val="24"/>
                <w:szCs w:val="24"/>
              </w:rPr>
            </w:pPr>
            <w:r>
              <w:rPr>
                <w:rFonts w:hint="eastAsia"/>
                <w:sz w:val="24"/>
                <w:szCs w:val="24"/>
              </w:rPr>
              <w:t>支持查看患者的病案首页基本信息</w:t>
            </w:r>
          </w:p>
        </w:tc>
      </w:tr>
      <w:tr w14:paraId="52B91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 w:type="pct"/>
          </w:tcPr>
          <w:p w14:paraId="7BD293C0">
            <w:pPr>
              <w:pStyle w:val="11"/>
              <w:spacing w:line="360" w:lineRule="auto"/>
              <w:jc w:val="center"/>
              <w:rPr>
                <w:rFonts w:hint="eastAsia"/>
                <w:sz w:val="24"/>
                <w:szCs w:val="24"/>
              </w:rPr>
            </w:pPr>
            <w:r>
              <w:rPr>
                <w:rFonts w:hint="eastAsia"/>
                <w:sz w:val="24"/>
                <w:szCs w:val="24"/>
              </w:rPr>
              <w:t>3</w:t>
            </w:r>
          </w:p>
        </w:tc>
        <w:tc>
          <w:tcPr>
            <w:tcW w:w="257" w:type="pct"/>
          </w:tcPr>
          <w:p w14:paraId="587B3365">
            <w:pPr>
              <w:pStyle w:val="11"/>
              <w:spacing w:line="360" w:lineRule="auto"/>
              <w:jc w:val="center"/>
              <w:rPr>
                <w:rFonts w:hint="eastAsia"/>
                <w:sz w:val="24"/>
                <w:szCs w:val="24"/>
              </w:rPr>
            </w:pPr>
          </w:p>
        </w:tc>
        <w:tc>
          <w:tcPr>
            <w:tcW w:w="409" w:type="pct"/>
            <w:vMerge w:val="continue"/>
          </w:tcPr>
          <w:p w14:paraId="096F9345">
            <w:pPr>
              <w:pStyle w:val="11"/>
              <w:spacing w:line="360" w:lineRule="auto"/>
              <w:rPr>
                <w:rFonts w:hint="eastAsia"/>
                <w:sz w:val="24"/>
                <w:szCs w:val="24"/>
              </w:rPr>
            </w:pPr>
          </w:p>
        </w:tc>
        <w:tc>
          <w:tcPr>
            <w:tcW w:w="4077" w:type="pct"/>
          </w:tcPr>
          <w:p w14:paraId="18716EEC">
            <w:pPr>
              <w:pStyle w:val="11"/>
              <w:spacing w:line="360" w:lineRule="auto"/>
              <w:rPr>
                <w:rFonts w:hint="eastAsia"/>
                <w:sz w:val="24"/>
                <w:szCs w:val="24"/>
              </w:rPr>
            </w:pPr>
            <w:r>
              <w:rPr>
                <w:rFonts w:hint="eastAsia"/>
                <w:sz w:val="24"/>
                <w:szCs w:val="24"/>
              </w:rPr>
              <w:t>支持查看患者住院信息、诊断信息、费用信息</w:t>
            </w:r>
          </w:p>
        </w:tc>
      </w:tr>
      <w:tr w14:paraId="2888C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 w:type="pct"/>
          </w:tcPr>
          <w:p w14:paraId="21CED7D7">
            <w:pPr>
              <w:pStyle w:val="11"/>
              <w:spacing w:line="360" w:lineRule="auto"/>
              <w:jc w:val="center"/>
              <w:rPr>
                <w:rFonts w:hint="eastAsia"/>
                <w:sz w:val="24"/>
                <w:szCs w:val="24"/>
              </w:rPr>
            </w:pPr>
            <w:r>
              <w:rPr>
                <w:rFonts w:hint="eastAsia"/>
                <w:sz w:val="24"/>
                <w:szCs w:val="24"/>
              </w:rPr>
              <w:t>4</w:t>
            </w:r>
          </w:p>
        </w:tc>
        <w:tc>
          <w:tcPr>
            <w:tcW w:w="257" w:type="pct"/>
          </w:tcPr>
          <w:p w14:paraId="173B1439">
            <w:pPr>
              <w:pStyle w:val="11"/>
              <w:spacing w:line="360" w:lineRule="auto"/>
              <w:jc w:val="center"/>
              <w:rPr>
                <w:rFonts w:hint="eastAsia"/>
                <w:sz w:val="24"/>
                <w:szCs w:val="24"/>
              </w:rPr>
            </w:pPr>
          </w:p>
        </w:tc>
        <w:tc>
          <w:tcPr>
            <w:tcW w:w="409" w:type="pct"/>
            <w:vMerge w:val="restart"/>
          </w:tcPr>
          <w:p w14:paraId="50837C43">
            <w:pPr>
              <w:pStyle w:val="11"/>
              <w:spacing w:line="360" w:lineRule="auto"/>
              <w:rPr>
                <w:rFonts w:hint="eastAsia"/>
                <w:sz w:val="24"/>
                <w:szCs w:val="24"/>
              </w:rPr>
            </w:pPr>
            <w:r>
              <w:rPr>
                <w:rFonts w:hint="eastAsia"/>
                <w:sz w:val="24"/>
                <w:szCs w:val="24"/>
              </w:rPr>
              <w:t>诊疗一览</w:t>
            </w:r>
          </w:p>
        </w:tc>
        <w:tc>
          <w:tcPr>
            <w:tcW w:w="4077" w:type="pct"/>
          </w:tcPr>
          <w:p w14:paraId="5F4300F6">
            <w:pPr>
              <w:pStyle w:val="11"/>
              <w:spacing w:line="360" w:lineRule="auto"/>
              <w:rPr>
                <w:rFonts w:hint="eastAsia"/>
                <w:sz w:val="24"/>
                <w:szCs w:val="24"/>
              </w:rPr>
            </w:pPr>
            <w:r>
              <w:rPr>
                <w:rFonts w:hint="eastAsia"/>
                <w:sz w:val="24"/>
                <w:szCs w:val="24"/>
              </w:rPr>
              <w:t>可以集中展示住院病人就诊信息及诊疗行为，便于医生快速全面了解病人情况。</w:t>
            </w:r>
          </w:p>
        </w:tc>
      </w:tr>
      <w:tr w14:paraId="7E92D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 w:type="pct"/>
          </w:tcPr>
          <w:p w14:paraId="22A3BE80">
            <w:pPr>
              <w:pStyle w:val="11"/>
              <w:spacing w:line="360" w:lineRule="auto"/>
              <w:jc w:val="center"/>
              <w:rPr>
                <w:rFonts w:hint="eastAsia"/>
                <w:sz w:val="24"/>
                <w:szCs w:val="24"/>
              </w:rPr>
            </w:pPr>
            <w:r>
              <w:rPr>
                <w:rFonts w:hint="eastAsia"/>
                <w:sz w:val="24"/>
                <w:szCs w:val="24"/>
              </w:rPr>
              <w:t>5</w:t>
            </w:r>
          </w:p>
        </w:tc>
        <w:tc>
          <w:tcPr>
            <w:tcW w:w="257" w:type="pct"/>
          </w:tcPr>
          <w:p w14:paraId="7ED009EA">
            <w:pPr>
              <w:pStyle w:val="11"/>
              <w:spacing w:line="360" w:lineRule="auto"/>
              <w:jc w:val="center"/>
              <w:rPr>
                <w:rFonts w:hint="eastAsia"/>
                <w:sz w:val="24"/>
                <w:szCs w:val="24"/>
              </w:rPr>
            </w:pPr>
          </w:p>
        </w:tc>
        <w:tc>
          <w:tcPr>
            <w:tcW w:w="409" w:type="pct"/>
            <w:vMerge w:val="continue"/>
          </w:tcPr>
          <w:p w14:paraId="0E1958E9">
            <w:pPr>
              <w:pStyle w:val="11"/>
              <w:spacing w:line="360" w:lineRule="auto"/>
              <w:rPr>
                <w:rFonts w:hint="eastAsia"/>
                <w:sz w:val="24"/>
                <w:szCs w:val="24"/>
              </w:rPr>
            </w:pPr>
          </w:p>
        </w:tc>
        <w:tc>
          <w:tcPr>
            <w:tcW w:w="4077" w:type="pct"/>
          </w:tcPr>
          <w:p w14:paraId="7D74A2B4">
            <w:pPr>
              <w:pStyle w:val="11"/>
              <w:spacing w:line="360" w:lineRule="auto"/>
              <w:rPr>
                <w:rFonts w:hint="eastAsia"/>
                <w:sz w:val="24"/>
                <w:szCs w:val="24"/>
              </w:rPr>
            </w:pPr>
            <w:r>
              <w:rPr>
                <w:rFonts w:hint="eastAsia"/>
                <w:sz w:val="24"/>
                <w:szCs w:val="24"/>
              </w:rPr>
              <w:t>提供展示病历、检查检验报告、手术等概要信息、病人用药情况和医嘱情况（显示天数）</w:t>
            </w:r>
          </w:p>
        </w:tc>
      </w:tr>
      <w:tr w14:paraId="2E75F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 w:type="pct"/>
          </w:tcPr>
          <w:p w14:paraId="6389CBFE">
            <w:pPr>
              <w:pStyle w:val="11"/>
              <w:spacing w:line="360" w:lineRule="auto"/>
              <w:jc w:val="center"/>
              <w:rPr>
                <w:rFonts w:hint="eastAsia"/>
                <w:sz w:val="24"/>
                <w:szCs w:val="24"/>
              </w:rPr>
            </w:pPr>
            <w:r>
              <w:rPr>
                <w:rFonts w:hint="eastAsia"/>
                <w:sz w:val="24"/>
                <w:szCs w:val="24"/>
              </w:rPr>
              <w:t>6</w:t>
            </w:r>
          </w:p>
        </w:tc>
        <w:tc>
          <w:tcPr>
            <w:tcW w:w="257" w:type="pct"/>
          </w:tcPr>
          <w:p w14:paraId="3863C416">
            <w:pPr>
              <w:pStyle w:val="11"/>
              <w:spacing w:line="360" w:lineRule="auto"/>
              <w:jc w:val="center"/>
              <w:rPr>
                <w:rFonts w:hint="eastAsia"/>
                <w:sz w:val="24"/>
                <w:szCs w:val="24"/>
              </w:rPr>
            </w:pPr>
          </w:p>
        </w:tc>
        <w:tc>
          <w:tcPr>
            <w:tcW w:w="409" w:type="pct"/>
            <w:vMerge w:val="continue"/>
          </w:tcPr>
          <w:p w14:paraId="666660A6">
            <w:pPr>
              <w:pStyle w:val="11"/>
              <w:spacing w:line="360" w:lineRule="auto"/>
              <w:rPr>
                <w:rFonts w:hint="eastAsia"/>
                <w:sz w:val="24"/>
                <w:szCs w:val="24"/>
              </w:rPr>
            </w:pPr>
          </w:p>
        </w:tc>
        <w:tc>
          <w:tcPr>
            <w:tcW w:w="4077" w:type="pct"/>
          </w:tcPr>
          <w:p w14:paraId="0096A649">
            <w:pPr>
              <w:pStyle w:val="11"/>
              <w:spacing w:line="360" w:lineRule="auto"/>
              <w:rPr>
                <w:rFonts w:hint="eastAsia"/>
                <w:sz w:val="24"/>
                <w:szCs w:val="24"/>
              </w:rPr>
            </w:pPr>
            <w:r>
              <w:rPr>
                <w:rFonts w:hint="eastAsia"/>
                <w:sz w:val="24"/>
                <w:szCs w:val="24"/>
              </w:rPr>
              <w:t>提供查看病历、报告、医嘱等功能，可以点击进行查看详细内容</w:t>
            </w:r>
          </w:p>
        </w:tc>
      </w:tr>
      <w:tr w14:paraId="7D860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 w:type="pct"/>
          </w:tcPr>
          <w:p w14:paraId="7F0AE736">
            <w:pPr>
              <w:pStyle w:val="11"/>
              <w:spacing w:line="360" w:lineRule="auto"/>
              <w:jc w:val="center"/>
              <w:rPr>
                <w:rFonts w:hint="eastAsia"/>
                <w:sz w:val="24"/>
                <w:szCs w:val="24"/>
              </w:rPr>
            </w:pPr>
            <w:r>
              <w:rPr>
                <w:rFonts w:hint="eastAsia"/>
                <w:sz w:val="24"/>
                <w:szCs w:val="24"/>
              </w:rPr>
              <w:t>7</w:t>
            </w:r>
          </w:p>
        </w:tc>
        <w:tc>
          <w:tcPr>
            <w:tcW w:w="257" w:type="pct"/>
          </w:tcPr>
          <w:p w14:paraId="6054F2AC">
            <w:pPr>
              <w:pStyle w:val="11"/>
              <w:spacing w:line="360" w:lineRule="auto"/>
              <w:jc w:val="center"/>
              <w:rPr>
                <w:rFonts w:hint="eastAsia"/>
                <w:sz w:val="24"/>
                <w:szCs w:val="24"/>
              </w:rPr>
            </w:pPr>
          </w:p>
        </w:tc>
        <w:tc>
          <w:tcPr>
            <w:tcW w:w="409" w:type="pct"/>
            <w:vMerge w:val="restart"/>
          </w:tcPr>
          <w:p w14:paraId="35EE8FDE">
            <w:pPr>
              <w:pStyle w:val="11"/>
              <w:spacing w:line="360" w:lineRule="auto"/>
              <w:rPr>
                <w:rFonts w:hint="eastAsia"/>
                <w:sz w:val="24"/>
                <w:szCs w:val="24"/>
              </w:rPr>
            </w:pPr>
            <w:r>
              <w:rPr>
                <w:rFonts w:hint="eastAsia"/>
                <w:sz w:val="24"/>
                <w:szCs w:val="24"/>
              </w:rPr>
              <w:t>床旁医嘱下达</w:t>
            </w:r>
          </w:p>
        </w:tc>
        <w:tc>
          <w:tcPr>
            <w:tcW w:w="4077" w:type="pct"/>
          </w:tcPr>
          <w:p w14:paraId="1C121A42">
            <w:pPr>
              <w:pStyle w:val="11"/>
              <w:spacing w:line="360" w:lineRule="auto"/>
              <w:rPr>
                <w:rFonts w:hint="eastAsia"/>
                <w:sz w:val="24"/>
                <w:szCs w:val="24"/>
              </w:rPr>
            </w:pPr>
            <w:r>
              <w:rPr>
                <w:rFonts w:hint="eastAsia"/>
                <w:sz w:val="24"/>
                <w:szCs w:val="24"/>
              </w:rPr>
              <w:t>支持医嘱操作、编辑、复制、下达</w:t>
            </w:r>
          </w:p>
        </w:tc>
      </w:tr>
      <w:tr w14:paraId="10D1C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 w:type="pct"/>
          </w:tcPr>
          <w:p w14:paraId="1A5EF63B">
            <w:pPr>
              <w:pStyle w:val="11"/>
              <w:spacing w:line="360" w:lineRule="auto"/>
              <w:jc w:val="center"/>
              <w:rPr>
                <w:rFonts w:hint="eastAsia"/>
                <w:sz w:val="24"/>
                <w:szCs w:val="24"/>
              </w:rPr>
            </w:pPr>
            <w:r>
              <w:rPr>
                <w:rFonts w:hint="eastAsia"/>
                <w:sz w:val="24"/>
                <w:szCs w:val="24"/>
              </w:rPr>
              <w:t>8</w:t>
            </w:r>
          </w:p>
        </w:tc>
        <w:tc>
          <w:tcPr>
            <w:tcW w:w="257" w:type="pct"/>
          </w:tcPr>
          <w:p w14:paraId="4818E2EA">
            <w:pPr>
              <w:pStyle w:val="11"/>
              <w:spacing w:line="360" w:lineRule="auto"/>
              <w:jc w:val="center"/>
              <w:rPr>
                <w:rFonts w:hint="eastAsia"/>
                <w:sz w:val="24"/>
                <w:szCs w:val="24"/>
              </w:rPr>
            </w:pPr>
          </w:p>
        </w:tc>
        <w:tc>
          <w:tcPr>
            <w:tcW w:w="409" w:type="pct"/>
            <w:vMerge w:val="continue"/>
          </w:tcPr>
          <w:p w14:paraId="7DC60EA9">
            <w:pPr>
              <w:pStyle w:val="11"/>
              <w:spacing w:line="360" w:lineRule="auto"/>
              <w:rPr>
                <w:rFonts w:hint="eastAsia"/>
                <w:sz w:val="24"/>
                <w:szCs w:val="24"/>
              </w:rPr>
            </w:pPr>
          </w:p>
        </w:tc>
        <w:tc>
          <w:tcPr>
            <w:tcW w:w="4077" w:type="pct"/>
          </w:tcPr>
          <w:p w14:paraId="322D5990">
            <w:pPr>
              <w:pStyle w:val="11"/>
              <w:spacing w:line="360" w:lineRule="auto"/>
              <w:rPr>
                <w:rFonts w:hint="eastAsia"/>
                <w:sz w:val="24"/>
                <w:szCs w:val="24"/>
              </w:rPr>
            </w:pPr>
            <w:r>
              <w:rPr>
                <w:rFonts w:hint="eastAsia"/>
                <w:sz w:val="24"/>
                <w:szCs w:val="24"/>
              </w:rPr>
              <w:t>支持患者住院医嘱查阅</w:t>
            </w:r>
          </w:p>
        </w:tc>
      </w:tr>
      <w:tr w14:paraId="25994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 w:type="pct"/>
          </w:tcPr>
          <w:p w14:paraId="59BFC645">
            <w:pPr>
              <w:pStyle w:val="11"/>
              <w:spacing w:line="360" w:lineRule="auto"/>
              <w:jc w:val="center"/>
              <w:rPr>
                <w:rFonts w:hint="eastAsia"/>
                <w:sz w:val="24"/>
                <w:szCs w:val="24"/>
              </w:rPr>
            </w:pPr>
            <w:r>
              <w:rPr>
                <w:rFonts w:hint="eastAsia"/>
                <w:sz w:val="24"/>
                <w:szCs w:val="24"/>
              </w:rPr>
              <w:t>9</w:t>
            </w:r>
          </w:p>
        </w:tc>
        <w:tc>
          <w:tcPr>
            <w:tcW w:w="257" w:type="pct"/>
          </w:tcPr>
          <w:p w14:paraId="2D263217">
            <w:pPr>
              <w:pStyle w:val="11"/>
              <w:spacing w:line="360" w:lineRule="auto"/>
              <w:jc w:val="center"/>
              <w:rPr>
                <w:rFonts w:hint="eastAsia"/>
                <w:sz w:val="24"/>
                <w:szCs w:val="24"/>
              </w:rPr>
            </w:pPr>
          </w:p>
        </w:tc>
        <w:tc>
          <w:tcPr>
            <w:tcW w:w="409" w:type="pct"/>
            <w:vMerge w:val="continue"/>
          </w:tcPr>
          <w:p w14:paraId="2D5C5AD9">
            <w:pPr>
              <w:pStyle w:val="11"/>
              <w:spacing w:line="360" w:lineRule="auto"/>
              <w:rPr>
                <w:rFonts w:hint="eastAsia"/>
                <w:sz w:val="24"/>
                <w:szCs w:val="24"/>
              </w:rPr>
            </w:pPr>
          </w:p>
        </w:tc>
        <w:tc>
          <w:tcPr>
            <w:tcW w:w="4077" w:type="pct"/>
          </w:tcPr>
          <w:p w14:paraId="4B15FD0A">
            <w:pPr>
              <w:pStyle w:val="11"/>
              <w:spacing w:line="360" w:lineRule="auto"/>
              <w:rPr>
                <w:rFonts w:hint="eastAsia"/>
                <w:sz w:val="24"/>
                <w:szCs w:val="24"/>
              </w:rPr>
            </w:pPr>
            <w:r>
              <w:rPr>
                <w:rFonts w:hint="eastAsia"/>
                <w:sz w:val="24"/>
                <w:szCs w:val="24"/>
              </w:rPr>
              <w:t>提供新开、作废、停止医嘱功能</w:t>
            </w:r>
          </w:p>
        </w:tc>
      </w:tr>
      <w:tr w14:paraId="30A8A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 w:type="pct"/>
          </w:tcPr>
          <w:p w14:paraId="04BA4092">
            <w:pPr>
              <w:pStyle w:val="11"/>
              <w:spacing w:line="360" w:lineRule="auto"/>
              <w:jc w:val="center"/>
              <w:rPr>
                <w:rFonts w:hint="eastAsia"/>
                <w:sz w:val="24"/>
                <w:szCs w:val="24"/>
              </w:rPr>
            </w:pPr>
            <w:r>
              <w:rPr>
                <w:rFonts w:hint="eastAsia"/>
                <w:sz w:val="24"/>
                <w:szCs w:val="24"/>
              </w:rPr>
              <w:t>10</w:t>
            </w:r>
          </w:p>
        </w:tc>
        <w:tc>
          <w:tcPr>
            <w:tcW w:w="257" w:type="pct"/>
          </w:tcPr>
          <w:p w14:paraId="784BD9D5">
            <w:pPr>
              <w:pStyle w:val="11"/>
              <w:spacing w:line="360" w:lineRule="auto"/>
              <w:jc w:val="center"/>
              <w:rPr>
                <w:rFonts w:hint="eastAsia"/>
                <w:sz w:val="24"/>
                <w:szCs w:val="24"/>
              </w:rPr>
            </w:pPr>
          </w:p>
        </w:tc>
        <w:tc>
          <w:tcPr>
            <w:tcW w:w="409" w:type="pct"/>
            <w:vMerge w:val="restart"/>
          </w:tcPr>
          <w:p w14:paraId="10F0B472">
            <w:pPr>
              <w:pStyle w:val="11"/>
              <w:spacing w:line="360" w:lineRule="auto"/>
              <w:rPr>
                <w:rFonts w:hint="eastAsia"/>
                <w:sz w:val="24"/>
                <w:szCs w:val="24"/>
              </w:rPr>
            </w:pPr>
            <w:r>
              <w:rPr>
                <w:rFonts w:hint="eastAsia"/>
                <w:sz w:val="24"/>
                <w:szCs w:val="24"/>
              </w:rPr>
              <w:t>床旁体征查询</w:t>
            </w:r>
          </w:p>
        </w:tc>
        <w:tc>
          <w:tcPr>
            <w:tcW w:w="4077" w:type="pct"/>
          </w:tcPr>
          <w:p w14:paraId="7D473AD3">
            <w:pPr>
              <w:pStyle w:val="11"/>
              <w:spacing w:line="360" w:lineRule="auto"/>
              <w:rPr>
                <w:rFonts w:hint="eastAsia"/>
                <w:sz w:val="24"/>
                <w:szCs w:val="24"/>
              </w:rPr>
            </w:pPr>
            <w:r>
              <w:rPr>
                <w:rFonts w:hint="eastAsia"/>
                <w:sz w:val="24"/>
                <w:szCs w:val="24"/>
              </w:rPr>
              <w:t>支持患者的护理数据查询功能，包括体温单、护理文件等</w:t>
            </w:r>
          </w:p>
        </w:tc>
      </w:tr>
      <w:tr w14:paraId="2BCA2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 w:type="pct"/>
          </w:tcPr>
          <w:p w14:paraId="50200F8D">
            <w:pPr>
              <w:pStyle w:val="11"/>
              <w:spacing w:line="360" w:lineRule="auto"/>
              <w:jc w:val="center"/>
              <w:rPr>
                <w:rFonts w:hint="eastAsia"/>
                <w:sz w:val="24"/>
                <w:szCs w:val="24"/>
              </w:rPr>
            </w:pPr>
            <w:r>
              <w:rPr>
                <w:rFonts w:hint="eastAsia"/>
                <w:sz w:val="24"/>
                <w:szCs w:val="24"/>
              </w:rPr>
              <w:t>11</w:t>
            </w:r>
          </w:p>
        </w:tc>
        <w:tc>
          <w:tcPr>
            <w:tcW w:w="257" w:type="pct"/>
          </w:tcPr>
          <w:p w14:paraId="790181C4">
            <w:pPr>
              <w:pStyle w:val="11"/>
              <w:spacing w:line="360" w:lineRule="auto"/>
              <w:jc w:val="center"/>
              <w:rPr>
                <w:rFonts w:hint="eastAsia"/>
                <w:sz w:val="24"/>
                <w:szCs w:val="24"/>
              </w:rPr>
            </w:pPr>
          </w:p>
        </w:tc>
        <w:tc>
          <w:tcPr>
            <w:tcW w:w="409" w:type="pct"/>
            <w:vMerge w:val="continue"/>
          </w:tcPr>
          <w:p w14:paraId="49DC2B79">
            <w:pPr>
              <w:pStyle w:val="11"/>
              <w:spacing w:line="360" w:lineRule="auto"/>
              <w:rPr>
                <w:rFonts w:hint="eastAsia"/>
                <w:sz w:val="24"/>
                <w:szCs w:val="24"/>
              </w:rPr>
            </w:pPr>
          </w:p>
        </w:tc>
        <w:tc>
          <w:tcPr>
            <w:tcW w:w="4077" w:type="pct"/>
          </w:tcPr>
          <w:p w14:paraId="1E7C90C2">
            <w:pPr>
              <w:pStyle w:val="11"/>
              <w:spacing w:line="360" w:lineRule="auto"/>
              <w:rPr>
                <w:rFonts w:hint="eastAsia"/>
                <w:sz w:val="24"/>
                <w:szCs w:val="24"/>
              </w:rPr>
            </w:pPr>
            <w:r>
              <w:rPr>
                <w:rFonts w:hint="eastAsia"/>
                <w:sz w:val="24"/>
                <w:szCs w:val="24"/>
              </w:rPr>
              <w:t>提供界面放大和缩小功能</w:t>
            </w:r>
          </w:p>
        </w:tc>
      </w:tr>
      <w:tr w14:paraId="72E35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 w:type="pct"/>
          </w:tcPr>
          <w:p w14:paraId="054B45B3">
            <w:pPr>
              <w:pStyle w:val="11"/>
              <w:spacing w:line="360" w:lineRule="auto"/>
              <w:jc w:val="center"/>
              <w:rPr>
                <w:rFonts w:hint="eastAsia"/>
                <w:sz w:val="24"/>
                <w:szCs w:val="24"/>
              </w:rPr>
            </w:pPr>
            <w:r>
              <w:rPr>
                <w:rFonts w:hint="eastAsia"/>
                <w:sz w:val="24"/>
                <w:szCs w:val="24"/>
              </w:rPr>
              <w:t>12</w:t>
            </w:r>
          </w:p>
        </w:tc>
        <w:tc>
          <w:tcPr>
            <w:tcW w:w="257" w:type="pct"/>
          </w:tcPr>
          <w:p w14:paraId="33BDA66A">
            <w:pPr>
              <w:pStyle w:val="11"/>
              <w:spacing w:line="360" w:lineRule="auto"/>
              <w:jc w:val="center"/>
              <w:rPr>
                <w:rFonts w:hint="eastAsia"/>
                <w:sz w:val="24"/>
                <w:szCs w:val="24"/>
              </w:rPr>
            </w:pPr>
          </w:p>
        </w:tc>
        <w:tc>
          <w:tcPr>
            <w:tcW w:w="409" w:type="pct"/>
            <w:vMerge w:val="continue"/>
          </w:tcPr>
          <w:p w14:paraId="0DA607CD">
            <w:pPr>
              <w:pStyle w:val="11"/>
              <w:spacing w:line="360" w:lineRule="auto"/>
              <w:rPr>
                <w:rFonts w:hint="eastAsia"/>
                <w:sz w:val="24"/>
                <w:szCs w:val="24"/>
              </w:rPr>
            </w:pPr>
          </w:p>
        </w:tc>
        <w:tc>
          <w:tcPr>
            <w:tcW w:w="4077" w:type="pct"/>
          </w:tcPr>
          <w:p w14:paraId="35860E67">
            <w:pPr>
              <w:pStyle w:val="11"/>
              <w:spacing w:line="360" w:lineRule="auto"/>
              <w:rPr>
                <w:rFonts w:hint="eastAsia"/>
                <w:sz w:val="24"/>
                <w:szCs w:val="24"/>
              </w:rPr>
            </w:pPr>
            <w:r>
              <w:rPr>
                <w:rFonts w:hint="eastAsia"/>
                <w:sz w:val="24"/>
                <w:szCs w:val="24"/>
              </w:rPr>
              <w:t>支持体温单显示历史记录功能</w:t>
            </w:r>
          </w:p>
        </w:tc>
      </w:tr>
      <w:tr w14:paraId="31C43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 w:type="pct"/>
          </w:tcPr>
          <w:p w14:paraId="15B95073">
            <w:pPr>
              <w:pStyle w:val="11"/>
              <w:spacing w:line="360" w:lineRule="auto"/>
              <w:jc w:val="center"/>
              <w:rPr>
                <w:rFonts w:hint="eastAsia"/>
                <w:sz w:val="24"/>
                <w:szCs w:val="24"/>
              </w:rPr>
            </w:pPr>
            <w:r>
              <w:rPr>
                <w:rFonts w:hint="eastAsia"/>
                <w:sz w:val="24"/>
                <w:szCs w:val="24"/>
              </w:rPr>
              <w:t>13</w:t>
            </w:r>
          </w:p>
        </w:tc>
        <w:tc>
          <w:tcPr>
            <w:tcW w:w="257" w:type="pct"/>
          </w:tcPr>
          <w:p w14:paraId="014FF5F7">
            <w:pPr>
              <w:pStyle w:val="11"/>
              <w:spacing w:line="360" w:lineRule="auto"/>
              <w:jc w:val="center"/>
              <w:rPr>
                <w:rFonts w:hint="eastAsia"/>
                <w:sz w:val="24"/>
                <w:szCs w:val="24"/>
              </w:rPr>
            </w:pPr>
          </w:p>
        </w:tc>
        <w:tc>
          <w:tcPr>
            <w:tcW w:w="409" w:type="pct"/>
            <w:vMerge w:val="restart"/>
          </w:tcPr>
          <w:p w14:paraId="739BC252">
            <w:pPr>
              <w:pStyle w:val="11"/>
              <w:spacing w:line="360" w:lineRule="auto"/>
              <w:rPr>
                <w:rFonts w:hint="eastAsia"/>
                <w:sz w:val="24"/>
                <w:szCs w:val="24"/>
              </w:rPr>
            </w:pPr>
            <w:r>
              <w:rPr>
                <w:rFonts w:hint="eastAsia"/>
                <w:sz w:val="24"/>
                <w:szCs w:val="24"/>
              </w:rPr>
              <w:t>电子病历集成</w:t>
            </w:r>
          </w:p>
        </w:tc>
        <w:tc>
          <w:tcPr>
            <w:tcW w:w="4077" w:type="pct"/>
          </w:tcPr>
          <w:p w14:paraId="397AA978">
            <w:pPr>
              <w:pStyle w:val="11"/>
              <w:spacing w:line="360" w:lineRule="auto"/>
              <w:rPr>
                <w:rFonts w:hint="eastAsia"/>
                <w:sz w:val="24"/>
                <w:szCs w:val="24"/>
              </w:rPr>
            </w:pPr>
            <w:r>
              <w:rPr>
                <w:rFonts w:hint="eastAsia"/>
                <w:sz w:val="24"/>
                <w:szCs w:val="24"/>
              </w:rPr>
              <w:t>支持患者住院期间的病历文件查询，可以根据文件类型查询病历</w:t>
            </w:r>
          </w:p>
        </w:tc>
      </w:tr>
      <w:tr w14:paraId="663D5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 w:type="pct"/>
          </w:tcPr>
          <w:p w14:paraId="4ECC13F6">
            <w:pPr>
              <w:pStyle w:val="11"/>
              <w:spacing w:line="360" w:lineRule="auto"/>
              <w:jc w:val="center"/>
              <w:rPr>
                <w:rFonts w:hint="eastAsia"/>
                <w:sz w:val="24"/>
                <w:szCs w:val="24"/>
              </w:rPr>
            </w:pPr>
            <w:r>
              <w:rPr>
                <w:rFonts w:hint="eastAsia"/>
                <w:sz w:val="24"/>
                <w:szCs w:val="24"/>
              </w:rPr>
              <w:t>14</w:t>
            </w:r>
          </w:p>
        </w:tc>
        <w:tc>
          <w:tcPr>
            <w:tcW w:w="257" w:type="pct"/>
          </w:tcPr>
          <w:p w14:paraId="0626B4D7">
            <w:pPr>
              <w:pStyle w:val="11"/>
              <w:spacing w:line="360" w:lineRule="auto"/>
              <w:jc w:val="center"/>
              <w:rPr>
                <w:rFonts w:hint="eastAsia"/>
                <w:sz w:val="24"/>
                <w:szCs w:val="24"/>
              </w:rPr>
            </w:pPr>
          </w:p>
        </w:tc>
        <w:tc>
          <w:tcPr>
            <w:tcW w:w="409" w:type="pct"/>
            <w:vMerge w:val="continue"/>
          </w:tcPr>
          <w:p w14:paraId="15F441DF">
            <w:pPr>
              <w:pStyle w:val="11"/>
              <w:spacing w:line="360" w:lineRule="auto"/>
              <w:rPr>
                <w:rFonts w:hint="eastAsia"/>
                <w:sz w:val="24"/>
                <w:szCs w:val="24"/>
              </w:rPr>
            </w:pPr>
          </w:p>
        </w:tc>
        <w:tc>
          <w:tcPr>
            <w:tcW w:w="4077" w:type="pct"/>
          </w:tcPr>
          <w:p w14:paraId="568FD077">
            <w:pPr>
              <w:pStyle w:val="11"/>
              <w:spacing w:line="360" w:lineRule="auto"/>
              <w:rPr>
                <w:rFonts w:hint="eastAsia"/>
                <w:sz w:val="24"/>
                <w:szCs w:val="24"/>
              </w:rPr>
            </w:pPr>
            <w:r>
              <w:rPr>
                <w:rFonts w:hint="eastAsia"/>
                <w:sz w:val="24"/>
                <w:szCs w:val="24"/>
              </w:rPr>
              <w:t>提供病历缩小放大功能</w:t>
            </w:r>
          </w:p>
        </w:tc>
      </w:tr>
      <w:tr w14:paraId="0AD51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 w:type="pct"/>
          </w:tcPr>
          <w:p w14:paraId="5A60DC67">
            <w:pPr>
              <w:pStyle w:val="11"/>
              <w:spacing w:line="360" w:lineRule="auto"/>
              <w:jc w:val="center"/>
              <w:rPr>
                <w:rFonts w:hint="eastAsia"/>
                <w:sz w:val="24"/>
                <w:szCs w:val="24"/>
              </w:rPr>
            </w:pPr>
            <w:r>
              <w:rPr>
                <w:rFonts w:hint="eastAsia"/>
                <w:sz w:val="24"/>
                <w:szCs w:val="24"/>
              </w:rPr>
              <w:t>15</w:t>
            </w:r>
          </w:p>
        </w:tc>
        <w:tc>
          <w:tcPr>
            <w:tcW w:w="257" w:type="pct"/>
          </w:tcPr>
          <w:p w14:paraId="50F445D1">
            <w:pPr>
              <w:pStyle w:val="11"/>
              <w:spacing w:line="360" w:lineRule="auto"/>
              <w:jc w:val="center"/>
              <w:rPr>
                <w:rFonts w:hint="eastAsia"/>
                <w:sz w:val="24"/>
                <w:szCs w:val="24"/>
              </w:rPr>
            </w:pPr>
          </w:p>
        </w:tc>
        <w:tc>
          <w:tcPr>
            <w:tcW w:w="409" w:type="pct"/>
            <w:vMerge w:val="continue"/>
          </w:tcPr>
          <w:p w14:paraId="46273A11">
            <w:pPr>
              <w:pStyle w:val="11"/>
              <w:spacing w:line="360" w:lineRule="auto"/>
              <w:rPr>
                <w:rFonts w:hint="eastAsia"/>
                <w:sz w:val="24"/>
                <w:szCs w:val="24"/>
              </w:rPr>
            </w:pPr>
          </w:p>
        </w:tc>
        <w:tc>
          <w:tcPr>
            <w:tcW w:w="4077" w:type="pct"/>
          </w:tcPr>
          <w:p w14:paraId="69EB8187">
            <w:pPr>
              <w:pStyle w:val="11"/>
              <w:spacing w:line="360" w:lineRule="auto"/>
              <w:rPr>
                <w:rFonts w:hint="eastAsia"/>
                <w:sz w:val="24"/>
                <w:szCs w:val="24"/>
              </w:rPr>
            </w:pPr>
            <w:r>
              <w:rPr>
                <w:rFonts w:hint="eastAsia"/>
                <w:sz w:val="24"/>
                <w:szCs w:val="24"/>
              </w:rPr>
              <w:t>支持显示患者病历数量</w:t>
            </w:r>
          </w:p>
        </w:tc>
      </w:tr>
      <w:tr w14:paraId="6EB45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 w:type="pct"/>
          </w:tcPr>
          <w:p w14:paraId="2B3B4421">
            <w:pPr>
              <w:pStyle w:val="11"/>
              <w:spacing w:line="360" w:lineRule="auto"/>
              <w:jc w:val="center"/>
              <w:rPr>
                <w:rFonts w:hint="eastAsia"/>
                <w:sz w:val="24"/>
                <w:szCs w:val="24"/>
              </w:rPr>
            </w:pPr>
            <w:r>
              <w:rPr>
                <w:rFonts w:hint="eastAsia"/>
                <w:sz w:val="24"/>
                <w:szCs w:val="24"/>
              </w:rPr>
              <w:t>16</w:t>
            </w:r>
          </w:p>
        </w:tc>
        <w:tc>
          <w:tcPr>
            <w:tcW w:w="257" w:type="pct"/>
          </w:tcPr>
          <w:p w14:paraId="1BB17D6F">
            <w:pPr>
              <w:pStyle w:val="11"/>
              <w:spacing w:line="360" w:lineRule="auto"/>
              <w:jc w:val="center"/>
              <w:rPr>
                <w:rFonts w:hint="eastAsia"/>
                <w:sz w:val="24"/>
                <w:szCs w:val="24"/>
              </w:rPr>
            </w:pPr>
          </w:p>
        </w:tc>
        <w:tc>
          <w:tcPr>
            <w:tcW w:w="409" w:type="pct"/>
            <w:vMerge w:val="restart"/>
          </w:tcPr>
          <w:p w14:paraId="0325BDD4">
            <w:pPr>
              <w:pStyle w:val="11"/>
              <w:spacing w:line="360" w:lineRule="auto"/>
              <w:rPr>
                <w:rFonts w:hint="eastAsia"/>
                <w:sz w:val="24"/>
                <w:szCs w:val="24"/>
              </w:rPr>
            </w:pPr>
            <w:r>
              <w:rPr>
                <w:rFonts w:hint="eastAsia"/>
                <w:sz w:val="24"/>
                <w:szCs w:val="24"/>
              </w:rPr>
              <w:t>检验报告结果查看</w:t>
            </w:r>
          </w:p>
        </w:tc>
        <w:tc>
          <w:tcPr>
            <w:tcW w:w="4077" w:type="pct"/>
          </w:tcPr>
          <w:p w14:paraId="59F031D3">
            <w:pPr>
              <w:pStyle w:val="11"/>
              <w:spacing w:line="360" w:lineRule="auto"/>
              <w:rPr>
                <w:rFonts w:hint="eastAsia"/>
                <w:sz w:val="24"/>
                <w:szCs w:val="24"/>
              </w:rPr>
            </w:pPr>
            <w:r>
              <w:rPr>
                <w:rFonts w:hint="eastAsia"/>
                <w:sz w:val="24"/>
                <w:szCs w:val="24"/>
              </w:rPr>
              <w:t>支持患者的检验报告和检验结果查阅功能</w:t>
            </w:r>
          </w:p>
        </w:tc>
      </w:tr>
      <w:tr w14:paraId="27193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 w:type="pct"/>
          </w:tcPr>
          <w:p w14:paraId="171121F9">
            <w:pPr>
              <w:pStyle w:val="11"/>
              <w:spacing w:line="360" w:lineRule="auto"/>
              <w:jc w:val="center"/>
              <w:rPr>
                <w:rFonts w:hint="eastAsia"/>
                <w:sz w:val="24"/>
                <w:szCs w:val="24"/>
              </w:rPr>
            </w:pPr>
            <w:r>
              <w:rPr>
                <w:rFonts w:hint="eastAsia"/>
                <w:sz w:val="24"/>
                <w:szCs w:val="24"/>
              </w:rPr>
              <w:t>17</w:t>
            </w:r>
          </w:p>
        </w:tc>
        <w:tc>
          <w:tcPr>
            <w:tcW w:w="257" w:type="pct"/>
          </w:tcPr>
          <w:p w14:paraId="075117B7">
            <w:pPr>
              <w:pStyle w:val="11"/>
              <w:spacing w:line="360" w:lineRule="auto"/>
              <w:jc w:val="center"/>
              <w:rPr>
                <w:rFonts w:hint="eastAsia"/>
                <w:sz w:val="24"/>
                <w:szCs w:val="24"/>
              </w:rPr>
            </w:pPr>
          </w:p>
        </w:tc>
        <w:tc>
          <w:tcPr>
            <w:tcW w:w="409" w:type="pct"/>
            <w:vMerge w:val="continue"/>
          </w:tcPr>
          <w:p w14:paraId="4D077B2E">
            <w:pPr>
              <w:pStyle w:val="11"/>
              <w:spacing w:line="360" w:lineRule="auto"/>
              <w:rPr>
                <w:rFonts w:hint="eastAsia"/>
                <w:sz w:val="24"/>
                <w:szCs w:val="24"/>
              </w:rPr>
            </w:pPr>
          </w:p>
        </w:tc>
        <w:tc>
          <w:tcPr>
            <w:tcW w:w="4077" w:type="pct"/>
          </w:tcPr>
          <w:p w14:paraId="330D7A4A">
            <w:pPr>
              <w:pStyle w:val="11"/>
              <w:spacing w:line="360" w:lineRule="auto"/>
              <w:rPr>
                <w:rFonts w:hint="eastAsia"/>
                <w:sz w:val="24"/>
                <w:szCs w:val="24"/>
              </w:rPr>
            </w:pPr>
            <w:r>
              <w:rPr>
                <w:rFonts w:hint="eastAsia"/>
                <w:sz w:val="24"/>
                <w:szCs w:val="24"/>
              </w:rPr>
              <w:t>支持报告异常标识</w:t>
            </w:r>
          </w:p>
        </w:tc>
      </w:tr>
      <w:tr w14:paraId="1330C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 w:type="pct"/>
          </w:tcPr>
          <w:p w14:paraId="0D35FAFF">
            <w:pPr>
              <w:pStyle w:val="11"/>
              <w:spacing w:line="360" w:lineRule="auto"/>
              <w:jc w:val="center"/>
              <w:rPr>
                <w:rFonts w:hint="eastAsia"/>
                <w:sz w:val="24"/>
                <w:szCs w:val="24"/>
              </w:rPr>
            </w:pPr>
            <w:r>
              <w:rPr>
                <w:rFonts w:hint="eastAsia"/>
                <w:sz w:val="24"/>
                <w:szCs w:val="24"/>
              </w:rPr>
              <w:t>18</w:t>
            </w:r>
          </w:p>
        </w:tc>
        <w:tc>
          <w:tcPr>
            <w:tcW w:w="257" w:type="pct"/>
          </w:tcPr>
          <w:p w14:paraId="6AEAC9D2">
            <w:pPr>
              <w:pStyle w:val="11"/>
              <w:spacing w:line="360" w:lineRule="auto"/>
              <w:jc w:val="center"/>
              <w:rPr>
                <w:rFonts w:hint="eastAsia"/>
                <w:sz w:val="24"/>
                <w:szCs w:val="24"/>
              </w:rPr>
            </w:pPr>
          </w:p>
        </w:tc>
        <w:tc>
          <w:tcPr>
            <w:tcW w:w="409" w:type="pct"/>
            <w:vMerge w:val="continue"/>
          </w:tcPr>
          <w:p w14:paraId="4C4D7E8A">
            <w:pPr>
              <w:pStyle w:val="11"/>
              <w:spacing w:line="360" w:lineRule="auto"/>
              <w:rPr>
                <w:rFonts w:hint="eastAsia"/>
                <w:sz w:val="24"/>
                <w:szCs w:val="24"/>
              </w:rPr>
            </w:pPr>
          </w:p>
        </w:tc>
        <w:tc>
          <w:tcPr>
            <w:tcW w:w="4077" w:type="pct"/>
          </w:tcPr>
          <w:p w14:paraId="53FC5AB5">
            <w:pPr>
              <w:pStyle w:val="11"/>
              <w:spacing w:line="360" w:lineRule="auto"/>
              <w:rPr>
                <w:rFonts w:hint="eastAsia"/>
                <w:sz w:val="24"/>
                <w:szCs w:val="24"/>
              </w:rPr>
            </w:pPr>
            <w:r>
              <w:rPr>
                <w:rFonts w:hint="eastAsia"/>
                <w:sz w:val="24"/>
                <w:szCs w:val="24"/>
              </w:rPr>
              <w:t>提供检验指标对比功能</w:t>
            </w:r>
          </w:p>
        </w:tc>
      </w:tr>
      <w:tr w14:paraId="08F58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 w:type="pct"/>
          </w:tcPr>
          <w:p w14:paraId="5107EBCA">
            <w:pPr>
              <w:pStyle w:val="11"/>
              <w:spacing w:line="360" w:lineRule="auto"/>
              <w:jc w:val="center"/>
              <w:rPr>
                <w:rFonts w:hint="eastAsia"/>
                <w:sz w:val="24"/>
                <w:szCs w:val="24"/>
              </w:rPr>
            </w:pPr>
            <w:r>
              <w:rPr>
                <w:rFonts w:hint="eastAsia"/>
                <w:sz w:val="24"/>
                <w:szCs w:val="24"/>
              </w:rPr>
              <w:t>19</w:t>
            </w:r>
          </w:p>
        </w:tc>
        <w:tc>
          <w:tcPr>
            <w:tcW w:w="257" w:type="pct"/>
          </w:tcPr>
          <w:p w14:paraId="37ED8BEF">
            <w:pPr>
              <w:pStyle w:val="11"/>
              <w:spacing w:line="360" w:lineRule="auto"/>
              <w:jc w:val="center"/>
              <w:rPr>
                <w:rFonts w:hint="eastAsia"/>
                <w:sz w:val="24"/>
                <w:szCs w:val="24"/>
              </w:rPr>
            </w:pPr>
          </w:p>
        </w:tc>
        <w:tc>
          <w:tcPr>
            <w:tcW w:w="409" w:type="pct"/>
            <w:vMerge w:val="restart"/>
          </w:tcPr>
          <w:p w14:paraId="2F1E2AB7">
            <w:pPr>
              <w:pStyle w:val="11"/>
              <w:spacing w:line="360" w:lineRule="auto"/>
              <w:rPr>
                <w:rFonts w:hint="eastAsia"/>
                <w:sz w:val="24"/>
                <w:szCs w:val="24"/>
              </w:rPr>
            </w:pPr>
            <w:r>
              <w:rPr>
                <w:rFonts w:hint="eastAsia"/>
                <w:sz w:val="24"/>
                <w:szCs w:val="24"/>
              </w:rPr>
              <w:t>检查报告结果查看</w:t>
            </w:r>
          </w:p>
        </w:tc>
        <w:tc>
          <w:tcPr>
            <w:tcW w:w="4077" w:type="pct"/>
          </w:tcPr>
          <w:p w14:paraId="33596E9F">
            <w:pPr>
              <w:pStyle w:val="11"/>
              <w:spacing w:line="360" w:lineRule="auto"/>
              <w:rPr>
                <w:rFonts w:hint="eastAsia"/>
                <w:sz w:val="24"/>
                <w:szCs w:val="24"/>
              </w:rPr>
            </w:pPr>
            <w:r>
              <w:rPr>
                <w:rFonts w:hint="eastAsia"/>
                <w:sz w:val="24"/>
                <w:szCs w:val="24"/>
              </w:rPr>
              <w:t>支持患者的检查报告查阅功能</w:t>
            </w:r>
          </w:p>
        </w:tc>
      </w:tr>
      <w:tr w14:paraId="30208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 w:type="pct"/>
          </w:tcPr>
          <w:p w14:paraId="4F9B3EC2">
            <w:pPr>
              <w:pStyle w:val="11"/>
              <w:spacing w:line="360" w:lineRule="auto"/>
              <w:jc w:val="center"/>
              <w:rPr>
                <w:rFonts w:hint="eastAsia"/>
                <w:sz w:val="24"/>
                <w:szCs w:val="24"/>
              </w:rPr>
            </w:pPr>
            <w:r>
              <w:rPr>
                <w:rFonts w:hint="eastAsia"/>
                <w:sz w:val="24"/>
                <w:szCs w:val="24"/>
              </w:rPr>
              <w:t>20</w:t>
            </w:r>
          </w:p>
        </w:tc>
        <w:tc>
          <w:tcPr>
            <w:tcW w:w="257" w:type="pct"/>
          </w:tcPr>
          <w:p w14:paraId="11C37FA8">
            <w:pPr>
              <w:pStyle w:val="11"/>
              <w:spacing w:line="360" w:lineRule="auto"/>
              <w:jc w:val="center"/>
              <w:rPr>
                <w:rFonts w:hint="eastAsia"/>
                <w:sz w:val="24"/>
                <w:szCs w:val="24"/>
              </w:rPr>
            </w:pPr>
          </w:p>
        </w:tc>
        <w:tc>
          <w:tcPr>
            <w:tcW w:w="409" w:type="pct"/>
            <w:vMerge w:val="continue"/>
          </w:tcPr>
          <w:p w14:paraId="14050815">
            <w:pPr>
              <w:pStyle w:val="11"/>
              <w:spacing w:line="360" w:lineRule="auto"/>
              <w:rPr>
                <w:rFonts w:hint="eastAsia"/>
                <w:sz w:val="24"/>
                <w:szCs w:val="24"/>
              </w:rPr>
            </w:pPr>
          </w:p>
        </w:tc>
        <w:tc>
          <w:tcPr>
            <w:tcW w:w="4077" w:type="pct"/>
          </w:tcPr>
          <w:p w14:paraId="2013BC03">
            <w:pPr>
              <w:pStyle w:val="11"/>
              <w:spacing w:line="360" w:lineRule="auto"/>
              <w:rPr>
                <w:rFonts w:hint="eastAsia"/>
                <w:sz w:val="24"/>
                <w:szCs w:val="24"/>
              </w:rPr>
            </w:pPr>
            <w:r>
              <w:rPr>
                <w:rFonts w:hint="eastAsia"/>
                <w:sz w:val="24"/>
                <w:szCs w:val="24"/>
              </w:rPr>
              <w:t>支持查看报告图功能</w:t>
            </w:r>
          </w:p>
        </w:tc>
      </w:tr>
      <w:tr w14:paraId="002DA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 w:type="pct"/>
          </w:tcPr>
          <w:p w14:paraId="6A58F981">
            <w:pPr>
              <w:pStyle w:val="11"/>
              <w:spacing w:line="360" w:lineRule="auto"/>
              <w:jc w:val="center"/>
              <w:rPr>
                <w:rFonts w:hint="eastAsia"/>
                <w:sz w:val="24"/>
                <w:szCs w:val="24"/>
              </w:rPr>
            </w:pPr>
            <w:r>
              <w:rPr>
                <w:rFonts w:hint="eastAsia"/>
                <w:sz w:val="24"/>
                <w:szCs w:val="24"/>
              </w:rPr>
              <w:t>21</w:t>
            </w:r>
          </w:p>
        </w:tc>
        <w:tc>
          <w:tcPr>
            <w:tcW w:w="257" w:type="pct"/>
          </w:tcPr>
          <w:p w14:paraId="7268CB56">
            <w:pPr>
              <w:pStyle w:val="11"/>
              <w:spacing w:line="360" w:lineRule="auto"/>
              <w:jc w:val="center"/>
              <w:rPr>
                <w:rFonts w:hint="eastAsia"/>
                <w:sz w:val="24"/>
                <w:szCs w:val="24"/>
              </w:rPr>
            </w:pPr>
          </w:p>
        </w:tc>
        <w:tc>
          <w:tcPr>
            <w:tcW w:w="409" w:type="pct"/>
            <w:vMerge w:val="continue"/>
          </w:tcPr>
          <w:p w14:paraId="394D9DA6">
            <w:pPr>
              <w:pStyle w:val="11"/>
              <w:spacing w:line="360" w:lineRule="auto"/>
              <w:rPr>
                <w:rFonts w:hint="eastAsia"/>
                <w:sz w:val="24"/>
                <w:szCs w:val="24"/>
              </w:rPr>
            </w:pPr>
          </w:p>
        </w:tc>
        <w:tc>
          <w:tcPr>
            <w:tcW w:w="4077" w:type="pct"/>
          </w:tcPr>
          <w:p w14:paraId="71A5C96F">
            <w:pPr>
              <w:pStyle w:val="11"/>
              <w:spacing w:line="360" w:lineRule="auto"/>
              <w:rPr>
                <w:rFonts w:hint="eastAsia"/>
                <w:sz w:val="24"/>
                <w:szCs w:val="24"/>
              </w:rPr>
            </w:pPr>
            <w:r>
              <w:rPr>
                <w:rFonts w:hint="eastAsia"/>
                <w:sz w:val="24"/>
                <w:szCs w:val="24"/>
              </w:rPr>
              <w:t>支持显示患者报告数量</w:t>
            </w:r>
          </w:p>
        </w:tc>
      </w:tr>
      <w:tr w14:paraId="76AA4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 w:type="pct"/>
          </w:tcPr>
          <w:p w14:paraId="72C2D4E3">
            <w:pPr>
              <w:pStyle w:val="11"/>
              <w:spacing w:line="360" w:lineRule="auto"/>
              <w:jc w:val="center"/>
              <w:rPr>
                <w:rFonts w:hint="eastAsia"/>
                <w:sz w:val="24"/>
                <w:szCs w:val="24"/>
              </w:rPr>
            </w:pPr>
            <w:r>
              <w:rPr>
                <w:rFonts w:hint="eastAsia"/>
                <w:sz w:val="24"/>
                <w:szCs w:val="24"/>
              </w:rPr>
              <w:t>22</w:t>
            </w:r>
          </w:p>
        </w:tc>
        <w:tc>
          <w:tcPr>
            <w:tcW w:w="257" w:type="pct"/>
          </w:tcPr>
          <w:p w14:paraId="376E0419">
            <w:pPr>
              <w:pStyle w:val="11"/>
              <w:spacing w:line="360" w:lineRule="auto"/>
              <w:jc w:val="center"/>
              <w:rPr>
                <w:rFonts w:hint="eastAsia"/>
                <w:sz w:val="24"/>
                <w:szCs w:val="24"/>
              </w:rPr>
            </w:pPr>
          </w:p>
        </w:tc>
        <w:tc>
          <w:tcPr>
            <w:tcW w:w="409" w:type="pct"/>
            <w:vMerge w:val="restart"/>
          </w:tcPr>
          <w:p w14:paraId="12A01012">
            <w:pPr>
              <w:pStyle w:val="11"/>
              <w:spacing w:line="360" w:lineRule="auto"/>
              <w:rPr>
                <w:rFonts w:hint="eastAsia"/>
                <w:sz w:val="24"/>
                <w:szCs w:val="24"/>
              </w:rPr>
            </w:pPr>
            <w:r>
              <w:rPr>
                <w:rFonts w:hint="eastAsia"/>
                <w:sz w:val="24"/>
                <w:szCs w:val="24"/>
              </w:rPr>
              <w:t>查房助手</w:t>
            </w:r>
          </w:p>
        </w:tc>
        <w:tc>
          <w:tcPr>
            <w:tcW w:w="4077" w:type="pct"/>
          </w:tcPr>
          <w:p w14:paraId="219545FA">
            <w:pPr>
              <w:pStyle w:val="11"/>
              <w:spacing w:line="360" w:lineRule="auto"/>
              <w:rPr>
                <w:rFonts w:hint="eastAsia"/>
                <w:sz w:val="24"/>
                <w:szCs w:val="24"/>
              </w:rPr>
            </w:pPr>
            <w:r>
              <w:rPr>
                <w:rFonts w:hint="eastAsia"/>
                <w:sz w:val="24"/>
                <w:szCs w:val="24"/>
              </w:rPr>
              <w:t>患者录音功能，进行音频文件记录。</w:t>
            </w:r>
          </w:p>
        </w:tc>
      </w:tr>
      <w:tr w14:paraId="4C7F7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 w:type="pct"/>
          </w:tcPr>
          <w:p w14:paraId="7E6F04B9">
            <w:pPr>
              <w:pStyle w:val="11"/>
              <w:spacing w:line="360" w:lineRule="auto"/>
              <w:jc w:val="center"/>
              <w:rPr>
                <w:rFonts w:hint="eastAsia"/>
                <w:sz w:val="24"/>
                <w:szCs w:val="24"/>
              </w:rPr>
            </w:pPr>
            <w:r>
              <w:rPr>
                <w:rFonts w:hint="eastAsia"/>
                <w:sz w:val="24"/>
                <w:szCs w:val="24"/>
              </w:rPr>
              <w:t>23</w:t>
            </w:r>
          </w:p>
        </w:tc>
        <w:tc>
          <w:tcPr>
            <w:tcW w:w="257" w:type="pct"/>
          </w:tcPr>
          <w:p w14:paraId="04152505">
            <w:pPr>
              <w:pStyle w:val="11"/>
              <w:spacing w:line="360" w:lineRule="auto"/>
              <w:jc w:val="center"/>
              <w:rPr>
                <w:rFonts w:hint="eastAsia"/>
                <w:sz w:val="24"/>
                <w:szCs w:val="24"/>
              </w:rPr>
            </w:pPr>
          </w:p>
        </w:tc>
        <w:tc>
          <w:tcPr>
            <w:tcW w:w="409" w:type="pct"/>
            <w:vMerge w:val="continue"/>
          </w:tcPr>
          <w:p w14:paraId="3A39F560">
            <w:pPr>
              <w:pStyle w:val="11"/>
              <w:spacing w:line="360" w:lineRule="auto"/>
              <w:rPr>
                <w:rFonts w:hint="eastAsia"/>
                <w:sz w:val="24"/>
                <w:szCs w:val="24"/>
              </w:rPr>
            </w:pPr>
          </w:p>
        </w:tc>
        <w:tc>
          <w:tcPr>
            <w:tcW w:w="4077" w:type="pct"/>
          </w:tcPr>
          <w:p w14:paraId="5C87456E">
            <w:pPr>
              <w:pStyle w:val="11"/>
              <w:spacing w:line="360" w:lineRule="auto"/>
              <w:rPr>
                <w:rFonts w:hint="eastAsia"/>
                <w:sz w:val="24"/>
                <w:szCs w:val="24"/>
              </w:rPr>
            </w:pPr>
            <w:r>
              <w:rPr>
                <w:rFonts w:hint="eastAsia"/>
                <w:sz w:val="24"/>
                <w:szCs w:val="24"/>
              </w:rPr>
              <w:t>支持患者备忘信息书写和查阅功能。</w:t>
            </w:r>
          </w:p>
        </w:tc>
      </w:tr>
      <w:tr w14:paraId="00990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 w:type="pct"/>
          </w:tcPr>
          <w:p w14:paraId="5171B74C">
            <w:pPr>
              <w:pStyle w:val="11"/>
              <w:spacing w:line="360" w:lineRule="auto"/>
              <w:jc w:val="center"/>
              <w:rPr>
                <w:rFonts w:hint="eastAsia"/>
                <w:sz w:val="24"/>
                <w:szCs w:val="24"/>
              </w:rPr>
            </w:pPr>
            <w:r>
              <w:rPr>
                <w:rFonts w:hint="eastAsia"/>
                <w:sz w:val="24"/>
                <w:szCs w:val="24"/>
              </w:rPr>
              <w:t>24</w:t>
            </w:r>
          </w:p>
        </w:tc>
        <w:tc>
          <w:tcPr>
            <w:tcW w:w="257" w:type="pct"/>
          </w:tcPr>
          <w:p w14:paraId="1291AD10">
            <w:pPr>
              <w:pStyle w:val="11"/>
              <w:spacing w:line="360" w:lineRule="auto"/>
              <w:jc w:val="center"/>
              <w:rPr>
                <w:rFonts w:hint="eastAsia"/>
                <w:sz w:val="24"/>
                <w:szCs w:val="24"/>
              </w:rPr>
            </w:pPr>
          </w:p>
        </w:tc>
        <w:tc>
          <w:tcPr>
            <w:tcW w:w="409" w:type="pct"/>
            <w:vMerge w:val="restart"/>
          </w:tcPr>
          <w:p w14:paraId="79A8F91B">
            <w:pPr>
              <w:pStyle w:val="11"/>
              <w:spacing w:line="360" w:lineRule="auto"/>
              <w:rPr>
                <w:rFonts w:hint="eastAsia"/>
                <w:sz w:val="24"/>
                <w:szCs w:val="24"/>
              </w:rPr>
            </w:pPr>
            <w:r>
              <w:rPr>
                <w:rFonts w:hint="eastAsia"/>
                <w:sz w:val="24"/>
                <w:szCs w:val="24"/>
              </w:rPr>
              <w:t>移动观片</w:t>
            </w:r>
          </w:p>
        </w:tc>
        <w:tc>
          <w:tcPr>
            <w:tcW w:w="4077" w:type="pct"/>
          </w:tcPr>
          <w:p w14:paraId="626966C9">
            <w:pPr>
              <w:pStyle w:val="11"/>
              <w:spacing w:line="360" w:lineRule="auto"/>
              <w:rPr>
                <w:rFonts w:hint="eastAsia"/>
                <w:sz w:val="24"/>
                <w:szCs w:val="24"/>
              </w:rPr>
            </w:pPr>
            <w:r>
              <w:rPr>
                <w:rFonts w:hint="eastAsia"/>
                <w:sz w:val="24"/>
                <w:szCs w:val="24"/>
              </w:rPr>
              <w:t>通讯服务器可透明地与各类PACS/RIS系统进行接口，传输图像和报告</w:t>
            </w:r>
          </w:p>
        </w:tc>
      </w:tr>
      <w:tr w14:paraId="0CC21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 w:type="pct"/>
          </w:tcPr>
          <w:p w14:paraId="0AE5295F">
            <w:pPr>
              <w:pStyle w:val="11"/>
              <w:spacing w:line="360" w:lineRule="auto"/>
              <w:jc w:val="center"/>
              <w:rPr>
                <w:rFonts w:hint="eastAsia"/>
                <w:sz w:val="24"/>
                <w:szCs w:val="24"/>
              </w:rPr>
            </w:pPr>
            <w:r>
              <w:rPr>
                <w:rFonts w:hint="eastAsia"/>
                <w:sz w:val="24"/>
                <w:szCs w:val="24"/>
              </w:rPr>
              <w:t>25</w:t>
            </w:r>
          </w:p>
        </w:tc>
        <w:tc>
          <w:tcPr>
            <w:tcW w:w="257" w:type="pct"/>
          </w:tcPr>
          <w:p w14:paraId="1470DB96">
            <w:pPr>
              <w:pStyle w:val="11"/>
              <w:spacing w:line="360" w:lineRule="auto"/>
              <w:jc w:val="center"/>
              <w:rPr>
                <w:rFonts w:hint="eastAsia"/>
                <w:sz w:val="24"/>
                <w:szCs w:val="24"/>
              </w:rPr>
            </w:pPr>
          </w:p>
        </w:tc>
        <w:tc>
          <w:tcPr>
            <w:tcW w:w="409" w:type="pct"/>
            <w:vMerge w:val="continue"/>
          </w:tcPr>
          <w:p w14:paraId="48A4BFB4">
            <w:pPr>
              <w:pStyle w:val="11"/>
              <w:spacing w:line="360" w:lineRule="auto"/>
              <w:rPr>
                <w:rFonts w:hint="eastAsia"/>
                <w:sz w:val="24"/>
                <w:szCs w:val="24"/>
              </w:rPr>
            </w:pPr>
          </w:p>
        </w:tc>
        <w:tc>
          <w:tcPr>
            <w:tcW w:w="4077" w:type="pct"/>
          </w:tcPr>
          <w:p w14:paraId="735B330B">
            <w:pPr>
              <w:pStyle w:val="11"/>
              <w:spacing w:line="360" w:lineRule="auto"/>
              <w:rPr>
                <w:rFonts w:hint="eastAsia"/>
                <w:sz w:val="24"/>
                <w:szCs w:val="24"/>
              </w:rPr>
            </w:pPr>
            <w:r>
              <w:rPr>
                <w:rFonts w:hint="eastAsia"/>
                <w:sz w:val="24"/>
                <w:szCs w:val="24"/>
              </w:rPr>
              <w:t>每个通讯服务器可以支持多台IPAD图像浏览终端并发工作</w:t>
            </w:r>
          </w:p>
        </w:tc>
      </w:tr>
      <w:tr w14:paraId="7EF52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 w:type="pct"/>
          </w:tcPr>
          <w:p w14:paraId="0DD18BEF">
            <w:pPr>
              <w:pStyle w:val="11"/>
              <w:spacing w:line="360" w:lineRule="auto"/>
              <w:jc w:val="center"/>
              <w:rPr>
                <w:rFonts w:hint="eastAsia"/>
                <w:sz w:val="24"/>
                <w:szCs w:val="24"/>
              </w:rPr>
            </w:pPr>
            <w:r>
              <w:rPr>
                <w:rFonts w:hint="eastAsia"/>
                <w:sz w:val="24"/>
                <w:szCs w:val="24"/>
              </w:rPr>
              <w:t>26</w:t>
            </w:r>
          </w:p>
        </w:tc>
        <w:tc>
          <w:tcPr>
            <w:tcW w:w="257" w:type="pct"/>
          </w:tcPr>
          <w:p w14:paraId="3AF206D2">
            <w:pPr>
              <w:pStyle w:val="11"/>
              <w:spacing w:line="360" w:lineRule="auto"/>
              <w:jc w:val="center"/>
              <w:rPr>
                <w:rFonts w:hint="eastAsia"/>
                <w:sz w:val="24"/>
                <w:szCs w:val="24"/>
              </w:rPr>
            </w:pPr>
          </w:p>
        </w:tc>
        <w:tc>
          <w:tcPr>
            <w:tcW w:w="409" w:type="pct"/>
            <w:vMerge w:val="continue"/>
          </w:tcPr>
          <w:p w14:paraId="71FC8C90">
            <w:pPr>
              <w:pStyle w:val="11"/>
              <w:spacing w:line="360" w:lineRule="auto"/>
              <w:rPr>
                <w:rFonts w:hint="eastAsia"/>
                <w:sz w:val="24"/>
                <w:szCs w:val="24"/>
              </w:rPr>
            </w:pPr>
          </w:p>
        </w:tc>
        <w:tc>
          <w:tcPr>
            <w:tcW w:w="4077" w:type="pct"/>
          </w:tcPr>
          <w:p w14:paraId="00A96E32">
            <w:pPr>
              <w:pStyle w:val="11"/>
              <w:spacing w:line="360" w:lineRule="auto"/>
              <w:rPr>
                <w:rFonts w:hint="eastAsia"/>
                <w:sz w:val="24"/>
                <w:szCs w:val="24"/>
              </w:rPr>
            </w:pPr>
            <w:r>
              <w:rPr>
                <w:rFonts w:hint="eastAsia"/>
                <w:sz w:val="24"/>
                <w:szCs w:val="24"/>
              </w:rPr>
              <w:t>可通过WIFI连接到通讯服务器；</w:t>
            </w:r>
          </w:p>
        </w:tc>
      </w:tr>
      <w:tr w14:paraId="20C33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 w:type="pct"/>
          </w:tcPr>
          <w:p w14:paraId="1EE485E8">
            <w:pPr>
              <w:pStyle w:val="11"/>
              <w:spacing w:line="360" w:lineRule="auto"/>
              <w:jc w:val="center"/>
              <w:rPr>
                <w:rFonts w:hint="eastAsia"/>
                <w:sz w:val="24"/>
                <w:szCs w:val="24"/>
              </w:rPr>
            </w:pPr>
            <w:r>
              <w:rPr>
                <w:rFonts w:hint="eastAsia"/>
                <w:sz w:val="24"/>
                <w:szCs w:val="24"/>
              </w:rPr>
              <w:t>27</w:t>
            </w:r>
          </w:p>
        </w:tc>
        <w:tc>
          <w:tcPr>
            <w:tcW w:w="257" w:type="pct"/>
          </w:tcPr>
          <w:p w14:paraId="3FF1E36F">
            <w:pPr>
              <w:pStyle w:val="11"/>
              <w:spacing w:line="360" w:lineRule="auto"/>
              <w:jc w:val="center"/>
              <w:rPr>
                <w:rFonts w:hint="eastAsia"/>
                <w:sz w:val="24"/>
                <w:szCs w:val="24"/>
              </w:rPr>
            </w:pPr>
          </w:p>
        </w:tc>
        <w:tc>
          <w:tcPr>
            <w:tcW w:w="409" w:type="pct"/>
            <w:vMerge w:val="continue"/>
          </w:tcPr>
          <w:p w14:paraId="3DAEDE1C">
            <w:pPr>
              <w:pStyle w:val="11"/>
              <w:spacing w:line="360" w:lineRule="auto"/>
              <w:rPr>
                <w:rFonts w:hint="eastAsia"/>
                <w:sz w:val="24"/>
                <w:szCs w:val="24"/>
              </w:rPr>
            </w:pPr>
          </w:p>
        </w:tc>
        <w:tc>
          <w:tcPr>
            <w:tcW w:w="4077" w:type="pct"/>
          </w:tcPr>
          <w:p w14:paraId="788BA844">
            <w:pPr>
              <w:pStyle w:val="11"/>
              <w:spacing w:line="360" w:lineRule="auto"/>
              <w:rPr>
                <w:rFonts w:hint="eastAsia"/>
                <w:sz w:val="24"/>
                <w:szCs w:val="24"/>
              </w:rPr>
            </w:pPr>
            <w:r>
              <w:rPr>
                <w:rFonts w:hint="eastAsia"/>
                <w:sz w:val="24"/>
                <w:szCs w:val="24"/>
              </w:rPr>
              <w:t>通讯服务器支持实时JPEG2000渐进压缩和移动端渐进解压显示，以提高传输速度和浏览效果</w:t>
            </w:r>
          </w:p>
        </w:tc>
      </w:tr>
      <w:tr w14:paraId="2DAC1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 w:type="pct"/>
          </w:tcPr>
          <w:p w14:paraId="7D6AC271">
            <w:pPr>
              <w:pStyle w:val="11"/>
              <w:spacing w:line="360" w:lineRule="auto"/>
              <w:jc w:val="center"/>
              <w:rPr>
                <w:rFonts w:hint="eastAsia"/>
                <w:sz w:val="24"/>
                <w:szCs w:val="24"/>
              </w:rPr>
            </w:pPr>
            <w:r>
              <w:rPr>
                <w:rFonts w:hint="eastAsia"/>
                <w:sz w:val="24"/>
                <w:szCs w:val="24"/>
              </w:rPr>
              <w:t>28</w:t>
            </w:r>
          </w:p>
        </w:tc>
        <w:tc>
          <w:tcPr>
            <w:tcW w:w="257" w:type="pct"/>
          </w:tcPr>
          <w:p w14:paraId="03B2534E">
            <w:pPr>
              <w:pStyle w:val="11"/>
              <w:spacing w:line="360" w:lineRule="auto"/>
              <w:jc w:val="center"/>
              <w:rPr>
                <w:rFonts w:hint="eastAsia"/>
                <w:sz w:val="24"/>
                <w:szCs w:val="24"/>
              </w:rPr>
            </w:pPr>
          </w:p>
        </w:tc>
        <w:tc>
          <w:tcPr>
            <w:tcW w:w="409" w:type="pct"/>
            <w:vMerge w:val="continue"/>
          </w:tcPr>
          <w:p w14:paraId="6B327A53">
            <w:pPr>
              <w:pStyle w:val="11"/>
              <w:spacing w:line="360" w:lineRule="auto"/>
              <w:rPr>
                <w:rFonts w:hint="eastAsia"/>
                <w:sz w:val="24"/>
                <w:szCs w:val="24"/>
              </w:rPr>
            </w:pPr>
          </w:p>
        </w:tc>
        <w:tc>
          <w:tcPr>
            <w:tcW w:w="4077" w:type="pct"/>
          </w:tcPr>
          <w:p w14:paraId="0A8BBBB1">
            <w:pPr>
              <w:pStyle w:val="11"/>
              <w:spacing w:line="360" w:lineRule="auto"/>
              <w:rPr>
                <w:rFonts w:hint="eastAsia"/>
                <w:sz w:val="24"/>
                <w:szCs w:val="24"/>
              </w:rPr>
            </w:pPr>
            <w:r>
              <w:rPr>
                <w:rFonts w:hint="eastAsia"/>
                <w:sz w:val="24"/>
                <w:szCs w:val="24"/>
              </w:rPr>
              <w:t>患者列表中加入刷新功能，以便随时获取正在传输的图像</w:t>
            </w:r>
          </w:p>
        </w:tc>
      </w:tr>
      <w:tr w14:paraId="053FA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 w:type="pct"/>
          </w:tcPr>
          <w:p w14:paraId="3E7D44CC">
            <w:pPr>
              <w:pStyle w:val="11"/>
              <w:spacing w:line="360" w:lineRule="auto"/>
              <w:jc w:val="center"/>
              <w:rPr>
                <w:rFonts w:hint="eastAsia"/>
                <w:sz w:val="24"/>
                <w:szCs w:val="24"/>
              </w:rPr>
            </w:pPr>
            <w:r>
              <w:rPr>
                <w:rFonts w:hint="eastAsia"/>
                <w:sz w:val="24"/>
                <w:szCs w:val="24"/>
              </w:rPr>
              <w:t>29</w:t>
            </w:r>
          </w:p>
        </w:tc>
        <w:tc>
          <w:tcPr>
            <w:tcW w:w="257" w:type="pct"/>
          </w:tcPr>
          <w:p w14:paraId="66C5111C">
            <w:pPr>
              <w:pStyle w:val="11"/>
              <w:spacing w:line="360" w:lineRule="auto"/>
              <w:jc w:val="center"/>
              <w:rPr>
                <w:rFonts w:hint="eastAsia"/>
                <w:sz w:val="24"/>
                <w:szCs w:val="24"/>
              </w:rPr>
            </w:pPr>
          </w:p>
        </w:tc>
        <w:tc>
          <w:tcPr>
            <w:tcW w:w="409" w:type="pct"/>
            <w:vMerge w:val="continue"/>
          </w:tcPr>
          <w:p w14:paraId="312E588F">
            <w:pPr>
              <w:pStyle w:val="11"/>
              <w:spacing w:line="360" w:lineRule="auto"/>
              <w:rPr>
                <w:rFonts w:hint="eastAsia"/>
                <w:sz w:val="24"/>
                <w:szCs w:val="24"/>
              </w:rPr>
            </w:pPr>
          </w:p>
        </w:tc>
        <w:tc>
          <w:tcPr>
            <w:tcW w:w="4077" w:type="pct"/>
          </w:tcPr>
          <w:p w14:paraId="5A082350">
            <w:pPr>
              <w:pStyle w:val="11"/>
              <w:spacing w:line="360" w:lineRule="auto"/>
              <w:rPr>
                <w:rFonts w:hint="eastAsia"/>
                <w:sz w:val="24"/>
                <w:szCs w:val="24"/>
              </w:rPr>
            </w:pPr>
            <w:r>
              <w:rPr>
                <w:rFonts w:hint="eastAsia"/>
                <w:sz w:val="24"/>
                <w:szCs w:val="24"/>
              </w:rPr>
              <w:t>支持主流影像图像类型，最大可支持4K*4K的图像</w:t>
            </w:r>
          </w:p>
        </w:tc>
      </w:tr>
      <w:tr w14:paraId="139A2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 w:type="pct"/>
          </w:tcPr>
          <w:p w14:paraId="76979605">
            <w:pPr>
              <w:pStyle w:val="11"/>
              <w:spacing w:line="360" w:lineRule="auto"/>
              <w:jc w:val="center"/>
              <w:rPr>
                <w:rFonts w:hint="eastAsia"/>
                <w:sz w:val="24"/>
                <w:szCs w:val="24"/>
              </w:rPr>
            </w:pPr>
            <w:r>
              <w:rPr>
                <w:rFonts w:hint="eastAsia"/>
                <w:sz w:val="24"/>
                <w:szCs w:val="24"/>
              </w:rPr>
              <w:t>30</w:t>
            </w:r>
          </w:p>
        </w:tc>
        <w:tc>
          <w:tcPr>
            <w:tcW w:w="257" w:type="pct"/>
          </w:tcPr>
          <w:p w14:paraId="30633D7F">
            <w:pPr>
              <w:pStyle w:val="11"/>
              <w:spacing w:line="360" w:lineRule="auto"/>
              <w:jc w:val="center"/>
              <w:rPr>
                <w:rFonts w:hint="eastAsia"/>
                <w:sz w:val="24"/>
                <w:szCs w:val="24"/>
              </w:rPr>
            </w:pPr>
          </w:p>
        </w:tc>
        <w:tc>
          <w:tcPr>
            <w:tcW w:w="409" w:type="pct"/>
            <w:vMerge w:val="continue"/>
          </w:tcPr>
          <w:p w14:paraId="6A3AF864">
            <w:pPr>
              <w:pStyle w:val="11"/>
              <w:spacing w:line="360" w:lineRule="auto"/>
              <w:rPr>
                <w:rFonts w:hint="eastAsia"/>
                <w:sz w:val="24"/>
                <w:szCs w:val="24"/>
              </w:rPr>
            </w:pPr>
          </w:p>
        </w:tc>
        <w:tc>
          <w:tcPr>
            <w:tcW w:w="4077" w:type="pct"/>
          </w:tcPr>
          <w:p w14:paraId="73580A90">
            <w:pPr>
              <w:pStyle w:val="11"/>
              <w:spacing w:line="360" w:lineRule="auto"/>
              <w:rPr>
                <w:rFonts w:hint="eastAsia"/>
                <w:sz w:val="24"/>
                <w:szCs w:val="24"/>
              </w:rPr>
            </w:pPr>
            <w:r>
              <w:rPr>
                <w:rFonts w:hint="eastAsia"/>
                <w:sz w:val="24"/>
                <w:szCs w:val="24"/>
              </w:rPr>
              <w:t>支持灰度和彩色图像传输和显示</w:t>
            </w:r>
          </w:p>
        </w:tc>
      </w:tr>
      <w:tr w14:paraId="1F9F6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 w:type="pct"/>
          </w:tcPr>
          <w:p w14:paraId="1C081046">
            <w:pPr>
              <w:pStyle w:val="11"/>
              <w:spacing w:line="360" w:lineRule="auto"/>
              <w:jc w:val="center"/>
              <w:rPr>
                <w:rFonts w:hint="eastAsia"/>
                <w:sz w:val="24"/>
                <w:szCs w:val="24"/>
              </w:rPr>
            </w:pPr>
            <w:r>
              <w:rPr>
                <w:rFonts w:hint="eastAsia"/>
                <w:sz w:val="24"/>
                <w:szCs w:val="24"/>
              </w:rPr>
              <w:t>31</w:t>
            </w:r>
          </w:p>
        </w:tc>
        <w:tc>
          <w:tcPr>
            <w:tcW w:w="257" w:type="pct"/>
          </w:tcPr>
          <w:p w14:paraId="7C651728">
            <w:pPr>
              <w:pStyle w:val="11"/>
              <w:spacing w:line="360" w:lineRule="auto"/>
              <w:jc w:val="center"/>
              <w:rPr>
                <w:rFonts w:hint="eastAsia"/>
                <w:sz w:val="24"/>
                <w:szCs w:val="24"/>
              </w:rPr>
            </w:pPr>
          </w:p>
        </w:tc>
        <w:tc>
          <w:tcPr>
            <w:tcW w:w="409" w:type="pct"/>
            <w:vMerge w:val="continue"/>
          </w:tcPr>
          <w:p w14:paraId="4D364F8B">
            <w:pPr>
              <w:pStyle w:val="11"/>
              <w:spacing w:line="360" w:lineRule="auto"/>
              <w:rPr>
                <w:rFonts w:hint="eastAsia"/>
                <w:sz w:val="24"/>
                <w:szCs w:val="24"/>
              </w:rPr>
            </w:pPr>
          </w:p>
        </w:tc>
        <w:tc>
          <w:tcPr>
            <w:tcW w:w="4077" w:type="pct"/>
          </w:tcPr>
          <w:p w14:paraId="379664A2">
            <w:pPr>
              <w:pStyle w:val="11"/>
              <w:spacing w:line="360" w:lineRule="auto"/>
              <w:rPr>
                <w:rFonts w:hint="eastAsia"/>
                <w:sz w:val="24"/>
                <w:szCs w:val="24"/>
              </w:rPr>
            </w:pPr>
            <w:r>
              <w:rPr>
                <w:rFonts w:hint="eastAsia"/>
                <w:sz w:val="24"/>
                <w:szCs w:val="24"/>
              </w:rPr>
              <w:t>界面自动适应横屏、竖屏</w:t>
            </w:r>
          </w:p>
        </w:tc>
      </w:tr>
      <w:tr w14:paraId="09D77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 w:type="pct"/>
          </w:tcPr>
          <w:p w14:paraId="4207AA96">
            <w:pPr>
              <w:pStyle w:val="11"/>
              <w:spacing w:line="360" w:lineRule="auto"/>
              <w:jc w:val="center"/>
              <w:rPr>
                <w:rFonts w:hint="eastAsia"/>
                <w:sz w:val="24"/>
                <w:szCs w:val="24"/>
              </w:rPr>
            </w:pPr>
            <w:r>
              <w:rPr>
                <w:rFonts w:hint="eastAsia"/>
                <w:sz w:val="24"/>
                <w:szCs w:val="24"/>
              </w:rPr>
              <w:t>32</w:t>
            </w:r>
          </w:p>
        </w:tc>
        <w:tc>
          <w:tcPr>
            <w:tcW w:w="257" w:type="pct"/>
          </w:tcPr>
          <w:p w14:paraId="3B281B34">
            <w:pPr>
              <w:pStyle w:val="11"/>
              <w:spacing w:line="360" w:lineRule="auto"/>
              <w:jc w:val="center"/>
              <w:rPr>
                <w:rFonts w:hint="eastAsia"/>
                <w:sz w:val="24"/>
                <w:szCs w:val="24"/>
              </w:rPr>
            </w:pPr>
          </w:p>
        </w:tc>
        <w:tc>
          <w:tcPr>
            <w:tcW w:w="409" w:type="pct"/>
            <w:vMerge w:val="continue"/>
          </w:tcPr>
          <w:p w14:paraId="0CA86426">
            <w:pPr>
              <w:pStyle w:val="11"/>
              <w:spacing w:line="360" w:lineRule="auto"/>
              <w:rPr>
                <w:rFonts w:hint="eastAsia"/>
                <w:sz w:val="24"/>
                <w:szCs w:val="24"/>
              </w:rPr>
            </w:pPr>
          </w:p>
        </w:tc>
        <w:tc>
          <w:tcPr>
            <w:tcW w:w="4077" w:type="pct"/>
          </w:tcPr>
          <w:p w14:paraId="3316B982">
            <w:pPr>
              <w:pStyle w:val="11"/>
              <w:spacing w:line="360" w:lineRule="auto"/>
              <w:rPr>
                <w:rFonts w:hint="eastAsia"/>
                <w:sz w:val="24"/>
                <w:szCs w:val="24"/>
              </w:rPr>
            </w:pPr>
            <w:r>
              <w:rPr>
                <w:rFonts w:hint="eastAsia"/>
                <w:sz w:val="24"/>
                <w:szCs w:val="24"/>
              </w:rPr>
              <w:t>双击屏幕进入或退全屏模式</w:t>
            </w:r>
          </w:p>
        </w:tc>
      </w:tr>
      <w:tr w14:paraId="333BE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 w:type="pct"/>
          </w:tcPr>
          <w:p w14:paraId="29016C14">
            <w:pPr>
              <w:pStyle w:val="11"/>
              <w:spacing w:line="360" w:lineRule="auto"/>
              <w:jc w:val="center"/>
              <w:rPr>
                <w:rFonts w:hint="eastAsia"/>
                <w:sz w:val="24"/>
                <w:szCs w:val="24"/>
              </w:rPr>
            </w:pPr>
            <w:r>
              <w:rPr>
                <w:rFonts w:hint="eastAsia"/>
                <w:sz w:val="24"/>
                <w:szCs w:val="24"/>
              </w:rPr>
              <w:t>33</w:t>
            </w:r>
          </w:p>
        </w:tc>
        <w:tc>
          <w:tcPr>
            <w:tcW w:w="257" w:type="pct"/>
          </w:tcPr>
          <w:p w14:paraId="369C0A9E">
            <w:pPr>
              <w:pStyle w:val="11"/>
              <w:spacing w:line="360" w:lineRule="auto"/>
              <w:jc w:val="center"/>
              <w:rPr>
                <w:rFonts w:hint="eastAsia"/>
                <w:sz w:val="24"/>
                <w:szCs w:val="24"/>
              </w:rPr>
            </w:pPr>
          </w:p>
        </w:tc>
        <w:tc>
          <w:tcPr>
            <w:tcW w:w="409" w:type="pct"/>
            <w:vMerge w:val="continue"/>
          </w:tcPr>
          <w:p w14:paraId="1B501097">
            <w:pPr>
              <w:pStyle w:val="11"/>
              <w:spacing w:line="360" w:lineRule="auto"/>
              <w:rPr>
                <w:rFonts w:hint="eastAsia"/>
                <w:sz w:val="24"/>
                <w:szCs w:val="24"/>
              </w:rPr>
            </w:pPr>
          </w:p>
        </w:tc>
        <w:tc>
          <w:tcPr>
            <w:tcW w:w="4077" w:type="pct"/>
          </w:tcPr>
          <w:p w14:paraId="69992561">
            <w:pPr>
              <w:pStyle w:val="11"/>
              <w:spacing w:line="360" w:lineRule="auto"/>
              <w:rPr>
                <w:rFonts w:hint="eastAsia"/>
                <w:sz w:val="24"/>
                <w:szCs w:val="24"/>
              </w:rPr>
            </w:pPr>
            <w:r>
              <w:rPr>
                <w:rFonts w:hint="eastAsia"/>
                <w:sz w:val="24"/>
                <w:szCs w:val="24"/>
              </w:rPr>
              <w:t>点击屏幕左右边缘快捷图像翻页</w:t>
            </w:r>
          </w:p>
        </w:tc>
      </w:tr>
      <w:tr w14:paraId="40982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 w:type="pct"/>
          </w:tcPr>
          <w:p w14:paraId="1B299F15">
            <w:pPr>
              <w:pStyle w:val="11"/>
              <w:spacing w:line="360" w:lineRule="auto"/>
              <w:jc w:val="center"/>
              <w:rPr>
                <w:rFonts w:hint="eastAsia"/>
                <w:sz w:val="24"/>
                <w:szCs w:val="24"/>
              </w:rPr>
            </w:pPr>
            <w:r>
              <w:rPr>
                <w:rFonts w:hint="eastAsia"/>
                <w:sz w:val="24"/>
                <w:szCs w:val="24"/>
              </w:rPr>
              <w:t>34</w:t>
            </w:r>
          </w:p>
        </w:tc>
        <w:tc>
          <w:tcPr>
            <w:tcW w:w="257" w:type="pct"/>
          </w:tcPr>
          <w:p w14:paraId="26C8BC1A">
            <w:pPr>
              <w:pStyle w:val="11"/>
              <w:spacing w:line="360" w:lineRule="auto"/>
              <w:jc w:val="center"/>
              <w:rPr>
                <w:rFonts w:hint="eastAsia"/>
                <w:sz w:val="24"/>
                <w:szCs w:val="24"/>
              </w:rPr>
            </w:pPr>
          </w:p>
        </w:tc>
        <w:tc>
          <w:tcPr>
            <w:tcW w:w="409" w:type="pct"/>
            <w:vMerge w:val="continue"/>
          </w:tcPr>
          <w:p w14:paraId="7DE4F241">
            <w:pPr>
              <w:pStyle w:val="11"/>
              <w:spacing w:line="360" w:lineRule="auto"/>
              <w:rPr>
                <w:rFonts w:hint="eastAsia"/>
                <w:sz w:val="24"/>
                <w:szCs w:val="24"/>
              </w:rPr>
            </w:pPr>
          </w:p>
        </w:tc>
        <w:tc>
          <w:tcPr>
            <w:tcW w:w="4077" w:type="pct"/>
          </w:tcPr>
          <w:p w14:paraId="532EAC63">
            <w:pPr>
              <w:pStyle w:val="11"/>
              <w:spacing w:line="360" w:lineRule="auto"/>
              <w:rPr>
                <w:rFonts w:hint="eastAsia"/>
                <w:sz w:val="24"/>
                <w:szCs w:val="24"/>
              </w:rPr>
            </w:pPr>
            <w:r>
              <w:rPr>
                <w:rFonts w:hint="eastAsia"/>
                <w:sz w:val="24"/>
                <w:szCs w:val="24"/>
              </w:rPr>
              <w:t>窗宽、窗位单指调节</w:t>
            </w:r>
          </w:p>
        </w:tc>
      </w:tr>
      <w:tr w14:paraId="43420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 w:type="pct"/>
          </w:tcPr>
          <w:p w14:paraId="2811D84E">
            <w:pPr>
              <w:pStyle w:val="11"/>
              <w:spacing w:line="360" w:lineRule="auto"/>
              <w:jc w:val="center"/>
              <w:rPr>
                <w:rFonts w:hint="eastAsia"/>
                <w:sz w:val="24"/>
                <w:szCs w:val="24"/>
              </w:rPr>
            </w:pPr>
            <w:r>
              <w:rPr>
                <w:rFonts w:hint="eastAsia"/>
                <w:sz w:val="24"/>
                <w:szCs w:val="24"/>
              </w:rPr>
              <w:t>35</w:t>
            </w:r>
          </w:p>
        </w:tc>
        <w:tc>
          <w:tcPr>
            <w:tcW w:w="257" w:type="pct"/>
          </w:tcPr>
          <w:p w14:paraId="4FA3E70D">
            <w:pPr>
              <w:pStyle w:val="11"/>
              <w:spacing w:line="360" w:lineRule="auto"/>
              <w:jc w:val="center"/>
              <w:rPr>
                <w:rFonts w:hint="eastAsia"/>
                <w:sz w:val="24"/>
                <w:szCs w:val="24"/>
              </w:rPr>
            </w:pPr>
          </w:p>
        </w:tc>
        <w:tc>
          <w:tcPr>
            <w:tcW w:w="409" w:type="pct"/>
            <w:vMerge w:val="continue"/>
          </w:tcPr>
          <w:p w14:paraId="5DE3B8D5">
            <w:pPr>
              <w:pStyle w:val="11"/>
              <w:spacing w:line="360" w:lineRule="auto"/>
              <w:rPr>
                <w:rFonts w:hint="eastAsia"/>
                <w:sz w:val="24"/>
                <w:szCs w:val="24"/>
              </w:rPr>
            </w:pPr>
          </w:p>
        </w:tc>
        <w:tc>
          <w:tcPr>
            <w:tcW w:w="4077" w:type="pct"/>
          </w:tcPr>
          <w:p w14:paraId="0436BECA">
            <w:pPr>
              <w:pStyle w:val="11"/>
              <w:spacing w:line="360" w:lineRule="auto"/>
              <w:rPr>
                <w:rFonts w:hint="eastAsia"/>
                <w:sz w:val="24"/>
                <w:szCs w:val="24"/>
              </w:rPr>
            </w:pPr>
            <w:r>
              <w:rPr>
                <w:rFonts w:hint="eastAsia"/>
                <w:sz w:val="24"/>
                <w:szCs w:val="24"/>
              </w:rPr>
              <w:t>可通过标定的窗口自动调整窗宽、窗位</w:t>
            </w:r>
          </w:p>
        </w:tc>
      </w:tr>
      <w:tr w14:paraId="274E2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 w:type="pct"/>
          </w:tcPr>
          <w:p w14:paraId="56C9A4DC">
            <w:pPr>
              <w:pStyle w:val="11"/>
              <w:spacing w:line="360" w:lineRule="auto"/>
              <w:jc w:val="center"/>
              <w:rPr>
                <w:rFonts w:hint="eastAsia"/>
                <w:sz w:val="24"/>
                <w:szCs w:val="24"/>
              </w:rPr>
            </w:pPr>
            <w:r>
              <w:rPr>
                <w:rFonts w:hint="eastAsia"/>
                <w:sz w:val="24"/>
                <w:szCs w:val="24"/>
              </w:rPr>
              <w:t>36</w:t>
            </w:r>
          </w:p>
        </w:tc>
        <w:tc>
          <w:tcPr>
            <w:tcW w:w="257" w:type="pct"/>
          </w:tcPr>
          <w:p w14:paraId="10C66889">
            <w:pPr>
              <w:pStyle w:val="11"/>
              <w:spacing w:line="360" w:lineRule="auto"/>
              <w:jc w:val="center"/>
              <w:rPr>
                <w:rFonts w:hint="eastAsia"/>
                <w:sz w:val="24"/>
                <w:szCs w:val="24"/>
              </w:rPr>
            </w:pPr>
          </w:p>
        </w:tc>
        <w:tc>
          <w:tcPr>
            <w:tcW w:w="409" w:type="pct"/>
            <w:vMerge w:val="continue"/>
          </w:tcPr>
          <w:p w14:paraId="26A516BA">
            <w:pPr>
              <w:pStyle w:val="11"/>
              <w:spacing w:line="360" w:lineRule="auto"/>
              <w:rPr>
                <w:rFonts w:hint="eastAsia"/>
                <w:sz w:val="24"/>
                <w:szCs w:val="24"/>
              </w:rPr>
            </w:pPr>
          </w:p>
        </w:tc>
        <w:tc>
          <w:tcPr>
            <w:tcW w:w="4077" w:type="pct"/>
          </w:tcPr>
          <w:p w14:paraId="2665B7F0">
            <w:pPr>
              <w:pStyle w:val="11"/>
              <w:spacing w:line="360" w:lineRule="auto"/>
              <w:rPr>
                <w:rFonts w:hint="eastAsia"/>
                <w:sz w:val="24"/>
                <w:szCs w:val="24"/>
              </w:rPr>
            </w:pPr>
            <w:r>
              <w:rPr>
                <w:rFonts w:hint="eastAsia"/>
                <w:sz w:val="24"/>
                <w:szCs w:val="24"/>
              </w:rPr>
              <w:t>图像漫游单指拖动</w:t>
            </w:r>
          </w:p>
        </w:tc>
      </w:tr>
      <w:tr w14:paraId="522BE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 w:type="pct"/>
          </w:tcPr>
          <w:p w14:paraId="7C5DF88C">
            <w:pPr>
              <w:pStyle w:val="11"/>
              <w:spacing w:line="360" w:lineRule="auto"/>
              <w:jc w:val="center"/>
              <w:rPr>
                <w:rFonts w:hint="eastAsia"/>
                <w:sz w:val="24"/>
                <w:szCs w:val="24"/>
              </w:rPr>
            </w:pPr>
            <w:r>
              <w:rPr>
                <w:rFonts w:hint="eastAsia"/>
                <w:sz w:val="24"/>
                <w:szCs w:val="24"/>
              </w:rPr>
              <w:t>37</w:t>
            </w:r>
          </w:p>
        </w:tc>
        <w:tc>
          <w:tcPr>
            <w:tcW w:w="257" w:type="pct"/>
          </w:tcPr>
          <w:p w14:paraId="3C150A12">
            <w:pPr>
              <w:pStyle w:val="11"/>
              <w:spacing w:line="360" w:lineRule="auto"/>
              <w:jc w:val="center"/>
              <w:rPr>
                <w:rFonts w:hint="eastAsia"/>
                <w:sz w:val="24"/>
                <w:szCs w:val="24"/>
              </w:rPr>
            </w:pPr>
          </w:p>
        </w:tc>
        <w:tc>
          <w:tcPr>
            <w:tcW w:w="409" w:type="pct"/>
            <w:vMerge w:val="continue"/>
          </w:tcPr>
          <w:p w14:paraId="0E302E15">
            <w:pPr>
              <w:pStyle w:val="11"/>
              <w:spacing w:line="360" w:lineRule="auto"/>
              <w:rPr>
                <w:rFonts w:hint="eastAsia"/>
                <w:sz w:val="24"/>
                <w:szCs w:val="24"/>
              </w:rPr>
            </w:pPr>
          </w:p>
        </w:tc>
        <w:tc>
          <w:tcPr>
            <w:tcW w:w="4077" w:type="pct"/>
          </w:tcPr>
          <w:p w14:paraId="6964916D">
            <w:pPr>
              <w:pStyle w:val="11"/>
              <w:spacing w:line="360" w:lineRule="auto"/>
              <w:rPr>
                <w:rFonts w:hint="eastAsia"/>
                <w:sz w:val="24"/>
                <w:szCs w:val="24"/>
              </w:rPr>
            </w:pPr>
            <w:r>
              <w:rPr>
                <w:rFonts w:hint="eastAsia"/>
                <w:sz w:val="24"/>
                <w:szCs w:val="24"/>
              </w:rPr>
              <w:t>双指缩放和漫游</w:t>
            </w:r>
          </w:p>
        </w:tc>
      </w:tr>
      <w:tr w14:paraId="5DBBA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 w:type="pct"/>
          </w:tcPr>
          <w:p w14:paraId="7A1BAAAE">
            <w:pPr>
              <w:pStyle w:val="11"/>
              <w:spacing w:line="360" w:lineRule="auto"/>
              <w:jc w:val="center"/>
              <w:rPr>
                <w:rFonts w:hint="eastAsia"/>
                <w:sz w:val="24"/>
                <w:szCs w:val="24"/>
              </w:rPr>
            </w:pPr>
            <w:r>
              <w:rPr>
                <w:rFonts w:hint="eastAsia"/>
                <w:sz w:val="24"/>
                <w:szCs w:val="24"/>
              </w:rPr>
              <w:t>38</w:t>
            </w:r>
          </w:p>
        </w:tc>
        <w:tc>
          <w:tcPr>
            <w:tcW w:w="257" w:type="pct"/>
          </w:tcPr>
          <w:p w14:paraId="126FD56B">
            <w:pPr>
              <w:pStyle w:val="11"/>
              <w:spacing w:line="360" w:lineRule="auto"/>
              <w:jc w:val="center"/>
              <w:rPr>
                <w:rFonts w:hint="eastAsia"/>
                <w:sz w:val="24"/>
                <w:szCs w:val="24"/>
              </w:rPr>
            </w:pPr>
          </w:p>
        </w:tc>
        <w:tc>
          <w:tcPr>
            <w:tcW w:w="409" w:type="pct"/>
            <w:vMerge w:val="continue"/>
          </w:tcPr>
          <w:p w14:paraId="675B1541">
            <w:pPr>
              <w:pStyle w:val="11"/>
              <w:spacing w:line="360" w:lineRule="auto"/>
              <w:rPr>
                <w:rFonts w:hint="eastAsia"/>
                <w:sz w:val="24"/>
                <w:szCs w:val="24"/>
              </w:rPr>
            </w:pPr>
          </w:p>
        </w:tc>
        <w:tc>
          <w:tcPr>
            <w:tcW w:w="4077" w:type="pct"/>
          </w:tcPr>
          <w:p w14:paraId="2C4B3EF9">
            <w:pPr>
              <w:pStyle w:val="11"/>
              <w:spacing w:line="360" w:lineRule="auto"/>
              <w:rPr>
                <w:rFonts w:hint="eastAsia"/>
                <w:sz w:val="24"/>
                <w:szCs w:val="24"/>
              </w:rPr>
            </w:pPr>
            <w:r>
              <w:rPr>
                <w:rFonts w:hint="eastAsia"/>
                <w:sz w:val="24"/>
                <w:szCs w:val="24"/>
              </w:rPr>
              <w:t>单指上下连续推动可快速前后播放图像</w:t>
            </w:r>
          </w:p>
        </w:tc>
      </w:tr>
      <w:tr w14:paraId="38CD9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 w:type="pct"/>
          </w:tcPr>
          <w:p w14:paraId="020B8072">
            <w:pPr>
              <w:pStyle w:val="11"/>
              <w:spacing w:line="360" w:lineRule="auto"/>
              <w:jc w:val="center"/>
              <w:rPr>
                <w:rFonts w:hint="eastAsia"/>
                <w:sz w:val="24"/>
                <w:szCs w:val="24"/>
              </w:rPr>
            </w:pPr>
            <w:r>
              <w:rPr>
                <w:rFonts w:hint="eastAsia"/>
                <w:sz w:val="24"/>
                <w:szCs w:val="24"/>
              </w:rPr>
              <w:t>39</w:t>
            </w:r>
          </w:p>
        </w:tc>
        <w:tc>
          <w:tcPr>
            <w:tcW w:w="257" w:type="pct"/>
          </w:tcPr>
          <w:p w14:paraId="0E4B3783">
            <w:pPr>
              <w:pStyle w:val="11"/>
              <w:spacing w:line="360" w:lineRule="auto"/>
              <w:jc w:val="center"/>
              <w:rPr>
                <w:rFonts w:hint="eastAsia"/>
                <w:sz w:val="24"/>
                <w:szCs w:val="24"/>
              </w:rPr>
            </w:pPr>
          </w:p>
        </w:tc>
        <w:tc>
          <w:tcPr>
            <w:tcW w:w="409" w:type="pct"/>
            <w:vMerge w:val="continue"/>
          </w:tcPr>
          <w:p w14:paraId="769D4281">
            <w:pPr>
              <w:pStyle w:val="11"/>
              <w:spacing w:line="360" w:lineRule="auto"/>
              <w:rPr>
                <w:rFonts w:hint="eastAsia"/>
                <w:sz w:val="24"/>
                <w:szCs w:val="24"/>
              </w:rPr>
            </w:pPr>
          </w:p>
        </w:tc>
        <w:tc>
          <w:tcPr>
            <w:tcW w:w="4077" w:type="pct"/>
          </w:tcPr>
          <w:p w14:paraId="0A0D3C43">
            <w:pPr>
              <w:pStyle w:val="11"/>
              <w:spacing w:line="360" w:lineRule="auto"/>
              <w:rPr>
                <w:rFonts w:hint="eastAsia"/>
                <w:sz w:val="24"/>
                <w:szCs w:val="24"/>
              </w:rPr>
            </w:pPr>
            <w:r>
              <w:rPr>
                <w:rFonts w:hint="eastAsia"/>
                <w:sz w:val="24"/>
                <w:szCs w:val="24"/>
              </w:rPr>
              <w:t>单指左右甩动可单张前后切换图像</w:t>
            </w:r>
          </w:p>
        </w:tc>
      </w:tr>
      <w:tr w14:paraId="69DA2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 w:type="pct"/>
          </w:tcPr>
          <w:p w14:paraId="414C5BAA">
            <w:pPr>
              <w:pStyle w:val="11"/>
              <w:spacing w:line="360" w:lineRule="auto"/>
              <w:jc w:val="center"/>
              <w:rPr>
                <w:rFonts w:hint="eastAsia"/>
                <w:sz w:val="24"/>
                <w:szCs w:val="24"/>
              </w:rPr>
            </w:pPr>
            <w:r>
              <w:rPr>
                <w:rFonts w:hint="eastAsia"/>
                <w:sz w:val="24"/>
                <w:szCs w:val="24"/>
              </w:rPr>
              <w:t>40</w:t>
            </w:r>
          </w:p>
        </w:tc>
        <w:tc>
          <w:tcPr>
            <w:tcW w:w="257" w:type="pct"/>
          </w:tcPr>
          <w:p w14:paraId="29656C0A">
            <w:pPr>
              <w:pStyle w:val="11"/>
              <w:spacing w:line="360" w:lineRule="auto"/>
              <w:jc w:val="center"/>
              <w:rPr>
                <w:rFonts w:hint="eastAsia"/>
                <w:sz w:val="24"/>
                <w:szCs w:val="24"/>
              </w:rPr>
            </w:pPr>
          </w:p>
        </w:tc>
        <w:tc>
          <w:tcPr>
            <w:tcW w:w="409" w:type="pct"/>
            <w:vMerge w:val="continue"/>
          </w:tcPr>
          <w:p w14:paraId="32EE88F6">
            <w:pPr>
              <w:pStyle w:val="11"/>
              <w:spacing w:line="360" w:lineRule="auto"/>
              <w:rPr>
                <w:rFonts w:hint="eastAsia"/>
                <w:sz w:val="24"/>
                <w:szCs w:val="24"/>
              </w:rPr>
            </w:pPr>
          </w:p>
        </w:tc>
        <w:tc>
          <w:tcPr>
            <w:tcW w:w="4077" w:type="pct"/>
          </w:tcPr>
          <w:p w14:paraId="04090A3B">
            <w:pPr>
              <w:pStyle w:val="11"/>
              <w:spacing w:line="360" w:lineRule="auto"/>
              <w:rPr>
                <w:rFonts w:hint="eastAsia"/>
                <w:sz w:val="24"/>
                <w:szCs w:val="24"/>
              </w:rPr>
            </w:pPr>
            <w:r>
              <w:rPr>
                <w:rFonts w:hint="eastAsia"/>
                <w:sz w:val="24"/>
                <w:szCs w:val="24"/>
              </w:rPr>
              <w:t>动态图像可在缩略图上区别显示</w:t>
            </w:r>
          </w:p>
        </w:tc>
      </w:tr>
      <w:tr w14:paraId="4DE8F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 w:type="pct"/>
          </w:tcPr>
          <w:p w14:paraId="718F5D19">
            <w:pPr>
              <w:pStyle w:val="11"/>
              <w:spacing w:line="360" w:lineRule="auto"/>
              <w:jc w:val="center"/>
              <w:rPr>
                <w:rFonts w:hint="eastAsia"/>
                <w:sz w:val="24"/>
                <w:szCs w:val="24"/>
              </w:rPr>
            </w:pPr>
            <w:r>
              <w:rPr>
                <w:rFonts w:hint="eastAsia"/>
                <w:sz w:val="24"/>
                <w:szCs w:val="24"/>
              </w:rPr>
              <w:t>41</w:t>
            </w:r>
          </w:p>
        </w:tc>
        <w:tc>
          <w:tcPr>
            <w:tcW w:w="257" w:type="pct"/>
          </w:tcPr>
          <w:p w14:paraId="23F386DD">
            <w:pPr>
              <w:pStyle w:val="11"/>
              <w:spacing w:line="360" w:lineRule="auto"/>
              <w:jc w:val="center"/>
              <w:rPr>
                <w:rFonts w:hint="eastAsia"/>
                <w:sz w:val="24"/>
                <w:szCs w:val="24"/>
              </w:rPr>
            </w:pPr>
          </w:p>
        </w:tc>
        <w:tc>
          <w:tcPr>
            <w:tcW w:w="409" w:type="pct"/>
            <w:vMerge w:val="continue"/>
          </w:tcPr>
          <w:p w14:paraId="50898CA6">
            <w:pPr>
              <w:pStyle w:val="11"/>
              <w:spacing w:line="360" w:lineRule="auto"/>
              <w:rPr>
                <w:rFonts w:hint="eastAsia"/>
                <w:sz w:val="24"/>
                <w:szCs w:val="24"/>
              </w:rPr>
            </w:pPr>
          </w:p>
        </w:tc>
        <w:tc>
          <w:tcPr>
            <w:tcW w:w="4077" w:type="pct"/>
          </w:tcPr>
          <w:p w14:paraId="47E59744">
            <w:pPr>
              <w:pStyle w:val="11"/>
              <w:spacing w:line="360" w:lineRule="auto"/>
              <w:rPr>
                <w:rFonts w:hint="eastAsia"/>
                <w:sz w:val="24"/>
                <w:szCs w:val="24"/>
              </w:rPr>
            </w:pPr>
            <w:r>
              <w:rPr>
                <w:rFonts w:hint="eastAsia"/>
                <w:sz w:val="24"/>
                <w:szCs w:val="24"/>
              </w:rPr>
              <w:t>动态图像单击图像即播放和停止</w:t>
            </w:r>
          </w:p>
        </w:tc>
      </w:tr>
      <w:tr w14:paraId="5CF36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 w:type="pct"/>
          </w:tcPr>
          <w:p w14:paraId="7DABF548">
            <w:pPr>
              <w:pStyle w:val="11"/>
              <w:spacing w:line="360" w:lineRule="auto"/>
              <w:jc w:val="center"/>
              <w:rPr>
                <w:rFonts w:hint="eastAsia"/>
                <w:sz w:val="24"/>
                <w:szCs w:val="24"/>
              </w:rPr>
            </w:pPr>
            <w:r>
              <w:rPr>
                <w:rFonts w:hint="eastAsia"/>
                <w:sz w:val="24"/>
                <w:szCs w:val="24"/>
              </w:rPr>
              <w:t>42</w:t>
            </w:r>
          </w:p>
        </w:tc>
        <w:tc>
          <w:tcPr>
            <w:tcW w:w="257" w:type="pct"/>
          </w:tcPr>
          <w:p w14:paraId="48EDC55D">
            <w:pPr>
              <w:pStyle w:val="11"/>
              <w:spacing w:line="360" w:lineRule="auto"/>
              <w:jc w:val="center"/>
              <w:rPr>
                <w:rFonts w:hint="eastAsia"/>
                <w:sz w:val="24"/>
                <w:szCs w:val="24"/>
              </w:rPr>
            </w:pPr>
          </w:p>
        </w:tc>
        <w:tc>
          <w:tcPr>
            <w:tcW w:w="409" w:type="pct"/>
            <w:vMerge w:val="continue"/>
          </w:tcPr>
          <w:p w14:paraId="64B96483">
            <w:pPr>
              <w:pStyle w:val="11"/>
              <w:spacing w:line="360" w:lineRule="auto"/>
              <w:rPr>
                <w:rFonts w:hint="eastAsia"/>
                <w:sz w:val="24"/>
                <w:szCs w:val="24"/>
              </w:rPr>
            </w:pPr>
          </w:p>
        </w:tc>
        <w:tc>
          <w:tcPr>
            <w:tcW w:w="4077" w:type="pct"/>
          </w:tcPr>
          <w:p w14:paraId="3751ECBA">
            <w:pPr>
              <w:pStyle w:val="11"/>
              <w:spacing w:line="360" w:lineRule="auto"/>
              <w:rPr>
                <w:rFonts w:hint="eastAsia"/>
                <w:sz w:val="24"/>
                <w:szCs w:val="24"/>
              </w:rPr>
            </w:pPr>
            <w:r>
              <w:rPr>
                <w:rFonts w:hint="eastAsia"/>
                <w:sz w:val="24"/>
                <w:szCs w:val="24"/>
              </w:rPr>
              <w:t>可通过拖动缩略图快速浏览，并可点选缩略图直接选择当前浏览图像</w:t>
            </w:r>
          </w:p>
        </w:tc>
      </w:tr>
      <w:tr w14:paraId="77A67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 w:type="pct"/>
          </w:tcPr>
          <w:p w14:paraId="01D25B7F">
            <w:pPr>
              <w:pStyle w:val="11"/>
              <w:spacing w:line="360" w:lineRule="auto"/>
              <w:jc w:val="center"/>
              <w:rPr>
                <w:rFonts w:hint="eastAsia"/>
                <w:sz w:val="24"/>
                <w:szCs w:val="24"/>
              </w:rPr>
            </w:pPr>
            <w:r>
              <w:rPr>
                <w:rFonts w:hint="eastAsia"/>
                <w:sz w:val="24"/>
                <w:szCs w:val="24"/>
              </w:rPr>
              <w:t>43</w:t>
            </w:r>
          </w:p>
        </w:tc>
        <w:tc>
          <w:tcPr>
            <w:tcW w:w="257" w:type="pct"/>
          </w:tcPr>
          <w:p w14:paraId="7E0CB807">
            <w:pPr>
              <w:pStyle w:val="11"/>
              <w:spacing w:line="360" w:lineRule="auto"/>
              <w:jc w:val="center"/>
              <w:rPr>
                <w:rFonts w:hint="eastAsia"/>
                <w:sz w:val="24"/>
                <w:szCs w:val="24"/>
              </w:rPr>
            </w:pPr>
          </w:p>
        </w:tc>
        <w:tc>
          <w:tcPr>
            <w:tcW w:w="409" w:type="pct"/>
            <w:vMerge w:val="continue"/>
          </w:tcPr>
          <w:p w14:paraId="48FCDAC8">
            <w:pPr>
              <w:pStyle w:val="11"/>
              <w:spacing w:line="360" w:lineRule="auto"/>
              <w:rPr>
                <w:rFonts w:hint="eastAsia"/>
                <w:sz w:val="24"/>
                <w:szCs w:val="24"/>
              </w:rPr>
            </w:pPr>
          </w:p>
        </w:tc>
        <w:tc>
          <w:tcPr>
            <w:tcW w:w="4077" w:type="pct"/>
          </w:tcPr>
          <w:p w14:paraId="27620D57">
            <w:pPr>
              <w:pStyle w:val="11"/>
              <w:spacing w:line="360" w:lineRule="auto"/>
              <w:rPr>
                <w:rFonts w:hint="eastAsia"/>
                <w:sz w:val="24"/>
                <w:szCs w:val="24"/>
              </w:rPr>
            </w:pPr>
            <w:r>
              <w:rPr>
                <w:rFonts w:hint="eastAsia"/>
                <w:sz w:val="24"/>
                <w:szCs w:val="24"/>
              </w:rPr>
              <w:t>缩略图位置可调节</w:t>
            </w:r>
          </w:p>
        </w:tc>
      </w:tr>
      <w:tr w14:paraId="70E48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 w:type="pct"/>
          </w:tcPr>
          <w:p w14:paraId="4951A6B0">
            <w:pPr>
              <w:pStyle w:val="11"/>
              <w:spacing w:line="360" w:lineRule="auto"/>
              <w:jc w:val="center"/>
              <w:rPr>
                <w:rFonts w:hint="eastAsia"/>
                <w:sz w:val="24"/>
                <w:szCs w:val="24"/>
              </w:rPr>
            </w:pPr>
            <w:r>
              <w:rPr>
                <w:rFonts w:hint="eastAsia"/>
                <w:sz w:val="24"/>
                <w:szCs w:val="24"/>
              </w:rPr>
              <w:t>44</w:t>
            </w:r>
          </w:p>
        </w:tc>
        <w:tc>
          <w:tcPr>
            <w:tcW w:w="257" w:type="pct"/>
          </w:tcPr>
          <w:p w14:paraId="5C748215">
            <w:pPr>
              <w:pStyle w:val="11"/>
              <w:spacing w:line="360" w:lineRule="auto"/>
              <w:jc w:val="center"/>
              <w:rPr>
                <w:rFonts w:hint="eastAsia"/>
                <w:sz w:val="24"/>
                <w:szCs w:val="24"/>
              </w:rPr>
            </w:pPr>
          </w:p>
        </w:tc>
        <w:tc>
          <w:tcPr>
            <w:tcW w:w="409" w:type="pct"/>
            <w:vMerge w:val="continue"/>
          </w:tcPr>
          <w:p w14:paraId="7CAF38CA">
            <w:pPr>
              <w:pStyle w:val="11"/>
              <w:spacing w:line="360" w:lineRule="auto"/>
              <w:rPr>
                <w:rFonts w:hint="eastAsia"/>
                <w:sz w:val="24"/>
                <w:szCs w:val="24"/>
              </w:rPr>
            </w:pPr>
          </w:p>
        </w:tc>
        <w:tc>
          <w:tcPr>
            <w:tcW w:w="4077" w:type="pct"/>
          </w:tcPr>
          <w:p w14:paraId="6922A36D">
            <w:pPr>
              <w:pStyle w:val="11"/>
              <w:spacing w:line="360" w:lineRule="auto"/>
              <w:rPr>
                <w:rFonts w:hint="eastAsia"/>
                <w:sz w:val="24"/>
                <w:szCs w:val="24"/>
              </w:rPr>
            </w:pPr>
            <w:r>
              <w:rPr>
                <w:rFonts w:hint="eastAsia"/>
                <w:sz w:val="24"/>
                <w:szCs w:val="24"/>
              </w:rPr>
              <w:t>支持图像分享功能，分享时匿名处理，去掉患者姓名和医院名称</w:t>
            </w:r>
          </w:p>
        </w:tc>
      </w:tr>
      <w:tr w14:paraId="3FE51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 w:type="pct"/>
          </w:tcPr>
          <w:p w14:paraId="0ABB28FE">
            <w:pPr>
              <w:pStyle w:val="11"/>
              <w:spacing w:line="360" w:lineRule="auto"/>
              <w:jc w:val="center"/>
              <w:rPr>
                <w:rFonts w:hint="eastAsia"/>
                <w:sz w:val="24"/>
                <w:szCs w:val="24"/>
              </w:rPr>
            </w:pPr>
            <w:r>
              <w:rPr>
                <w:rFonts w:hint="eastAsia"/>
                <w:sz w:val="24"/>
                <w:szCs w:val="24"/>
              </w:rPr>
              <w:t>45</w:t>
            </w:r>
          </w:p>
        </w:tc>
        <w:tc>
          <w:tcPr>
            <w:tcW w:w="257" w:type="pct"/>
          </w:tcPr>
          <w:p w14:paraId="4920593C">
            <w:pPr>
              <w:pStyle w:val="11"/>
              <w:spacing w:line="360" w:lineRule="auto"/>
              <w:jc w:val="center"/>
              <w:rPr>
                <w:rFonts w:hint="eastAsia"/>
                <w:sz w:val="24"/>
                <w:szCs w:val="24"/>
              </w:rPr>
            </w:pPr>
          </w:p>
        </w:tc>
        <w:tc>
          <w:tcPr>
            <w:tcW w:w="409" w:type="pct"/>
            <w:vMerge w:val="continue"/>
          </w:tcPr>
          <w:p w14:paraId="790C3F24">
            <w:pPr>
              <w:pStyle w:val="11"/>
              <w:spacing w:line="360" w:lineRule="auto"/>
              <w:rPr>
                <w:rFonts w:hint="eastAsia"/>
                <w:sz w:val="24"/>
                <w:szCs w:val="24"/>
              </w:rPr>
            </w:pPr>
          </w:p>
        </w:tc>
        <w:tc>
          <w:tcPr>
            <w:tcW w:w="4077" w:type="pct"/>
          </w:tcPr>
          <w:p w14:paraId="65DF3AF1">
            <w:pPr>
              <w:pStyle w:val="11"/>
              <w:spacing w:line="360" w:lineRule="auto"/>
              <w:rPr>
                <w:rFonts w:hint="eastAsia"/>
                <w:sz w:val="24"/>
                <w:szCs w:val="24"/>
              </w:rPr>
            </w:pPr>
            <w:r>
              <w:rPr>
                <w:rFonts w:hint="eastAsia"/>
                <w:sz w:val="24"/>
                <w:szCs w:val="24"/>
              </w:rPr>
              <w:t>图像切换时，缩略图同时切换</w:t>
            </w:r>
          </w:p>
        </w:tc>
      </w:tr>
      <w:tr w14:paraId="2ABC3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 w:type="pct"/>
          </w:tcPr>
          <w:p w14:paraId="5346B4BD">
            <w:pPr>
              <w:pStyle w:val="11"/>
              <w:spacing w:line="360" w:lineRule="auto"/>
              <w:jc w:val="center"/>
              <w:rPr>
                <w:rFonts w:hint="eastAsia"/>
                <w:sz w:val="24"/>
                <w:szCs w:val="24"/>
              </w:rPr>
            </w:pPr>
            <w:r>
              <w:rPr>
                <w:rFonts w:hint="eastAsia"/>
                <w:sz w:val="24"/>
                <w:szCs w:val="24"/>
              </w:rPr>
              <w:t>46</w:t>
            </w:r>
          </w:p>
        </w:tc>
        <w:tc>
          <w:tcPr>
            <w:tcW w:w="257" w:type="pct"/>
          </w:tcPr>
          <w:p w14:paraId="5A908ACE">
            <w:pPr>
              <w:pStyle w:val="11"/>
              <w:spacing w:line="360" w:lineRule="auto"/>
              <w:jc w:val="center"/>
              <w:rPr>
                <w:rFonts w:hint="eastAsia"/>
                <w:sz w:val="24"/>
                <w:szCs w:val="24"/>
              </w:rPr>
            </w:pPr>
          </w:p>
        </w:tc>
        <w:tc>
          <w:tcPr>
            <w:tcW w:w="409" w:type="pct"/>
            <w:vMerge w:val="continue"/>
          </w:tcPr>
          <w:p w14:paraId="7629D9FF">
            <w:pPr>
              <w:pStyle w:val="11"/>
              <w:spacing w:line="360" w:lineRule="auto"/>
              <w:rPr>
                <w:rFonts w:hint="eastAsia"/>
                <w:sz w:val="24"/>
                <w:szCs w:val="24"/>
              </w:rPr>
            </w:pPr>
          </w:p>
        </w:tc>
        <w:tc>
          <w:tcPr>
            <w:tcW w:w="4077" w:type="pct"/>
          </w:tcPr>
          <w:p w14:paraId="3E9D11AF">
            <w:pPr>
              <w:pStyle w:val="11"/>
              <w:spacing w:line="360" w:lineRule="auto"/>
              <w:rPr>
                <w:rFonts w:hint="eastAsia"/>
                <w:sz w:val="24"/>
                <w:szCs w:val="24"/>
              </w:rPr>
            </w:pPr>
            <w:r>
              <w:rPr>
                <w:rFonts w:hint="eastAsia"/>
                <w:sz w:val="24"/>
                <w:szCs w:val="24"/>
              </w:rPr>
              <w:t>常规测量和标注功能</w:t>
            </w:r>
          </w:p>
        </w:tc>
      </w:tr>
      <w:tr w14:paraId="2633A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 w:type="pct"/>
          </w:tcPr>
          <w:p w14:paraId="12C0B707">
            <w:pPr>
              <w:pStyle w:val="11"/>
              <w:spacing w:line="360" w:lineRule="auto"/>
              <w:jc w:val="center"/>
              <w:rPr>
                <w:rFonts w:hint="eastAsia"/>
                <w:sz w:val="24"/>
                <w:szCs w:val="24"/>
              </w:rPr>
            </w:pPr>
            <w:r>
              <w:rPr>
                <w:rFonts w:hint="eastAsia"/>
                <w:sz w:val="24"/>
                <w:szCs w:val="24"/>
              </w:rPr>
              <w:t>47</w:t>
            </w:r>
          </w:p>
        </w:tc>
        <w:tc>
          <w:tcPr>
            <w:tcW w:w="257" w:type="pct"/>
          </w:tcPr>
          <w:p w14:paraId="063A4882">
            <w:pPr>
              <w:pStyle w:val="11"/>
              <w:spacing w:line="360" w:lineRule="auto"/>
              <w:jc w:val="center"/>
              <w:rPr>
                <w:rFonts w:hint="eastAsia"/>
                <w:sz w:val="24"/>
                <w:szCs w:val="24"/>
              </w:rPr>
            </w:pPr>
          </w:p>
        </w:tc>
        <w:tc>
          <w:tcPr>
            <w:tcW w:w="409" w:type="pct"/>
            <w:vMerge w:val="continue"/>
          </w:tcPr>
          <w:p w14:paraId="04FC6937">
            <w:pPr>
              <w:pStyle w:val="11"/>
              <w:spacing w:line="360" w:lineRule="auto"/>
              <w:rPr>
                <w:rFonts w:hint="eastAsia"/>
                <w:sz w:val="24"/>
                <w:szCs w:val="24"/>
              </w:rPr>
            </w:pPr>
          </w:p>
        </w:tc>
        <w:tc>
          <w:tcPr>
            <w:tcW w:w="4077" w:type="pct"/>
          </w:tcPr>
          <w:p w14:paraId="625D091E">
            <w:pPr>
              <w:pStyle w:val="11"/>
              <w:spacing w:line="360" w:lineRule="auto"/>
              <w:rPr>
                <w:rFonts w:hint="eastAsia"/>
                <w:sz w:val="24"/>
                <w:szCs w:val="24"/>
              </w:rPr>
            </w:pPr>
            <w:r>
              <w:rPr>
                <w:rFonts w:hint="eastAsia"/>
                <w:sz w:val="24"/>
                <w:szCs w:val="24"/>
              </w:rPr>
              <w:t>支持减影功能，指定某一帧为蒙片，并减影</w:t>
            </w:r>
          </w:p>
        </w:tc>
      </w:tr>
      <w:tr w14:paraId="3B84A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 w:type="pct"/>
          </w:tcPr>
          <w:p w14:paraId="27D4EF33">
            <w:pPr>
              <w:pStyle w:val="11"/>
              <w:spacing w:line="360" w:lineRule="auto"/>
              <w:jc w:val="center"/>
              <w:rPr>
                <w:rFonts w:hint="eastAsia"/>
                <w:sz w:val="24"/>
                <w:szCs w:val="24"/>
              </w:rPr>
            </w:pPr>
            <w:r>
              <w:rPr>
                <w:rFonts w:hint="eastAsia"/>
                <w:sz w:val="24"/>
                <w:szCs w:val="24"/>
              </w:rPr>
              <w:t>48</w:t>
            </w:r>
          </w:p>
        </w:tc>
        <w:tc>
          <w:tcPr>
            <w:tcW w:w="257" w:type="pct"/>
          </w:tcPr>
          <w:p w14:paraId="2EE94FCB">
            <w:pPr>
              <w:pStyle w:val="11"/>
              <w:spacing w:line="360" w:lineRule="auto"/>
              <w:jc w:val="center"/>
              <w:rPr>
                <w:rFonts w:hint="eastAsia"/>
                <w:sz w:val="24"/>
                <w:szCs w:val="24"/>
              </w:rPr>
            </w:pPr>
          </w:p>
        </w:tc>
        <w:tc>
          <w:tcPr>
            <w:tcW w:w="409" w:type="pct"/>
            <w:vMerge w:val="continue"/>
          </w:tcPr>
          <w:p w14:paraId="47A6F789">
            <w:pPr>
              <w:pStyle w:val="11"/>
              <w:spacing w:line="360" w:lineRule="auto"/>
              <w:rPr>
                <w:rFonts w:hint="eastAsia"/>
                <w:sz w:val="24"/>
                <w:szCs w:val="24"/>
              </w:rPr>
            </w:pPr>
          </w:p>
        </w:tc>
        <w:tc>
          <w:tcPr>
            <w:tcW w:w="4077" w:type="pct"/>
          </w:tcPr>
          <w:p w14:paraId="6B7325F9">
            <w:pPr>
              <w:pStyle w:val="11"/>
              <w:spacing w:line="360" w:lineRule="auto"/>
              <w:rPr>
                <w:rFonts w:hint="eastAsia"/>
                <w:sz w:val="24"/>
                <w:szCs w:val="24"/>
              </w:rPr>
            </w:pPr>
            <w:r>
              <w:rPr>
                <w:rFonts w:hint="eastAsia"/>
                <w:sz w:val="24"/>
                <w:szCs w:val="24"/>
              </w:rPr>
              <w:t>可查看DICOM文件头信息</w:t>
            </w:r>
          </w:p>
        </w:tc>
      </w:tr>
    </w:tbl>
    <w:p w14:paraId="6C1AE3C3">
      <w:pPr>
        <w:spacing w:line="360" w:lineRule="auto"/>
        <w:rPr>
          <w:rFonts w:hint="eastAsia" w:ascii="宋体" w:hAnsi="宋体" w:cs="宋体"/>
          <w:sz w:val="24"/>
        </w:rPr>
      </w:pPr>
    </w:p>
    <w:p w14:paraId="5EA0B3DD">
      <w:pPr>
        <w:pStyle w:val="3"/>
        <w:spacing w:line="360" w:lineRule="auto"/>
        <w:rPr>
          <w:rFonts w:hint="eastAsia" w:hAnsi="宋体" w:cs="宋体"/>
          <w:szCs w:val="24"/>
          <w:u w:val="none"/>
        </w:rPr>
      </w:pPr>
      <w:r>
        <w:rPr>
          <w:rFonts w:hint="eastAsia" w:hAnsi="宋体" w:cs="宋体"/>
          <w:szCs w:val="24"/>
          <w:u w:val="none"/>
        </w:rPr>
        <w:t>3.6 移动护理技术要求</w:t>
      </w: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7"/>
        <w:gridCol w:w="457"/>
        <w:gridCol w:w="678"/>
        <w:gridCol w:w="6930"/>
      </w:tblGrid>
      <w:tr w14:paraId="65820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 w:type="pct"/>
            <w:vAlign w:val="center"/>
          </w:tcPr>
          <w:p w14:paraId="56210139">
            <w:pPr>
              <w:pStyle w:val="11"/>
              <w:spacing w:line="360" w:lineRule="auto"/>
              <w:jc w:val="center"/>
              <w:rPr>
                <w:rFonts w:hint="eastAsia"/>
                <w:b/>
                <w:bCs/>
                <w:sz w:val="24"/>
                <w:szCs w:val="24"/>
              </w:rPr>
            </w:pPr>
            <w:r>
              <w:rPr>
                <w:rFonts w:hint="eastAsia"/>
                <w:b/>
                <w:bCs/>
                <w:sz w:val="24"/>
                <w:szCs w:val="24"/>
              </w:rPr>
              <w:t>序号</w:t>
            </w:r>
          </w:p>
        </w:tc>
        <w:tc>
          <w:tcPr>
            <w:tcW w:w="257" w:type="pct"/>
            <w:vAlign w:val="center"/>
          </w:tcPr>
          <w:p w14:paraId="4B38BCAD">
            <w:pPr>
              <w:pStyle w:val="11"/>
              <w:spacing w:line="360" w:lineRule="auto"/>
              <w:jc w:val="center"/>
              <w:rPr>
                <w:rFonts w:hint="eastAsia"/>
                <w:b/>
                <w:bCs/>
                <w:sz w:val="24"/>
                <w:szCs w:val="24"/>
              </w:rPr>
            </w:pPr>
            <w:r>
              <w:rPr>
                <w:rFonts w:hint="eastAsia"/>
                <w:b/>
                <w:bCs/>
                <w:sz w:val="24"/>
                <w:szCs w:val="24"/>
              </w:rPr>
              <w:t>标记</w:t>
            </w:r>
          </w:p>
        </w:tc>
        <w:tc>
          <w:tcPr>
            <w:tcW w:w="409" w:type="pct"/>
          </w:tcPr>
          <w:p w14:paraId="5AAB11F0">
            <w:pPr>
              <w:pStyle w:val="11"/>
              <w:spacing w:line="360" w:lineRule="auto"/>
              <w:jc w:val="center"/>
              <w:rPr>
                <w:rFonts w:hint="eastAsia"/>
                <w:b/>
                <w:bCs/>
                <w:sz w:val="24"/>
                <w:szCs w:val="24"/>
              </w:rPr>
            </w:pPr>
            <w:r>
              <w:rPr>
                <w:rFonts w:hint="eastAsia"/>
                <w:b/>
                <w:bCs/>
                <w:sz w:val="24"/>
                <w:szCs w:val="24"/>
              </w:rPr>
              <w:t>指标类别</w:t>
            </w:r>
          </w:p>
        </w:tc>
        <w:tc>
          <w:tcPr>
            <w:tcW w:w="4077" w:type="pct"/>
            <w:vAlign w:val="center"/>
          </w:tcPr>
          <w:p w14:paraId="6FDBFCE6">
            <w:pPr>
              <w:pStyle w:val="11"/>
              <w:spacing w:line="360" w:lineRule="auto"/>
              <w:jc w:val="center"/>
              <w:rPr>
                <w:rFonts w:hint="eastAsia"/>
                <w:b/>
                <w:bCs/>
                <w:sz w:val="24"/>
                <w:szCs w:val="24"/>
              </w:rPr>
            </w:pPr>
            <w:r>
              <w:rPr>
                <w:rFonts w:hint="eastAsia"/>
                <w:b/>
                <w:bCs/>
                <w:sz w:val="24"/>
                <w:szCs w:val="24"/>
              </w:rPr>
              <w:t>技术指标要求</w:t>
            </w:r>
          </w:p>
        </w:tc>
      </w:tr>
      <w:tr w14:paraId="34C11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 w:type="pct"/>
          </w:tcPr>
          <w:p w14:paraId="4832F716">
            <w:pPr>
              <w:pStyle w:val="11"/>
              <w:spacing w:line="360" w:lineRule="auto"/>
              <w:jc w:val="center"/>
              <w:rPr>
                <w:rFonts w:hint="eastAsia"/>
                <w:sz w:val="24"/>
                <w:szCs w:val="24"/>
              </w:rPr>
            </w:pPr>
            <w:r>
              <w:rPr>
                <w:rFonts w:hint="eastAsia"/>
                <w:sz w:val="24"/>
                <w:szCs w:val="24"/>
              </w:rPr>
              <w:t>1</w:t>
            </w:r>
          </w:p>
        </w:tc>
        <w:tc>
          <w:tcPr>
            <w:tcW w:w="257" w:type="pct"/>
          </w:tcPr>
          <w:p w14:paraId="663DD690">
            <w:pPr>
              <w:pStyle w:val="11"/>
              <w:spacing w:line="360" w:lineRule="auto"/>
              <w:jc w:val="center"/>
              <w:rPr>
                <w:rFonts w:hint="eastAsia"/>
                <w:sz w:val="24"/>
                <w:szCs w:val="24"/>
              </w:rPr>
            </w:pPr>
          </w:p>
        </w:tc>
        <w:tc>
          <w:tcPr>
            <w:tcW w:w="409" w:type="pct"/>
            <w:vMerge w:val="restart"/>
          </w:tcPr>
          <w:p w14:paraId="6D5D4EC4">
            <w:pPr>
              <w:pStyle w:val="11"/>
              <w:spacing w:line="360" w:lineRule="auto"/>
              <w:rPr>
                <w:rFonts w:hint="eastAsia"/>
                <w:sz w:val="24"/>
                <w:szCs w:val="24"/>
              </w:rPr>
            </w:pPr>
            <w:r>
              <w:rPr>
                <w:rFonts w:hint="eastAsia"/>
                <w:sz w:val="24"/>
                <w:szCs w:val="24"/>
              </w:rPr>
              <w:t>药品摆药配液功能</w:t>
            </w:r>
          </w:p>
        </w:tc>
        <w:tc>
          <w:tcPr>
            <w:tcW w:w="4077" w:type="pct"/>
          </w:tcPr>
          <w:p w14:paraId="2FA3AA18">
            <w:pPr>
              <w:pStyle w:val="11"/>
              <w:spacing w:line="360" w:lineRule="auto"/>
              <w:rPr>
                <w:rFonts w:hint="eastAsia"/>
                <w:sz w:val="24"/>
                <w:szCs w:val="24"/>
              </w:rPr>
            </w:pPr>
            <w:r>
              <w:rPr>
                <w:rFonts w:hint="eastAsia"/>
                <w:sz w:val="24"/>
                <w:szCs w:val="24"/>
              </w:rPr>
              <w:t>支持药品摆药、摆药核对、取消摆药</w:t>
            </w:r>
          </w:p>
        </w:tc>
      </w:tr>
      <w:tr w14:paraId="4A455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 w:type="pct"/>
          </w:tcPr>
          <w:p w14:paraId="6F5B4E0A">
            <w:pPr>
              <w:pStyle w:val="11"/>
              <w:spacing w:line="360" w:lineRule="auto"/>
              <w:jc w:val="center"/>
              <w:rPr>
                <w:rFonts w:hint="eastAsia"/>
                <w:sz w:val="24"/>
                <w:szCs w:val="24"/>
              </w:rPr>
            </w:pPr>
            <w:r>
              <w:rPr>
                <w:rFonts w:hint="eastAsia"/>
                <w:sz w:val="24"/>
                <w:szCs w:val="24"/>
              </w:rPr>
              <w:t>2</w:t>
            </w:r>
          </w:p>
        </w:tc>
        <w:tc>
          <w:tcPr>
            <w:tcW w:w="257" w:type="pct"/>
          </w:tcPr>
          <w:p w14:paraId="1CCDB804">
            <w:pPr>
              <w:pStyle w:val="11"/>
              <w:spacing w:line="360" w:lineRule="auto"/>
              <w:jc w:val="center"/>
              <w:rPr>
                <w:rFonts w:hint="eastAsia"/>
                <w:sz w:val="24"/>
                <w:szCs w:val="24"/>
              </w:rPr>
            </w:pPr>
          </w:p>
        </w:tc>
        <w:tc>
          <w:tcPr>
            <w:tcW w:w="409" w:type="pct"/>
            <w:vMerge w:val="continue"/>
          </w:tcPr>
          <w:p w14:paraId="1B1937F7">
            <w:pPr>
              <w:pStyle w:val="11"/>
              <w:spacing w:line="360" w:lineRule="auto"/>
              <w:rPr>
                <w:rFonts w:hint="eastAsia"/>
                <w:sz w:val="24"/>
                <w:szCs w:val="24"/>
              </w:rPr>
            </w:pPr>
          </w:p>
        </w:tc>
        <w:tc>
          <w:tcPr>
            <w:tcW w:w="4077" w:type="pct"/>
          </w:tcPr>
          <w:p w14:paraId="3184AF49">
            <w:pPr>
              <w:pStyle w:val="11"/>
              <w:spacing w:line="360" w:lineRule="auto"/>
              <w:rPr>
                <w:rFonts w:hint="eastAsia"/>
                <w:sz w:val="24"/>
                <w:szCs w:val="24"/>
              </w:rPr>
            </w:pPr>
            <w:r>
              <w:rPr>
                <w:rFonts w:hint="eastAsia"/>
                <w:sz w:val="24"/>
                <w:szCs w:val="24"/>
              </w:rPr>
              <w:t>支持药品配液、配液核对、取消配液</w:t>
            </w:r>
          </w:p>
        </w:tc>
      </w:tr>
      <w:tr w14:paraId="63F33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 w:type="pct"/>
          </w:tcPr>
          <w:p w14:paraId="606677C0">
            <w:pPr>
              <w:pStyle w:val="11"/>
              <w:spacing w:line="360" w:lineRule="auto"/>
              <w:jc w:val="center"/>
              <w:rPr>
                <w:rFonts w:hint="eastAsia"/>
                <w:sz w:val="24"/>
                <w:szCs w:val="24"/>
              </w:rPr>
            </w:pPr>
            <w:r>
              <w:rPr>
                <w:rFonts w:hint="eastAsia"/>
                <w:sz w:val="24"/>
                <w:szCs w:val="24"/>
              </w:rPr>
              <w:t>3</w:t>
            </w:r>
          </w:p>
        </w:tc>
        <w:tc>
          <w:tcPr>
            <w:tcW w:w="257" w:type="pct"/>
          </w:tcPr>
          <w:p w14:paraId="560CE6BA">
            <w:pPr>
              <w:pStyle w:val="11"/>
              <w:spacing w:line="360" w:lineRule="auto"/>
              <w:jc w:val="center"/>
              <w:rPr>
                <w:rFonts w:hint="eastAsia"/>
                <w:sz w:val="24"/>
                <w:szCs w:val="24"/>
              </w:rPr>
            </w:pPr>
          </w:p>
        </w:tc>
        <w:tc>
          <w:tcPr>
            <w:tcW w:w="409" w:type="pct"/>
            <w:vMerge w:val="restart"/>
          </w:tcPr>
          <w:p w14:paraId="47FC4F94">
            <w:pPr>
              <w:pStyle w:val="11"/>
              <w:spacing w:line="360" w:lineRule="auto"/>
              <w:rPr>
                <w:rFonts w:hint="eastAsia"/>
                <w:sz w:val="24"/>
                <w:szCs w:val="24"/>
              </w:rPr>
            </w:pPr>
            <w:r>
              <w:rPr>
                <w:rFonts w:hint="eastAsia"/>
                <w:sz w:val="24"/>
                <w:szCs w:val="24"/>
              </w:rPr>
              <w:t>医嘱处理功能</w:t>
            </w:r>
          </w:p>
        </w:tc>
        <w:tc>
          <w:tcPr>
            <w:tcW w:w="4077" w:type="pct"/>
          </w:tcPr>
          <w:p w14:paraId="3585AAB9">
            <w:pPr>
              <w:pStyle w:val="11"/>
              <w:spacing w:line="360" w:lineRule="auto"/>
              <w:rPr>
                <w:rFonts w:hint="eastAsia"/>
                <w:sz w:val="24"/>
                <w:szCs w:val="24"/>
              </w:rPr>
            </w:pPr>
            <w:r>
              <w:rPr>
                <w:rFonts w:hint="eastAsia"/>
                <w:sz w:val="24"/>
                <w:szCs w:val="24"/>
              </w:rPr>
              <w:t>支持医嘱查询、执行、取消医嘱执行。</w:t>
            </w:r>
          </w:p>
        </w:tc>
      </w:tr>
      <w:tr w14:paraId="16D81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 w:type="pct"/>
          </w:tcPr>
          <w:p w14:paraId="04EDCEC2">
            <w:pPr>
              <w:pStyle w:val="11"/>
              <w:spacing w:line="360" w:lineRule="auto"/>
              <w:jc w:val="center"/>
              <w:rPr>
                <w:rFonts w:hint="eastAsia"/>
                <w:sz w:val="24"/>
                <w:szCs w:val="24"/>
              </w:rPr>
            </w:pPr>
            <w:r>
              <w:rPr>
                <w:rFonts w:hint="eastAsia"/>
                <w:sz w:val="24"/>
                <w:szCs w:val="24"/>
              </w:rPr>
              <w:t>4</w:t>
            </w:r>
          </w:p>
        </w:tc>
        <w:tc>
          <w:tcPr>
            <w:tcW w:w="257" w:type="pct"/>
          </w:tcPr>
          <w:p w14:paraId="32218DA4">
            <w:pPr>
              <w:pStyle w:val="11"/>
              <w:spacing w:line="360" w:lineRule="auto"/>
              <w:jc w:val="center"/>
              <w:rPr>
                <w:rFonts w:hint="eastAsia"/>
                <w:sz w:val="24"/>
                <w:szCs w:val="24"/>
              </w:rPr>
            </w:pPr>
          </w:p>
        </w:tc>
        <w:tc>
          <w:tcPr>
            <w:tcW w:w="409" w:type="pct"/>
            <w:vMerge w:val="continue"/>
          </w:tcPr>
          <w:p w14:paraId="4C43AA03">
            <w:pPr>
              <w:pStyle w:val="11"/>
              <w:spacing w:line="360" w:lineRule="auto"/>
              <w:rPr>
                <w:rFonts w:hint="eastAsia"/>
                <w:sz w:val="24"/>
                <w:szCs w:val="24"/>
              </w:rPr>
            </w:pPr>
          </w:p>
        </w:tc>
        <w:tc>
          <w:tcPr>
            <w:tcW w:w="4077" w:type="pct"/>
          </w:tcPr>
          <w:p w14:paraId="5ADE2255">
            <w:pPr>
              <w:pStyle w:val="11"/>
              <w:spacing w:line="360" w:lineRule="auto"/>
              <w:rPr>
                <w:rFonts w:hint="eastAsia"/>
                <w:sz w:val="24"/>
                <w:szCs w:val="24"/>
              </w:rPr>
            </w:pPr>
            <w:r>
              <w:rPr>
                <w:rFonts w:hint="eastAsia"/>
                <w:sz w:val="24"/>
                <w:szCs w:val="24"/>
              </w:rPr>
              <w:t>支持药品皮试结果录入。</w:t>
            </w:r>
          </w:p>
        </w:tc>
      </w:tr>
      <w:tr w14:paraId="558EA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 w:type="pct"/>
          </w:tcPr>
          <w:p w14:paraId="7A031D6B">
            <w:pPr>
              <w:pStyle w:val="11"/>
              <w:spacing w:line="360" w:lineRule="auto"/>
              <w:jc w:val="center"/>
              <w:rPr>
                <w:rFonts w:hint="eastAsia"/>
                <w:sz w:val="24"/>
                <w:szCs w:val="24"/>
              </w:rPr>
            </w:pPr>
            <w:r>
              <w:rPr>
                <w:rFonts w:hint="eastAsia"/>
                <w:sz w:val="24"/>
                <w:szCs w:val="24"/>
              </w:rPr>
              <w:t>5</w:t>
            </w:r>
          </w:p>
        </w:tc>
        <w:tc>
          <w:tcPr>
            <w:tcW w:w="257" w:type="pct"/>
          </w:tcPr>
          <w:p w14:paraId="648C9AC3">
            <w:pPr>
              <w:pStyle w:val="11"/>
              <w:spacing w:line="360" w:lineRule="auto"/>
              <w:jc w:val="center"/>
              <w:rPr>
                <w:rFonts w:hint="eastAsia"/>
                <w:sz w:val="24"/>
                <w:szCs w:val="24"/>
              </w:rPr>
            </w:pPr>
          </w:p>
        </w:tc>
        <w:tc>
          <w:tcPr>
            <w:tcW w:w="409" w:type="pct"/>
            <w:vMerge w:val="continue"/>
          </w:tcPr>
          <w:p w14:paraId="011A25A7">
            <w:pPr>
              <w:pStyle w:val="11"/>
              <w:spacing w:line="360" w:lineRule="auto"/>
              <w:rPr>
                <w:rFonts w:hint="eastAsia"/>
                <w:sz w:val="24"/>
                <w:szCs w:val="24"/>
              </w:rPr>
            </w:pPr>
          </w:p>
        </w:tc>
        <w:tc>
          <w:tcPr>
            <w:tcW w:w="4077" w:type="pct"/>
          </w:tcPr>
          <w:p w14:paraId="63231FFA">
            <w:pPr>
              <w:pStyle w:val="11"/>
              <w:spacing w:line="360" w:lineRule="auto"/>
              <w:rPr>
                <w:rFonts w:hint="eastAsia"/>
                <w:sz w:val="24"/>
                <w:szCs w:val="24"/>
              </w:rPr>
            </w:pPr>
            <w:r>
              <w:rPr>
                <w:rFonts w:hint="eastAsia"/>
                <w:sz w:val="24"/>
                <w:szCs w:val="24"/>
              </w:rPr>
              <w:t>支持输液巡视新增、修改、删除。</w:t>
            </w:r>
          </w:p>
        </w:tc>
      </w:tr>
      <w:tr w14:paraId="26962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 w:type="pct"/>
          </w:tcPr>
          <w:p w14:paraId="5DEB27AE">
            <w:pPr>
              <w:pStyle w:val="11"/>
              <w:spacing w:line="360" w:lineRule="auto"/>
              <w:jc w:val="center"/>
              <w:rPr>
                <w:rFonts w:hint="eastAsia"/>
                <w:sz w:val="24"/>
                <w:szCs w:val="24"/>
              </w:rPr>
            </w:pPr>
            <w:r>
              <w:rPr>
                <w:rFonts w:hint="eastAsia"/>
                <w:sz w:val="24"/>
                <w:szCs w:val="24"/>
              </w:rPr>
              <w:t>6</w:t>
            </w:r>
          </w:p>
        </w:tc>
        <w:tc>
          <w:tcPr>
            <w:tcW w:w="257" w:type="pct"/>
          </w:tcPr>
          <w:p w14:paraId="215E1953">
            <w:pPr>
              <w:pStyle w:val="11"/>
              <w:spacing w:line="360" w:lineRule="auto"/>
              <w:jc w:val="center"/>
              <w:rPr>
                <w:rFonts w:hint="eastAsia"/>
                <w:sz w:val="24"/>
                <w:szCs w:val="24"/>
              </w:rPr>
            </w:pPr>
          </w:p>
        </w:tc>
        <w:tc>
          <w:tcPr>
            <w:tcW w:w="409" w:type="pct"/>
            <w:vMerge w:val="restart"/>
          </w:tcPr>
          <w:p w14:paraId="31FE5A32">
            <w:pPr>
              <w:pStyle w:val="11"/>
              <w:spacing w:line="360" w:lineRule="auto"/>
              <w:rPr>
                <w:rFonts w:hint="eastAsia"/>
                <w:sz w:val="24"/>
                <w:szCs w:val="24"/>
              </w:rPr>
            </w:pPr>
            <w:r>
              <w:rPr>
                <w:rFonts w:hint="eastAsia"/>
                <w:sz w:val="24"/>
                <w:szCs w:val="24"/>
              </w:rPr>
              <w:t>体征录入功能</w:t>
            </w:r>
          </w:p>
        </w:tc>
        <w:tc>
          <w:tcPr>
            <w:tcW w:w="4077" w:type="pct"/>
          </w:tcPr>
          <w:p w14:paraId="05D7103A">
            <w:pPr>
              <w:pStyle w:val="11"/>
              <w:spacing w:line="360" w:lineRule="auto"/>
              <w:rPr>
                <w:rFonts w:hint="eastAsia"/>
                <w:sz w:val="24"/>
                <w:szCs w:val="24"/>
              </w:rPr>
            </w:pPr>
            <w:r>
              <w:rPr>
                <w:rFonts w:hint="eastAsia"/>
                <w:sz w:val="24"/>
                <w:szCs w:val="24"/>
              </w:rPr>
              <w:t>支持生命体征录入</w:t>
            </w:r>
          </w:p>
        </w:tc>
      </w:tr>
      <w:tr w14:paraId="5C331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 w:type="pct"/>
          </w:tcPr>
          <w:p w14:paraId="6AA17995">
            <w:pPr>
              <w:pStyle w:val="11"/>
              <w:spacing w:line="360" w:lineRule="auto"/>
              <w:jc w:val="center"/>
              <w:rPr>
                <w:rFonts w:hint="eastAsia"/>
                <w:sz w:val="24"/>
                <w:szCs w:val="24"/>
              </w:rPr>
            </w:pPr>
            <w:r>
              <w:rPr>
                <w:rFonts w:hint="eastAsia"/>
                <w:sz w:val="24"/>
                <w:szCs w:val="24"/>
              </w:rPr>
              <w:t>7</w:t>
            </w:r>
          </w:p>
        </w:tc>
        <w:tc>
          <w:tcPr>
            <w:tcW w:w="257" w:type="pct"/>
          </w:tcPr>
          <w:p w14:paraId="4FC23673">
            <w:pPr>
              <w:pStyle w:val="11"/>
              <w:spacing w:line="360" w:lineRule="auto"/>
              <w:jc w:val="center"/>
              <w:rPr>
                <w:rFonts w:hint="eastAsia"/>
                <w:sz w:val="24"/>
                <w:szCs w:val="24"/>
              </w:rPr>
            </w:pPr>
          </w:p>
        </w:tc>
        <w:tc>
          <w:tcPr>
            <w:tcW w:w="409" w:type="pct"/>
            <w:vMerge w:val="continue"/>
          </w:tcPr>
          <w:p w14:paraId="68AFB424">
            <w:pPr>
              <w:pStyle w:val="11"/>
              <w:spacing w:line="360" w:lineRule="auto"/>
              <w:rPr>
                <w:rFonts w:hint="eastAsia"/>
                <w:sz w:val="24"/>
                <w:szCs w:val="24"/>
              </w:rPr>
            </w:pPr>
          </w:p>
        </w:tc>
        <w:tc>
          <w:tcPr>
            <w:tcW w:w="4077" w:type="pct"/>
          </w:tcPr>
          <w:p w14:paraId="379EA52A">
            <w:pPr>
              <w:pStyle w:val="11"/>
              <w:spacing w:line="360" w:lineRule="auto"/>
              <w:rPr>
                <w:rFonts w:hint="eastAsia"/>
                <w:sz w:val="24"/>
                <w:szCs w:val="24"/>
              </w:rPr>
            </w:pPr>
            <w:r>
              <w:rPr>
                <w:rFonts w:hint="eastAsia"/>
                <w:sz w:val="24"/>
                <w:szCs w:val="24"/>
              </w:rPr>
              <w:t>支持批量生命体征的录入。</w:t>
            </w:r>
          </w:p>
        </w:tc>
      </w:tr>
      <w:tr w14:paraId="53356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 w:type="pct"/>
          </w:tcPr>
          <w:p w14:paraId="303F5F1B">
            <w:pPr>
              <w:pStyle w:val="11"/>
              <w:spacing w:line="360" w:lineRule="auto"/>
              <w:jc w:val="center"/>
              <w:rPr>
                <w:rFonts w:hint="eastAsia"/>
                <w:sz w:val="24"/>
                <w:szCs w:val="24"/>
              </w:rPr>
            </w:pPr>
            <w:r>
              <w:rPr>
                <w:rFonts w:hint="eastAsia"/>
                <w:sz w:val="24"/>
                <w:szCs w:val="24"/>
              </w:rPr>
              <w:t>8</w:t>
            </w:r>
          </w:p>
        </w:tc>
        <w:tc>
          <w:tcPr>
            <w:tcW w:w="257" w:type="pct"/>
          </w:tcPr>
          <w:p w14:paraId="0A306847">
            <w:pPr>
              <w:pStyle w:val="11"/>
              <w:spacing w:line="360" w:lineRule="auto"/>
              <w:jc w:val="center"/>
              <w:rPr>
                <w:rFonts w:hint="eastAsia"/>
                <w:sz w:val="24"/>
                <w:szCs w:val="24"/>
              </w:rPr>
            </w:pPr>
          </w:p>
        </w:tc>
        <w:tc>
          <w:tcPr>
            <w:tcW w:w="409" w:type="pct"/>
            <w:vMerge w:val="restart"/>
          </w:tcPr>
          <w:p w14:paraId="7E1D1A9F">
            <w:pPr>
              <w:pStyle w:val="11"/>
              <w:spacing w:line="360" w:lineRule="auto"/>
              <w:rPr>
                <w:rFonts w:hint="eastAsia"/>
                <w:sz w:val="24"/>
                <w:szCs w:val="24"/>
              </w:rPr>
            </w:pPr>
            <w:r>
              <w:rPr>
                <w:rFonts w:hint="eastAsia"/>
                <w:sz w:val="24"/>
                <w:szCs w:val="24"/>
              </w:rPr>
              <w:t>病房巡视功能</w:t>
            </w:r>
          </w:p>
        </w:tc>
        <w:tc>
          <w:tcPr>
            <w:tcW w:w="4077" w:type="pct"/>
          </w:tcPr>
          <w:p w14:paraId="3D9333C2">
            <w:pPr>
              <w:pStyle w:val="11"/>
              <w:spacing w:line="360" w:lineRule="auto"/>
              <w:rPr>
                <w:rFonts w:hint="eastAsia"/>
                <w:sz w:val="24"/>
                <w:szCs w:val="24"/>
              </w:rPr>
            </w:pPr>
            <w:r>
              <w:rPr>
                <w:rFonts w:hint="eastAsia"/>
                <w:sz w:val="24"/>
                <w:szCs w:val="24"/>
              </w:rPr>
              <w:t>支持病房巡视的录入、修改、删除。</w:t>
            </w:r>
          </w:p>
        </w:tc>
      </w:tr>
      <w:tr w14:paraId="30AE2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 w:type="pct"/>
          </w:tcPr>
          <w:p w14:paraId="42905360">
            <w:pPr>
              <w:pStyle w:val="11"/>
              <w:spacing w:line="360" w:lineRule="auto"/>
              <w:jc w:val="center"/>
              <w:rPr>
                <w:rFonts w:hint="eastAsia"/>
                <w:sz w:val="24"/>
                <w:szCs w:val="24"/>
              </w:rPr>
            </w:pPr>
            <w:r>
              <w:rPr>
                <w:rFonts w:hint="eastAsia"/>
                <w:sz w:val="24"/>
                <w:szCs w:val="24"/>
              </w:rPr>
              <w:t>9</w:t>
            </w:r>
          </w:p>
        </w:tc>
        <w:tc>
          <w:tcPr>
            <w:tcW w:w="257" w:type="pct"/>
          </w:tcPr>
          <w:p w14:paraId="35DB7027">
            <w:pPr>
              <w:pStyle w:val="11"/>
              <w:spacing w:line="360" w:lineRule="auto"/>
              <w:jc w:val="center"/>
              <w:rPr>
                <w:rFonts w:hint="eastAsia"/>
                <w:sz w:val="24"/>
                <w:szCs w:val="24"/>
              </w:rPr>
            </w:pPr>
          </w:p>
        </w:tc>
        <w:tc>
          <w:tcPr>
            <w:tcW w:w="409" w:type="pct"/>
            <w:vMerge w:val="continue"/>
          </w:tcPr>
          <w:p w14:paraId="3E6A5FAF">
            <w:pPr>
              <w:pStyle w:val="11"/>
              <w:spacing w:line="360" w:lineRule="auto"/>
              <w:rPr>
                <w:rFonts w:hint="eastAsia"/>
                <w:sz w:val="24"/>
                <w:szCs w:val="24"/>
              </w:rPr>
            </w:pPr>
          </w:p>
        </w:tc>
        <w:tc>
          <w:tcPr>
            <w:tcW w:w="4077" w:type="pct"/>
          </w:tcPr>
          <w:p w14:paraId="11E59C69">
            <w:pPr>
              <w:pStyle w:val="11"/>
              <w:spacing w:line="360" w:lineRule="auto"/>
              <w:rPr>
                <w:rFonts w:hint="eastAsia"/>
                <w:sz w:val="24"/>
                <w:szCs w:val="24"/>
              </w:rPr>
            </w:pPr>
            <w:r>
              <w:rPr>
                <w:rFonts w:hint="eastAsia"/>
                <w:sz w:val="24"/>
                <w:szCs w:val="24"/>
              </w:rPr>
              <w:t>支持病房批量巡视。</w:t>
            </w:r>
          </w:p>
        </w:tc>
      </w:tr>
      <w:tr w14:paraId="0902E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 w:type="pct"/>
          </w:tcPr>
          <w:p w14:paraId="243AFF5B">
            <w:pPr>
              <w:pStyle w:val="11"/>
              <w:spacing w:line="360" w:lineRule="auto"/>
              <w:jc w:val="center"/>
              <w:rPr>
                <w:rFonts w:hint="eastAsia"/>
                <w:sz w:val="24"/>
                <w:szCs w:val="24"/>
              </w:rPr>
            </w:pPr>
            <w:r>
              <w:rPr>
                <w:rFonts w:hint="eastAsia"/>
                <w:sz w:val="24"/>
                <w:szCs w:val="24"/>
              </w:rPr>
              <w:t>10</w:t>
            </w:r>
          </w:p>
        </w:tc>
        <w:tc>
          <w:tcPr>
            <w:tcW w:w="257" w:type="pct"/>
          </w:tcPr>
          <w:p w14:paraId="06630BE5">
            <w:pPr>
              <w:pStyle w:val="11"/>
              <w:spacing w:line="360" w:lineRule="auto"/>
              <w:jc w:val="center"/>
              <w:rPr>
                <w:rFonts w:hint="eastAsia"/>
                <w:sz w:val="24"/>
                <w:szCs w:val="24"/>
              </w:rPr>
            </w:pPr>
          </w:p>
        </w:tc>
        <w:tc>
          <w:tcPr>
            <w:tcW w:w="409" w:type="pct"/>
            <w:vMerge w:val="restart"/>
          </w:tcPr>
          <w:p w14:paraId="20CC0EC2">
            <w:pPr>
              <w:pStyle w:val="11"/>
              <w:spacing w:line="360" w:lineRule="auto"/>
              <w:rPr>
                <w:rFonts w:hint="eastAsia"/>
                <w:sz w:val="24"/>
                <w:szCs w:val="24"/>
              </w:rPr>
            </w:pPr>
            <w:r>
              <w:rPr>
                <w:rFonts w:hint="eastAsia"/>
                <w:sz w:val="24"/>
                <w:szCs w:val="24"/>
              </w:rPr>
              <w:t>患者护理记录功能</w:t>
            </w:r>
          </w:p>
        </w:tc>
        <w:tc>
          <w:tcPr>
            <w:tcW w:w="4077" w:type="pct"/>
          </w:tcPr>
          <w:p w14:paraId="4F5EF5A7">
            <w:pPr>
              <w:pStyle w:val="11"/>
              <w:spacing w:line="360" w:lineRule="auto"/>
              <w:rPr>
                <w:rFonts w:hint="eastAsia"/>
                <w:sz w:val="24"/>
                <w:szCs w:val="24"/>
              </w:rPr>
            </w:pPr>
            <w:r>
              <w:rPr>
                <w:rFonts w:hint="eastAsia"/>
                <w:sz w:val="24"/>
                <w:szCs w:val="24"/>
              </w:rPr>
              <w:t>支持患者体温单录入，支持特殊标注和历史记录查看。</w:t>
            </w:r>
          </w:p>
        </w:tc>
      </w:tr>
      <w:tr w14:paraId="1D5E3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 w:type="pct"/>
          </w:tcPr>
          <w:p w14:paraId="4F1643F3">
            <w:pPr>
              <w:pStyle w:val="11"/>
              <w:spacing w:line="360" w:lineRule="auto"/>
              <w:jc w:val="center"/>
              <w:rPr>
                <w:rFonts w:hint="eastAsia"/>
                <w:sz w:val="24"/>
                <w:szCs w:val="24"/>
              </w:rPr>
            </w:pPr>
            <w:r>
              <w:rPr>
                <w:rFonts w:hint="eastAsia"/>
                <w:sz w:val="24"/>
                <w:szCs w:val="24"/>
              </w:rPr>
              <w:t>11</w:t>
            </w:r>
          </w:p>
        </w:tc>
        <w:tc>
          <w:tcPr>
            <w:tcW w:w="257" w:type="pct"/>
          </w:tcPr>
          <w:p w14:paraId="24399CEB">
            <w:pPr>
              <w:pStyle w:val="11"/>
              <w:spacing w:line="360" w:lineRule="auto"/>
              <w:jc w:val="center"/>
              <w:rPr>
                <w:rFonts w:hint="eastAsia"/>
                <w:sz w:val="24"/>
                <w:szCs w:val="24"/>
              </w:rPr>
            </w:pPr>
          </w:p>
        </w:tc>
        <w:tc>
          <w:tcPr>
            <w:tcW w:w="409" w:type="pct"/>
            <w:vMerge w:val="continue"/>
          </w:tcPr>
          <w:p w14:paraId="51459C77">
            <w:pPr>
              <w:pStyle w:val="11"/>
              <w:spacing w:line="360" w:lineRule="auto"/>
              <w:rPr>
                <w:rFonts w:hint="eastAsia"/>
                <w:sz w:val="24"/>
                <w:szCs w:val="24"/>
              </w:rPr>
            </w:pPr>
          </w:p>
        </w:tc>
        <w:tc>
          <w:tcPr>
            <w:tcW w:w="4077" w:type="pct"/>
          </w:tcPr>
          <w:p w14:paraId="76906ACD">
            <w:pPr>
              <w:pStyle w:val="11"/>
              <w:spacing w:line="360" w:lineRule="auto"/>
              <w:rPr>
                <w:rFonts w:hint="eastAsia"/>
                <w:sz w:val="24"/>
                <w:szCs w:val="24"/>
              </w:rPr>
            </w:pPr>
            <w:r>
              <w:rPr>
                <w:rFonts w:hint="eastAsia"/>
                <w:sz w:val="24"/>
                <w:szCs w:val="24"/>
              </w:rPr>
              <w:t>支持体温单和护理记录单数据同步</w:t>
            </w:r>
          </w:p>
        </w:tc>
      </w:tr>
      <w:tr w14:paraId="294A2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 w:type="pct"/>
          </w:tcPr>
          <w:p w14:paraId="4299350C">
            <w:pPr>
              <w:pStyle w:val="11"/>
              <w:spacing w:line="360" w:lineRule="auto"/>
              <w:jc w:val="center"/>
              <w:rPr>
                <w:rFonts w:hint="eastAsia"/>
                <w:sz w:val="24"/>
                <w:szCs w:val="24"/>
              </w:rPr>
            </w:pPr>
            <w:r>
              <w:rPr>
                <w:rFonts w:hint="eastAsia"/>
                <w:sz w:val="24"/>
                <w:szCs w:val="24"/>
              </w:rPr>
              <w:t>12</w:t>
            </w:r>
          </w:p>
        </w:tc>
        <w:tc>
          <w:tcPr>
            <w:tcW w:w="257" w:type="pct"/>
          </w:tcPr>
          <w:p w14:paraId="0A94DD89">
            <w:pPr>
              <w:pStyle w:val="11"/>
              <w:spacing w:line="360" w:lineRule="auto"/>
              <w:jc w:val="center"/>
              <w:rPr>
                <w:rFonts w:hint="eastAsia"/>
                <w:sz w:val="24"/>
                <w:szCs w:val="24"/>
              </w:rPr>
            </w:pPr>
          </w:p>
        </w:tc>
        <w:tc>
          <w:tcPr>
            <w:tcW w:w="409" w:type="pct"/>
            <w:vMerge w:val="continue"/>
          </w:tcPr>
          <w:p w14:paraId="0C0391E3">
            <w:pPr>
              <w:pStyle w:val="11"/>
              <w:spacing w:line="360" w:lineRule="auto"/>
              <w:rPr>
                <w:rFonts w:hint="eastAsia"/>
                <w:sz w:val="24"/>
                <w:szCs w:val="24"/>
              </w:rPr>
            </w:pPr>
          </w:p>
        </w:tc>
        <w:tc>
          <w:tcPr>
            <w:tcW w:w="4077" w:type="pct"/>
          </w:tcPr>
          <w:p w14:paraId="00005F07">
            <w:pPr>
              <w:pStyle w:val="11"/>
              <w:spacing w:line="360" w:lineRule="auto"/>
              <w:rPr>
                <w:rFonts w:hint="eastAsia"/>
                <w:sz w:val="24"/>
                <w:szCs w:val="24"/>
              </w:rPr>
            </w:pPr>
            <w:r>
              <w:rPr>
                <w:rFonts w:hint="eastAsia"/>
                <w:sz w:val="24"/>
                <w:szCs w:val="24"/>
              </w:rPr>
              <w:t>支持患者入出量记录管理</w:t>
            </w:r>
          </w:p>
        </w:tc>
      </w:tr>
      <w:tr w14:paraId="5E880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 w:type="pct"/>
          </w:tcPr>
          <w:p w14:paraId="1DBE0DBD">
            <w:pPr>
              <w:pStyle w:val="11"/>
              <w:spacing w:line="360" w:lineRule="auto"/>
              <w:jc w:val="center"/>
              <w:rPr>
                <w:rFonts w:hint="eastAsia"/>
                <w:sz w:val="24"/>
                <w:szCs w:val="24"/>
              </w:rPr>
            </w:pPr>
            <w:r>
              <w:rPr>
                <w:rFonts w:hint="eastAsia"/>
                <w:sz w:val="24"/>
                <w:szCs w:val="24"/>
              </w:rPr>
              <w:t>13</w:t>
            </w:r>
          </w:p>
        </w:tc>
        <w:tc>
          <w:tcPr>
            <w:tcW w:w="257" w:type="pct"/>
          </w:tcPr>
          <w:p w14:paraId="1F21CA14">
            <w:pPr>
              <w:pStyle w:val="11"/>
              <w:spacing w:line="360" w:lineRule="auto"/>
              <w:jc w:val="center"/>
              <w:rPr>
                <w:rFonts w:hint="eastAsia"/>
                <w:sz w:val="24"/>
                <w:szCs w:val="24"/>
              </w:rPr>
            </w:pPr>
          </w:p>
        </w:tc>
        <w:tc>
          <w:tcPr>
            <w:tcW w:w="409" w:type="pct"/>
            <w:vMerge w:val="continue"/>
          </w:tcPr>
          <w:p w14:paraId="6E522081">
            <w:pPr>
              <w:pStyle w:val="11"/>
              <w:spacing w:line="360" w:lineRule="auto"/>
              <w:rPr>
                <w:rFonts w:hint="eastAsia"/>
                <w:sz w:val="24"/>
                <w:szCs w:val="24"/>
              </w:rPr>
            </w:pPr>
          </w:p>
        </w:tc>
        <w:tc>
          <w:tcPr>
            <w:tcW w:w="4077" w:type="pct"/>
          </w:tcPr>
          <w:p w14:paraId="5FB5DA64">
            <w:pPr>
              <w:pStyle w:val="11"/>
              <w:spacing w:line="360" w:lineRule="auto"/>
              <w:rPr>
                <w:rFonts w:hint="eastAsia"/>
                <w:sz w:val="24"/>
                <w:szCs w:val="24"/>
              </w:rPr>
            </w:pPr>
            <w:r>
              <w:rPr>
                <w:rFonts w:hint="eastAsia"/>
                <w:sz w:val="24"/>
                <w:szCs w:val="24"/>
              </w:rPr>
              <w:t>支持患者的血糖监测记录</w:t>
            </w:r>
          </w:p>
        </w:tc>
      </w:tr>
      <w:tr w14:paraId="5915D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 w:type="pct"/>
          </w:tcPr>
          <w:p w14:paraId="24662305">
            <w:pPr>
              <w:pStyle w:val="11"/>
              <w:spacing w:line="360" w:lineRule="auto"/>
              <w:jc w:val="center"/>
              <w:rPr>
                <w:rFonts w:hint="eastAsia"/>
                <w:sz w:val="24"/>
                <w:szCs w:val="24"/>
              </w:rPr>
            </w:pPr>
            <w:r>
              <w:rPr>
                <w:rFonts w:hint="eastAsia"/>
                <w:sz w:val="24"/>
                <w:szCs w:val="24"/>
              </w:rPr>
              <w:t>14</w:t>
            </w:r>
          </w:p>
        </w:tc>
        <w:tc>
          <w:tcPr>
            <w:tcW w:w="257" w:type="pct"/>
          </w:tcPr>
          <w:p w14:paraId="7D5A2EA2">
            <w:pPr>
              <w:pStyle w:val="11"/>
              <w:spacing w:line="360" w:lineRule="auto"/>
              <w:jc w:val="center"/>
              <w:rPr>
                <w:rFonts w:hint="eastAsia"/>
                <w:sz w:val="24"/>
                <w:szCs w:val="24"/>
              </w:rPr>
            </w:pPr>
          </w:p>
        </w:tc>
        <w:tc>
          <w:tcPr>
            <w:tcW w:w="409" w:type="pct"/>
            <w:vMerge w:val="restart"/>
          </w:tcPr>
          <w:p w14:paraId="07BC096C">
            <w:pPr>
              <w:pStyle w:val="11"/>
              <w:spacing w:line="360" w:lineRule="auto"/>
              <w:rPr>
                <w:rFonts w:hint="eastAsia"/>
                <w:sz w:val="24"/>
                <w:szCs w:val="24"/>
              </w:rPr>
            </w:pPr>
            <w:r>
              <w:rPr>
                <w:rFonts w:hint="eastAsia"/>
                <w:sz w:val="24"/>
                <w:szCs w:val="24"/>
              </w:rPr>
              <w:t>护理评估评分功能</w:t>
            </w:r>
          </w:p>
        </w:tc>
        <w:tc>
          <w:tcPr>
            <w:tcW w:w="4077" w:type="pct"/>
          </w:tcPr>
          <w:p w14:paraId="53C21E6B">
            <w:pPr>
              <w:pStyle w:val="11"/>
              <w:spacing w:line="360" w:lineRule="auto"/>
              <w:rPr>
                <w:rFonts w:hint="eastAsia"/>
                <w:sz w:val="24"/>
                <w:szCs w:val="24"/>
              </w:rPr>
            </w:pPr>
            <w:r>
              <w:rPr>
                <w:rFonts w:hint="eastAsia"/>
                <w:sz w:val="24"/>
                <w:szCs w:val="24"/>
              </w:rPr>
              <w:t>支持符合国家护理电子病历文书标准，通过勾选的方式进行评估</w:t>
            </w:r>
          </w:p>
        </w:tc>
      </w:tr>
      <w:tr w14:paraId="258DB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 w:type="pct"/>
          </w:tcPr>
          <w:p w14:paraId="3545CE55">
            <w:pPr>
              <w:pStyle w:val="11"/>
              <w:spacing w:line="360" w:lineRule="auto"/>
              <w:jc w:val="center"/>
              <w:rPr>
                <w:rFonts w:hint="eastAsia"/>
                <w:sz w:val="24"/>
                <w:szCs w:val="24"/>
              </w:rPr>
            </w:pPr>
            <w:r>
              <w:rPr>
                <w:rFonts w:hint="eastAsia"/>
                <w:sz w:val="24"/>
                <w:szCs w:val="24"/>
              </w:rPr>
              <w:t>15</w:t>
            </w:r>
          </w:p>
        </w:tc>
        <w:tc>
          <w:tcPr>
            <w:tcW w:w="257" w:type="pct"/>
          </w:tcPr>
          <w:p w14:paraId="52095903">
            <w:pPr>
              <w:pStyle w:val="11"/>
              <w:spacing w:line="360" w:lineRule="auto"/>
              <w:jc w:val="center"/>
              <w:rPr>
                <w:rFonts w:hint="eastAsia"/>
                <w:sz w:val="24"/>
                <w:szCs w:val="24"/>
              </w:rPr>
            </w:pPr>
          </w:p>
        </w:tc>
        <w:tc>
          <w:tcPr>
            <w:tcW w:w="409" w:type="pct"/>
            <w:vMerge w:val="continue"/>
          </w:tcPr>
          <w:p w14:paraId="4BA8A287">
            <w:pPr>
              <w:pStyle w:val="11"/>
              <w:spacing w:line="360" w:lineRule="auto"/>
              <w:rPr>
                <w:rFonts w:hint="eastAsia"/>
                <w:sz w:val="24"/>
                <w:szCs w:val="24"/>
              </w:rPr>
            </w:pPr>
          </w:p>
        </w:tc>
        <w:tc>
          <w:tcPr>
            <w:tcW w:w="4077" w:type="pct"/>
          </w:tcPr>
          <w:p w14:paraId="1F6FF81A">
            <w:pPr>
              <w:pStyle w:val="11"/>
              <w:spacing w:line="360" w:lineRule="auto"/>
              <w:rPr>
                <w:rFonts w:hint="eastAsia"/>
                <w:sz w:val="24"/>
                <w:szCs w:val="24"/>
              </w:rPr>
            </w:pPr>
            <w:r>
              <w:rPr>
                <w:rFonts w:hint="eastAsia"/>
                <w:sz w:val="24"/>
                <w:szCs w:val="24"/>
              </w:rPr>
              <w:t>支持患者签名</w:t>
            </w:r>
          </w:p>
        </w:tc>
      </w:tr>
      <w:tr w14:paraId="06410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 w:type="pct"/>
          </w:tcPr>
          <w:p w14:paraId="4886D6DF">
            <w:pPr>
              <w:pStyle w:val="11"/>
              <w:spacing w:line="360" w:lineRule="auto"/>
              <w:jc w:val="center"/>
              <w:rPr>
                <w:rFonts w:hint="eastAsia"/>
                <w:sz w:val="24"/>
                <w:szCs w:val="24"/>
              </w:rPr>
            </w:pPr>
            <w:r>
              <w:rPr>
                <w:rFonts w:hint="eastAsia"/>
                <w:sz w:val="24"/>
                <w:szCs w:val="24"/>
              </w:rPr>
              <w:t>16</w:t>
            </w:r>
          </w:p>
        </w:tc>
        <w:tc>
          <w:tcPr>
            <w:tcW w:w="257" w:type="pct"/>
          </w:tcPr>
          <w:p w14:paraId="77EDFEF4">
            <w:pPr>
              <w:pStyle w:val="11"/>
              <w:spacing w:line="360" w:lineRule="auto"/>
              <w:jc w:val="center"/>
              <w:rPr>
                <w:rFonts w:hint="eastAsia"/>
                <w:sz w:val="24"/>
                <w:szCs w:val="24"/>
              </w:rPr>
            </w:pPr>
          </w:p>
        </w:tc>
        <w:tc>
          <w:tcPr>
            <w:tcW w:w="409" w:type="pct"/>
            <w:vMerge w:val="continue"/>
          </w:tcPr>
          <w:p w14:paraId="005ABD99">
            <w:pPr>
              <w:pStyle w:val="11"/>
              <w:spacing w:line="360" w:lineRule="auto"/>
              <w:rPr>
                <w:rFonts w:hint="eastAsia"/>
                <w:sz w:val="24"/>
                <w:szCs w:val="24"/>
              </w:rPr>
            </w:pPr>
          </w:p>
        </w:tc>
        <w:tc>
          <w:tcPr>
            <w:tcW w:w="4077" w:type="pct"/>
          </w:tcPr>
          <w:p w14:paraId="342839E0">
            <w:pPr>
              <w:pStyle w:val="11"/>
              <w:spacing w:line="360" w:lineRule="auto"/>
              <w:rPr>
                <w:rFonts w:hint="eastAsia"/>
                <w:sz w:val="24"/>
                <w:szCs w:val="24"/>
              </w:rPr>
            </w:pPr>
            <w:r>
              <w:rPr>
                <w:rFonts w:hint="eastAsia"/>
                <w:sz w:val="24"/>
                <w:szCs w:val="24"/>
              </w:rPr>
              <w:t>支持Morse跌倒量表（MFS）、Braden评估表（成人）、BradenQ评估表（儿童）、手术压力性损伤危险评估表（Waterlow评分）、ADL日常生活活动能力评估单、谵妄筛查量表（NU-DESC）、心血管评估系统、深静脉血栓评估表（Autar修订量表）、GLASGOW评分、APACHE-Ⅱ评分、WATERLOW评分、NORTON诺顿评分、住院患者营养风险筛查表、糖尿病自我管理行为量表（SDSCA）等专科评估内容</w:t>
            </w:r>
          </w:p>
        </w:tc>
      </w:tr>
      <w:tr w14:paraId="0CD8D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 w:type="pct"/>
          </w:tcPr>
          <w:p w14:paraId="08EB7BA8">
            <w:pPr>
              <w:pStyle w:val="11"/>
              <w:spacing w:line="360" w:lineRule="auto"/>
              <w:jc w:val="center"/>
              <w:rPr>
                <w:rFonts w:hint="eastAsia"/>
                <w:sz w:val="24"/>
                <w:szCs w:val="24"/>
              </w:rPr>
            </w:pPr>
            <w:r>
              <w:rPr>
                <w:rFonts w:hint="eastAsia"/>
                <w:sz w:val="24"/>
                <w:szCs w:val="24"/>
              </w:rPr>
              <w:t>17</w:t>
            </w:r>
          </w:p>
        </w:tc>
        <w:tc>
          <w:tcPr>
            <w:tcW w:w="257" w:type="pct"/>
          </w:tcPr>
          <w:p w14:paraId="4CF3A144">
            <w:pPr>
              <w:pStyle w:val="11"/>
              <w:spacing w:line="360" w:lineRule="auto"/>
              <w:jc w:val="center"/>
              <w:rPr>
                <w:rFonts w:hint="eastAsia"/>
                <w:sz w:val="24"/>
                <w:szCs w:val="24"/>
              </w:rPr>
            </w:pPr>
          </w:p>
        </w:tc>
        <w:tc>
          <w:tcPr>
            <w:tcW w:w="409" w:type="pct"/>
          </w:tcPr>
          <w:p w14:paraId="397E8140">
            <w:pPr>
              <w:pStyle w:val="11"/>
              <w:spacing w:line="360" w:lineRule="auto"/>
              <w:rPr>
                <w:rFonts w:hint="eastAsia"/>
                <w:sz w:val="24"/>
                <w:szCs w:val="24"/>
              </w:rPr>
            </w:pPr>
            <w:r>
              <w:rPr>
                <w:rFonts w:hint="eastAsia"/>
                <w:sz w:val="24"/>
                <w:szCs w:val="24"/>
              </w:rPr>
              <w:t>健康宣教功能</w:t>
            </w:r>
          </w:p>
        </w:tc>
        <w:tc>
          <w:tcPr>
            <w:tcW w:w="4077" w:type="pct"/>
          </w:tcPr>
          <w:p w14:paraId="45313C08">
            <w:pPr>
              <w:pStyle w:val="11"/>
              <w:spacing w:line="360" w:lineRule="auto"/>
              <w:rPr>
                <w:rFonts w:hint="eastAsia"/>
                <w:sz w:val="24"/>
                <w:szCs w:val="24"/>
              </w:rPr>
            </w:pPr>
            <w:r>
              <w:rPr>
                <w:rFonts w:hint="eastAsia"/>
                <w:sz w:val="24"/>
                <w:szCs w:val="24"/>
              </w:rPr>
              <w:t>针对患者的健康宣教执行情况进行记录</w:t>
            </w:r>
          </w:p>
        </w:tc>
      </w:tr>
      <w:tr w14:paraId="72C6D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 w:type="pct"/>
          </w:tcPr>
          <w:p w14:paraId="76112848">
            <w:pPr>
              <w:pStyle w:val="11"/>
              <w:spacing w:line="360" w:lineRule="auto"/>
              <w:jc w:val="center"/>
              <w:rPr>
                <w:rFonts w:hint="eastAsia"/>
                <w:sz w:val="24"/>
                <w:szCs w:val="24"/>
              </w:rPr>
            </w:pPr>
            <w:r>
              <w:rPr>
                <w:rFonts w:hint="eastAsia"/>
                <w:sz w:val="24"/>
                <w:szCs w:val="24"/>
              </w:rPr>
              <w:t>18</w:t>
            </w:r>
          </w:p>
        </w:tc>
        <w:tc>
          <w:tcPr>
            <w:tcW w:w="257" w:type="pct"/>
          </w:tcPr>
          <w:p w14:paraId="0B433930">
            <w:pPr>
              <w:pStyle w:val="11"/>
              <w:spacing w:line="360" w:lineRule="auto"/>
              <w:jc w:val="center"/>
              <w:rPr>
                <w:rFonts w:hint="eastAsia"/>
                <w:sz w:val="24"/>
                <w:szCs w:val="24"/>
              </w:rPr>
            </w:pPr>
          </w:p>
        </w:tc>
        <w:tc>
          <w:tcPr>
            <w:tcW w:w="409" w:type="pct"/>
            <w:vMerge w:val="restart"/>
          </w:tcPr>
          <w:p w14:paraId="2CF590A0">
            <w:pPr>
              <w:pStyle w:val="11"/>
              <w:spacing w:line="360" w:lineRule="auto"/>
              <w:rPr>
                <w:rFonts w:hint="eastAsia"/>
                <w:sz w:val="24"/>
                <w:szCs w:val="24"/>
              </w:rPr>
            </w:pPr>
            <w:r>
              <w:rPr>
                <w:rFonts w:hint="eastAsia"/>
                <w:sz w:val="24"/>
                <w:szCs w:val="24"/>
              </w:rPr>
              <w:t>任务清单管理</w:t>
            </w:r>
          </w:p>
        </w:tc>
        <w:tc>
          <w:tcPr>
            <w:tcW w:w="4077" w:type="pct"/>
          </w:tcPr>
          <w:p w14:paraId="63BA07B7">
            <w:pPr>
              <w:pStyle w:val="11"/>
              <w:spacing w:line="360" w:lineRule="auto"/>
              <w:rPr>
                <w:rFonts w:hint="eastAsia"/>
                <w:sz w:val="24"/>
                <w:szCs w:val="24"/>
              </w:rPr>
            </w:pPr>
            <w:r>
              <w:rPr>
                <w:rFonts w:hint="eastAsia"/>
                <w:sz w:val="24"/>
                <w:szCs w:val="24"/>
              </w:rPr>
              <w:t>支持通过集中任务式管理护士的工作，把不同来源、不同类型的工作汇聚展现，让护士在正确的时间对正确的患者通过正确的方式做正确的事</w:t>
            </w:r>
          </w:p>
        </w:tc>
      </w:tr>
      <w:tr w14:paraId="67FD4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 w:type="pct"/>
          </w:tcPr>
          <w:p w14:paraId="521F3407">
            <w:pPr>
              <w:pStyle w:val="11"/>
              <w:spacing w:line="360" w:lineRule="auto"/>
              <w:jc w:val="center"/>
              <w:rPr>
                <w:rFonts w:hint="eastAsia"/>
                <w:sz w:val="24"/>
                <w:szCs w:val="24"/>
              </w:rPr>
            </w:pPr>
            <w:r>
              <w:rPr>
                <w:rFonts w:hint="eastAsia"/>
                <w:sz w:val="24"/>
                <w:szCs w:val="24"/>
              </w:rPr>
              <w:t>19</w:t>
            </w:r>
          </w:p>
        </w:tc>
        <w:tc>
          <w:tcPr>
            <w:tcW w:w="257" w:type="pct"/>
          </w:tcPr>
          <w:p w14:paraId="121BCAFC">
            <w:pPr>
              <w:pStyle w:val="11"/>
              <w:spacing w:line="360" w:lineRule="auto"/>
              <w:jc w:val="center"/>
              <w:rPr>
                <w:rFonts w:hint="eastAsia"/>
                <w:sz w:val="24"/>
                <w:szCs w:val="24"/>
              </w:rPr>
            </w:pPr>
          </w:p>
        </w:tc>
        <w:tc>
          <w:tcPr>
            <w:tcW w:w="409" w:type="pct"/>
            <w:vMerge w:val="continue"/>
          </w:tcPr>
          <w:p w14:paraId="4F46E23D">
            <w:pPr>
              <w:pStyle w:val="11"/>
              <w:spacing w:line="360" w:lineRule="auto"/>
              <w:rPr>
                <w:rFonts w:hint="eastAsia"/>
                <w:sz w:val="24"/>
                <w:szCs w:val="24"/>
              </w:rPr>
            </w:pPr>
          </w:p>
        </w:tc>
        <w:tc>
          <w:tcPr>
            <w:tcW w:w="4077" w:type="pct"/>
          </w:tcPr>
          <w:p w14:paraId="6D621CF1">
            <w:pPr>
              <w:pStyle w:val="11"/>
              <w:spacing w:line="360" w:lineRule="auto"/>
              <w:rPr>
                <w:rFonts w:hint="eastAsia"/>
                <w:sz w:val="24"/>
                <w:szCs w:val="24"/>
              </w:rPr>
            </w:pPr>
            <w:r>
              <w:rPr>
                <w:rFonts w:hint="eastAsia"/>
                <w:sz w:val="24"/>
                <w:szCs w:val="24"/>
              </w:rPr>
              <w:t>支持对于不同类型的任务根据业务性质，要求其执行界面或方式各有不一</w:t>
            </w:r>
          </w:p>
        </w:tc>
      </w:tr>
      <w:tr w14:paraId="1DCDB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 w:type="pct"/>
          </w:tcPr>
          <w:p w14:paraId="79B8B1A8">
            <w:pPr>
              <w:pStyle w:val="11"/>
              <w:spacing w:line="360" w:lineRule="auto"/>
              <w:jc w:val="center"/>
              <w:rPr>
                <w:rFonts w:hint="eastAsia"/>
                <w:sz w:val="24"/>
                <w:szCs w:val="24"/>
              </w:rPr>
            </w:pPr>
            <w:r>
              <w:rPr>
                <w:rFonts w:hint="eastAsia"/>
                <w:sz w:val="24"/>
                <w:szCs w:val="24"/>
              </w:rPr>
              <w:t>20</w:t>
            </w:r>
          </w:p>
        </w:tc>
        <w:tc>
          <w:tcPr>
            <w:tcW w:w="257" w:type="pct"/>
          </w:tcPr>
          <w:p w14:paraId="3D8460FC">
            <w:pPr>
              <w:pStyle w:val="11"/>
              <w:spacing w:line="360" w:lineRule="auto"/>
              <w:jc w:val="center"/>
              <w:rPr>
                <w:rFonts w:hint="eastAsia"/>
                <w:sz w:val="24"/>
                <w:szCs w:val="24"/>
              </w:rPr>
            </w:pPr>
          </w:p>
        </w:tc>
        <w:tc>
          <w:tcPr>
            <w:tcW w:w="409" w:type="pct"/>
            <w:vMerge w:val="restart"/>
          </w:tcPr>
          <w:p w14:paraId="1A896D34">
            <w:pPr>
              <w:pStyle w:val="11"/>
              <w:spacing w:line="360" w:lineRule="auto"/>
              <w:rPr>
                <w:rFonts w:hint="eastAsia"/>
                <w:sz w:val="24"/>
                <w:szCs w:val="24"/>
              </w:rPr>
            </w:pPr>
            <w:r>
              <w:rPr>
                <w:rFonts w:hint="eastAsia"/>
                <w:sz w:val="24"/>
                <w:szCs w:val="24"/>
              </w:rPr>
              <w:t>检验流程管理</w:t>
            </w:r>
          </w:p>
        </w:tc>
        <w:tc>
          <w:tcPr>
            <w:tcW w:w="4077" w:type="pct"/>
          </w:tcPr>
          <w:p w14:paraId="252F2C93">
            <w:pPr>
              <w:pStyle w:val="11"/>
              <w:spacing w:line="360" w:lineRule="auto"/>
              <w:rPr>
                <w:rFonts w:hint="eastAsia"/>
                <w:sz w:val="24"/>
                <w:szCs w:val="24"/>
              </w:rPr>
            </w:pPr>
            <w:r>
              <w:rPr>
                <w:rFonts w:hint="eastAsia"/>
                <w:sz w:val="24"/>
                <w:szCs w:val="24"/>
              </w:rPr>
              <w:t>支持标本采集处理</w:t>
            </w:r>
          </w:p>
        </w:tc>
      </w:tr>
      <w:tr w14:paraId="1A758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 w:type="pct"/>
          </w:tcPr>
          <w:p w14:paraId="79075ABC">
            <w:pPr>
              <w:pStyle w:val="11"/>
              <w:spacing w:line="360" w:lineRule="auto"/>
              <w:jc w:val="center"/>
              <w:rPr>
                <w:rFonts w:hint="eastAsia"/>
                <w:sz w:val="24"/>
                <w:szCs w:val="24"/>
              </w:rPr>
            </w:pPr>
            <w:r>
              <w:rPr>
                <w:rFonts w:hint="eastAsia"/>
                <w:sz w:val="24"/>
                <w:szCs w:val="24"/>
              </w:rPr>
              <w:t>21</w:t>
            </w:r>
          </w:p>
        </w:tc>
        <w:tc>
          <w:tcPr>
            <w:tcW w:w="257" w:type="pct"/>
          </w:tcPr>
          <w:p w14:paraId="2A30C9D2">
            <w:pPr>
              <w:pStyle w:val="11"/>
              <w:spacing w:line="360" w:lineRule="auto"/>
              <w:jc w:val="center"/>
              <w:rPr>
                <w:rFonts w:hint="eastAsia"/>
                <w:sz w:val="24"/>
                <w:szCs w:val="24"/>
              </w:rPr>
            </w:pPr>
          </w:p>
        </w:tc>
        <w:tc>
          <w:tcPr>
            <w:tcW w:w="409" w:type="pct"/>
            <w:vMerge w:val="continue"/>
          </w:tcPr>
          <w:p w14:paraId="2CBB49F1">
            <w:pPr>
              <w:pStyle w:val="11"/>
              <w:spacing w:line="360" w:lineRule="auto"/>
              <w:rPr>
                <w:rFonts w:hint="eastAsia"/>
                <w:sz w:val="24"/>
                <w:szCs w:val="24"/>
              </w:rPr>
            </w:pPr>
          </w:p>
        </w:tc>
        <w:tc>
          <w:tcPr>
            <w:tcW w:w="4077" w:type="pct"/>
          </w:tcPr>
          <w:p w14:paraId="2810756C">
            <w:pPr>
              <w:pStyle w:val="11"/>
              <w:spacing w:line="360" w:lineRule="auto"/>
              <w:rPr>
                <w:rFonts w:hint="eastAsia"/>
                <w:sz w:val="24"/>
                <w:szCs w:val="24"/>
              </w:rPr>
            </w:pPr>
            <w:r>
              <w:rPr>
                <w:rFonts w:hint="eastAsia"/>
                <w:sz w:val="24"/>
                <w:szCs w:val="24"/>
              </w:rPr>
              <w:t>支持标本送检处理</w:t>
            </w:r>
          </w:p>
        </w:tc>
      </w:tr>
      <w:tr w14:paraId="13EA9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 w:type="pct"/>
          </w:tcPr>
          <w:p w14:paraId="29A3938F">
            <w:pPr>
              <w:pStyle w:val="11"/>
              <w:spacing w:line="360" w:lineRule="auto"/>
              <w:jc w:val="center"/>
              <w:rPr>
                <w:rFonts w:hint="eastAsia"/>
                <w:sz w:val="24"/>
                <w:szCs w:val="24"/>
              </w:rPr>
            </w:pPr>
            <w:r>
              <w:rPr>
                <w:rFonts w:hint="eastAsia"/>
                <w:sz w:val="24"/>
                <w:szCs w:val="24"/>
              </w:rPr>
              <w:t>22</w:t>
            </w:r>
          </w:p>
        </w:tc>
        <w:tc>
          <w:tcPr>
            <w:tcW w:w="257" w:type="pct"/>
          </w:tcPr>
          <w:p w14:paraId="0360A6B3">
            <w:pPr>
              <w:pStyle w:val="11"/>
              <w:spacing w:line="360" w:lineRule="auto"/>
              <w:jc w:val="center"/>
              <w:rPr>
                <w:rFonts w:hint="eastAsia"/>
                <w:sz w:val="24"/>
                <w:szCs w:val="24"/>
              </w:rPr>
            </w:pPr>
          </w:p>
        </w:tc>
        <w:tc>
          <w:tcPr>
            <w:tcW w:w="409" w:type="pct"/>
          </w:tcPr>
          <w:p w14:paraId="2DE7DB06">
            <w:pPr>
              <w:pStyle w:val="11"/>
              <w:spacing w:line="360" w:lineRule="auto"/>
              <w:rPr>
                <w:rFonts w:hint="eastAsia"/>
                <w:sz w:val="24"/>
                <w:szCs w:val="24"/>
              </w:rPr>
            </w:pPr>
            <w:r>
              <w:rPr>
                <w:rFonts w:hint="eastAsia"/>
                <w:sz w:val="24"/>
                <w:szCs w:val="24"/>
              </w:rPr>
              <w:t>质量抽查</w:t>
            </w:r>
          </w:p>
        </w:tc>
        <w:tc>
          <w:tcPr>
            <w:tcW w:w="4077" w:type="pct"/>
          </w:tcPr>
          <w:p w14:paraId="32CA3F49">
            <w:pPr>
              <w:pStyle w:val="11"/>
              <w:spacing w:line="360" w:lineRule="auto"/>
              <w:rPr>
                <w:rFonts w:hint="eastAsia"/>
                <w:sz w:val="24"/>
                <w:szCs w:val="24"/>
              </w:rPr>
            </w:pPr>
            <w:r>
              <w:rPr>
                <w:rFonts w:hint="eastAsia"/>
                <w:sz w:val="24"/>
                <w:szCs w:val="24"/>
              </w:rPr>
              <w:t>支持在移动端进行质量抽查</w:t>
            </w:r>
          </w:p>
        </w:tc>
      </w:tr>
      <w:tr w14:paraId="145C2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 w:type="pct"/>
          </w:tcPr>
          <w:p w14:paraId="2AFB6BC3">
            <w:pPr>
              <w:pStyle w:val="11"/>
              <w:spacing w:line="360" w:lineRule="auto"/>
              <w:jc w:val="center"/>
              <w:rPr>
                <w:rFonts w:hint="eastAsia"/>
                <w:sz w:val="24"/>
                <w:szCs w:val="24"/>
              </w:rPr>
            </w:pPr>
            <w:r>
              <w:rPr>
                <w:rFonts w:hint="eastAsia"/>
                <w:sz w:val="24"/>
                <w:szCs w:val="24"/>
              </w:rPr>
              <w:t>23</w:t>
            </w:r>
          </w:p>
        </w:tc>
        <w:tc>
          <w:tcPr>
            <w:tcW w:w="257" w:type="pct"/>
          </w:tcPr>
          <w:p w14:paraId="0A61E41F">
            <w:pPr>
              <w:pStyle w:val="11"/>
              <w:spacing w:line="360" w:lineRule="auto"/>
              <w:jc w:val="center"/>
              <w:rPr>
                <w:rFonts w:hint="eastAsia"/>
                <w:sz w:val="24"/>
                <w:szCs w:val="24"/>
              </w:rPr>
            </w:pPr>
          </w:p>
        </w:tc>
        <w:tc>
          <w:tcPr>
            <w:tcW w:w="409" w:type="pct"/>
          </w:tcPr>
          <w:p w14:paraId="6879294A">
            <w:pPr>
              <w:pStyle w:val="11"/>
              <w:spacing w:line="360" w:lineRule="auto"/>
              <w:rPr>
                <w:rFonts w:hint="eastAsia"/>
                <w:sz w:val="24"/>
                <w:szCs w:val="24"/>
              </w:rPr>
            </w:pPr>
            <w:r>
              <w:rPr>
                <w:rFonts w:hint="eastAsia"/>
                <w:sz w:val="24"/>
                <w:szCs w:val="24"/>
              </w:rPr>
              <w:t>常用查询</w:t>
            </w:r>
          </w:p>
        </w:tc>
        <w:tc>
          <w:tcPr>
            <w:tcW w:w="4077" w:type="pct"/>
          </w:tcPr>
          <w:p w14:paraId="0B31E649">
            <w:pPr>
              <w:pStyle w:val="11"/>
              <w:spacing w:line="360" w:lineRule="auto"/>
              <w:rPr>
                <w:rFonts w:hint="eastAsia"/>
                <w:sz w:val="24"/>
                <w:szCs w:val="24"/>
              </w:rPr>
            </w:pPr>
            <w:r>
              <w:rPr>
                <w:rFonts w:hint="eastAsia"/>
                <w:sz w:val="24"/>
                <w:szCs w:val="24"/>
              </w:rPr>
              <w:t>支持患者病案信息查询、患者费用清单查询、患者医嘱单查询、患者检查报告查询、患者检验报告查询等</w:t>
            </w:r>
          </w:p>
        </w:tc>
      </w:tr>
    </w:tbl>
    <w:p w14:paraId="2F8F59F7">
      <w:pPr>
        <w:spacing w:line="360" w:lineRule="auto"/>
        <w:rPr>
          <w:rFonts w:hint="eastAsia" w:ascii="宋体" w:hAnsi="宋体" w:cs="宋体"/>
          <w:sz w:val="24"/>
        </w:rPr>
      </w:pPr>
    </w:p>
    <w:p w14:paraId="297B2D07">
      <w:pPr>
        <w:pStyle w:val="3"/>
        <w:spacing w:line="360" w:lineRule="auto"/>
        <w:rPr>
          <w:rFonts w:hint="eastAsia" w:hAnsi="宋体" w:cs="宋体"/>
          <w:szCs w:val="24"/>
          <w:u w:val="none"/>
        </w:rPr>
      </w:pPr>
      <w:r>
        <w:rPr>
          <w:rFonts w:hint="eastAsia" w:hAnsi="宋体" w:cs="宋体"/>
          <w:szCs w:val="24"/>
          <w:u w:val="none"/>
        </w:rPr>
        <w:t>3.7 一体化护理管理技术要求</w:t>
      </w: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7"/>
        <w:gridCol w:w="457"/>
        <w:gridCol w:w="767"/>
        <w:gridCol w:w="6841"/>
      </w:tblGrid>
      <w:tr w14:paraId="2F801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 w:type="pct"/>
            <w:vAlign w:val="center"/>
          </w:tcPr>
          <w:p w14:paraId="757B2647">
            <w:pPr>
              <w:pStyle w:val="11"/>
              <w:spacing w:line="360" w:lineRule="auto"/>
              <w:jc w:val="center"/>
              <w:rPr>
                <w:rFonts w:hint="eastAsia"/>
                <w:b/>
                <w:bCs/>
                <w:sz w:val="24"/>
                <w:szCs w:val="24"/>
              </w:rPr>
            </w:pPr>
            <w:r>
              <w:rPr>
                <w:rFonts w:hint="eastAsia"/>
                <w:b/>
                <w:bCs/>
                <w:sz w:val="24"/>
                <w:szCs w:val="24"/>
              </w:rPr>
              <w:t>序号</w:t>
            </w:r>
          </w:p>
        </w:tc>
        <w:tc>
          <w:tcPr>
            <w:tcW w:w="256" w:type="pct"/>
            <w:vAlign w:val="center"/>
          </w:tcPr>
          <w:p w14:paraId="10786F9A">
            <w:pPr>
              <w:pStyle w:val="11"/>
              <w:spacing w:line="360" w:lineRule="auto"/>
              <w:jc w:val="center"/>
              <w:rPr>
                <w:rFonts w:hint="eastAsia"/>
                <w:b/>
                <w:bCs/>
                <w:sz w:val="24"/>
                <w:szCs w:val="24"/>
              </w:rPr>
            </w:pPr>
            <w:r>
              <w:rPr>
                <w:rFonts w:hint="eastAsia"/>
                <w:b/>
                <w:bCs/>
                <w:sz w:val="24"/>
                <w:szCs w:val="24"/>
              </w:rPr>
              <w:t>标记</w:t>
            </w:r>
          </w:p>
        </w:tc>
        <w:tc>
          <w:tcPr>
            <w:tcW w:w="462" w:type="pct"/>
          </w:tcPr>
          <w:p w14:paraId="775E1985">
            <w:pPr>
              <w:pStyle w:val="11"/>
              <w:spacing w:line="360" w:lineRule="auto"/>
              <w:jc w:val="center"/>
              <w:rPr>
                <w:rFonts w:hint="eastAsia"/>
                <w:b/>
                <w:bCs/>
                <w:sz w:val="24"/>
                <w:szCs w:val="24"/>
              </w:rPr>
            </w:pPr>
            <w:r>
              <w:rPr>
                <w:rFonts w:hint="eastAsia"/>
                <w:b/>
                <w:bCs/>
                <w:sz w:val="24"/>
                <w:szCs w:val="24"/>
              </w:rPr>
              <w:t>指标类别</w:t>
            </w:r>
          </w:p>
        </w:tc>
        <w:tc>
          <w:tcPr>
            <w:tcW w:w="4023" w:type="pct"/>
            <w:vAlign w:val="center"/>
          </w:tcPr>
          <w:p w14:paraId="7005F475">
            <w:pPr>
              <w:pStyle w:val="11"/>
              <w:spacing w:line="360" w:lineRule="auto"/>
              <w:jc w:val="center"/>
              <w:rPr>
                <w:rFonts w:hint="eastAsia"/>
                <w:b/>
                <w:bCs/>
                <w:sz w:val="24"/>
                <w:szCs w:val="24"/>
              </w:rPr>
            </w:pPr>
            <w:r>
              <w:rPr>
                <w:rFonts w:hint="eastAsia"/>
                <w:b/>
                <w:bCs/>
                <w:sz w:val="24"/>
                <w:szCs w:val="24"/>
              </w:rPr>
              <w:t>技术指标要求</w:t>
            </w:r>
          </w:p>
        </w:tc>
      </w:tr>
      <w:tr w14:paraId="4380E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 w:type="pct"/>
          </w:tcPr>
          <w:p w14:paraId="5F1E1D17">
            <w:pPr>
              <w:pStyle w:val="11"/>
              <w:spacing w:line="360" w:lineRule="auto"/>
              <w:jc w:val="center"/>
              <w:rPr>
                <w:rFonts w:hint="eastAsia"/>
                <w:sz w:val="24"/>
                <w:szCs w:val="24"/>
              </w:rPr>
            </w:pPr>
            <w:r>
              <w:rPr>
                <w:rFonts w:hint="eastAsia"/>
                <w:sz w:val="24"/>
                <w:szCs w:val="24"/>
              </w:rPr>
              <w:t>1</w:t>
            </w:r>
          </w:p>
        </w:tc>
        <w:tc>
          <w:tcPr>
            <w:tcW w:w="256" w:type="pct"/>
          </w:tcPr>
          <w:p w14:paraId="214EF019">
            <w:pPr>
              <w:pStyle w:val="11"/>
              <w:spacing w:line="360" w:lineRule="auto"/>
              <w:jc w:val="center"/>
              <w:rPr>
                <w:rFonts w:hint="eastAsia"/>
                <w:sz w:val="24"/>
                <w:szCs w:val="24"/>
              </w:rPr>
            </w:pPr>
          </w:p>
        </w:tc>
        <w:tc>
          <w:tcPr>
            <w:tcW w:w="462" w:type="pct"/>
          </w:tcPr>
          <w:p w14:paraId="6C5DA268">
            <w:pPr>
              <w:pStyle w:val="11"/>
              <w:spacing w:line="360" w:lineRule="auto"/>
              <w:jc w:val="center"/>
              <w:rPr>
                <w:rFonts w:hint="eastAsia"/>
                <w:sz w:val="24"/>
                <w:szCs w:val="24"/>
              </w:rPr>
            </w:pPr>
            <w:r>
              <w:rPr>
                <w:rFonts w:hint="eastAsia"/>
                <w:sz w:val="24"/>
                <w:szCs w:val="24"/>
              </w:rPr>
              <w:t>待办任务</w:t>
            </w:r>
          </w:p>
        </w:tc>
        <w:tc>
          <w:tcPr>
            <w:tcW w:w="4023" w:type="pct"/>
          </w:tcPr>
          <w:p w14:paraId="5F2C59E1">
            <w:pPr>
              <w:pStyle w:val="11"/>
              <w:spacing w:line="360" w:lineRule="auto"/>
              <w:rPr>
                <w:rFonts w:hint="eastAsia"/>
                <w:sz w:val="24"/>
                <w:szCs w:val="24"/>
              </w:rPr>
            </w:pPr>
            <w:r>
              <w:rPr>
                <w:rFonts w:hint="eastAsia"/>
                <w:sz w:val="24"/>
                <w:szCs w:val="24"/>
              </w:rPr>
              <w:t>支持医嘱执行、评分评估、皮试结果记录、测量等不同类型的待办任务查看及执行；</w:t>
            </w:r>
          </w:p>
        </w:tc>
      </w:tr>
      <w:tr w14:paraId="3B294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 w:type="pct"/>
          </w:tcPr>
          <w:p w14:paraId="44457FFD">
            <w:pPr>
              <w:pStyle w:val="11"/>
              <w:spacing w:line="360" w:lineRule="auto"/>
              <w:jc w:val="center"/>
              <w:rPr>
                <w:rFonts w:hint="eastAsia"/>
                <w:sz w:val="24"/>
                <w:szCs w:val="24"/>
              </w:rPr>
            </w:pPr>
            <w:r>
              <w:rPr>
                <w:rFonts w:hint="eastAsia"/>
                <w:sz w:val="24"/>
                <w:szCs w:val="24"/>
              </w:rPr>
              <w:t>2</w:t>
            </w:r>
          </w:p>
        </w:tc>
        <w:tc>
          <w:tcPr>
            <w:tcW w:w="256" w:type="pct"/>
          </w:tcPr>
          <w:p w14:paraId="394BDFB5">
            <w:pPr>
              <w:pStyle w:val="11"/>
              <w:spacing w:line="360" w:lineRule="auto"/>
              <w:jc w:val="center"/>
              <w:rPr>
                <w:rFonts w:hint="eastAsia"/>
                <w:sz w:val="24"/>
                <w:szCs w:val="24"/>
              </w:rPr>
            </w:pPr>
          </w:p>
        </w:tc>
        <w:tc>
          <w:tcPr>
            <w:tcW w:w="462" w:type="pct"/>
            <w:vMerge w:val="restart"/>
          </w:tcPr>
          <w:p w14:paraId="2ED1F194">
            <w:pPr>
              <w:pStyle w:val="11"/>
              <w:spacing w:line="360" w:lineRule="auto"/>
              <w:jc w:val="center"/>
              <w:rPr>
                <w:rFonts w:hint="eastAsia"/>
                <w:sz w:val="24"/>
                <w:szCs w:val="24"/>
              </w:rPr>
            </w:pPr>
            <w:r>
              <w:rPr>
                <w:rFonts w:hint="eastAsia"/>
                <w:sz w:val="24"/>
                <w:szCs w:val="24"/>
              </w:rPr>
              <w:t>消息提醒</w:t>
            </w:r>
          </w:p>
        </w:tc>
        <w:tc>
          <w:tcPr>
            <w:tcW w:w="4023" w:type="pct"/>
          </w:tcPr>
          <w:p w14:paraId="472D97E7">
            <w:pPr>
              <w:pStyle w:val="11"/>
              <w:spacing w:line="360" w:lineRule="auto"/>
              <w:rPr>
                <w:rFonts w:hint="eastAsia"/>
                <w:sz w:val="24"/>
                <w:szCs w:val="24"/>
              </w:rPr>
            </w:pPr>
            <w:r>
              <w:rPr>
                <w:rFonts w:hint="eastAsia"/>
                <w:sz w:val="24"/>
                <w:szCs w:val="24"/>
              </w:rPr>
              <w:t>支持医嘱、医嘱自动发送失败、危急值提醒、检查预约、检验拒收、会诊申请等消息提醒；</w:t>
            </w:r>
          </w:p>
        </w:tc>
      </w:tr>
      <w:tr w14:paraId="081C8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 w:type="pct"/>
          </w:tcPr>
          <w:p w14:paraId="3A13DCC3">
            <w:pPr>
              <w:pStyle w:val="11"/>
              <w:spacing w:line="360" w:lineRule="auto"/>
              <w:jc w:val="center"/>
              <w:rPr>
                <w:rFonts w:hint="eastAsia"/>
                <w:sz w:val="24"/>
                <w:szCs w:val="24"/>
              </w:rPr>
            </w:pPr>
            <w:r>
              <w:rPr>
                <w:rFonts w:hint="eastAsia"/>
                <w:sz w:val="24"/>
                <w:szCs w:val="24"/>
              </w:rPr>
              <w:t>3</w:t>
            </w:r>
          </w:p>
        </w:tc>
        <w:tc>
          <w:tcPr>
            <w:tcW w:w="256" w:type="pct"/>
          </w:tcPr>
          <w:p w14:paraId="2709038D">
            <w:pPr>
              <w:pStyle w:val="11"/>
              <w:spacing w:line="360" w:lineRule="auto"/>
              <w:jc w:val="center"/>
              <w:rPr>
                <w:rFonts w:hint="eastAsia"/>
                <w:sz w:val="24"/>
                <w:szCs w:val="24"/>
              </w:rPr>
            </w:pPr>
          </w:p>
        </w:tc>
        <w:tc>
          <w:tcPr>
            <w:tcW w:w="462" w:type="pct"/>
            <w:vMerge w:val="continue"/>
          </w:tcPr>
          <w:p w14:paraId="1FDA027B">
            <w:pPr>
              <w:pStyle w:val="11"/>
              <w:spacing w:line="360" w:lineRule="auto"/>
              <w:jc w:val="center"/>
              <w:rPr>
                <w:rFonts w:hint="eastAsia"/>
                <w:sz w:val="24"/>
                <w:szCs w:val="24"/>
              </w:rPr>
            </w:pPr>
          </w:p>
        </w:tc>
        <w:tc>
          <w:tcPr>
            <w:tcW w:w="4023" w:type="pct"/>
          </w:tcPr>
          <w:p w14:paraId="099DDC63">
            <w:pPr>
              <w:pStyle w:val="11"/>
              <w:spacing w:line="360" w:lineRule="auto"/>
              <w:rPr>
                <w:rFonts w:hint="eastAsia"/>
                <w:sz w:val="24"/>
                <w:szCs w:val="24"/>
              </w:rPr>
            </w:pPr>
            <w:r>
              <w:rPr>
                <w:rFonts w:hint="eastAsia"/>
                <w:sz w:val="24"/>
                <w:szCs w:val="24"/>
              </w:rPr>
              <w:t>支持查看消息接收人、接收时间、接收情况等。</w:t>
            </w:r>
          </w:p>
        </w:tc>
      </w:tr>
      <w:tr w14:paraId="5DAA1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 w:type="pct"/>
          </w:tcPr>
          <w:p w14:paraId="48BAEBBD">
            <w:pPr>
              <w:pStyle w:val="11"/>
              <w:spacing w:line="360" w:lineRule="auto"/>
              <w:jc w:val="center"/>
              <w:rPr>
                <w:rFonts w:hint="eastAsia"/>
                <w:sz w:val="24"/>
                <w:szCs w:val="24"/>
              </w:rPr>
            </w:pPr>
            <w:r>
              <w:rPr>
                <w:rFonts w:hint="eastAsia"/>
                <w:sz w:val="24"/>
                <w:szCs w:val="24"/>
              </w:rPr>
              <w:t>4</w:t>
            </w:r>
          </w:p>
        </w:tc>
        <w:tc>
          <w:tcPr>
            <w:tcW w:w="256" w:type="pct"/>
          </w:tcPr>
          <w:p w14:paraId="45F28102">
            <w:pPr>
              <w:pStyle w:val="11"/>
              <w:spacing w:line="360" w:lineRule="auto"/>
              <w:jc w:val="center"/>
              <w:rPr>
                <w:rFonts w:hint="eastAsia"/>
                <w:sz w:val="24"/>
                <w:szCs w:val="24"/>
              </w:rPr>
            </w:pPr>
          </w:p>
        </w:tc>
        <w:tc>
          <w:tcPr>
            <w:tcW w:w="462" w:type="pct"/>
            <w:vMerge w:val="restart"/>
          </w:tcPr>
          <w:p w14:paraId="034C1148">
            <w:pPr>
              <w:pStyle w:val="11"/>
              <w:spacing w:line="360" w:lineRule="auto"/>
              <w:jc w:val="center"/>
              <w:rPr>
                <w:rFonts w:hint="eastAsia"/>
                <w:sz w:val="24"/>
                <w:szCs w:val="24"/>
              </w:rPr>
            </w:pPr>
            <w:r>
              <w:rPr>
                <w:rFonts w:hint="eastAsia"/>
                <w:sz w:val="24"/>
                <w:szCs w:val="24"/>
              </w:rPr>
              <w:t>病人入出转</w:t>
            </w:r>
          </w:p>
        </w:tc>
        <w:tc>
          <w:tcPr>
            <w:tcW w:w="4023" w:type="pct"/>
          </w:tcPr>
          <w:p w14:paraId="183FABAF">
            <w:pPr>
              <w:pStyle w:val="11"/>
              <w:spacing w:line="360" w:lineRule="auto"/>
              <w:rPr>
                <w:rFonts w:hint="eastAsia"/>
                <w:sz w:val="24"/>
                <w:szCs w:val="24"/>
              </w:rPr>
            </w:pPr>
            <w:r>
              <w:rPr>
                <w:rFonts w:hint="eastAsia"/>
                <w:sz w:val="24"/>
                <w:szCs w:val="24"/>
              </w:rPr>
              <w:t>支持患者入住病区病床；</w:t>
            </w:r>
          </w:p>
        </w:tc>
      </w:tr>
      <w:tr w14:paraId="30DD1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 w:type="pct"/>
          </w:tcPr>
          <w:p w14:paraId="6183018A">
            <w:pPr>
              <w:pStyle w:val="11"/>
              <w:spacing w:line="360" w:lineRule="auto"/>
              <w:jc w:val="center"/>
              <w:rPr>
                <w:rFonts w:hint="eastAsia"/>
                <w:sz w:val="24"/>
                <w:szCs w:val="24"/>
              </w:rPr>
            </w:pPr>
            <w:r>
              <w:rPr>
                <w:rFonts w:hint="eastAsia"/>
                <w:sz w:val="24"/>
                <w:szCs w:val="24"/>
              </w:rPr>
              <w:t>5</w:t>
            </w:r>
          </w:p>
        </w:tc>
        <w:tc>
          <w:tcPr>
            <w:tcW w:w="256" w:type="pct"/>
          </w:tcPr>
          <w:p w14:paraId="79DEFBE6">
            <w:pPr>
              <w:pStyle w:val="11"/>
              <w:spacing w:line="360" w:lineRule="auto"/>
              <w:jc w:val="center"/>
              <w:rPr>
                <w:rFonts w:hint="eastAsia"/>
                <w:sz w:val="24"/>
                <w:szCs w:val="24"/>
              </w:rPr>
            </w:pPr>
          </w:p>
        </w:tc>
        <w:tc>
          <w:tcPr>
            <w:tcW w:w="462" w:type="pct"/>
            <w:vMerge w:val="continue"/>
          </w:tcPr>
          <w:p w14:paraId="7A728E8D">
            <w:pPr>
              <w:pStyle w:val="11"/>
              <w:spacing w:line="360" w:lineRule="auto"/>
              <w:jc w:val="center"/>
              <w:rPr>
                <w:rFonts w:hint="eastAsia"/>
                <w:sz w:val="24"/>
                <w:szCs w:val="24"/>
              </w:rPr>
            </w:pPr>
          </w:p>
        </w:tc>
        <w:tc>
          <w:tcPr>
            <w:tcW w:w="4023" w:type="pct"/>
          </w:tcPr>
          <w:p w14:paraId="17D3BBEC">
            <w:pPr>
              <w:pStyle w:val="11"/>
              <w:spacing w:line="360" w:lineRule="auto"/>
              <w:rPr>
                <w:rFonts w:hint="eastAsia"/>
                <w:sz w:val="24"/>
                <w:szCs w:val="24"/>
              </w:rPr>
            </w:pPr>
            <w:r>
              <w:rPr>
                <w:rFonts w:hint="eastAsia"/>
                <w:sz w:val="24"/>
                <w:szCs w:val="24"/>
              </w:rPr>
              <w:t>支持患者转科、转病区；</w:t>
            </w:r>
          </w:p>
        </w:tc>
      </w:tr>
      <w:tr w14:paraId="4D6CC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 w:type="pct"/>
          </w:tcPr>
          <w:p w14:paraId="2D51BBC5">
            <w:pPr>
              <w:pStyle w:val="11"/>
              <w:spacing w:line="360" w:lineRule="auto"/>
              <w:jc w:val="center"/>
              <w:rPr>
                <w:rFonts w:hint="eastAsia"/>
                <w:sz w:val="24"/>
                <w:szCs w:val="24"/>
              </w:rPr>
            </w:pPr>
            <w:r>
              <w:rPr>
                <w:rFonts w:hint="eastAsia"/>
                <w:sz w:val="24"/>
                <w:szCs w:val="24"/>
              </w:rPr>
              <w:t>6</w:t>
            </w:r>
          </w:p>
        </w:tc>
        <w:tc>
          <w:tcPr>
            <w:tcW w:w="256" w:type="pct"/>
          </w:tcPr>
          <w:p w14:paraId="339D2EC9">
            <w:pPr>
              <w:pStyle w:val="11"/>
              <w:spacing w:line="360" w:lineRule="auto"/>
              <w:jc w:val="center"/>
              <w:rPr>
                <w:rFonts w:hint="eastAsia"/>
                <w:sz w:val="24"/>
                <w:szCs w:val="24"/>
              </w:rPr>
            </w:pPr>
          </w:p>
        </w:tc>
        <w:tc>
          <w:tcPr>
            <w:tcW w:w="462" w:type="pct"/>
            <w:vMerge w:val="continue"/>
          </w:tcPr>
          <w:p w14:paraId="3018B408">
            <w:pPr>
              <w:pStyle w:val="11"/>
              <w:spacing w:line="360" w:lineRule="auto"/>
              <w:jc w:val="center"/>
              <w:rPr>
                <w:rFonts w:hint="eastAsia"/>
                <w:sz w:val="24"/>
                <w:szCs w:val="24"/>
              </w:rPr>
            </w:pPr>
          </w:p>
        </w:tc>
        <w:tc>
          <w:tcPr>
            <w:tcW w:w="4023" w:type="pct"/>
          </w:tcPr>
          <w:p w14:paraId="3EBF56AC">
            <w:pPr>
              <w:pStyle w:val="11"/>
              <w:spacing w:line="360" w:lineRule="auto"/>
              <w:rPr>
                <w:rFonts w:hint="eastAsia"/>
                <w:sz w:val="24"/>
                <w:szCs w:val="24"/>
              </w:rPr>
            </w:pPr>
            <w:r>
              <w:rPr>
                <w:rFonts w:hint="eastAsia"/>
                <w:sz w:val="24"/>
                <w:szCs w:val="24"/>
              </w:rPr>
              <w:t>支持患者出院；</w:t>
            </w:r>
          </w:p>
        </w:tc>
      </w:tr>
      <w:tr w14:paraId="4F260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 w:type="pct"/>
          </w:tcPr>
          <w:p w14:paraId="622A23E3">
            <w:pPr>
              <w:pStyle w:val="11"/>
              <w:spacing w:line="360" w:lineRule="auto"/>
              <w:jc w:val="center"/>
              <w:rPr>
                <w:rFonts w:hint="eastAsia"/>
                <w:sz w:val="24"/>
                <w:szCs w:val="24"/>
              </w:rPr>
            </w:pPr>
            <w:r>
              <w:rPr>
                <w:rFonts w:hint="eastAsia"/>
                <w:sz w:val="24"/>
                <w:szCs w:val="24"/>
              </w:rPr>
              <w:t>7</w:t>
            </w:r>
          </w:p>
        </w:tc>
        <w:tc>
          <w:tcPr>
            <w:tcW w:w="256" w:type="pct"/>
          </w:tcPr>
          <w:p w14:paraId="05AFA0C6">
            <w:pPr>
              <w:pStyle w:val="11"/>
              <w:spacing w:line="360" w:lineRule="auto"/>
              <w:jc w:val="center"/>
              <w:rPr>
                <w:rFonts w:hint="eastAsia"/>
                <w:sz w:val="24"/>
                <w:szCs w:val="24"/>
              </w:rPr>
            </w:pPr>
          </w:p>
        </w:tc>
        <w:tc>
          <w:tcPr>
            <w:tcW w:w="462" w:type="pct"/>
            <w:vMerge w:val="continue"/>
          </w:tcPr>
          <w:p w14:paraId="3DB76F39">
            <w:pPr>
              <w:pStyle w:val="11"/>
              <w:spacing w:line="360" w:lineRule="auto"/>
              <w:jc w:val="center"/>
              <w:rPr>
                <w:rFonts w:hint="eastAsia"/>
                <w:sz w:val="24"/>
                <w:szCs w:val="24"/>
              </w:rPr>
            </w:pPr>
          </w:p>
        </w:tc>
        <w:tc>
          <w:tcPr>
            <w:tcW w:w="4023" w:type="pct"/>
          </w:tcPr>
          <w:p w14:paraId="4132A663">
            <w:pPr>
              <w:pStyle w:val="11"/>
              <w:spacing w:line="360" w:lineRule="auto"/>
              <w:rPr>
                <w:rFonts w:hint="eastAsia"/>
                <w:sz w:val="24"/>
                <w:szCs w:val="24"/>
              </w:rPr>
            </w:pPr>
            <w:r>
              <w:rPr>
                <w:rFonts w:hint="eastAsia"/>
                <w:sz w:val="24"/>
                <w:szCs w:val="24"/>
              </w:rPr>
              <w:t>支持患者更换床位；</w:t>
            </w:r>
          </w:p>
        </w:tc>
      </w:tr>
      <w:tr w14:paraId="12CE0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 w:type="pct"/>
          </w:tcPr>
          <w:p w14:paraId="00A04CD7">
            <w:pPr>
              <w:pStyle w:val="11"/>
              <w:spacing w:line="360" w:lineRule="auto"/>
              <w:jc w:val="center"/>
              <w:rPr>
                <w:rFonts w:hint="eastAsia"/>
                <w:sz w:val="24"/>
                <w:szCs w:val="24"/>
              </w:rPr>
            </w:pPr>
            <w:r>
              <w:rPr>
                <w:rFonts w:hint="eastAsia"/>
                <w:sz w:val="24"/>
                <w:szCs w:val="24"/>
              </w:rPr>
              <w:t>8</w:t>
            </w:r>
          </w:p>
        </w:tc>
        <w:tc>
          <w:tcPr>
            <w:tcW w:w="256" w:type="pct"/>
          </w:tcPr>
          <w:p w14:paraId="20B072E7">
            <w:pPr>
              <w:pStyle w:val="11"/>
              <w:spacing w:line="360" w:lineRule="auto"/>
              <w:jc w:val="center"/>
              <w:rPr>
                <w:rFonts w:hint="eastAsia"/>
                <w:sz w:val="24"/>
                <w:szCs w:val="24"/>
              </w:rPr>
            </w:pPr>
          </w:p>
        </w:tc>
        <w:tc>
          <w:tcPr>
            <w:tcW w:w="462" w:type="pct"/>
            <w:vMerge w:val="continue"/>
          </w:tcPr>
          <w:p w14:paraId="2C34D47F">
            <w:pPr>
              <w:pStyle w:val="11"/>
              <w:spacing w:line="360" w:lineRule="auto"/>
              <w:jc w:val="center"/>
              <w:rPr>
                <w:rFonts w:hint="eastAsia"/>
                <w:sz w:val="24"/>
                <w:szCs w:val="24"/>
              </w:rPr>
            </w:pPr>
          </w:p>
        </w:tc>
        <w:tc>
          <w:tcPr>
            <w:tcW w:w="4023" w:type="pct"/>
          </w:tcPr>
          <w:p w14:paraId="01C8E38B">
            <w:pPr>
              <w:pStyle w:val="11"/>
              <w:spacing w:line="360" w:lineRule="auto"/>
              <w:rPr>
                <w:rFonts w:hint="eastAsia"/>
                <w:sz w:val="24"/>
                <w:szCs w:val="24"/>
              </w:rPr>
            </w:pPr>
            <w:r>
              <w:rPr>
                <w:rFonts w:hint="eastAsia"/>
                <w:sz w:val="24"/>
                <w:szCs w:val="24"/>
              </w:rPr>
              <w:t>支持病人入院登记；</w:t>
            </w:r>
          </w:p>
        </w:tc>
      </w:tr>
      <w:tr w14:paraId="1A91D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 w:type="pct"/>
          </w:tcPr>
          <w:p w14:paraId="05F03EB9">
            <w:pPr>
              <w:pStyle w:val="11"/>
              <w:spacing w:line="360" w:lineRule="auto"/>
              <w:jc w:val="center"/>
              <w:rPr>
                <w:rFonts w:hint="eastAsia"/>
                <w:sz w:val="24"/>
                <w:szCs w:val="24"/>
              </w:rPr>
            </w:pPr>
            <w:r>
              <w:rPr>
                <w:rFonts w:hint="eastAsia"/>
                <w:sz w:val="24"/>
                <w:szCs w:val="24"/>
              </w:rPr>
              <w:t>9</w:t>
            </w:r>
          </w:p>
        </w:tc>
        <w:tc>
          <w:tcPr>
            <w:tcW w:w="256" w:type="pct"/>
          </w:tcPr>
          <w:p w14:paraId="6CA2F1E5">
            <w:pPr>
              <w:pStyle w:val="11"/>
              <w:spacing w:line="360" w:lineRule="auto"/>
              <w:jc w:val="center"/>
              <w:rPr>
                <w:rFonts w:hint="eastAsia"/>
                <w:sz w:val="24"/>
                <w:szCs w:val="24"/>
              </w:rPr>
            </w:pPr>
          </w:p>
        </w:tc>
        <w:tc>
          <w:tcPr>
            <w:tcW w:w="462" w:type="pct"/>
            <w:vMerge w:val="continue"/>
          </w:tcPr>
          <w:p w14:paraId="4226C69B">
            <w:pPr>
              <w:pStyle w:val="11"/>
              <w:spacing w:line="360" w:lineRule="auto"/>
              <w:jc w:val="center"/>
              <w:rPr>
                <w:rFonts w:hint="eastAsia"/>
                <w:sz w:val="24"/>
                <w:szCs w:val="24"/>
              </w:rPr>
            </w:pPr>
          </w:p>
        </w:tc>
        <w:tc>
          <w:tcPr>
            <w:tcW w:w="4023" w:type="pct"/>
          </w:tcPr>
          <w:p w14:paraId="649DF376">
            <w:pPr>
              <w:pStyle w:val="11"/>
              <w:spacing w:line="360" w:lineRule="auto"/>
              <w:rPr>
                <w:rFonts w:hint="eastAsia"/>
                <w:sz w:val="24"/>
                <w:szCs w:val="24"/>
              </w:rPr>
            </w:pPr>
            <w:r>
              <w:rPr>
                <w:rFonts w:hint="eastAsia"/>
                <w:sz w:val="24"/>
                <w:szCs w:val="24"/>
              </w:rPr>
              <w:t>支持门诊留观病人入住；</w:t>
            </w:r>
          </w:p>
        </w:tc>
      </w:tr>
      <w:tr w14:paraId="0ADAF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 w:type="pct"/>
          </w:tcPr>
          <w:p w14:paraId="67EB3823">
            <w:pPr>
              <w:pStyle w:val="11"/>
              <w:spacing w:line="360" w:lineRule="auto"/>
              <w:jc w:val="center"/>
              <w:rPr>
                <w:rFonts w:hint="eastAsia"/>
                <w:sz w:val="24"/>
                <w:szCs w:val="24"/>
              </w:rPr>
            </w:pPr>
            <w:r>
              <w:rPr>
                <w:rFonts w:hint="eastAsia"/>
                <w:sz w:val="24"/>
                <w:szCs w:val="24"/>
              </w:rPr>
              <w:t>10</w:t>
            </w:r>
          </w:p>
        </w:tc>
        <w:tc>
          <w:tcPr>
            <w:tcW w:w="256" w:type="pct"/>
          </w:tcPr>
          <w:p w14:paraId="45D58E9A">
            <w:pPr>
              <w:pStyle w:val="11"/>
              <w:spacing w:line="360" w:lineRule="auto"/>
              <w:jc w:val="center"/>
              <w:rPr>
                <w:rFonts w:hint="eastAsia"/>
                <w:sz w:val="24"/>
                <w:szCs w:val="24"/>
              </w:rPr>
            </w:pPr>
          </w:p>
        </w:tc>
        <w:tc>
          <w:tcPr>
            <w:tcW w:w="462" w:type="pct"/>
            <w:vMerge w:val="restart"/>
          </w:tcPr>
          <w:p w14:paraId="2CCC7566">
            <w:pPr>
              <w:pStyle w:val="11"/>
              <w:spacing w:line="360" w:lineRule="auto"/>
              <w:jc w:val="center"/>
              <w:rPr>
                <w:rFonts w:hint="eastAsia"/>
                <w:sz w:val="24"/>
                <w:szCs w:val="24"/>
              </w:rPr>
            </w:pPr>
            <w:r>
              <w:rPr>
                <w:rFonts w:hint="eastAsia"/>
                <w:sz w:val="24"/>
                <w:szCs w:val="24"/>
              </w:rPr>
              <w:t>床位管理</w:t>
            </w:r>
          </w:p>
        </w:tc>
        <w:tc>
          <w:tcPr>
            <w:tcW w:w="4023" w:type="pct"/>
          </w:tcPr>
          <w:p w14:paraId="3AC0A086">
            <w:pPr>
              <w:pStyle w:val="11"/>
              <w:spacing w:line="360" w:lineRule="auto"/>
              <w:rPr>
                <w:rFonts w:hint="eastAsia"/>
                <w:sz w:val="24"/>
                <w:szCs w:val="24"/>
              </w:rPr>
            </w:pPr>
            <w:r>
              <w:rPr>
                <w:rFonts w:hint="eastAsia"/>
                <w:sz w:val="24"/>
                <w:szCs w:val="24"/>
              </w:rPr>
              <w:t>支持病区床位使用情况一览表（显示床号、住院号、姓名、性别、年龄、诊断、病情、评分结果、护理等级、医护人员、费用情况）；</w:t>
            </w:r>
          </w:p>
        </w:tc>
      </w:tr>
      <w:tr w14:paraId="6D205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 w:type="pct"/>
          </w:tcPr>
          <w:p w14:paraId="0E8FAF99">
            <w:pPr>
              <w:pStyle w:val="11"/>
              <w:spacing w:line="360" w:lineRule="auto"/>
              <w:jc w:val="center"/>
              <w:rPr>
                <w:rFonts w:hint="eastAsia"/>
                <w:sz w:val="24"/>
                <w:szCs w:val="24"/>
              </w:rPr>
            </w:pPr>
            <w:r>
              <w:rPr>
                <w:rFonts w:hint="eastAsia"/>
                <w:sz w:val="24"/>
                <w:szCs w:val="24"/>
              </w:rPr>
              <w:t>11</w:t>
            </w:r>
          </w:p>
        </w:tc>
        <w:tc>
          <w:tcPr>
            <w:tcW w:w="256" w:type="pct"/>
          </w:tcPr>
          <w:p w14:paraId="39503DF3">
            <w:pPr>
              <w:pStyle w:val="11"/>
              <w:spacing w:line="360" w:lineRule="auto"/>
              <w:jc w:val="center"/>
              <w:rPr>
                <w:rFonts w:hint="eastAsia"/>
                <w:sz w:val="24"/>
                <w:szCs w:val="24"/>
              </w:rPr>
            </w:pPr>
          </w:p>
        </w:tc>
        <w:tc>
          <w:tcPr>
            <w:tcW w:w="462" w:type="pct"/>
            <w:vMerge w:val="continue"/>
          </w:tcPr>
          <w:p w14:paraId="5665640D">
            <w:pPr>
              <w:pStyle w:val="11"/>
              <w:spacing w:line="360" w:lineRule="auto"/>
              <w:jc w:val="center"/>
              <w:rPr>
                <w:rFonts w:hint="eastAsia"/>
                <w:sz w:val="24"/>
                <w:szCs w:val="24"/>
              </w:rPr>
            </w:pPr>
          </w:p>
        </w:tc>
        <w:tc>
          <w:tcPr>
            <w:tcW w:w="4023" w:type="pct"/>
          </w:tcPr>
          <w:p w14:paraId="0ABC1939">
            <w:pPr>
              <w:pStyle w:val="11"/>
              <w:spacing w:line="360" w:lineRule="auto"/>
              <w:rPr>
                <w:rFonts w:hint="eastAsia"/>
                <w:sz w:val="24"/>
                <w:szCs w:val="24"/>
              </w:rPr>
            </w:pPr>
            <w:r>
              <w:rPr>
                <w:rFonts w:hint="eastAsia"/>
                <w:sz w:val="24"/>
                <w:szCs w:val="24"/>
              </w:rPr>
              <w:t>支持同步展示病人床头卡，支持护理小组分配、病区床位办理、不良事件上报、高危风险提示。</w:t>
            </w:r>
          </w:p>
        </w:tc>
      </w:tr>
      <w:tr w14:paraId="22D1F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 w:type="pct"/>
          </w:tcPr>
          <w:p w14:paraId="0C0FE4A8">
            <w:pPr>
              <w:pStyle w:val="11"/>
              <w:spacing w:line="360" w:lineRule="auto"/>
              <w:jc w:val="center"/>
              <w:rPr>
                <w:rFonts w:hint="eastAsia"/>
                <w:sz w:val="24"/>
                <w:szCs w:val="24"/>
              </w:rPr>
            </w:pPr>
            <w:r>
              <w:rPr>
                <w:rFonts w:hint="eastAsia"/>
                <w:sz w:val="24"/>
                <w:szCs w:val="24"/>
              </w:rPr>
              <w:t>12</w:t>
            </w:r>
          </w:p>
        </w:tc>
        <w:tc>
          <w:tcPr>
            <w:tcW w:w="256" w:type="pct"/>
          </w:tcPr>
          <w:p w14:paraId="58C3AA9E">
            <w:pPr>
              <w:pStyle w:val="11"/>
              <w:spacing w:line="360" w:lineRule="auto"/>
              <w:jc w:val="center"/>
              <w:rPr>
                <w:rFonts w:hint="eastAsia"/>
                <w:sz w:val="24"/>
                <w:szCs w:val="24"/>
              </w:rPr>
            </w:pPr>
          </w:p>
        </w:tc>
        <w:tc>
          <w:tcPr>
            <w:tcW w:w="462" w:type="pct"/>
            <w:vMerge w:val="restart"/>
          </w:tcPr>
          <w:p w14:paraId="657541F8">
            <w:pPr>
              <w:pStyle w:val="11"/>
              <w:spacing w:line="360" w:lineRule="auto"/>
              <w:jc w:val="center"/>
              <w:rPr>
                <w:rFonts w:hint="eastAsia"/>
                <w:sz w:val="24"/>
                <w:szCs w:val="24"/>
              </w:rPr>
            </w:pPr>
            <w:r>
              <w:rPr>
                <w:rFonts w:hint="eastAsia"/>
                <w:sz w:val="24"/>
                <w:szCs w:val="24"/>
              </w:rPr>
              <w:t>医嘱处理</w:t>
            </w:r>
          </w:p>
        </w:tc>
        <w:tc>
          <w:tcPr>
            <w:tcW w:w="4023" w:type="pct"/>
          </w:tcPr>
          <w:p w14:paraId="5E70A760">
            <w:pPr>
              <w:pStyle w:val="11"/>
              <w:spacing w:line="360" w:lineRule="auto"/>
              <w:rPr>
                <w:rFonts w:hint="eastAsia"/>
                <w:sz w:val="24"/>
                <w:szCs w:val="24"/>
              </w:rPr>
            </w:pPr>
            <w:r>
              <w:rPr>
                <w:rFonts w:hint="eastAsia"/>
                <w:sz w:val="24"/>
                <w:szCs w:val="24"/>
              </w:rPr>
              <w:t>支持校对发送医嘱，查询、打印病区医嘱审核处理情况；</w:t>
            </w:r>
          </w:p>
        </w:tc>
      </w:tr>
      <w:tr w14:paraId="2D455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 w:type="pct"/>
          </w:tcPr>
          <w:p w14:paraId="6C0BEE1F">
            <w:pPr>
              <w:pStyle w:val="11"/>
              <w:spacing w:line="360" w:lineRule="auto"/>
              <w:jc w:val="center"/>
              <w:rPr>
                <w:rFonts w:hint="eastAsia"/>
                <w:sz w:val="24"/>
                <w:szCs w:val="24"/>
              </w:rPr>
            </w:pPr>
            <w:r>
              <w:rPr>
                <w:rFonts w:hint="eastAsia"/>
                <w:sz w:val="24"/>
                <w:szCs w:val="24"/>
              </w:rPr>
              <w:t>13</w:t>
            </w:r>
          </w:p>
        </w:tc>
        <w:tc>
          <w:tcPr>
            <w:tcW w:w="256" w:type="pct"/>
          </w:tcPr>
          <w:p w14:paraId="20BB09B5">
            <w:pPr>
              <w:pStyle w:val="11"/>
              <w:spacing w:line="360" w:lineRule="auto"/>
              <w:jc w:val="center"/>
              <w:rPr>
                <w:rFonts w:hint="eastAsia"/>
                <w:sz w:val="24"/>
                <w:szCs w:val="24"/>
              </w:rPr>
            </w:pPr>
          </w:p>
        </w:tc>
        <w:tc>
          <w:tcPr>
            <w:tcW w:w="462" w:type="pct"/>
            <w:vMerge w:val="continue"/>
          </w:tcPr>
          <w:p w14:paraId="427034B4">
            <w:pPr>
              <w:pStyle w:val="11"/>
              <w:spacing w:line="360" w:lineRule="auto"/>
              <w:jc w:val="center"/>
              <w:rPr>
                <w:rFonts w:hint="eastAsia"/>
                <w:sz w:val="24"/>
                <w:szCs w:val="24"/>
              </w:rPr>
            </w:pPr>
          </w:p>
        </w:tc>
        <w:tc>
          <w:tcPr>
            <w:tcW w:w="4023" w:type="pct"/>
          </w:tcPr>
          <w:p w14:paraId="65A2AFF6">
            <w:pPr>
              <w:pStyle w:val="11"/>
              <w:spacing w:line="360" w:lineRule="auto"/>
              <w:rPr>
                <w:rFonts w:hint="eastAsia"/>
                <w:sz w:val="24"/>
                <w:szCs w:val="24"/>
              </w:rPr>
            </w:pPr>
            <w:r>
              <w:rPr>
                <w:rFonts w:hint="eastAsia"/>
                <w:sz w:val="24"/>
                <w:szCs w:val="24"/>
              </w:rPr>
              <w:t>支持长期医嘱自动发送；</w:t>
            </w:r>
          </w:p>
        </w:tc>
      </w:tr>
      <w:tr w14:paraId="6066C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 w:type="pct"/>
          </w:tcPr>
          <w:p w14:paraId="5733D9CD">
            <w:pPr>
              <w:pStyle w:val="11"/>
              <w:spacing w:line="360" w:lineRule="auto"/>
              <w:jc w:val="center"/>
              <w:rPr>
                <w:rFonts w:hint="eastAsia"/>
                <w:sz w:val="24"/>
                <w:szCs w:val="24"/>
              </w:rPr>
            </w:pPr>
            <w:r>
              <w:rPr>
                <w:rFonts w:hint="eastAsia"/>
                <w:sz w:val="24"/>
                <w:szCs w:val="24"/>
              </w:rPr>
              <w:t>14</w:t>
            </w:r>
          </w:p>
        </w:tc>
        <w:tc>
          <w:tcPr>
            <w:tcW w:w="256" w:type="pct"/>
          </w:tcPr>
          <w:p w14:paraId="7B378415">
            <w:pPr>
              <w:pStyle w:val="11"/>
              <w:spacing w:line="360" w:lineRule="auto"/>
              <w:jc w:val="center"/>
              <w:rPr>
                <w:rFonts w:hint="eastAsia"/>
                <w:sz w:val="24"/>
                <w:szCs w:val="24"/>
              </w:rPr>
            </w:pPr>
          </w:p>
        </w:tc>
        <w:tc>
          <w:tcPr>
            <w:tcW w:w="462" w:type="pct"/>
            <w:vMerge w:val="continue"/>
          </w:tcPr>
          <w:p w14:paraId="1BD30813">
            <w:pPr>
              <w:pStyle w:val="11"/>
              <w:spacing w:line="360" w:lineRule="auto"/>
              <w:jc w:val="center"/>
              <w:rPr>
                <w:rFonts w:hint="eastAsia"/>
                <w:sz w:val="24"/>
                <w:szCs w:val="24"/>
              </w:rPr>
            </w:pPr>
          </w:p>
        </w:tc>
        <w:tc>
          <w:tcPr>
            <w:tcW w:w="4023" w:type="pct"/>
          </w:tcPr>
          <w:p w14:paraId="09E990DB">
            <w:pPr>
              <w:pStyle w:val="11"/>
              <w:spacing w:line="360" w:lineRule="auto"/>
              <w:rPr>
                <w:rFonts w:hint="eastAsia"/>
                <w:sz w:val="24"/>
                <w:szCs w:val="24"/>
              </w:rPr>
            </w:pPr>
            <w:r>
              <w:rPr>
                <w:rFonts w:hint="eastAsia"/>
                <w:sz w:val="24"/>
                <w:szCs w:val="24"/>
              </w:rPr>
              <w:t>支持医嘱校对、医嘱补校对、确认停止后的复核；</w:t>
            </w:r>
          </w:p>
        </w:tc>
      </w:tr>
      <w:tr w14:paraId="47607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 w:type="pct"/>
          </w:tcPr>
          <w:p w14:paraId="62F0B87C">
            <w:pPr>
              <w:pStyle w:val="11"/>
              <w:spacing w:line="360" w:lineRule="auto"/>
              <w:jc w:val="center"/>
              <w:rPr>
                <w:rFonts w:hint="eastAsia"/>
                <w:sz w:val="24"/>
                <w:szCs w:val="24"/>
              </w:rPr>
            </w:pPr>
            <w:r>
              <w:rPr>
                <w:rFonts w:hint="eastAsia"/>
                <w:sz w:val="24"/>
                <w:szCs w:val="24"/>
              </w:rPr>
              <w:t>15</w:t>
            </w:r>
          </w:p>
        </w:tc>
        <w:tc>
          <w:tcPr>
            <w:tcW w:w="256" w:type="pct"/>
          </w:tcPr>
          <w:p w14:paraId="47E2568C">
            <w:pPr>
              <w:pStyle w:val="11"/>
              <w:spacing w:line="360" w:lineRule="auto"/>
              <w:jc w:val="center"/>
              <w:rPr>
                <w:rFonts w:hint="eastAsia"/>
                <w:sz w:val="24"/>
                <w:szCs w:val="24"/>
              </w:rPr>
            </w:pPr>
          </w:p>
        </w:tc>
        <w:tc>
          <w:tcPr>
            <w:tcW w:w="462" w:type="pct"/>
            <w:vMerge w:val="continue"/>
          </w:tcPr>
          <w:p w14:paraId="511F091B">
            <w:pPr>
              <w:pStyle w:val="11"/>
              <w:spacing w:line="360" w:lineRule="auto"/>
              <w:jc w:val="center"/>
              <w:rPr>
                <w:rFonts w:hint="eastAsia"/>
                <w:sz w:val="24"/>
                <w:szCs w:val="24"/>
              </w:rPr>
            </w:pPr>
          </w:p>
        </w:tc>
        <w:tc>
          <w:tcPr>
            <w:tcW w:w="4023" w:type="pct"/>
          </w:tcPr>
          <w:p w14:paraId="2EAD3F41">
            <w:pPr>
              <w:pStyle w:val="11"/>
              <w:spacing w:line="360" w:lineRule="auto"/>
              <w:rPr>
                <w:rFonts w:hint="eastAsia"/>
                <w:sz w:val="24"/>
                <w:szCs w:val="24"/>
              </w:rPr>
            </w:pPr>
            <w:r>
              <w:rPr>
                <w:rFonts w:hint="eastAsia"/>
                <w:sz w:val="24"/>
                <w:szCs w:val="24"/>
              </w:rPr>
              <w:t>支持医嘱超期回收，单条回退、批量回退；</w:t>
            </w:r>
          </w:p>
        </w:tc>
      </w:tr>
      <w:tr w14:paraId="14EB9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 w:type="pct"/>
          </w:tcPr>
          <w:p w14:paraId="59C55724">
            <w:pPr>
              <w:pStyle w:val="11"/>
              <w:spacing w:line="360" w:lineRule="auto"/>
              <w:jc w:val="center"/>
              <w:rPr>
                <w:rFonts w:hint="eastAsia"/>
                <w:sz w:val="24"/>
                <w:szCs w:val="24"/>
              </w:rPr>
            </w:pPr>
            <w:r>
              <w:rPr>
                <w:rFonts w:hint="eastAsia"/>
                <w:sz w:val="24"/>
                <w:szCs w:val="24"/>
              </w:rPr>
              <w:t>16</w:t>
            </w:r>
          </w:p>
        </w:tc>
        <w:tc>
          <w:tcPr>
            <w:tcW w:w="256" w:type="pct"/>
          </w:tcPr>
          <w:p w14:paraId="02ACE89B">
            <w:pPr>
              <w:pStyle w:val="11"/>
              <w:spacing w:line="360" w:lineRule="auto"/>
              <w:jc w:val="center"/>
              <w:rPr>
                <w:rFonts w:hint="eastAsia"/>
                <w:sz w:val="24"/>
                <w:szCs w:val="24"/>
              </w:rPr>
            </w:pPr>
          </w:p>
        </w:tc>
        <w:tc>
          <w:tcPr>
            <w:tcW w:w="462" w:type="pct"/>
            <w:vMerge w:val="continue"/>
          </w:tcPr>
          <w:p w14:paraId="3E6444B2">
            <w:pPr>
              <w:pStyle w:val="11"/>
              <w:spacing w:line="360" w:lineRule="auto"/>
              <w:jc w:val="center"/>
              <w:rPr>
                <w:rFonts w:hint="eastAsia"/>
                <w:sz w:val="24"/>
                <w:szCs w:val="24"/>
              </w:rPr>
            </w:pPr>
          </w:p>
        </w:tc>
        <w:tc>
          <w:tcPr>
            <w:tcW w:w="4023" w:type="pct"/>
          </w:tcPr>
          <w:p w14:paraId="27AC37F6">
            <w:pPr>
              <w:pStyle w:val="11"/>
              <w:spacing w:line="360" w:lineRule="auto"/>
              <w:rPr>
                <w:rFonts w:hint="eastAsia"/>
                <w:sz w:val="24"/>
                <w:szCs w:val="24"/>
              </w:rPr>
            </w:pPr>
            <w:r>
              <w:rPr>
                <w:rFonts w:hint="eastAsia"/>
                <w:sz w:val="24"/>
                <w:szCs w:val="24"/>
              </w:rPr>
              <w:t>支持打印长期及临时医嘱单，同时支持续打；</w:t>
            </w:r>
          </w:p>
        </w:tc>
      </w:tr>
      <w:tr w14:paraId="26134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 w:type="pct"/>
          </w:tcPr>
          <w:p w14:paraId="2C97212D">
            <w:pPr>
              <w:pStyle w:val="11"/>
              <w:spacing w:line="360" w:lineRule="auto"/>
              <w:jc w:val="center"/>
              <w:rPr>
                <w:rFonts w:hint="eastAsia"/>
                <w:sz w:val="24"/>
                <w:szCs w:val="24"/>
              </w:rPr>
            </w:pPr>
            <w:r>
              <w:rPr>
                <w:rFonts w:hint="eastAsia"/>
                <w:sz w:val="24"/>
                <w:szCs w:val="24"/>
              </w:rPr>
              <w:t>17</w:t>
            </w:r>
          </w:p>
        </w:tc>
        <w:tc>
          <w:tcPr>
            <w:tcW w:w="256" w:type="pct"/>
          </w:tcPr>
          <w:p w14:paraId="3CE07DA9">
            <w:pPr>
              <w:pStyle w:val="11"/>
              <w:spacing w:line="360" w:lineRule="auto"/>
              <w:jc w:val="center"/>
              <w:rPr>
                <w:rFonts w:hint="eastAsia"/>
                <w:sz w:val="24"/>
                <w:szCs w:val="24"/>
              </w:rPr>
            </w:pPr>
          </w:p>
        </w:tc>
        <w:tc>
          <w:tcPr>
            <w:tcW w:w="462" w:type="pct"/>
            <w:vMerge w:val="continue"/>
          </w:tcPr>
          <w:p w14:paraId="0B418CB9">
            <w:pPr>
              <w:pStyle w:val="11"/>
              <w:spacing w:line="360" w:lineRule="auto"/>
              <w:jc w:val="center"/>
              <w:rPr>
                <w:rFonts w:hint="eastAsia"/>
                <w:sz w:val="24"/>
                <w:szCs w:val="24"/>
              </w:rPr>
            </w:pPr>
          </w:p>
        </w:tc>
        <w:tc>
          <w:tcPr>
            <w:tcW w:w="4023" w:type="pct"/>
          </w:tcPr>
          <w:p w14:paraId="6CC03DE4">
            <w:pPr>
              <w:pStyle w:val="11"/>
              <w:spacing w:line="360" w:lineRule="auto"/>
              <w:rPr>
                <w:rFonts w:hint="eastAsia"/>
                <w:sz w:val="24"/>
                <w:szCs w:val="24"/>
              </w:rPr>
            </w:pPr>
            <w:r>
              <w:rPr>
                <w:rFonts w:hint="eastAsia"/>
                <w:sz w:val="24"/>
                <w:szCs w:val="24"/>
              </w:rPr>
              <w:t>支持打印、查询病区对药单（领/摆药单）支持对药单分类维护；</w:t>
            </w:r>
          </w:p>
        </w:tc>
      </w:tr>
      <w:tr w14:paraId="0E2BC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 w:type="pct"/>
          </w:tcPr>
          <w:p w14:paraId="4C6C412C">
            <w:pPr>
              <w:pStyle w:val="11"/>
              <w:spacing w:line="360" w:lineRule="auto"/>
              <w:jc w:val="center"/>
              <w:rPr>
                <w:rFonts w:hint="eastAsia"/>
                <w:sz w:val="24"/>
                <w:szCs w:val="24"/>
              </w:rPr>
            </w:pPr>
            <w:r>
              <w:rPr>
                <w:rFonts w:hint="eastAsia"/>
                <w:sz w:val="24"/>
                <w:szCs w:val="24"/>
              </w:rPr>
              <w:t>18</w:t>
            </w:r>
          </w:p>
        </w:tc>
        <w:tc>
          <w:tcPr>
            <w:tcW w:w="256" w:type="pct"/>
          </w:tcPr>
          <w:p w14:paraId="700D018F">
            <w:pPr>
              <w:pStyle w:val="11"/>
              <w:spacing w:line="360" w:lineRule="auto"/>
              <w:jc w:val="center"/>
              <w:rPr>
                <w:rFonts w:hint="eastAsia"/>
                <w:sz w:val="24"/>
                <w:szCs w:val="24"/>
              </w:rPr>
            </w:pPr>
          </w:p>
        </w:tc>
        <w:tc>
          <w:tcPr>
            <w:tcW w:w="462" w:type="pct"/>
            <w:vMerge w:val="continue"/>
          </w:tcPr>
          <w:p w14:paraId="3E01BD37">
            <w:pPr>
              <w:pStyle w:val="11"/>
              <w:spacing w:line="360" w:lineRule="auto"/>
              <w:jc w:val="center"/>
              <w:rPr>
                <w:rFonts w:hint="eastAsia"/>
                <w:sz w:val="24"/>
                <w:szCs w:val="24"/>
              </w:rPr>
            </w:pPr>
          </w:p>
        </w:tc>
        <w:tc>
          <w:tcPr>
            <w:tcW w:w="4023" w:type="pct"/>
          </w:tcPr>
          <w:p w14:paraId="63C4C0F8">
            <w:pPr>
              <w:pStyle w:val="11"/>
              <w:spacing w:line="360" w:lineRule="auto"/>
              <w:rPr>
                <w:rFonts w:hint="eastAsia"/>
                <w:sz w:val="24"/>
                <w:szCs w:val="24"/>
              </w:rPr>
            </w:pPr>
            <w:r>
              <w:rPr>
                <w:rFonts w:hint="eastAsia"/>
                <w:sz w:val="24"/>
                <w:szCs w:val="24"/>
              </w:rPr>
              <w:t>支持打印、查询病区长期、临时医嘱治疗单（口服、注射、输液、辅助治疗等）、输液记录卡及瓶签，支持治疗单分类维护；</w:t>
            </w:r>
          </w:p>
        </w:tc>
      </w:tr>
      <w:tr w14:paraId="41F7F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 w:type="pct"/>
          </w:tcPr>
          <w:p w14:paraId="40E5CF8A">
            <w:pPr>
              <w:pStyle w:val="11"/>
              <w:spacing w:line="360" w:lineRule="auto"/>
              <w:jc w:val="center"/>
              <w:rPr>
                <w:rFonts w:hint="eastAsia"/>
                <w:sz w:val="24"/>
                <w:szCs w:val="24"/>
              </w:rPr>
            </w:pPr>
            <w:r>
              <w:rPr>
                <w:rFonts w:hint="eastAsia"/>
                <w:sz w:val="24"/>
                <w:szCs w:val="24"/>
              </w:rPr>
              <w:t>19</w:t>
            </w:r>
          </w:p>
        </w:tc>
        <w:tc>
          <w:tcPr>
            <w:tcW w:w="256" w:type="pct"/>
          </w:tcPr>
          <w:p w14:paraId="4B57B01B">
            <w:pPr>
              <w:pStyle w:val="11"/>
              <w:spacing w:line="360" w:lineRule="auto"/>
              <w:jc w:val="center"/>
              <w:rPr>
                <w:rFonts w:hint="eastAsia"/>
                <w:sz w:val="24"/>
                <w:szCs w:val="24"/>
              </w:rPr>
            </w:pPr>
          </w:p>
        </w:tc>
        <w:tc>
          <w:tcPr>
            <w:tcW w:w="462" w:type="pct"/>
            <w:vMerge w:val="continue"/>
          </w:tcPr>
          <w:p w14:paraId="7E0BE6E1">
            <w:pPr>
              <w:pStyle w:val="11"/>
              <w:spacing w:line="360" w:lineRule="auto"/>
              <w:jc w:val="center"/>
              <w:rPr>
                <w:rFonts w:hint="eastAsia"/>
                <w:sz w:val="24"/>
                <w:szCs w:val="24"/>
              </w:rPr>
            </w:pPr>
          </w:p>
        </w:tc>
        <w:tc>
          <w:tcPr>
            <w:tcW w:w="4023" w:type="pct"/>
          </w:tcPr>
          <w:p w14:paraId="29A5353C">
            <w:pPr>
              <w:pStyle w:val="11"/>
              <w:spacing w:line="360" w:lineRule="auto"/>
              <w:rPr>
                <w:rFonts w:hint="eastAsia"/>
                <w:sz w:val="24"/>
                <w:szCs w:val="24"/>
              </w:rPr>
            </w:pPr>
            <w:r>
              <w:rPr>
                <w:rFonts w:hint="eastAsia"/>
                <w:sz w:val="24"/>
                <w:szCs w:val="24"/>
              </w:rPr>
              <w:t>支持填写药品皮试结果；</w:t>
            </w:r>
          </w:p>
        </w:tc>
      </w:tr>
      <w:tr w14:paraId="30EC4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 w:type="pct"/>
          </w:tcPr>
          <w:p w14:paraId="61B4267A">
            <w:pPr>
              <w:pStyle w:val="11"/>
              <w:spacing w:line="360" w:lineRule="auto"/>
              <w:jc w:val="center"/>
              <w:rPr>
                <w:rFonts w:hint="eastAsia"/>
                <w:sz w:val="24"/>
                <w:szCs w:val="24"/>
              </w:rPr>
            </w:pPr>
            <w:r>
              <w:rPr>
                <w:rFonts w:hint="eastAsia"/>
                <w:sz w:val="24"/>
                <w:szCs w:val="24"/>
              </w:rPr>
              <w:t>20</w:t>
            </w:r>
          </w:p>
        </w:tc>
        <w:tc>
          <w:tcPr>
            <w:tcW w:w="256" w:type="pct"/>
          </w:tcPr>
          <w:p w14:paraId="57350417">
            <w:pPr>
              <w:pStyle w:val="11"/>
              <w:spacing w:line="360" w:lineRule="auto"/>
              <w:jc w:val="center"/>
              <w:rPr>
                <w:rFonts w:hint="eastAsia"/>
                <w:sz w:val="24"/>
                <w:szCs w:val="24"/>
              </w:rPr>
            </w:pPr>
          </w:p>
        </w:tc>
        <w:tc>
          <w:tcPr>
            <w:tcW w:w="462" w:type="pct"/>
            <w:vMerge w:val="continue"/>
          </w:tcPr>
          <w:p w14:paraId="27EAC42B">
            <w:pPr>
              <w:pStyle w:val="11"/>
              <w:spacing w:line="360" w:lineRule="auto"/>
              <w:jc w:val="center"/>
              <w:rPr>
                <w:rFonts w:hint="eastAsia"/>
                <w:sz w:val="24"/>
                <w:szCs w:val="24"/>
              </w:rPr>
            </w:pPr>
          </w:p>
        </w:tc>
        <w:tc>
          <w:tcPr>
            <w:tcW w:w="4023" w:type="pct"/>
          </w:tcPr>
          <w:p w14:paraId="747468FB">
            <w:pPr>
              <w:pStyle w:val="11"/>
              <w:spacing w:line="360" w:lineRule="auto"/>
              <w:rPr>
                <w:rFonts w:hint="eastAsia"/>
                <w:sz w:val="24"/>
                <w:szCs w:val="24"/>
              </w:rPr>
            </w:pPr>
            <w:r>
              <w:rPr>
                <w:rFonts w:hint="eastAsia"/>
                <w:sz w:val="24"/>
                <w:szCs w:val="24"/>
              </w:rPr>
              <w:t>支持医嘱批量执行；</w:t>
            </w:r>
          </w:p>
        </w:tc>
      </w:tr>
      <w:tr w14:paraId="208EA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 w:type="pct"/>
          </w:tcPr>
          <w:p w14:paraId="73ECA778">
            <w:pPr>
              <w:pStyle w:val="11"/>
              <w:spacing w:line="360" w:lineRule="auto"/>
              <w:jc w:val="center"/>
              <w:rPr>
                <w:rFonts w:hint="eastAsia"/>
                <w:sz w:val="24"/>
                <w:szCs w:val="24"/>
              </w:rPr>
            </w:pPr>
            <w:r>
              <w:rPr>
                <w:rFonts w:hint="eastAsia"/>
                <w:sz w:val="24"/>
                <w:szCs w:val="24"/>
              </w:rPr>
              <w:t>21</w:t>
            </w:r>
          </w:p>
        </w:tc>
        <w:tc>
          <w:tcPr>
            <w:tcW w:w="256" w:type="pct"/>
          </w:tcPr>
          <w:p w14:paraId="58E1ABD1">
            <w:pPr>
              <w:pStyle w:val="11"/>
              <w:spacing w:line="360" w:lineRule="auto"/>
              <w:jc w:val="center"/>
              <w:rPr>
                <w:rFonts w:hint="eastAsia"/>
                <w:sz w:val="24"/>
                <w:szCs w:val="24"/>
              </w:rPr>
            </w:pPr>
          </w:p>
        </w:tc>
        <w:tc>
          <w:tcPr>
            <w:tcW w:w="462" w:type="pct"/>
            <w:vMerge w:val="continue"/>
          </w:tcPr>
          <w:p w14:paraId="64894944">
            <w:pPr>
              <w:pStyle w:val="11"/>
              <w:spacing w:line="360" w:lineRule="auto"/>
              <w:jc w:val="center"/>
              <w:rPr>
                <w:rFonts w:hint="eastAsia"/>
                <w:sz w:val="24"/>
                <w:szCs w:val="24"/>
              </w:rPr>
            </w:pPr>
          </w:p>
        </w:tc>
        <w:tc>
          <w:tcPr>
            <w:tcW w:w="4023" w:type="pct"/>
          </w:tcPr>
          <w:p w14:paraId="01CC9577">
            <w:pPr>
              <w:pStyle w:val="11"/>
              <w:spacing w:line="360" w:lineRule="auto"/>
              <w:rPr>
                <w:rFonts w:hint="eastAsia"/>
                <w:sz w:val="24"/>
                <w:szCs w:val="24"/>
              </w:rPr>
            </w:pPr>
            <w:r>
              <w:rPr>
                <w:rFonts w:hint="eastAsia"/>
                <w:sz w:val="24"/>
                <w:szCs w:val="24"/>
              </w:rPr>
              <w:t>支持医嘱校对核对、医嘱停止核对；</w:t>
            </w:r>
          </w:p>
        </w:tc>
      </w:tr>
      <w:tr w14:paraId="54907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 w:type="pct"/>
          </w:tcPr>
          <w:p w14:paraId="1CDA8D61">
            <w:pPr>
              <w:pStyle w:val="11"/>
              <w:spacing w:line="360" w:lineRule="auto"/>
              <w:jc w:val="center"/>
              <w:rPr>
                <w:rFonts w:hint="eastAsia"/>
                <w:sz w:val="24"/>
                <w:szCs w:val="24"/>
              </w:rPr>
            </w:pPr>
            <w:r>
              <w:rPr>
                <w:rFonts w:hint="eastAsia"/>
                <w:sz w:val="24"/>
                <w:szCs w:val="24"/>
              </w:rPr>
              <w:t>22</w:t>
            </w:r>
          </w:p>
        </w:tc>
        <w:tc>
          <w:tcPr>
            <w:tcW w:w="256" w:type="pct"/>
          </w:tcPr>
          <w:p w14:paraId="076E7857">
            <w:pPr>
              <w:pStyle w:val="11"/>
              <w:spacing w:line="360" w:lineRule="auto"/>
              <w:jc w:val="center"/>
              <w:rPr>
                <w:rFonts w:hint="eastAsia"/>
                <w:sz w:val="24"/>
                <w:szCs w:val="24"/>
              </w:rPr>
            </w:pPr>
          </w:p>
        </w:tc>
        <w:tc>
          <w:tcPr>
            <w:tcW w:w="462" w:type="pct"/>
            <w:vMerge w:val="restart"/>
          </w:tcPr>
          <w:p w14:paraId="340B5AA1">
            <w:pPr>
              <w:pStyle w:val="11"/>
              <w:spacing w:line="360" w:lineRule="auto"/>
              <w:jc w:val="center"/>
              <w:rPr>
                <w:rFonts w:hint="eastAsia"/>
                <w:sz w:val="24"/>
                <w:szCs w:val="24"/>
              </w:rPr>
            </w:pPr>
            <w:r>
              <w:rPr>
                <w:rFonts w:hint="eastAsia"/>
                <w:sz w:val="24"/>
                <w:szCs w:val="24"/>
              </w:rPr>
              <w:t>费用管理</w:t>
            </w:r>
          </w:p>
        </w:tc>
        <w:tc>
          <w:tcPr>
            <w:tcW w:w="4023" w:type="pct"/>
          </w:tcPr>
          <w:p w14:paraId="32A08EBB">
            <w:pPr>
              <w:pStyle w:val="11"/>
              <w:spacing w:line="360" w:lineRule="auto"/>
              <w:rPr>
                <w:rFonts w:hint="eastAsia"/>
                <w:sz w:val="24"/>
                <w:szCs w:val="24"/>
              </w:rPr>
            </w:pPr>
            <w:r>
              <w:rPr>
                <w:rFonts w:hint="eastAsia"/>
                <w:sz w:val="24"/>
                <w:szCs w:val="24"/>
              </w:rPr>
              <w:t>支持护士记账（一次性材料、治疗费等），具备模板功能；</w:t>
            </w:r>
          </w:p>
        </w:tc>
      </w:tr>
      <w:tr w14:paraId="38279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 w:type="pct"/>
          </w:tcPr>
          <w:p w14:paraId="453C7C04">
            <w:pPr>
              <w:pStyle w:val="11"/>
              <w:spacing w:line="360" w:lineRule="auto"/>
              <w:jc w:val="center"/>
              <w:rPr>
                <w:rFonts w:hint="eastAsia"/>
                <w:sz w:val="24"/>
                <w:szCs w:val="24"/>
              </w:rPr>
            </w:pPr>
            <w:r>
              <w:rPr>
                <w:rFonts w:hint="eastAsia"/>
                <w:sz w:val="24"/>
                <w:szCs w:val="24"/>
              </w:rPr>
              <w:t>23</w:t>
            </w:r>
          </w:p>
        </w:tc>
        <w:tc>
          <w:tcPr>
            <w:tcW w:w="256" w:type="pct"/>
          </w:tcPr>
          <w:p w14:paraId="3C6E7926">
            <w:pPr>
              <w:pStyle w:val="11"/>
              <w:spacing w:line="360" w:lineRule="auto"/>
              <w:jc w:val="center"/>
              <w:rPr>
                <w:rFonts w:hint="eastAsia"/>
                <w:sz w:val="24"/>
                <w:szCs w:val="24"/>
              </w:rPr>
            </w:pPr>
          </w:p>
        </w:tc>
        <w:tc>
          <w:tcPr>
            <w:tcW w:w="462" w:type="pct"/>
            <w:vMerge w:val="continue"/>
          </w:tcPr>
          <w:p w14:paraId="752A7C85">
            <w:pPr>
              <w:pStyle w:val="11"/>
              <w:spacing w:line="360" w:lineRule="auto"/>
              <w:jc w:val="center"/>
              <w:rPr>
                <w:rFonts w:hint="eastAsia"/>
                <w:sz w:val="24"/>
                <w:szCs w:val="24"/>
              </w:rPr>
            </w:pPr>
          </w:p>
        </w:tc>
        <w:tc>
          <w:tcPr>
            <w:tcW w:w="4023" w:type="pct"/>
          </w:tcPr>
          <w:p w14:paraId="79F7F2B9">
            <w:pPr>
              <w:pStyle w:val="11"/>
              <w:spacing w:line="360" w:lineRule="auto"/>
              <w:rPr>
                <w:rFonts w:hint="eastAsia"/>
                <w:sz w:val="24"/>
                <w:szCs w:val="24"/>
              </w:rPr>
            </w:pPr>
            <w:r>
              <w:rPr>
                <w:rFonts w:hint="eastAsia"/>
                <w:sz w:val="24"/>
                <w:szCs w:val="24"/>
              </w:rPr>
              <w:t>支持销账申请，同时支持未执行医嘱自动审核，本科室已执行医嘱自动完成销账审核；</w:t>
            </w:r>
          </w:p>
        </w:tc>
      </w:tr>
      <w:tr w14:paraId="02489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 w:type="pct"/>
          </w:tcPr>
          <w:p w14:paraId="631F4B9D">
            <w:pPr>
              <w:pStyle w:val="11"/>
              <w:spacing w:line="360" w:lineRule="auto"/>
              <w:jc w:val="center"/>
              <w:rPr>
                <w:rFonts w:hint="eastAsia"/>
                <w:sz w:val="24"/>
                <w:szCs w:val="24"/>
              </w:rPr>
            </w:pPr>
            <w:r>
              <w:rPr>
                <w:rFonts w:hint="eastAsia"/>
                <w:sz w:val="24"/>
                <w:szCs w:val="24"/>
              </w:rPr>
              <w:t>24</w:t>
            </w:r>
          </w:p>
        </w:tc>
        <w:tc>
          <w:tcPr>
            <w:tcW w:w="256" w:type="pct"/>
          </w:tcPr>
          <w:p w14:paraId="42A4BCDF">
            <w:pPr>
              <w:pStyle w:val="11"/>
              <w:spacing w:line="360" w:lineRule="auto"/>
              <w:jc w:val="center"/>
              <w:rPr>
                <w:rFonts w:hint="eastAsia"/>
                <w:sz w:val="24"/>
                <w:szCs w:val="24"/>
              </w:rPr>
            </w:pPr>
          </w:p>
        </w:tc>
        <w:tc>
          <w:tcPr>
            <w:tcW w:w="462" w:type="pct"/>
            <w:vMerge w:val="continue"/>
          </w:tcPr>
          <w:p w14:paraId="44EE93FF">
            <w:pPr>
              <w:pStyle w:val="11"/>
              <w:spacing w:line="360" w:lineRule="auto"/>
              <w:jc w:val="center"/>
              <w:rPr>
                <w:rFonts w:hint="eastAsia"/>
                <w:sz w:val="24"/>
                <w:szCs w:val="24"/>
              </w:rPr>
            </w:pPr>
          </w:p>
        </w:tc>
        <w:tc>
          <w:tcPr>
            <w:tcW w:w="4023" w:type="pct"/>
          </w:tcPr>
          <w:p w14:paraId="0FB08770">
            <w:pPr>
              <w:pStyle w:val="11"/>
              <w:spacing w:line="360" w:lineRule="auto"/>
              <w:rPr>
                <w:rFonts w:hint="eastAsia"/>
                <w:sz w:val="24"/>
                <w:szCs w:val="24"/>
              </w:rPr>
            </w:pPr>
            <w:r>
              <w:rPr>
                <w:rFonts w:hint="eastAsia"/>
                <w:sz w:val="24"/>
                <w:szCs w:val="24"/>
              </w:rPr>
              <w:t>支持在医嘱校对、发送时调整价格、计费频率及首末日次数；</w:t>
            </w:r>
          </w:p>
        </w:tc>
      </w:tr>
      <w:tr w14:paraId="063B9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 w:type="pct"/>
          </w:tcPr>
          <w:p w14:paraId="36338860">
            <w:pPr>
              <w:pStyle w:val="11"/>
              <w:spacing w:line="360" w:lineRule="auto"/>
              <w:jc w:val="center"/>
              <w:rPr>
                <w:rFonts w:hint="eastAsia"/>
                <w:sz w:val="24"/>
                <w:szCs w:val="24"/>
              </w:rPr>
            </w:pPr>
            <w:r>
              <w:rPr>
                <w:rFonts w:hint="eastAsia"/>
                <w:sz w:val="24"/>
                <w:szCs w:val="24"/>
              </w:rPr>
              <w:t>25</w:t>
            </w:r>
          </w:p>
        </w:tc>
        <w:tc>
          <w:tcPr>
            <w:tcW w:w="256" w:type="pct"/>
          </w:tcPr>
          <w:p w14:paraId="72039C2C">
            <w:pPr>
              <w:pStyle w:val="11"/>
              <w:spacing w:line="360" w:lineRule="auto"/>
              <w:jc w:val="center"/>
              <w:rPr>
                <w:rFonts w:hint="eastAsia"/>
                <w:sz w:val="24"/>
                <w:szCs w:val="24"/>
              </w:rPr>
            </w:pPr>
          </w:p>
        </w:tc>
        <w:tc>
          <w:tcPr>
            <w:tcW w:w="462" w:type="pct"/>
            <w:vMerge w:val="continue"/>
          </w:tcPr>
          <w:p w14:paraId="0F8B37E7">
            <w:pPr>
              <w:pStyle w:val="11"/>
              <w:spacing w:line="360" w:lineRule="auto"/>
              <w:jc w:val="center"/>
              <w:rPr>
                <w:rFonts w:hint="eastAsia"/>
                <w:sz w:val="24"/>
                <w:szCs w:val="24"/>
              </w:rPr>
            </w:pPr>
          </w:p>
        </w:tc>
        <w:tc>
          <w:tcPr>
            <w:tcW w:w="4023" w:type="pct"/>
          </w:tcPr>
          <w:p w14:paraId="6AEC4C64">
            <w:pPr>
              <w:pStyle w:val="11"/>
              <w:spacing w:line="360" w:lineRule="auto"/>
              <w:rPr>
                <w:rFonts w:hint="eastAsia"/>
                <w:sz w:val="24"/>
                <w:szCs w:val="24"/>
              </w:rPr>
            </w:pPr>
            <w:r>
              <w:rPr>
                <w:rFonts w:hint="eastAsia"/>
                <w:sz w:val="24"/>
                <w:szCs w:val="24"/>
              </w:rPr>
              <w:t>支持住院费用清单（含每日费用清单）查询打印；</w:t>
            </w:r>
          </w:p>
        </w:tc>
      </w:tr>
      <w:tr w14:paraId="54B33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 w:type="pct"/>
          </w:tcPr>
          <w:p w14:paraId="361E1953">
            <w:pPr>
              <w:pStyle w:val="11"/>
              <w:spacing w:line="360" w:lineRule="auto"/>
              <w:jc w:val="center"/>
              <w:rPr>
                <w:rFonts w:hint="eastAsia"/>
                <w:sz w:val="24"/>
                <w:szCs w:val="24"/>
              </w:rPr>
            </w:pPr>
            <w:r>
              <w:rPr>
                <w:rFonts w:hint="eastAsia"/>
                <w:sz w:val="24"/>
                <w:szCs w:val="24"/>
              </w:rPr>
              <w:t>26</w:t>
            </w:r>
          </w:p>
        </w:tc>
        <w:tc>
          <w:tcPr>
            <w:tcW w:w="256" w:type="pct"/>
          </w:tcPr>
          <w:p w14:paraId="3BBE6151">
            <w:pPr>
              <w:pStyle w:val="11"/>
              <w:spacing w:line="360" w:lineRule="auto"/>
              <w:jc w:val="center"/>
              <w:rPr>
                <w:rFonts w:hint="eastAsia"/>
                <w:sz w:val="24"/>
                <w:szCs w:val="24"/>
              </w:rPr>
            </w:pPr>
          </w:p>
        </w:tc>
        <w:tc>
          <w:tcPr>
            <w:tcW w:w="462" w:type="pct"/>
            <w:vMerge w:val="continue"/>
          </w:tcPr>
          <w:p w14:paraId="11A823F0">
            <w:pPr>
              <w:pStyle w:val="11"/>
              <w:spacing w:line="360" w:lineRule="auto"/>
              <w:jc w:val="center"/>
              <w:rPr>
                <w:rFonts w:hint="eastAsia"/>
                <w:sz w:val="24"/>
                <w:szCs w:val="24"/>
              </w:rPr>
            </w:pPr>
          </w:p>
        </w:tc>
        <w:tc>
          <w:tcPr>
            <w:tcW w:w="4023" w:type="pct"/>
          </w:tcPr>
          <w:p w14:paraId="7A777AE9">
            <w:pPr>
              <w:pStyle w:val="11"/>
              <w:spacing w:line="360" w:lineRule="auto"/>
              <w:rPr>
                <w:rFonts w:hint="eastAsia"/>
                <w:sz w:val="24"/>
                <w:szCs w:val="24"/>
              </w:rPr>
            </w:pPr>
            <w:r>
              <w:rPr>
                <w:rFonts w:hint="eastAsia"/>
                <w:sz w:val="24"/>
                <w:szCs w:val="24"/>
              </w:rPr>
              <w:t>支持查询病区欠费病人清单，打印催缴通知单；</w:t>
            </w:r>
          </w:p>
        </w:tc>
      </w:tr>
      <w:tr w14:paraId="3FA65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 w:type="pct"/>
          </w:tcPr>
          <w:p w14:paraId="7B322293">
            <w:pPr>
              <w:pStyle w:val="11"/>
              <w:spacing w:line="360" w:lineRule="auto"/>
              <w:jc w:val="center"/>
              <w:rPr>
                <w:rFonts w:hint="eastAsia"/>
                <w:sz w:val="24"/>
                <w:szCs w:val="24"/>
              </w:rPr>
            </w:pPr>
            <w:r>
              <w:rPr>
                <w:rFonts w:hint="eastAsia"/>
                <w:sz w:val="24"/>
                <w:szCs w:val="24"/>
              </w:rPr>
              <w:t>27</w:t>
            </w:r>
          </w:p>
        </w:tc>
        <w:tc>
          <w:tcPr>
            <w:tcW w:w="256" w:type="pct"/>
          </w:tcPr>
          <w:p w14:paraId="4D65681F">
            <w:pPr>
              <w:pStyle w:val="11"/>
              <w:spacing w:line="360" w:lineRule="auto"/>
              <w:jc w:val="center"/>
              <w:rPr>
                <w:rFonts w:hint="eastAsia"/>
                <w:sz w:val="24"/>
                <w:szCs w:val="24"/>
              </w:rPr>
            </w:pPr>
          </w:p>
        </w:tc>
        <w:tc>
          <w:tcPr>
            <w:tcW w:w="462" w:type="pct"/>
            <w:vMerge w:val="continue"/>
          </w:tcPr>
          <w:p w14:paraId="46585DE1">
            <w:pPr>
              <w:pStyle w:val="11"/>
              <w:spacing w:line="360" w:lineRule="auto"/>
              <w:jc w:val="center"/>
              <w:rPr>
                <w:rFonts w:hint="eastAsia"/>
                <w:sz w:val="24"/>
                <w:szCs w:val="24"/>
              </w:rPr>
            </w:pPr>
          </w:p>
        </w:tc>
        <w:tc>
          <w:tcPr>
            <w:tcW w:w="4023" w:type="pct"/>
          </w:tcPr>
          <w:p w14:paraId="47165ACD">
            <w:pPr>
              <w:pStyle w:val="11"/>
              <w:spacing w:line="360" w:lineRule="auto"/>
              <w:rPr>
                <w:rFonts w:hint="eastAsia"/>
                <w:sz w:val="24"/>
                <w:szCs w:val="24"/>
              </w:rPr>
            </w:pPr>
            <w:r>
              <w:rPr>
                <w:rFonts w:hint="eastAsia"/>
                <w:sz w:val="24"/>
                <w:szCs w:val="24"/>
              </w:rPr>
              <w:t>支持病区费用批量记账；</w:t>
            </w:r>
          </w:p>
        </w:tc>
      </w:tr>
      <w:tr w14:paraId="36BC6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 w:type="pct"/>
          </w:tcPr>
          <w:p w14:paraId="6A802CBF">
            <w:pPr>
              <w:pStyle w:val="11"/>
              <w:spacing w:line="360" w:lineRule="auto"/>
              <w:jc w:val="center"/>
              <w:rPr>
                <w:rFonts w:hint="eastAsia"/>
                <w:sz w:val="24"/>
                <w:szCs w:val="24"/>
              </w:rPr>
            </w:pPr>
            <w:r>
              <w:rPr>
                <w:rFonts w:hint="eastAsia"/>
                <w:sz w:val="24"/>
                <w:szCs w:val="24"/>
              </w:rPr>
              <w:t>28</w:t>
            </w:r>
          </w:p>
        </w:tc>
        <w:tc>
          <w:tcPr>
            <w:tcW w:w="256" w:type="pct"/>
          </w:tcPr>
          <w:p w14:paraId="52419119">
            <w:pPr>
              <w:pStyle w:val="11"/>
              <w:spacing w:line="360" w:lineRule="auto"/>
              <w:jc w:val="center"/>
              <w:rPr>
                <w:rFonts w:hint="eastAsia"/>
                <w:sz w:val="24"/>
                <w:szCs w:val="24"/>
              </w:rPr>
            </w:pPr>
          </w:p>
        </w:tc>
        <w:tc>
          <w:tcPr>
            <w:tcW w:w="462" w:type="pct"/>
            <w:vMerge w:val="continue"/>
          </w:tcPr>
          <w:p w14:paraId="386853A2">
            <w:pPr>
              <w:pStyle w:val="11"/>
              <w:spacing w:line="360" w:lineRule="auto"/>
              <w:jc w:val="center"/>
              <w:rPr>
                <w:rFonts w:hint="eastAsia"/>
                <w:sz w:val="24"/>
                <w:szCs w:val="24"/>
              </w:rPr>
            </w:pPr>
          </w:p>
        </w:tc>
        <w:tc>
          <w:tcPr>
            <w:tcW w:w="4023" w:type="pct"/>
          </w:tcPr>
          <w:p w14:paraId="155D48BE">
            <w:pPr>
              <w:pStyle w:val="11"/>
              <w:spacing w:line="360" w:lineRule="auto"/>
              <w:rPr>
                <w:rFonts w:hint="eastAsia"/>
                <w:sz w:val="24"/>
                <w:szCs w:val="24"/>
              </w:rPr>
            </w:pPr>
            <w:r>
              <w:rPr>
                <w:rFonts w:hint="eastAsia"/>
                <w:sz w:val="24"/>
                <w:szCs w:val="24"/>
              </w:rPr>
              <w:t>支持持续性计费。例如：持续性吸氧等；</w:t>
            </w:r>
          </w:p>
        </w:tc>
      </w:tr>
      <w:tr w14:paraId="6ED32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 w:type="pct"/>
          </w:tcPr>
          <w:p w14:paraId="73E84E50">
            <w:pPr>
              <w:pStyle w:val="11"/>
              <w:spacing w:line="360" w:lineRule="auto"/>
              <w:jc w:val="center"/>
              <w:rPr>
                <w:rFonts w:hint="eastAsia"/>
                <w:sz w:val="24"/>
                <w:szCs w:val="24"/>
              </w:rPr>
            </w:pPr>
            <w:r>
              <w:rPr>
                <w:rFonts w:hint="eastAsia"/>
                <w:sz w:val="24"/>
                <w:szCs w:val="24"/>
              </w:rPr>
              <w:t>29</w:t>
            </w:r>
          </w:p>
        </w:tc>
        <w:tc>
          <w:tcPr>
            <w:tcW w:w="256" w:type="pct"/>
          </w:tcPr>
          <w:p w14:paraId="32114CE6">
            <w:pPr>
              <w:pStyle w:val="11"/>
              <w:spacing w:line="360" w:lineRule="auto"/>
              <w:jc w:val="center"/>
              <w:rPr>
                <w:rFonts w:hint="eastAsia"/>
                <w:sz w:val="24"/>
                <w:szCs w:val="24"/>
              </w:rPr>
            </w:pPr>
          </w:p>
        </w:tc>
        <w:tc>
          <w:tcPr>
            <w:tcW w:w="462" w:type="pct"/>
            <w:vMerge w:val="continue"/>
          </w:tcPr>
          <w:p w14:paraId="5CBFD484">
            <w:pPr>
              <w:pStyle w:val="11"/>
              <w:spacing w:line="360" w:lineRule="auto"/>
              <w:jc w:val="center"/>
              <w:rPr>
                <w:rFonts w:hint="eastAsia"/>
                <w:sz w:val="24"/>
                <w:szCs w:val="24"/>
              </w:rPr>
            </w:pPr>
          </w:p>
        </w:tc>
        <w:tc>
          <w:tcPr>
            <w:tcW w:w="4023" w:type="pct"/>
          </w:tcPr>
          <w:p w14:paraId="4648B84D">
            <w:pPr>
              <w:pStyle w:val="11"/>
              <w:spacing w:line="360" w:lineRule="auto"/>
              <w:rPr>
                <w:rFonts w:hint="eastAsia"/>
                <w:sz w:val="24"/>
                <w:szCs w:val="24"/>
              </w:rPr>
            </w:pPr>
            <w:r>
              <w:rPr>
                <w:rFonts w:hint="eastAsia"/>
                <w:sz w:val="24"/>
                <w:szCs w:val="24"/>
              </w:rPr>
              <w:t>支持成套记账，可自定义维护成套记账方案；</w:t>
            </w:r>
          </w:p>
        </w:tc>
      </w:tr>
      <w:tr w14:paraId="371C8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 w:type="pct"/>
          </w:tcPr>
          <w:p w14:paraId="36AAC341">
            <w:pPr>
              <w:pStyle w:val="11"/>
              <w:spacing w:line="360" w:lineRule="auto"/>
              <w:jc w:val="center"/>
              <w:rPr>
                <w:rFonts w:hint="eastAsia"/>
                <w:sz w:val="24"/>
                <w:szCs w:val="24"/>
              </w:rPr>
            </w:pPr>
            <w:r>
              <w:rPr>
                <w:rFonts w:hint="eastAsia"/>
                <w:sz w:val="24"/>
                <w:szCs w:val="24"/>
              </w:rPr>
              <w:t>30</w:t>
            </w:r>
          </w:p>
        </w:tc>
        <w:tc>
          <w:tcPr>
            <w:tcW w:w="256" w:type="pct"/>
          </w:tcPr>
          <w:p w14:paraId="501172A6">
            <w:pPr>
              <w:pStyle w:val="11"/>
              <w:spacing w:line="360" w:lineRule="auto"/>
              <w:jc w:val="center"/>
              <w:rPr>
                <w:rFonts w:hint="eastAsia"/>
                <w:sz w:val="24"/>
                <w:szCs w:val="24"/>
              </w:rPr>
            </w:pPr>
          </w:p>
        </w:tc>
        <w:tc>
          <w:tcPr>
            <w:tcW w:w="462" w:type="pct"/>
            <w:vMerge w:val="continue"/>
          </w:tcPr>
          <w:p w14:paraId="48682292">
            <w:pPr>
              <w:pStyle w:val="11"/>
              <w:spacing w:line="360" w:lineRule="auto"/>
              <w:jc w:val="center"/>
              <w:rPr>
                <w:rFonts w:hint="eastAsia"/>
                <w:sz w:val="24"/>
                <w:szCs w:val="24"/>
              </w:rPr>
            </w:pPr>
          </w:p>
        </w:tc>
        <w:tc>
          <w:tcPr>
            <w:tcW w:w="4023" w:type="pct"/>
          </w:tcPr>
          <w:p w14:paraId="5E0313D4">
            <w:pPr>
              <w:pStyle w:val="11"/>
              <w:spacing w:line="360" w:lineRule="auto"/>
              <w:rPr>
                <w:rFonts w:hint="eastAsia"/>
                <w:sz w:val="24"/>
                <w:szCs w:val="24"/>
              </w:rPr>
            </w:pPr>
            <w:r>
              <w:rPr>
                <w:rFonts w:hint="eastAsia"/>
                <w:sz w:val="24"/>
                <w:szCs w:val="24"/>
              </w:rPr>
              <w:t>支持在床旁完成病人费用结算。</w:t>
            </w:r>
          </w:p>
        </w:tc>
      </w:tr>
      <w:tr w14:paraId="44D96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 w:type="pct"/>
          </w:tcPr>
          <w:p w14:paraId="5DAF4410">
            <w:pPr>
              <w:pStyle w:val="11"/>
              <w:spacing w:line="360" w:lineRule="auto"/>
              <w:jc w:val="center"/>
              <w:rPr>
                <w:rFonts w:hint="eastAsia"/>
                <w:sz w:val="24"/>
                <w:szCs w:val="24"/>
              </w:rPr>
            </w:pPr>
            <w:r>
              <w:rPr>
                <w:rFonts w:hint="eastAsia"/>
                <w:sz w:val="24"/>
                <w:szCs w:val="24"/>
              </w:rPr>
              <w:t>31</w:t>
            </w:r>
          </w:p>
        </w:tc>
        <w:tc>
          <w:tcPr>
            <w:tcW w:w="256" w:type="pct"/>
          </w:tcPr>
          <w:p w14:paraId="27D30928">
            <w:pPr>
              <w:pStyle w:val="11"/>
              <w:spacing w:line="360" w:lineRule="auto"/>
              <w:jc w:val="center"/>
              <w:rPr>
                <w:rFonts w:hint="eastAsia"/>
                <w:sz w:val="24"/>
                <w:szCs w:val="24"/>
              </w:rPr>
            </w:pPr>
          </w:p>
        </w:tc>
        <w:tc>
          <w:tcPr>
            <w:tcW w:w="462" w:type="pct"/>
            <w:vMerge w:val="continue"/>
          </w:tcPr>
          <w:p w14:paraId="66131A39">
            <w:pPr>
              <w:pStyle w:val="11"/>
              <w:spacing w:line="360" w:lineRule="auto"/>
              <w:jc w:val="center"/>
              <w:rPr>
                <w:rFonts w:hint="eastAsia"/>
                <w:sz w:val="24"/>
                <w:szCs w:val="24"/>
              </w:rPr>
            </w:pPr>
          </w:p>
        </w:tc>
        <w:tc>
          <w:tcPr>
            <w:tcW w:w="4023" w:type="pct"/>
          </w:tcPr>
          <w:p w14:paraId="05E1DC9E">
            <w:pPr>
              <w:pStyle w:val="11"/>
              <w:spacing w:line="360" w:lineRule="auto"/>
              <w:rPr>
                <w:rFonts w:hint="eastAsia"/>
                <w:sz w:val="24"/>
                <w:szCs w:val="24"/>
              </w:rPr>
            </w:pPr>
            <w:r>
              <w:rPr>
                <w:rFonts w:hint="eastAsia"/>
                <w:sz w:val="24"/>
                <w:szCs w:val="24"/>
              </w:rPr>
              <w:t>支持对单个病人的新开新停、检查检验、自动计费等费用核对；</w:t>
            </w:r>
          </w:p>
        </w:tc>
      </w:tr>
      <w:tr w14:paraId="357F8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 w:type="pct"/>
          </w:tcPr>
          <w:p w14:paraId="6246DDF0">
            <w:pPr>
              <w:pStyle w:val="11"/>
              <w:spacing w:line="360" w:lineRule="auto"/>
              <w:jc w:val="center"/>
              <w:rPr>
                <w:rFonts w:hint="eastAsia"/>
                <w:sz w:val="24"/>
                <w:szCs w:val="24"/>
              </w:rPr>
            </w:pPr>
            <w:r>
              <w:rPr>
                <w:rFonts w:hint="eastAsia"/>
                <w:sz w:val="24"/>
                <w:szCs w:val="24"/>
              </w:rPr>
              <w:t>32</w:t>
            </w:r>
          </w:p>
        </w:tc>
        <w:tc>
          <w:tcPr>
            <w:tcW w:w="256" w:type="pct"/>
          </w:tcPr>
          <w:p w14:paraId="53BD2CC2">
            <w:pPr>
              <w:pStyle w:val="11"/>
              <w:spacing w:line="360" w:lineRule="auto"/>
              <w:jc w:val="center"/>
              <w:rPr>
                <w:rFonts w:hint="eastAsia"/>
                <w:sz w:val="24"/>
                <w:szCs w:val="24"/>
              </w:rPr>
            </w:pPr>
          </w:p>
        </w:tc>
        <w:tc>
          <w:tcPr>
            <w:tcW w:w="462" w:type="pct"/>
            <w:vMerge w:val="continue"/>
          </w:tcPr>
          <w:p w14:paraId="1B6AEFE3">
            <w:pPr>
              <w:pStyle w:val="11"/>
              <w:spacing w:line="360" w:lineRule="auto"/>
              <w:jc w:val="center"/>
              <w:rPr>
                <w:rFonts w:hint="eastAsia"/>
                <w:sz w:val="24"/>
                <w:szCs w:val="24"/>
              </w:rPr>
            </w:pPr>
          </w:p>
        </w:tc>
        <w:tc>
          <w:tcPr>
            <w:tcW w:w="4023" w:type="pct"/>
          </w:tcPr>
          <w:p w14:paraId="70819008">
            <w:pPr>
              <w:pStyle w:val="11"/>
              <w:spacing w:line="360" w:lineRule="auto"/>
              <w:rPr>
                <w:rFonts w:hint="eastAsia"/>
                <w:sz w:val="24"/>
                <w:szCs w:val="24"/>
              </w:rPr>
            </w:pPr>
            <w:r>
              <w:rPr>
                <w:rFonts w:hint="eastAsia"/>
                <w:sz w:val="24"/>
                <w:szCs w:val="24"/>
              </w:rPr>
              <w:t>支持自定义设置输液费计费规则设置，根据规则自动计算穿刺费、续瓶费、卫材费。</w:t>
            </w:r>
          </w:p>
        </w:tc>
      </w:tr>
      <w:tr w14:paraId="3FE6D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 w:type="pct"/>
          </w:tcPr>
          <w:p w14:paraId="78A1B1CF">
            <w:pPr>
              <w:pStyle w:val="11"/>
              <w:spacing w:line="360" w:lineRule="auto"/>
              <w:jc w:val="center"/>
              <w:rPr>
                <w:rFonts w:hint="eastAsia"/>
                <w:sz w:val="24"/>
                <w:szCs w:val="24"/>
              </w:rPr>
            </w:pPr>
            <w:r>
              <w:rPr>
                <w:rFonts w:hint="eastAsia"/>
                <w:sz w:val="24"/>
                <w:szCs w:val="24"/>
              </w:rPr>
              <w:t>33</w:t>
            </w:r>
          </w:p>
        </w:tc>
        <w:tc>
          <w:tcPr>
            <w:tcW w:w="256" w:type="pct"/>
          </w:tcPr>
          <w:p w14:paraId="6E2F47D6">
            <w:pPr>
              <w:pStyle w:val="11"/>
              <w:spacing w:line="360" w:lineRule="auto"/>
              <w:jc w:val="center"/>
              <w:rPr>
                <w:rFonts w:hint="eastAsia"/>
                <w:sz w:val="24"/>
                <w:szCs w:val="24"/>
              </w:rPr>
            </w:pPr>
          </w:p>
        </w:tc>
        <w:tc>
          <w:tcPr>
            <w:tcW w:w="462" w:type="pct"/>
            <w:vMerge w:val="restart"/>
          </w:tcPr>
          <w:p w14:paraId="26E3BD7A">
            <w:pPr>
              <w:pStyle w:val="11"/>
              <w:spacing w:line="360" w:lineRule="auto"/>
              <w:jc w:val="center"/>
              <w:rPr>
                <w:rFonts w:hint="eastAsia"/>
                <w:sz w:val="24"/>
                <w:szCs w:val="24"/>
              </w:rPr>
            </w:pPr>
            <w:r>
              <w:rPr>
                <w:rFonts w:hint="eastAsia"/>
                <w:sz w:val="24"/>
                <w:szCs w:val="24"/>
              </w:rPr>
              <w:t>护理记录</w:t>
            </w:r>
          </w:p>
        </w:tc>
        <w:tc>
          <w:tcPr>
            <w:tcW w:w="4023" w:type="pct"/>
          </w:tcPr>
          <w:p w14:paraId="09E8B7FB">
            <w:pPr>
              <w:pStyle w:val="11"/>
              <w:spacing w:line="360" w:lineRule="auto"/>
              <w:rPr>
                <w:rFonts w:hint="eastAsia"/>
                <w:sz w:val="24"/>
                <w:szCs w:val="24"/>
              </w:rPr>
            </w:pPr>
            <w:r>
              <w:rPr>
                <w:rFonts w:hint="eastAsia"/>
                <w:sz w:val="24"/>
                <w:szCs w:val="24"/>
              </w:rPr>
              <w:t>支持患者体温单录入和打印，支持特殊标注和历史记录查看；</w:t>
            </w:r>
          </w:p>
        </w:tc>
      </w:tr>
      <w:tr w14:paraId="6C2FE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 w:type="pct"/>
          </w:tcPr>
          <w:p w14:paraId="15C6710F">
            <w:pPr>
              <w:pStyle w:val="11"/>
              <w:spacing w:line="360" w:lineRule="auto"/>
              <w:jc w:val="center"/>
              <w:rPr>
                <w:rFonts w:hint="eastAsia"/>
                <w:sz w:val="24"/>
                <w:szCs w:val="24"/>
              </w:rPr>
            </w:pPr>
            <w:r>
              <w:rPr>
                <w:rFonts w:hint="eastAsia"/>
                <w:sz w:val="24"/>
                <w:szCs w:val="24"/>
              </w:rPr>
              <w:t>34</w:t>
            </w:r>
          </w:p>
        </w:tc>
        <w:tc>
          <w:tcPr>
            <w:tcW w:w="256" w:type="pct"/>
          </w:tcPr>
          <w:p w14:paraId="78EC077D">
            <w:pPr>
              <w:pStyle w:val="11"/>
              <w:spacing w:line="360" w:lineRule="auto"/>
              <w:jc w:val="center"/>
              <w:rPr>
                <w:rFonts w:hint="eastAsia"/>
                <w:sz w:val="24"/>
                <w:szCs w:val="24"/>
              </w:rPr>
            </w:pPr>
          </w:p>
        </w:tc>
        <w:tc>
          <w:tcPr>
            <w:tcW w:w="462" w:type="pct"/>
            <w:vMerge w:val="continue"/>
          </w:tcPr>
          <w:p w14:paraId="11E84BB6">
            <w:pPr>
              <w:pStyle w:val="11"/>
              <w:spacing w:line="360" w:lineRule="auto"/>
              <w:jc w:val="center"/>
              <w:rPr>
                <w:rFonts w:hint="eastAsia"/>
                <w:sz w:val="24"/>
                <w:szCs w:val="24"/>
              </w:rPr>
            </w:pPr>
          </w:p>
        </w:tc>
        <w:tc>
          <w:tcPr>
            <w:tcW w:w="4023" w:type="pct"/>
          </w:tcPr>
          <w:p w14:paraId="17AD3DFE">
            <w:pPr>
              <w:pStyle w:val="11"/>
              <w:spacing w:line="360" w:lineRule="auto"/>
              <w:rPr>
                <w:rFonts w:hint="eastAsia"/>
                <w:sz w:val="24"/>
                <w:szCs w:val="24"/>
              </w:rPr>
            </w:pPr>
            <w:r>
              <w:rPr>
                <w:rFonts w:hint="eastAsia"/>
                <w:sz w:val="24"/>
                <w:szCs w:val="24"/>
              </w:rPr>
              <w:t>支持以周为时间单位，快速检索查询患者体温；</w:t>
            </w:r>
          </w:p>
        </w:tc>
      </w:tr>
      <w:tr w14:paraId="61D36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 w:type="pct"/>
          </w:tcPr>
          <w:p w14:paraId="04D3FC59">
            <w:pPr>
              <w:pStyle w:val="11"/>
              <w:spacing w:line="360" w:lineRule="auto"/>
              <w:jc w:val="center"/>
              <w:rPr>
                <w:rFonts w:hint="eastAsia"/>
                <w:sz w:val="24"/>
                <w:szCs w:val="24"/>
              </w:rPr>
            </w:pPr>
            <w:r>
              <w:rPr>
                <w:rFonts w:hint="eastAsia"/>
                <w:sz w:val="24"/>
                <w:szCs w:val="24"/>
              </w:rPr>
              <w:t>35</w:t>
            </w:r>
          </w:p>
        </w:tc>
        <w:tc>
          <w:tcPr>
            <w:tcW w:w="256" w:type="pct"/>
          </w:tcPr>
          <w:p w14:paraId="5384A53E">
            <w:pPr>
              <w:pStyle w:val="11"/>
              <w:spacing w:line="360" w:lineRule="auto"/>
              <w:jc w:val="center"/>
              <w:rPr>
                <w:rFonts w:hint="eastAsia"/>
                <w:sz w:val="24"/>
                <w:szCs w:val="24"/>
              </w:rPr>
            </w:pPr>
          </w:p>
        </w:tc>
        <w:tc>
          <w:tcPr>
            <w:tcW w:w="462" w:type="pct"/>
            <w:vMerge w:val="continue"/>
          </w:tcPr>
          <w:p w14:paraId="22C41D3B">
            <w:pPr>
              <w:pStyle w:val="11"/>
              <w:spacing w:line="360" w:lineRule="auto"/>
              <w:jc w:val="center"/>
              <w:rPr>
                <w:rFonts w:hint="eastAsia"/>
                <w:sz w:val="24"/>
                <w:szCs w:val="24"/>
              </w:rPr>
            </w:pPr>
          </w:p>
        </w:tc>
        <w:tc>
          <w:tcPr>
            <w:tcW w:w="4023" w:type="pct"/>
          </w:tcPr>
          <w:p w14:paraId="58A234E0">
            <w:pPr>
              <w:pStyle w:val="11"/>
              <w:spacing w:line="360" w:lineRule="auto"/>
              <w:rPr>
                <w:rFonts w:hint="eastAsia"/>
                <w:sz w:val="24"/>
                <w:szCs w:val="24"/>
              </w:rPr>
            </w:pPr>
            <w:r>
              <w:rPr>
                <w:rFonts w:hint="eastAsia"/>
                <w:sz w:val="24"/>
                <w:szCs w:val="24"/>
              </w:rPr>
              <w:t>支持不同专科科室、不同方式的护理记录单批量录入和打印，同时支持病区护理记录的批量记录、批量审签；</w:t>
            </w:r>
          </w:p>
        </w:tc>
      </w:tr>
      <w:tr w14:paraId="138B8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 w:type="pct"/>
          </w:tcPr>
          <w:p w14:paraId="06A633B6">
            <w:pPr>
              <w:pStyle w:val="11"/>
              <w:spacing w:line="360" w:lineRule="auto"/>
              <w:jc w:val="center"/>
              <w:rPr>
                <w:rFonts w:hint="eastAsia"/>
                <w:sz w:val="24"/>
                <w:szCs w:val="24"/>
              </w:rPr>
            </w:pPr>
            <w:r>
              <w:rPr>
                <w:rFonts w:hint="eastAsia"/>
                <w:sz w:val="24"/>
                <w:szCs w:val="24"/>
              </w:rPr>
              <w:t>36</w:t>
            </w:r>
          </w:p>
        </w:tc>
        <w:tc>
          <w:tcPr>
            <w:tcW w:w="256" w:type="pct"/>
          </w:tcPr>
          <w:p w14:paraId="311A805F">
            <w:pPr>
              <w:pStyle w:val="11"/>
              <w:spacing w:line="360" w:lineRule="auto"/>
              <w:jc w:val="center"/>
              <w:rPr>
                <w:rFonts w:hint="eastAsia"/>
                <w:sz w:val="24"/>
                <w:szCs w:val="24"/>
              </w:rPr>
            </w:pPr>
          </w:p>
        </w:tc>
        <w:tc>
          <w:tcPr>
            <w:tcW w:w="462" w:type="pct"/>
            <w:vMerge w:val="continue"/>
          </w:tcPr>
          <w:p w14:paraId="60BB7947">
            <w:pPr>
              <w:pStyle w:val="11"/>
              <w:spacing w:line="360" w:lineRule="auto"/>
              <w:jc w:val="center"/>
              <w:rPr>
                <w:rFonts w:hint="eastAsia"/>
                <w:sz w:val="24"/>
                <w:szCs w:val="24"/>
              </w:rPr>
            </w:pPr>
          </w:p>
        </w:tc>
        <w:tc>
          <w:tcPr>
            <w:tcW w:w="4023" w:type="pct"/>
          </w:tcPr>
          <w:p w14:paraId="13287E8C">
            <w:pPr>
              <w:pStyle w:val="11"/>
              <w:spacing w:line="360" w:lineRule="auto"/>
              <w:rPr>
                <w:rFonts w:hint="eastAsia"/>
                <w:sz w:val="24"/>
                <w:szCs w:val="24"/>
              </w:rPr>
            </w:pPr>
            <w:r>
              <w:rPr>
                <w:rFonts w:hint="eastAsia"/>
                <w:sz w:val="24"/>
                <w:szCs w:val="24"/>
              </w:rPr>
              <w:t>支持体温单和护理记录单数据同步；</w:t>
            </w:r>
          </w:p>
        </w:tc>
      </w:tr>
      <w:tr w14:paraId="6E407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 w:type="pct"/>
          </w:tcPr>
          <w:p w14:paraId="6BD1ECAF">
            <w:pPr>
              <w:pStyle w:val="11"/>
              <w:spacing w:line="360" w:lineRule="auto"/>
              <w:jc w:val="center"/>
              <w:rPr>
                <w:rFonts w:hint="eastAsia"/>
                <w:sz w:val="24"/>
                <w:szCs w:val="24"/>
              </w:rPr>
            </w:pPr>
            <w:r>
              <w:rPr>
                <w:rFonts w:hint="eastAsia"/>
                <w:sz w:val="24"/>
                <w:szCs w:val="24"/>
              </w:rPr>
              <w:t>37</w:t>
            </w:r>
          </w:p>
        </w:tc>
        <w:tc>
          <w:tcPr>
            <w:tcW w:w="256" w:type="pct"/>
          </w:tcPr>
          <w:p w14:paraId="6F71D900">
            <w:pPr>
              <w:pStyle w:val="11"/>
              <w:spacing w:line="360" w:lineRule="auto"/>
              <w:jc w:val="center"/>
              <w:rPr>
                <w:rFonts w:hint="eastAsia"/>
                <w:sz w:val="24"/>
                <w:szCs w:val="24"/>
              </w:rPr>
            </w:pPr>
          </w:p>
        </w:tc>
        <w:tc>
          <w:tcPr>
            <w:tcW w:w="462" w:type="pct"/>
            <w:vMerge w:val="continue"/>
          </w:tcPr>
          <w:p w14:paraId="7D9ED6B3">
            <w:pPr>
              <w:pStyle w:val="11"/>
              <w:spacing w:line="360" w:lineRule="auto"/>
              <w:jc w:val="center"/>
              <w:rPr>
                <w:rFonts w:hint="eastAsia"/>
                <w:sz w:val="24"/>
                <w:szCs w:val="24"/>
              </w:rPr>
            </w:pPr>
          </w:p>
        </w:tc>
        <w:tc>
          <w:tcPr>
            <w:tcW w:w="4023" w:type="pct"/>
          </w:tcPr>
          <w:p w14:paraId="519F7B0D">
            <w:pPr>
              <w:pStyle w:val="11"/>
              <w:spacing w:line="360" w:lineRule="auto"/>
              <w:rPr>
                <w:rFonts w:hint="eastAsia"/>
                <w:sz w:val="24"/>
                <w:szCs w:val="24"/>
              </w:rPr>
            </w:pPr>
            <w:r>
              <w:rPr>
                <w:rFonts w:hint="eastAsia"/>
                <w:sz w:val="24"/>
                <w:szCs w:val="24"/>
              </w:rPr>
              <w:t>支持病人入出量记录；</w:t>
            </w:r>
          </w:p>
        </w:tc>
      </w:tr>
      <w:tr w14:paraId="410FD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 w:type="pct"/>
          </w:tcPr>
          <w:p w14:paraId="3AF3936F">
            <w:pPr>
              <w:pStyle w:val="11"/>
              <w:spacing w:line="360" w:lineRule="auto"/>
              <w:jc w:val="center"/>
              <w:rPr>
                <w:rFonts w:hint="eastAsia"/>
                <w:sz w:val="24"/>
                <w:szCs w:val="24"/>
              </w:rPr>
            </w:pPr>
            <w:r>
              <w:rPr>
                <w:rFonts w:hint="eastAsia"/>
                <w:sz w:val="24"/>
                <w:szCs w:val="24"/>
              </w:rPr>
              <w:t>38</w:t>
            </w:r>
          </w:p>
        </w:tc>
        <w:tc>
          <w:tcPr>
            <w:tcW w:w="256" w:type="pct"/>
          </w:tcPr>
          <w:p w14:paraId="2D6BD7C7">
            <w:pPr>
              <w:pStyle w:val="11"/>
              <w:spacing w:line="360" w:lineRule="auto"/>
              <w:jc w:val="center"/>
              <w:rPr>
                <w:rFonts w:hint="eastAsia"/>
                <w:sz w:val="24"/>
                <w:szCs w:val="24"/>
              </w:rPr>
            </w:pPr>
          </w:p>
        </w:tc>
        <w:tc>
          <w:tcPr>
            <w:tcW w:w="462" w:type="pct"/>
            <w:vMerge w:val="continue"/>
          </w:tcPr>
          <w:p w14:paraId="1D41A797">
            <w:pPr>
              <w:pStyle w:val="11"/>
              <w:spacing w:line="360" w:lineRule="auto"/>
              <w:jc w:val="center"/>
              <w:rPr>
                <w:rFonts w:hint="eastAsia"/>
                <w:sz w:val="24"/>
                <w:szCs w:val="24"/>
              </w:rPr>
            </w:pPr>
          </w:p>
        </w:tc>
        <w:tc>
          <w:tcPr>
            <w:tcW w:w="4023" w:type="pct"/>
          </w:tcPr>
          <w:p w14:paraId="7AC70B77">
            <w:pPr>
              <w:pStyle w:val="11"/>
              <w:spacing w:line="360" w:lineRule="auto"/>
              <w:rPr>
                <w:rFonts w:hint="eastAsia"/>
                <w:sz w:val="24"/>
                <w:szCs w:val="24"/>
              </w:rPr>
            </w:pPr>
            <w:r>
              <w:rPr>
                <w:rFonts w:hint="eastAsia"/>
                <w:sz w:val="24"/>
                <w:szCs w:val="24"/>
              </w:rPr>
              <w:t>支持对患者“八点血糖记录”，（即早餐前后、午餐前后、晚餐前后、睡前、凌晨三点）并支持上级护士对血糖记录进行审核；</w:t>
            </w:r>
          </w:p>
        </w:tc>
      </w:tr>
      <w:tr w14:paraId="1F01A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 w:type="pct"/>
          </w:tcPr>
          <w:p w14:paraId="188EC9E7">
            <w:pPr>
              <w:pStyle w:val="11"/>
              <w:spacing w:line="360" w:lineRule="auto"/>
              <w:jc w:val="center"/>
              <w:rPr>
                <w:rFonts w:hint="eastAsia"/>
                <w:sz w:val="24"/>
                <w:szCs w:val="24"/>
              </w:rPr>
            </w:pPr>
            <w:r>
              <w:rPr>
                <w:rFonts w:hint="eastAsia"/>
                <w:sz w:val="24"/>
                <w:szCs w:val="24"/>
              </w:rPr>
              <w:t>39</w:t>
            </w:r>
          </w:p>
        </w:tc>
        <w:tc>
          <w:tcPr>
            <w:tcW w:w="256" w:type="pct"/>
          </w:tcPr>
          <w:p w14:paraId="38E4611C">
            <w:pPr>
              <w:pStyle w:val="11"/>
              <w:spacing w:line="360" w:lineRule="auto"/>
              <w:jc w:val="center"/>
              <w:rPr>
                <w:rFonts w:hint="eastAsia"/>
                <w:sz w:val="24"/>
                <w:szCs w:val="24"/>
              </w:rPr>
            </w:pPr>
          </w:p>
        </w:tc>
        <w:tc>
          <w:tcPr>
            <w:tcW w:w="462" w:type="pct"/>
            <w:vMerge w:val="continue"/>
          </w:tcPr>
          <w:p w14:paraId="2C6E3FDF">
            <w:pPr>
              <w:pStyle w:val="11"/>
              <w:spacing w:line="360" w:lineRule="auto"/>
              <w:jc w:val="center"/>
              <w:rPr>
                <w:rFonts w:hint="eastAsia"/>
                <w:sz w:val="24"/>
                <w:szCs w:val="24"/>
              </w:rPr>
            </w:pPr>
          </w:p>
        </w:tc>
        <w:tc>
          <w:tcPr>
            <w:tcW w:w="4023" w:type="pct"/>
          </w:tcPr>
          <w:p w14:paraId="1C95198B">
            <w:pPr>
              <w:pStyle w:val="11"/>
              <w:spacing w:line="360" w:lineRule="auto"/>
              <w:rPr>
                <w:rFonts w:hint="eastAsia"/>
                <w:sz w:val="24"/>
                <w:szCs w:val="24"/>
              </w:rPr>
            </w:pPr>
            <w:r>
              <w:rPr>
                <w:rFonts w:hint="eastAsia"/>
                <w:sz w:val="24"/>
                <w:szCs w:val="24"/>
              </w:rPr>
              <w:t>支持护理记录时，插入医嘱内容、检验检查报告、输血等内容。</w:t>
            </w:r>
          </w:p>
        </w:tc>
      </w:tr>
      <w:tr w14:paraId="3E8BA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 w:type="pct"/>
          </w:tcPr>
          <w:p w14:paraId="1C79C7EC">
            <w:pPr>
              <w:pStyle w:val="11"/>
              <w:spacing w:line="360" w:lineRule="auto"/>
              <w:jc w:val="center"/>
              <w:rPr>
                <w:rFonts w:hint="eastAsia"/>
                <w:sz w:val="24"/>
                <w:szCs w:val="24"/>
              </w:rPr>
            </w:pPr>
            <w:r>
              <w:rPr>
                <w:rFonts w:hint="eastAsia"/>
                <w:sz w:val="24"/>
                <w:szCs w:val="24"/>
              </w:rPr>
              <w:t>40</w:t>
            </w:r>
          </w:p>
        </w:tc>
        <w:tc>
          <w:tcPr>
            <w:tcW w:w="256" w:type="pct"/>
          </w:tcPr>
          <w:p w14:paraId="06F77C22">
            <w:pPr>
              <w:pStyle w:val="11"/>
              <w:spacing w:line="360" w:lineRule="auto"/>
              <w:jc w:val="center"/>
              <w:rPr>
                <w:rFonts w:hint="eastAsia"/>
                <w:sz w:val="24"/>
                <w:szCs w:val="24"/>
              </w:rPr>
            </w:pPr>
          </w:p>
        </w:tc>
        <w:tc>
          <w:tcPr>
            <w:tcW w:w="462" w:type="pct"/>
            <w:vMerge w:val="continue"/>
          </w:tcPr>
          <w:p w14:paraId="5F61DE32">
            <w:pPr>
              <w:pStyle w:val="11"/>
              <w:spacing w:line="360" w:lineRule="auto"/>
              <w:jc w:val="center"/>
              <w:rPr>
                <w:rFonts w:hint="eastAsia"/>
                <w:sz w:val="24"/>
                <w:szCs w:val="24"/>
              </w:rPr>
            </w:pPr>
          </w:p>
        </w:tc>
        <w:tc>
          <w:tcPr>
            <w:tcW w:w="4023" w:type="pct"/>
          </w:tcPr>
          <w:p w14:paraId="489606B2">
            <w:pPr>
              <w:pStyle w:val="11"/>
              <w:spacing w:line="360" w:lineRule="auto"/>
              <w:rPr>
                <w:rFonts w:hint="eastAsia"/>
                <w:sz w:val="24"/>
                <w:szCs w:val="24"/>
              </w:rPr>
            </w:pPr>
            <w:r>
              <w:rPr>
                <w:rFonts w:hint="eastAsia"/>
                <w:sz w:val="24"/>
                <w:szCs w:val="24"/>
              </w:rPr>
              <w:t>支持护理记录满页打印；</w:t>
            </w:r>
          </w:p>
        </w:tc>
      </w:tr>
      <w:tr w14:paraId="28C5B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 w:type="pct"/>
          </w:tcPr>
          <w:p w14:paraId="0FC6B3FB">
            <w:pPr>
              <w:pStyle w:val="11"/>
              <w:spacing w:line="360" w:lineRule="auto"/>
              <w:jc w:val="center"/>
              <w:rPr>
                <w:rFonts w:hint="eastAsia"/>
                <w:sz w:val="24"/>
                <w:szCs w:val="24"/>
              </w:rPr>
            </w:pPr>
            <w:r>
              <w:rPr>
                <w:rFonts w:hint="eastAsia"/>
                <w:sz w:val="24"/>
                <w:szCs w:val="24"/>
              </w:rPr>
              <w:t>41</w:t>
            </w:r>
          </w:p>
        </w:tc>
        <w:tc>
          <w:tcPr>
            <w:tcW w:w="256" w:type="pct"/>
          </w:tcPr>
          <w:p w14:paraId="54F35124">
            <w:pPr>
              <w:pStyle w:val="11"/>
              <w:spacing w:line="360" w:lineRule="auto"/>
              <w:jc w:val="center"/>
              <w:rPr>
                <w:rFonts w:hint="eastAsia"/>
                <w:sz w:val="24"/>
                <w:szCs w:val="24"/>
              </w:rPr>
            </w:pPr>
          </w:p>
        </w:tc>
        <w:tc>
          <w:tcPr>
            <w:tcW w:w="462" w:type="pct"/>
            <w:vMerge w:val="continue"/>
          </w:tcPr>
          <w:p w14:paraId="157CAB52">
            <w:pPr>
              <w:pStyle w:val="11"/>
              <w:spacing w:line="360" w:lineRule="auto"/>
              <w:jc w:val="center"/>
              <w:rPr>
                <w:rFonts w:hint="eastAsia"/>
                <w:sz w:val="24"/>
                <w:szCs w:val="24"/>
              </w:rPr>
            </w:pPr>
          </w:p>
        </w:tc>
        <w:tc>
          <w:tcPr>
            <w:tcW w:w="4023" w:type="pct"/>
          </w:tcPr>
          <w:p w14:paraId="6AC52913">
            <w:pPr>
              <w:pStyle w:val="11"/>
              <w:spacing w:line="360" w:lineRule="auto"/>
              <w:rPr>
                <w:rFonts w:hint="eastAsia"/>
                <w:sz w:val="24"/>
                <w:szCs w:val="24"/>
              </w:rPr>
            </w:pPr>
            <w:r>
              <w:rPr>
                <w:rFonts w:hint="eastAsia"/>
                <w:sz w:val="24"/>
                <w:szCs w:val="24"/>
              </w:rPr>
              <w:t>出入量支持医嘱实入量、给液量录入；</w:t>
            </w:r>
          </w:p>
        </w:tc>
      </w:tr>
      <w:tr w14:paraId="5CDB3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 w:type="pct"/>
          </w:tcPr>
          <w:p w14:paraId="443AADA5">
            <w:pPr>
              <w:pStyle w:val="11"/>
              <w:spacing w:line="360" w:lineRule="auto"/>
              <w:jc w:val="center"/>
              <w:rPr>
                <w:rFonts w:hint="eastAsia"/>
                <w:sz w:val="24"/>
                <w:szCs w:val="24"/>
              </w:rPr>
            </w:pPr>
            <w:r>
              <w:rPr>
                <w:rFonts w:hint="eastAsia"/>
                <w:sz w:val="24"/>
                <w:szCs w:val="24"/>
              </w:rPr>
              <w:t>42</w:t>
            </w:r>
          </w:p>
        </w:tc>
        <w:tc>
          <w:tcPr>
            <w:tcW w:w="256" w:type="pct"/>
          </w:tcPr>
          <w:p w14:paraId="1A245B7A">
            <w:pPr>
              <w:pStyle w:val="11"/>
              <w:spacing w:line="360" w:lineRule="auto"/>
              <w:jc w:val="center"/>
              <w:rPr>
                <w:rFonts w:hint="eastAsia"/>
                <w:sz w:val="24"/>
                <w:szCs w:val="24"/>
              </w:rPr>
            </w:pPr>
          </w:p>
        </w:tc>
        <w:tc>
          <w:tcPr>
            <w:tcW w:w="462" w:type="pct"/>
            <w:vMerge w:val="continue"/>
          </w:tcPr>
          <w:p w14:paraId="7FD60433">
            <w:pPr>
              <w:pStyle w:val="11"/>
              <w:spacing w:line="360" w:lineRule="auto"/>
              <w:jc w:val="center"/>
              <w:rPr>
                <w:rFonts w:hint="eastAsia"/>
                <w:sz w:val="24"/>
                <w:szCs w:val="24"/>
              </w:rPr>
            </w:pPr>
          </w:p>
        </w:tc>
        <w:tc>
          <w:tcPr>
            <w:tcW w:w="4023" w:type="pct"/>
          </w:tcPr>
          <w:p w14:paraId="506C1129">
            <w:pPr>
              <w:pStyle w:val="11"/>
              <w:spacing w:line="360" w:lineRule="auto"/>
              <w:rPr>
                <w:rFonts w:hint="eastAsia"/>
                <w:sz w:val="24"/>
                <w:szCs w:val="24"/>
              </w:rPr>
            </w:pPr>
            <w:r>
              <w:rPr>
                <w:rFonts w:hint="eastAsia"/>
                <w:sz w:val="24"/>
                <w:szCs w:val="24"/>
              </w:rPr>
              <w:t>支持双签、审签，且支持医生账户双签；</w:t>
            </w:r>
          </w:p>
        </w:tc>
      </w:tr>
      <w:tr w14:paraId="393D1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 w:type="pct"/>
          </w:tcPr>
          <w:p w14:paraId="61B8FF7B">
            <w:pPr>
              <w:pStyle w:val="11"/>
              <w:spacing w:line="360" w:lineRule="auto"/>
              <w:jc w:val="center"/>
              <w:rPr>
                <w:rFonts w:hint="eastAsia"/>
                <w:sz w:val="24"/>
                <w:szCs w:val="24"/>
              </w:rPr>
            </w:pPr>
            <w:r>
              <w:rPr>
                <w:rFonts w:hint="eastAsia"/>
                <w:sz w:val="24"/>
                <w:szCs w:val="24"/>
              </w:rPr>
              <w:t>43</w:t>
            </w:r>
          </w:p>
        </w:tc>
        <w:tc>
          <w:tcPr>
            <w:tcW w:w="256" w:type="pct"/>
          </w:tcPr>
          <w:p w14:paraId="112DFE8F">
            <w:pPr>
              <w:pStyle w:val="11"/>
              <w:spacing w:line="360" w:lineRule="auto"/>
              <w:jc w:val="center"/>
              <w:rPr>
                <w:rFonts w:hint="eastAsia"/>
                <w:sz w:val="24"/>
                <w:szCs w:val="24"/>
              </w:rPr>
            </w:pPr>
          </w:p>
        </w:tc>
        <w:tc>
          <w:tcPr>
            <w:tcW w:w="462" w:type="pct"/>
            <w:vMerge w:val="restart"/>
          </w:tcPr>
          <w:p w14:paraId="2C8B6481">
            <w:pPr>
              <w:pStyle w:val="11"/>
              <w:spacing w:line="360" w:lineRule="auto"/>
              <w:jc w:val="center"/>
              <w:rPr>
                <w:rFonts w:hint="eastAsia"/>
                <w:sz w:val="24"/>
                <w:szCs w:val="24"/>
              </w:rPr>
            </w:pPr>
            <w:r>
              <w:rPr>
                <w:rFonts w:hint="eastAsia"/>
                <w:sz w:val="24"/>
                <w:szCs w:val="24"/>
              </w:rPr>
              <w:t>评估评分</w:t>
            </w:r>
          </w:p>
        </w:tc>
        <w:tc>
          <w:tcPr>
            <w:tcW w:w="4023" w:type="pct"/>
          </w:tcPr>
          <w:p w14:paraId="7A9B774F">
            <w:pPr>
              <w:pStyle w:val="11"/>
              <w:spacing w:line="360" w:lineRule="auto"/>
              <w:rPr>
                <w:rFonts w:hint="eastAsia"/>
                <w:sz w:val="24"/>
                <w:szCs w:val="24"/>
              </w:rPr>
            </w:pPr>
            <w:r>
              <w:rPr>
                <w:rFonts w:hint="eastAsia"/>
                <w:sz w:val="24"/>
                <w:szCs w:val="24"/>
              </w:rPr>
              <w:t>支持提供成人和儿童的入/出院评估单（成人/儿童），提供结构化的入/出院评估单，可配置，易维护；</w:t>
            </w:r>
          </w:p>
        </w:tc>
      </w:tr>
      <w:tr w14:paraId="2C385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 w:type="pct"/>
          </w:tcPr>
          <w:p w14:paraId="77EA30F8">
            <w:pPr>
              <w:pStyle w:val="11"/>
              <w:spacing w:line="360" w:lineRule="auto"/>
              <w:jc w:val="center"/>
              <w:rPr>
                <w:rFonts w:hint="eastAsia"/>
                <w:sz w:val="24"/>
                <w:szCs w:val="24"/>
              </w:rPr>
            </w:pPr>
            <w:r>
              <w:rPr>
                <w:rFonts w:hint="eastAsia"/>
                <w:sz w:val="24"/>
                <w:szCs w:val="24"/>
              </w:rPr>
              <w:t>44</w:t>
            </w:r>
          </w:p>
        </w:tc>
        <w:tc>
          <w:tcPr>
            <w:tcW w:w="256" w:type="pct"/>
          </w:tcPr>
          <w:p w14:paraId="6E658A09">
            <w:pPr>
              <w:pStyle w:val="11"/>
              <w:spacing w:line="360" w:lineRule="auto"/>
              <w:jc w:val="center"/>
              <w:rPr>
                <w:rFonts w:hint="eastAsia"/>
                <w:sz w:val="24"/>
                <w:szCs w:val="24"/>
              </w:rPr>
            </w:pPr>
          </w:p>
        </w:tc>
        <w:tc>
          <w:tcPr>
            <w:tcW w:w="462" w:type="pct"/>
            <w:vMerge w:val="continue"/>
          </w:tcPr>
          <w:p w14:paraId="486D637F">
            <w:pPr>
              <w:pStyle w:val="11"/>
              <w:spacing w:line="360" w:lineRule="auto"/>
              <w:jc w:val="center"/>
              <w:rPr>
                <w:rFonts w:hint="eastAsia"/>
                <w:sz w:val="24"/>
                <w:szCs w:val="24"/>
              </w:rPr>
            </w:pPr>
          </w:p>
        </w:tc>
        <w:tc>
          <w:tcPr>
            <w:tcW w:w="4023" w:type="pct"/>
          </w:tcPr>
          <w:p w14:paraId="278ECC17">
            <w:pPr>
              <w:pStyle w:val="11"/>
              <w:spacing w:line="360" w:lineRule="auto"/>
              <w:rPr>
                <w:rFonts w:hint="eastAsia"/>
                <w:sz w:val="24"/>
                <w:szCs w:val="24"/>
              </w:rPr>
            </w:pPr>
            <w:r>
              <w:rPr>
                <w:rFonts w:hint="eastAsia"/>
                <w:sz w:val="24"/>
                <w:szCs w:val="24"/>
              </w:rPr>
              <w:t>支持同时完成多项评分表；</w:t>
            </w:r>
          </w:p>
        </w:tc>
      </w:tr>
      <w:tr w14:paraId="59023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 w:type="pct"/>
          </w:tcPr>
          <w:p w14:paraId="086455F9">
            <w:pPr>
              <w:pStyle w:val="11"/>
              <w:spacing w:line="360" w:lineRule="auto"/>
              <w:jc w:val="center"/>
              <w:rPr>
                <w:rFonts w:hint="eastAsia"/>
                <w:sz w:val="24"/>
                <w:szCs w:val="24"/>
              </w:rPr>
            </w:pPr>
            <w:r>
              <w:rPr>
                <w:rFonts w:hint="eastAsia"/>
                <w:sz w:val="24"/>
                <w:szCs w:val="24"/>
              </w:rPr>
              <w:t>45</w:t>
            </w:r>
          </w:p>
        </w:tc>
        <w:tc>
          <w:tcPr>
            <w:tcW w:w="256" w:type="pct"/>
          </w:tcPr>
          <w:p w14:paraId="0C42E59C">
            <w:pPr>
              <w:pStyle w:val="11"/>
              <w:spacing w:line="360" w:lineRule="auto"/>
              <w:jc w:val="center"/>
              <w:rPr>
                <w:rFonts w:hint="eastAsia"/>
                <w:sz w:val="24"/>
                <w:szCs w:val="24"/>
              </w:rPr>
            </w:pPr>
          </w:p>
        </w:tc>
        <w:tc>
          <w:tcPr>
            <w:tcW w:w="462" w:type="pct"/>
            <w:vMerge w:val="continue"/>
          </w:tcPr>
          <w:p w14:paraId="7D6F5554">
            <w:pPr>
              <w:pStyle w:val="11"/>
              <w:spacing w:line="360" w:lineRule="auto"/>
              <w:jc w:val="center"/>
              <w:rPr>
                <w:rFonts w:hint="eastAsia"/>
                <w:sz w:val="24"/>
                <w:szCs w:val="24"/>
              </w:rPr>
            </w:pPr>
          </w:p>
        </w:tc>
        <w:tc>
          <w:tcPr>
            <w:tcW w:w="4023" w:type="pct"/>
          </w:tcPr>
          <w:p w14:paraId="3329788B">
            <w:pPr>
              <w:pStyle w:val="11"/>
              <w:spacing w:line="360" w:lineRule="auto"/>
              <w:rPr>
                <w:rFonts w:hint="eastAsia"/>
                <w:sz w:val="24"/>
                <w:szCs w:val="24"/>
              </w:rPr>
            </w:pPr>
            <w:r>
              <w:rPr>
                <w:rFonts w:hint="eastAsia"/>
                <w:sz w:val="24"/>
                <w:szCs w:val="24"/>
              </w:rPr>
              <w:t>支持符合国家护理电子病历文书标准，通过勾选的方式进行评估；</w:t>
            </w:r>
          </w:p>
        </w:tc>
      </w:tr>
      <w:tr w14:paraId="096E0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 w:type="pct"/>
          </w:tcPr>
          <w:p w14:paraId="461AB0E2">
            <w:pPr>
              <w:pStyle w:val="11"/>
              <w:spacing w:line="360" w:lineRule="auto"/>
              <w:jc w:val="center"/>
              <w:rPr>
                <w:rFonts w:hint="eastAsia"/>
                <w:sz w:val="24"/>
                <w:szCs w:val="24"/>
              </w:rPr>
            </w:pPr>
            <w:r>
              <w:rPr>
                <w:rFonts w:hint="eastAsia"/>
                <w:sz w:val="24"/>
                <w:szCs w:val="24"/>
              </w:rPr>
              <w:t>46</w:t>
            </w:r>
          </w:p>
        </w:tc>
        <w:tc>
          <w:tcPr>
            <w:tcW w:w="256" w:type="pct"/>
          </w:tcPr>
          <w:p w14:paraId="09009836">
            <w:pPr>
              <w:pStyle w:val="11"/>
              <w:spacing w:line="360" w:lineRule="auto"/>
              <w:jc w:val="center"/>
              <w:rPr>
                <w:rFonts w:hint="eastAsia"/>
                <w:sz w:val="24"/>
                <w:szCs w:val="24"/>
              </w:rPr>
            </w:pPr>
          </w:p>
        </w:tc>
        <w:tc>
          <w:tcPr>
            <w:tcW w:w="462" w:type="pct"/>
            <w:vMerge w:val="continue"/>
          </w:tcPr>
          <w:p w14:paraId="76DBF561">
            <w:pPr>
              <w:pStyle w:val="11"/>
              <w:spacing w:line="360" w:lineRule="auto"/>
              <w:jc w:val="center"/>
              <w:rPr>
                <w:rFonts w:hint="eastAsia"/>
                <w:sz w:val="24"/>
                <w:szCs w:val="24"/>
              </w:rPr>
            </w:pPr>
          </w:p>
        </w:tc>
        <w:tc>
          <w:tcPr>
            <w:tcW w:w="4023" w:type="pct"/>
          </w:tcPr>
          <w:p w14:paraId="6F61790E">
            <w:pPr>
              <w:pStyle w:val="11"/>
              <w:spacing w:line="360" w:lineRule="auto"/>
              <w:rPr>
                <w:rFonts w:hint="eastAsia"/>
                <w:sz w:val="24"/>
                <w:szCs w:val="24"/>
              </w:rPr>
            </w:pPr>
            <w:r>
              <w:rPr>
                <w:rFonts w:hint="eastAsia"/>
                <w:sz w:val="24"/>
                <w:szCs w:val="24"/>
              </w:rPr>
              <w:t>支持评分评估书写、预览、打印格式统一；</w:t>
            </w:r>
          </w:p>
        </w:tc>
      </w:tr>
      <w:tr w14:paraId="09C35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 w:type="pct"/>
          </w:tcPr>
          <w:p w14:paraId="5C2195E8">
            <w:pPr>
              <w:pStyle w:val="11"/>
              <w:spacing w:line="360" w:lineRule="auto"/>
              <w:jc w:val="center"/>
              <w:rPr>
                <w:rFonts w:hint="eastAsia"/>
                <w:sz w:val="24"/>
                <w:szCs w:val="24"/>
              </w:rPr>
            </w:pPr>
            <w:r>
              <w:rPr>
                <w:rFonts w:hint="eastAsia"/>
                <w:sz w:val="24"/>
                <w:szCs w:val="24"/>
              </w:rPr>
              <w:t>47</w:t>
            </w:r>
          </w:p>
        </w:tc>
        <w:tc>
          <w:tcPr>
            <w:tcW w:w="256" w:type="pct"/>
          </w:tcPr>
          <w:p w14:paraId="0F80D288">
            <w:pPr>
              <w:pStyle w:val="11"/>
              <w:spacing w:line="360" w:lineRule="auto"/>
              <w:jc w:val="center"/>
              <w:rPr>
                <w:rFonts w:hint="eastAsia"/>
                <w:sz w:val="24"/>
                <w:szCs w:val="24"/>
              </w:rPr>
            </w:pPr>
          </w:p>
        </w:tc>
        <w:tc>
          <w:tcPr>
            <w:tcW w:w="462" w:type="pct"/>
            <w:vMerge w:val="continue"/>
          </w:tcPr>
          <w:p w14:paraId="5C195870">
            <w:pPr>
              <w:pStyle w:val="11"/>
              <w:spacing w:line="360" w:lineRule="auto"/>
              <w:jc w:val="center"/>
              <w:rPr>
                <w:rFonts w:hint="eastAsia"/>
                <w:sz w:val="24"/>
                <w:szCs w:val="24"/>
              </w:rPr>
            </w:pPr>
          </w:p>
        </w:tc>
        <w:tc>
          <w:tcPr>
            <w:tcW w:w="4023" w:type="pct"/>
          </w:tcPr>
          <w:p w14:paraId="5362A0E5">
            <w:pPr>
              <w:pStyle w:val="11"/>
              <w:spacing w:line="360" w:lineRule="auto"/>
              <w:rPr>
                <w:rFonts w:hint="eastAsia"/>
                <w:sz w:val="24"/>
                <w:szCs w:val="24"/>
              </w:rPr>
            </w:pPr>
            <w:r>
              <w:rPr>
                <w:rFonts w:hint="eastAsia"/>
                <w:sz w:val="24"/>
                <w:szCs w:val="24"/>
              </w:rPr>
              <w:t>支持Morse跌倒量表（MFS）、Braden评估表（成人）、BradenQ评估表（儿童）、手术压力性损伤危险评估表（Waterlow评分）、ADL日常生活活动能力评估单、谵妄筛查量表（NU-DESC）、心血管评估系统、深静脉血栓评估表（Autar修订量表）、GLASGOW评分、APACHE-Ⅱ评分、WATERLOW评分、NORTON诺顿评分、住院患者营养风险筛查表、糖尿病自我管理行为量表（SDSCA）等专科评估内容</w:t>
            </w:r>
          </w:p>
        </w:tc>
      </w:tr>
      <w:tr w14:paraId="28089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 w:type="pct"/>
          </w:tcPr>
          <w:p w14:paraId="256FB494">
            <w:pPr>
              <w:pStyle w:val="11"/>
              <w:spacing w:line="360" w:lineRule="auto"/>
              <w:jc w:val="center"/>
              <w:rPr>
                <w:rFonts w:hint="eastAsia"/>
                <w:sz w:val="24"/>
                <w:szCs w:val="24"/>
              </w:rPr>
            </w:pPr>
            <w:r>
              <w:rPr>
                <w:rFonts w:hint="eastAsia"/>
                <w:sz w:val="24"/>
                <w:szCs w:val="24"/>
              </w:rPr>
              <w:t>48</w:t>
            </w:r>
          </w:p>
        </w:tc>
        <w:tc>
          <w:tcPr>
            <w:tcW w:w="256" w:type="pct"/>
          </w:tcPr>
          <w:p w14:paraId="496F5979">
            <w:pPr>
              <w:pStyle w:val="11"/>
              <w:spacing w:line="360" w:lineRule="auto"/>
              <w:jc w:val="center"/>
              <w:rPr>
                <w:rFonts w:hint="eastAsia"/>
                <w:sz w:val="24"/>
                <w:szCs w:val="24"/>
              </w:rPr>
            </w:pPr>
          </w:p>
        </w:tc>
        <w:tc>
          <w:tcPr>
            <w:tcW w:w="462" w:type="pct"/>
            <w:vMerge w:val="continue"/>
          </w:tcPr>
          <w:p w14:paraId="4FC84A47">
            <w:pPr>
              <w:pStyle w:val="11"/>
              <w:spacing w:line="360" w:lineRule="auto"/>
              <w:jc w:val="center"/>
              <w:rPr>
                <w:rFonts w:hint="eastAsia"/>
                <w:sz w:val="24"/>
                <w:szCs w:val="24"/>
              </w:rPr>
            </w:pPr>
          </w:p>
        </w:tc>
        <w:tc>
          <w:tcPr>
            <w:tcW w:w="4023" w:type="pct"/>
          </w:tcPr>
          <w:p w14:paraId="51D65F08">
            <w:pPr>
              <w:pStyle w:val="11"/>
              <w:spacing w:line="360" w:lineRule="auto"/>
              <w:rPr>
                <w:rFonts w:hint="eastAsia"/>
                <w:sz w:val="24"/>
                <w:szCs w:val="24"/>
              </w:rPr>
            </w:pPr>
            <w:r>
              <w:rPr>
                <w:rFonts w:hint="eastAsia"/>
                <w:sz w:val="24"/>
                <w:szCs w:val="24"/>
              </w:rPr>
              <w:t>支持审签、CA签名、患者签名；</w:t>
            </w:r>
          </w:p>
        </w:tc>
      </w:tr>
      <w:tr w14:paraId="45F9F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 w:type="pct"/>
          </w:tcPr>
          <w:p w14:paraId="6D6AEDF1">
            <w:pPr>
              <w:pStyle w:val="11"/>
              <w:spacing w:line="360" w:lineRule="auto"/>
              <w:jc w:val="center"/>
              <w:rPr>
                <w:rFonts w:hint="eastAsia"/>
                <w:sz w:val="24"/>
                <w:szCs w:val="24"/>
              </w:rPr>
            </w:pPr>
            <w:r>
              <w:rPr>
                <w:rFonts w:hint="eastAsia"/>
                <w:sz w:val="24"/>
                <w:szCs w:val="24"/>
              </w:rPr>
              <w:t>49</w:t>
            </w:r>
          </w:p>
        </w:tc>
        <w:tc>
          <w:tcPr>
            <w:tcW w:w="256" w:type="pct"/>
          </w:tcPr>
          <w:p w14:paraId="3A372825">
            <w:pPr>
              <w:pStyle w:val="11"/>
              <w:spacing w:line="360" w:lineRule="auto"/>
              <w:jc w:val="center"/>
              <w:rPr>
                <w:rFonts w:hint="eastAsia"/>
                <w:sz w:val="24"/>
                <w:szCs w:val="24"/>
              </w:rPr>
            </w:pPr>
          </w:p>
        </w:tc>
        <w:tc>
          <w:tcPr>
            <w:tcW w:w="462" w:type="pct"/>
            <w:vMerge w:val="continue"/>
          </w:tcPr>
          <w:p w14:paraId="710BD500">
            <w:pPr>
              <w:pStyle w:val="11"/>
              <w:spacing w:line="360" w:lineRule="auto"/>
              <w:jc w:val="center"/>
              <w:rPr>
                <w:rFonts w:hint="eastAsia"/>
                <w:sz w:val="24"/>
                <w:szCs w:val="24"/>
              </w:rPr>
            </w:pPr>
          </w:p>
        </w:tc>
        <w:tc>
          <w:tcPr>
            <w:tcW w:w="4023" w:type="pct"/>
          </w:tcPr>
          <w:p w14:paraId="6DF75EBA">
            <w:pPr>
              <w:pStyle w:val="11"/>
              <w:spacing w:line="360" w:lineRule="auto"/>
              <w:rPr>
                <w:rFonts w:hint="eastAsia"/>
                <w:sz w:val="24"/>
                <w:szCs w:val="24"/>
              </w:rPr>
            </w:pPr>
            <w:r>
              <w:rPr>
                <w:rFonts w:hint="eastAsia"/>
                <w:sz w:val="24"/>
                <w:szCs w:val="24"/>
              </w:rPr>
              <w:t>评分评估支持所见所得方式展示及打印；</w:t>
            </w:r>
          </w:p>
        </w:tc>
      </w:tr>
      <w:tr w14:paraId="11BA5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 w:type="pct"/>
          </w:tcPr>
          <w:p w14:paraId="22915C21">
            <w:pPr>
              <w:pStyle w:val="11"/>
              <w:spacing w:line="360" w:lineRule="auto"/>
              <w:jc w:val="center"/>
              <w:rPr>
                <w:rFonts w:hint="eastAsia"/>
                <w:sz w:val="24"/>
                <w:szCs w:val="24"/>
              </w:rPr>
            </w:pPr>
            <w:r>
              <w:rPr>
                <w:rFonts w:hint="eastAsia"/>
                <w:sz w:val="24"/>
                <w:szCs w:val="24"/>
              </w:rPr>
              <w:t>50</w:t>
            </w:r>
          </w:p>
        </w:tc>
        <w:tc>
          <w:tcPr>
            <w:tcW w:w="256" w:type="pct"/>
          </w:tcPr>
          <w:p w14:paraId="3D881E94">
            <w:pPr>
              <w:pStyle w:val="11"/>
              <w:spacing w:line="360" w:lineRule="auto"/>
              <w:jc w:val="center"/>
              <w:rPr>
                <w:rFonts w:hint="eastAsia"/>
                <w:sz w:val="24"/>
                <w:szCs w:val="24"/>
              </w:rPr>
            </w:pPr>
          </w:p>
        </w:tc>
        <w:tc>
          <w:tcPr>
            <w:tcW w:w="462" w:type="pct"/>
            <w:vMerge w:val="continue"/>
          </w:tcPr>
          <w:p w14:paraId="2A09DD46">
            <w:pPr>
              <w:pStyle w:val="11"/>
              <w:spacing w:line="360" w:lineRule="auto"/>
              <w:jc w:val="center"/>
              <w:rPr>
                <w:rFonts w:hint="eastAsia"/>
                <w:sz w:val="24"/>
                <w:szCs w:val="24"/>
              </w:rPr>
            </w:pPr>
          </w:p>
        </w:tc>
        <w:tc>
          <w:tcPr>
            <w:tcW w:w="4023" w:type="pct"/>
          </w:tcPr>
          <w:p w14:paraId="577A812C">
            <w:pPr>
              <w:pStyle w:val="11"/>
              <w:spacing w:line="360" w:lineRule="auto"/>
              <w:rPr>
                <w:rFonts w:hint="eastAsia"/>
                <w:sz w:val="24"/>
                <w:szCs w:val="24"/>
              </w:rPr>
            </w:pPr>
            <w:r>
              <w:rPr>
                <w:rFonts w:hint="eastAsia"/>
                <w:sz w:val="24"/>
                <w:szCs w:val="24"/>
              </w:rPr>
              <w:t>支持暂存功能；</w:t>
            </w:r>
          </w:p>
        </w:tc>
      </w:tr>
      <w:tr w14:paraId="123A3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 w:type="pct"/>
          </w:tcPr>
          <w:p w14:paraId="35C4AB6D">
            <w:pPr>
              <w:pStyle w:val="11"/>
              <w:spacing w:line="360" w:lineRule="auto"/>
              <w:jc w:val="center"/>
              <w:rPr>
                <w:rFonts w:hint="eastAsia"/>
                <w:sz w:val="24"/>
                <w:szCs w:val="24"/>
              </w:rPr>
            </w:pPr>
            <w:r>
              <w:rPr>
                <w:rFonts w:hint="eastAsia"/>
                <w:sz w:val="24"/>
                <w:szCs w:val="24"/>
              </w:rPr>
              <w:t>51</w:t>
            </w:r>
          </w:p>
        </w:tc>
        <w:tc>
          <w:tcPr>
            <w:tcW w:w="256" w:type="pct"/>
          </w:tcPr>
          <w:p w14:paraId="54F140CC">
            <w:pPr>
              <w:pStyle w:val="11"/>
              <w:spacing w:line="360" w:lineRule="auto"/>
              <w:jc w:val="center"/>
              <w:rPr>
                <w:rFonts w:hint="eastAsia"/>
                <w:sz w:val="24"/>
                <w:szCs w:val="24"/>
              </w:rPr>
            </w:pPr>
          </w:p>
        </w:tc>
        <w:tc>
          <w:tcPr>
            <w:tcW w:w="462" w:type="pct"/>
            <w:vMerge w:val="restart"/>
          </w:tcPr>
          <w:p w14:paraId="464FC7E6">
            <w:pPr>
              <w:pStyle w:val="11"/>
              <w:spacing w:line="360" w:lineRule="auto"/>
              <w:jc w:val="center"/>
              <w:rPr>
                <w:rFonts w:hint="eastAsia"/>
                <w:sz w:val="24"/>
                <w:szCs w:val="24"/>
              </w:rPr>
            </w:pPr>
            <w:r>
              <w:rPr>
                <w:rFonts w:hint="eastAsia"/>
                <w:sz w:val="24"/>
                <w:szCs w:val="24"/>
              </w:rPr>
              <w:t>交班报告</w:t>
            </w:r>
          </w:p>
        </w:tc>
        <w:tc>
          <w:tcPr>
            <w:tcW w:w="4023" w:type="pct"/>
          </w:tcPr>
          <w:p w14:paraId="7DB48AB5">
            <w:pPr>
              <w:pStyle w:val="11"/>
              <w:spacing w:line="360" w:lineRule="auto"/>
              <w:rPr>
                <w:rFonts w:hint="eastAsia"/>
                <w:sz w:val="24"/>
                <w:szCs w:val="24"/>
              </w:rPr>
            </w:pPr>
            <w:r>
              <w:rPr>
                <w:rFonts w:hint="eastAsia"/>
                <w:sz w:val="24"/>
                <w:szCs w:val="24"/>
              </w:rPr>
              <w:t>支持病区概况如入院人数、出院人数、危重病人等数据的自动提取；</w:t>
            </w:r>
          </w:p>
        </w:tc>
      </w:tr>
      <w:tr w14:paraId="0424C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 w:type="pct"/>
          </w:tcPr>
          <w:p w14:paraId="5F8B4B20">
            <w:pPr>
              <w:pStyle w:val="11"/>
              <w:spacing w:line="360" w:lineRule="auto"/>
              <w:jc w:val="center"/>
              <w:rPr>
                <w:rFonts w:hint="eastAsia"/>
                <w:sz w:val="24"/>
                <w:szCs w:val="24"/>
              </w:rPr>
            </w:pPr>
            <w:r>
              <w:rPr>
                <w:rFonts w:hint="eastAsia"/>
                <w:sz w:val="24"/>
                <w:szCs w:val="24"/>
              </w:rPr>
              <w:t>52</w:t>
            </w:r>
          </w:p>
        </w:tc>
        <w:tc>
          <w:tcPr>
            <w:tcW w:w="256" w:type="pct"/>
          </w:tcPr>
          <w:p w14:paraId="7DCE0175">
            <w:pPr>
              <w:pStyle w:val="11"/>
              <w:spacing w:line="360" w:lineRule="auto"/>
              <w:jc w:val="center"/>
              <w:rPr>
                <w:rFonts w:hint="eastAsia"/>
                <w:sz w:val="24"/>
                <w:szCs w:val="24"/>
              </w:rPr>
            </w:pPr>
          </w:p>
        </w:tc>
        <w:tc>
          <w:tcPr>
            <w:tcW w:w="462" w:type="pct"/>
            <w:vMerge w:val="continue"/>
          </w:tcPr>
          <w:p w14:paraId="631AE8DA">
            <w:pPr>
              <w:pStyle w:val="11"/>
              <w:spacing w:line="360" w:lineRule="auto"/>
              <w:jc w:val="center"/>
              <w:rPr>
                <w:rFonts w:hint="eastAsia"/>
                <w:sz w:val="24"/>
                <w:szCs w:val="24"/>
              </w:rPr>
            </w:pPr>
          </w:p>
        </w:tc>
        <w:tc>
          <w:tcPr>
            <w:tcW w:w="4023" w:type="pct"/>
          </w:tcPr>
          <w:p w14:paraId="1A63DD12">
            <w:pPr>
              <w:pStyle w:val="11"/>
              <w:spacing w:line="360" w:lineRule="auto"/>
              <w:rPr>
                <w:rFonts w:hint="eastAsia"/>
                <w:sz w:val="24"/>
                <w:szCs w:val="24"/>
              </w:rPr>
            </w:pPr>
            <w:r>
              <w:rPr>
                <w:rFonts w:hint="eastAsia"/>
                <w:sz w:val="24"/>
                <w:szCs w:val="24"/>
              </w:rPr>
              <w:t>支持按病区、按科室进行交接班，完成交接班报告的填写。</w:t>
            </w:r>
          </w:p>
        </w:tc>
      </w:tr>
      <w:tr w14:paraId="6B31D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 w:type="pct"/>
          </w:tcPr>
          <w:p w14:paraId="1223B28C">
            <w:pPr>
              <w:pStyle w:val="11"/>
              <w:spacing w:line="360" w:lineRule="auto"/>
              <w:jc w:val="center"/>
              <w:rPr>
                <w:rFonts w:hint="eastAsia"/>
                <w:sz w:val="24"/>
                <w:szCs w:val="24"/>
              </w:rPr>
            </w:pPr>
            <w:r>
              <w:rPr>
                <w:rFonts w:hint="eastAsia"/>
                <w:sz w:val="24"/>
                <w:szCs w:val="24"/>
              </w:rPr>
              <w:t>53</w:t>
            </w:r>
          </w:p>
        </w:tc>
        <w:tc>
          <w:tcPr>
            <w:tcW w:w="256" w:type="pct"/>
          </w:tcPr>
          <w:p w14:paraId="7E85502A">
            <w:pPr>
              <w:pStyle w:val="11"/>
              <w:spacing w:line="360" w:lineRule="auto"/>
              <w:jc w:val="center"/>
              <w:rPr>
                <w:rFonts w:hint="eastAsia"/>
                <w:sz w:val="24"/>
                <w:szCs w:val="24"/>
              </w:rPr>
            </w:pPr>
          </w:p>
        </w:tc>
        <w:tc>
          <w:tcPr>
            <w:tcW w:w="462" w:type="pct"/>
            <w:vMerge w:val="restart"/>
          </w:tcPr>
          <w:p w14:paraId="5B615B02">
            <w:pPr>
              <w:pStyle w:val="11"/>
              <w:spacing w:line="360" w:lineRule="auto"/>
              <w:jc w:val="center"/>
              <w:rPr>
                <w:rFonts w:hint="eastAsia"/>
                <w:sz w:val="24"/>
                <w:szCs w:val="24"/>
              </w:rPr>
            </w:pPr>
            <w:r>
              <w:rPr>
                <w:rFonts w:hint="eastAsia"/>
                <w:sz w:val="24"/>
                <w:szCs w:val="24"/>
              </w:rPr>
              <w:t>临床数据查看</w:t>
            </w:r>
          </w:p>
        </w:tc>
        <w:tc>
          <w:tcPr>
            <w:tcW w:w="4023" w:type="pct"/>
          </w:tcPr>
          <w:p w14:paraId="40ED5064">
            <w:pPr>
              <w:pStyle w:val="11"/>
              <w:spacing w:line="360" w:lineRule="auto"/>
              <w:rPr>
                <w:rFonts w:hint="eastAsia"/>
                <w:sz w:val="24"/>
                <w:szCs w:val="24"/>
              </w:rPr>
            </w:pPr>
            <w:r>
              <w:rPr>
                <w:rFonts w:hint="eastAsia"/>
                <w:sz w:val="24"/>
                <w:szCs w:val="24"/>
              </w:rPr>
              <w:t>支持查询移动临床病人当前输液状态；</w:t>
            </w:r>
          </w:p>
        </w:tc>
      </w:tr>
      <w:tr w14:paraId="2F726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 w:type="pct"/>
          </w:tcPr>
          <w:p w14:paraId="7346BD93">
            <w:pPr>
              <w:pStyle w:val="11"/>
              <w:spacing w:line="360" w:lineRule="auto"/>
              <w:jc w:val="center"/>
              <w:rPr>
                <w:rFonts w:hint="eastAsia"/>
                <w:sz w:val="24"/>
                <w:szCs w:val="24"/>
              </w:rPr>
            </w:pPr>
            <w:r>
              <w:rPr>
                <w:rFonts w:hint="eastAsia"/>
                <w:sz w:val="24"/>
                <w:szCs w:val="24"/>
              </w:rPr>
              <w:t>54</w:t>
            </w:r>
          </w:p>
        </w:tc>
        <w:tc>
          <w:tcPr>
            <w:tcW w:w="256" w:type="pct"/>
          </w:tcPr>
          <w:p w14:paraId="7BE3B818">
            <w:pPr>
              <w:pStyle w:val="11"/>
              <w:spacing w:line="360" w:lineRule="auto"/>
              <w:jc w:val="center"/>
              <w:rPr>
                <w:rFonts w:hint="eastAsia"/>
                <w:sz w:val="24"/>
                <w:szCs w:val="24"/>
              </w:rPr>
            </w:pPr>
          </w:p>
        </w:tc>
        <w:tc>
          <w:tcPr>
            <w:tcW w:w="462" w:type="pct"/>
            <w:vMerge w:val="continue"/>
          </w:tcPr>
          <w:p w14:paraId="6A1A6F1F">
            <w:pPr>
              <w:pStyle w:val="11"/>
              <w:spacing w:line="360" w:lineRule="auto"/>
              <w:jc w:val="center"/>
              <w:rPr>
                <w:rFonts w:hint="eastAsia"/>
                <w:sz w:val="24"/>
                <w:szCs w:val="24"/>
              </w:rPr>
            </w:pPr>
          </w:p>
        </w:tc>
        <w:tc>
          <w:tcPr>
            <w:tcW w:w="4023" w:type="pct"/>
          </w:tcPr>
          <w:p w14:paraId="1325E297">
            <w:pPr>
              <w:pStyle w:val="11"/>
              <w:spacing w:line="360" w:lineRule="auto"/>
              <w:rPr>
                <w:rFonts w:hint="eastAsia"/>
                <w:sz w:val="24"/>
                <w:szCs w:val="24"/>
              </w:rPr>
            </w:pPr>
            <w:r>
              <w:rPr>
                <w:rFonts w:hint="eastAsia"/>
                <w:sz w:val="24"/>
                <w:szCs w:val="24"/>
              </w:rPr>
              <w:t>支持查询病区输液巡视记录；</w:t>
            </w:r>
          </w:p>
        </w:tc>
      </w:tr>
      <w:tr w14:paraId="6A93A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 w:type="pct"/>
          </w:tcPr>
          <w:p w14:paraId="528CB53C">
            <w:pPr>
              <w:pStyle w:val="11"/>
              <w:spacing w:line="360" w:lineRule="auto"/>
              <w:jc w:val="center"/>
              <w:rPr>
                <w:rFonts w:hint="eastAsia"/>
                <w:sz w:val="24"/>
                <w:szCs w:val="24"/>
              </w:rPr>
            </w:pPr>
            <w:r>
              <w:rPr>
                <w:rFonts w:hint="eastAsia"/>
                <w:sz w:val="24"/>
                <w:szCs w:val="24"/>
              </w:rPr>
              <w:t>55</w:t>
            </w:r>
          </w:p>
        </w:tc>
        <w:tc>
          <w:tcPr>
            <w:tcW w:w="256" w:type="pct"/>
          </w:tcPr>
          <w:p w14:paraId="7B1192B7">
            <w:pPr>
              <w:pStyle w:val="11"/>
              <w:spacing w:line="360" w:lineRule="auto"/>
              <w:jc w:val="center"/>
              <w:rPr>
                <w:rFonts w:hint="eastAsia"/>
                <w:sz w:val="24"/>
                <w:szCs w:val="24"/>
              </w:rPr>
            </w:pPr>
          </w:p>
        </w:tc>
        <w:tc>
          <w:tcPr>
            <w:tcW w:w="462" w:type="pct"/>
            <w:vMerge w:val="continue"/>
          </w:tcPr>
          <w:p w14:paraId="6C36611A">
            <w:pPr>
              <w:pStyle w:val="11"/>
              <w:spacing w:line="360" w:lineRule="auto"/>
              <w:jc w:val="center"/>
              <w:rPr>
                <w:rFonts w:hint="eastAsia"/>
                <w:sz w:val="24"/>
                <w:szCs w:val="24"/>
              </w:rPr>
            </w:pPr>
          </w:p>
        </w:tc>
        <w:tc>
          <w:tcPr>
            <w:tcW w:w="4023" w:type="pct"/>
          </w:tcPr>
          <w:p w14:paraId="7D380E90">
            <w:pPr>
              <w:pStyle w:val="11"/>
              <w:spacing w:line="360" w:lineRule="auto"/>
              <w:rPr>
                <w:rFonts w:hint="eastAsia"/>
                <w:sz w:val="24"/>
                <w:szCs w:val="24"/>
              </w:rPr>
            </w:pPr>
            <w:r>
              <w:rPr>
                <w:rFonts w:hint="eastAsia"/>
                <w:sz w:val="24"/>
                <w:szCs w:val="24"/>
              </w:rPr>
              <w:t>支持查询病区护理巡视记录；</w:t>
            </w:r>
          </w:p>
        </w:tc>
      </w:tr>
      <w:tr w14:paraId="40041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 w:type="pct"/>
          </w:tcPr>
          <w:p w14:paraId="3EA25475">
            <w:pPr>
              <w:pStyle w:val="11"/>
              <w:spacing w:line="360" w:lineRule="auto"/>
              <w:jc w:val="center"/>
              <w:rPr>
                <w:rFonts w:hint="eastAsia"/>
                <w:sz w:val="24"/>
                <w:szCs w:val="24"/>
              </w:rPr>
            </w:pPr>
            <w:r>
              <w:rPr>
                <w:rFonts w:hint="eastAsia"/>
                <w:sz w:val="24"/>
                <w:szCs w:val="24"/>
              </w:rPr>
              <w:t>56</w:t>
            </w:r>
          </w:p>
        </w:tc>
        <w:tc>
          <w:tcPr>
            <w:tcW w:w="256" w:type="pct"/>
          </w:tcPr>
          <w:p w14:paraId="748EEC42">
            <w:pPr>
              <w:pStyle w:val="11"/>
              <w:spacing w:line="360" w:lineRule="auto"/>
              <w:jc w:val="center"/>
              <w:rPr>
                <w:rFonts w:hint="eastAsia"/>
                <w:sz w:val="24"/>
                <w:szCs w:val="24"/>
              </w:rPr>
            </w:pPr>
          </w:p>
        </w:tc>
        <w:tc>
          <w:tcPr>
            <w:tcW w:w="462" w:type="pct"/>
            <w:vMerge w:val="continue"/>
          </w:tcPr>
          <w:p w14:paraId="2A0AA56D">
            <w:pPr>
              <w:pStyle w:val="11"/>
              <w:spacing w:line="360" w:lineRule="auto"/>
              <w:jc w:val="center"/>
              <w:rPr>
                <w:rFonts w:hint="eastAsia"/>
                <w:sz w:val="24"/>
                <w:szCs w:val="24"/>
              </w:rPr>
            </w:pPr>
          </w:p>
        </w:tc>
        <w:tc>
          <w:tcPr>
            <w:tcW w:w="4023" w:type="pct"/>
          </w:tcPr>
          <w:p w14:paraId="75790D67">
            <w:pPr>
              <w:pStyle w:val="11"/>
              <w:spacing w:line="360" w:lineRule="auto"/>
              <w:rPr>
                <w:rFonts w:hint="eastAsia"/>
                <w:sz w:val="24"/>
                <w:szCs w:val="24"/>
              </w:rPr>
            </w:pPr>
            <w:r>
              <w:rPr>
                <w:rFonts w:hint="eastAsia"/>
                <w:sz w:val="24"/>
                <w:szCs w:val="24"/>
              </w:rPr>
              <w:t>支持查询当天配液情况。</w:t>
            </w:r>
          </w:p>
        </w:tc>
      </w:tr>
      <w:tr w14:paraId="672B3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 w:type="pct"/>
          </w:tcPr>
          <w:p w14:paraId="7894A494">
            <w:pPr>
              <w:pStyle w:val="11"/>
              <w:spacing w:line="360" w:lineRule="auto"/>
              <w:jc w:val="center"/>
              <w:rPr>
                <w:rFonts w:hint="eastAsia"/>
                <w:sz w:val="24"/>
                <w:szCs w:val="24"/>
              </w:rPr>
            </w:pPr>
            <w:r>
              <w:rPr>
                <w:rFonts w:hint="eastAsia"/>
                <w:sz w:val="24"/>
                <w:szCs w:val="24"/>
              </w:rPr>
              <w:t>57</w:t>
            </w:r>
          </w:p>
        </w:tc>
        <w:tc>
          <w:tcPr>
            <w:tcW w:w="256" w:type="pct"/>
          </w:tcPr>
          <w:p w14:paraId="797ACA48">
            <w:pPr>
              <w:pStyle w:val="11"/>
              <w:spacing w:line="360" w:lineRule="auto"/>
              <w:jc w:val="center"/>
              <w:rPr>
                <w:rFonts w:hint="eastAsia"/>
                <w:sz w:val="24"/>
                <w:szCs w:val="24"/>
              </w:rPr>
            </w:pPr>
          </w:p>
        </w:tc>
        <w:tc>
          <w:tcPr>
            <w:tcW w:w="462" w:type="pct"/>
            <w:vMerge w:val="restart"/>
          </w:tcPr>
          <w:p w14:paraId="76AF2A8F">
            <w:pPr>
              <w:pStyle w:val="11"/>
              <w:spacing w:line="360" w:lineRule="auto"/>
              <w:jc w:val="center"/>
              <w:rPr>
                <w:rFonts w:hint="eastAsia"/>
                <w:sz w:val="24"/>
                <w:szCs w:val="24"/>
              </w:rPr>
            </w:pPr>
            <w:r>
              <w:rPr>
                <w:rFonts w:hint="eastAsia"/>
                <w:sz w:val="24"/>
                <w:szCs w:val="24"/>
              </w:rPr>
              <w:t>护理计划</w:t>
            </w:r>
          </w:p>
        </w:tc>
        <w:tc>
          <w:tcPr>
            <w:tcW w:w="4023" w:type="pct"/>
          </w:tcPr>
          <w:p w14:paraId="39009A46">
            <w:pPr>
              <w:pStyle w:val="11"/>
              <w:spacing w:line="360" w:lineRule="auto"/>
              <w:rPr>
                <w:rFonts w:hint="eastAsia"/>
                <w:sz w:val="24"/>
                <w:szCs w:val="24"/>
              </w:rPr>
            </w:pPr>
            <w:r>
              <w:rPr>
                <w:rFonts w:hint="eastAsia"/>
                <w:sz w:val="24"/>
                <w:szCs w:val="24"/>
              </w:rPr>
              <w:t>支持各专科护理计划知识库，根据所选计划知识库，制定相应的护理处理措施；</w:t>
            </w:r>
          </w:p>
        </w:tc>
      </w:tr>
      <w:tr w14:paraId="4ABB3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 w:type="pct"/>
          </w:tcPr>
          <w:p w14:paraId="0136BE4C">
            <w:pPr>
              <w:pStyle w:val="11"/>
              <w:spacing w:line="360" w:lineRule="auto"/>
              <w:jc w:val="center"/>
              <w:rPr>
                <w:rFonts w:hint="eastAsia"/>
                <w:sz w:val="24"/>
                <w:szCs w:val="24"/>
              </w:rPr>
            </w:pPr>
            <w:r>
              <w:rPr>
                <w:rFonts w:hint="eastAsia"/>
                <w:sz w:val="24"/>
                <w:szCs w:val="24"/>
              </w:rPr>
              <w:t>58</w:t>
            </w:r>
          </w:p>
        </w:tc>
        <w:tc>
          <w:tcPr>
            <w:tcW w:w="256" w:type="pct"/>
          </w:tcPr>
          <w:p w14:paraId="2C2F130C">
            <w:pPr>
              <w:pStyle w:val="11"/>
              <w:spacing w:line="360" w:lineRule="auto"/>
              <w:jc w:val="center"/>
              <w:rPr>
                <w:rFonts w:hint="eastAsia"/>
                <w:sz w:val="24"/>
                <w:szCs w:val="24"/>
              </w:rPr>
            </w:pPr>
          </w:p>
        </w:tc>
        <w:tc>
          <w:tcPr>
            <w:tcW w:w="462" w:type="pct"/>
            <w:vMerge w:val="continue"/>
          </w:tcPr>
          <w:p w14:paraId="24FA77FF">
            <w:pPr>
              <w:pStyle w:val="11"/>
              <w:spacing w:line="360" w:lineRule="auto"/>
              <w:jc w:val="center"/>
              <w:rPr>
                <w:rFonts w:hint="eastAsia"/>
                <w:sz w:val="24"/>
                <w:szCs w:val="24"/>
              </w:rPr>
            </w:pPr>
          </w:p>
        </w:tc>
        <w:tc>
          <w:tcPr>
            <w:tcW w:w="4023" w:type="pct"/>
          </w:tcPr>
          <w:p w14:paraId="37DA3F4D">
            <w:pPr>
              <w:pStyle w:val="11"/>
              <w:spacing w:line="360" w:lineRule="auto"/>
              <w:rPr>
                <w:rFonts w:hint="eastAsia"/>
                <w:sz w:val="24"/>
                <w:szCs w:val="24"/>
              </w:rPr>
            </w:pPr>
            <w:r>
              <w:rPr>
                <w:rFonts w:hint="eastAsia"/>
                <w:sz w:val="24"/>
                <w:szCs w:val="24"/>
              </w:rPr>
              <w:t>支持符合客户实际的护理计划新增、修改、维护；</w:t>
            </w:r>
          </w:p>
        </w:tc>
      </w:tr>
      <w:tr w14:paraId="47DD2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 w:type="pct"/>
          </w:tcPr>
          <w:p w14:paraId="0C46AA65">
            <w:pPr>
              <w:pStyle w:val="11"/>
              <w:spacing w:line="360" w:lineRule="auto"/>
              <w:jc w:val="center"/>
              <w:rPr>
                <w:rFonts w:hint="eastAsia"/>
                <w:sz w:val="24"/>
                <w:szCs w:val="24"/>
              </w:rPr>
            </w:pPr>
            <w:r>
              <w:rPr>
                <w:rFonts w:hint="eastAsia"/>
                <w:sz w:val="24"/>
                <w:szCs w:val="24"/>
              </w:rPr>
              <w:t>59</w:t>
            </w:r>
          </w:p>
        </w:tc>
        <w:tc>
          <w:tcPr>
            <w:tcW w:w="256" w:type="pct"/>
          </w:tcPr>
          <w:p w14:paraId="0E03AC1A">
            <w:pPr>
              <w:pStyle w:val="11"/>
              <w:spacing w:line="360" w:lineRule="auto"/>
              <w:jc w:val="center"/>
              <w:rPr>
                <w:rFonts w:hint="eastAsia"/>
                <w:sz w:val="24"/>
                <w:szCs w:val="24"/>
              </w:rPr>
            </w:pPr>
          </w:p>
        </w:tc>
        <w:tc>
          <w:tcPr>
            <w:tcW w:w="462" w:type="pct"/>
            <w:vMerge w:val="continue"/>
          </w:tcPr>
          <w:p w14:paraId="3DEE18E5">
            <w:pPr>
              <w:pStyle w:val="11"/>
              <w:spacing w:line="360" w:lineRule="auto"/>
              <w:jc w:val="center"/>
              <w:rPr>
                <w:rFonts w:hint="eastAsia"/>
                <w:sz w:val="24"/>
                <w:szCs w:val="24"/>
              </w:rPr>
            </w:pPr>
          </w:p>
        </w:tc>
        <w:tc>
          <w:tcPr>
            <w:tcW w:w="4023" w:type="pct"/>
          </w:tcPr>
          <w:p w14:paraId="723DCC8D">
            <w:pPr>
              <w:pStyle w:val="11"/>
              <w:spacing w:line="360" w:lineRule="auto"/>
              <w:rPr>
                <w:rFonts w:hint="eastAsia"/>
                <w:sz w:val="24"/>
                <w:szCs w:val="24"/>
              </w:rPr>
            </w:pPr>
            <w:r>
              <w:rPr>
                <w:rFonts w:hint="eastAsia"/>
                <w:sz w:val="24"/>
                <w:szCs w:val="24"/>
              </w:rPr>
              <w:t>支持对护理计划进行评价；</w:t>
            </w:r>
          </w:p>
        </w:tc>
      </w:tr>
      <w:tr w14:paraId="406D3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 w:type="pct"/>
          </w:tcPr>
          <w:p w14:paraId="097C9F1C">
            <w:pPr>
              <w:pStyle w:val="11"/>
              <w:spacing w:line="360" w:lineRule="auto"/>
              <w:jc w:val="center"/>
              <w:rPr>
                <w:rFonts w:hint="eastAsia"/>
                <w:sz w:val="24"/>
                <w:szCs w:val="24"/>
              </w:rPr>
            </w:pPr>
            <w:r>
              <w:rPr>
                <w:rFonts w:hint="eastAsia"/>
                <w:sz w:val="24"/>
                <w:szCs w:val="24"/>
              </w:rPr>
              <w:t>60</w:t>
            </w:r>
          </w:p>
        </w:tc>
        <w:tc>
          <w:tcPr>
            <w:tcW w:w="256" w:type="pct"/>
          </w:tcPr>
          <w:p w14:paraId="0CF0ADAC">
            <w:pPr>
              <w:pStyle w:val="11"/>
              <w:spacing w:line="360" w:lineRule="auto"/>
              <w:jc w:val="center"/>
              <w:rPr>
                <w:rFonts w:hint="eastAsia"/>
                <w:sz w:val="24"/>
                <w:szCs w:val="24"/>
              </w:rPr>
            </w:pPr>
          </w:p>
        </w:tc>
        <w:tc>
          <w:tcPr>
            <w:tcW w:w="462" w:type="pct"/>
            <w:vMerge w:val="continue"/>
          </w:tcPr>
          <w:p w14:paraId="08435151">
            <w:pPr>
              <w:pStyle w:val="11"/>
              <w:spacing w:line="360" w:lineRule="auto"/>
              <w:jc w:val="center"/>
              <w:rPr>
                <w:rFonts w:hint="eastAsia"/>
                <w:sz w:val="24"/>
                <w:szCs w:val="24"/>
              </w:rPr>
            </w:pPr>
          </w:p>
        </w:tc>
        <w:tc>
          <w:tcPr>
            <w:tcW w:w="4023" w:type="pct"/>
          </w:tcPr>
          <w:p w14:paraId="19933BE3">
            <w:pPr>
              <w:pStyle w:val="11"/>
              <w:spacing w:line="360" w:lineRule="auto"/>
              <w:rPr>
                <w:rFonts w:hint="eastAsia"/>
                <w:sz w:val="24"/>
                <w:szCs w:val="24"/>
              </w:rPr>
            </w:pPr>
            <w:r>
              <w:rPr>
                <w:rFonts w:hint="eastAsia"/>
                <w:sz w:val="24"/>
                <w:szCs w:val="24"/>
              </w:rPr>
              <w:t>支持填写护录记录时根据护理计划提醒规则，提醒护士填写护理计划。</w:t>
            </w:r>
          </w:p>
        </w:tc>
      </w:tr>
      <w:tr w14:paraId="3BB70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 w:type="pct"/>
          </w:tcPr>
          <w:p w14:paraId="388125F2">
            <w:pPr>
              <w:pStyle w:val="11"/>
              <w:spacing w:line="360" w:lineRule="auto"/>
              <w:jc w:val="center"/>
              <w:rPr>
                <w:rFonts w:hint="eastAsia"/>
                <w:sz w:val="24"/>
                <w:szCs w:val="24"/>
              </w:rPr>
            </w:pPr>
            <w:r>
              <w:rPr>
                <w:rFonts w:hint="eastAsia"/>
                <w:sz w:val="24"/>
                <w:szCs w:val="24"/>
              </w:rPr>
              <w:t>61</w:t>
            </w:r>
          </w:p>
        </w:tc>
        <w:tc>
          <w:tcPr>
            <w:tcW w:w="256" w:type="pct"/>
          </w:tcPr>
          <w:p w14:paraId="4D99816A">
            <w:pPr>
              <w:pStyle w:val="11"/>
              <w:spacing w:line="360" w:lineRule="auto"/>
              <w:jc w:val="center"/>
              <w:rPr>
                <w:rFonts w:hint="eastAsia"/>
                <w:sz w:val="24"/>
                <w:szCs w:val="24"/>
              </w:rPr>
            </w:pPr>
          </w:p>
        </w:tc>
        <w:tc>
          <w:tcPr>
            <w:tcW w:w="462" w:type="pct"/>
          </w:tcPr>
          <w:p w14:paraId="1506AACF">
            <w:pPr>
              <w:pStyle w:val="11"/>
              <w:spacing w:line="360" w:lineRule="auto"/>
              <w:jc w:val="center"/>
              <w:rPr>
                <w:rFonts w:hint="eastAsia"/>
                <w:sz w:val="24"/>
                <w:szCs w:val="24"/>
              </w:rPr>
            </w:pPr>
            <w:r>
              <w:rPr>
                <w:rFonts w:hint="eastAsia"/>
                <w:sz w:val="24"/>
                <w:szCs w:val="24"/>
              </w:rPr>
              <w:t>健康宣教</w:t>
            </w:r>
          </w:p>
        </w:tc>
        <w:tc>
          <w:tcPr>
            <w:tcW w:w="4023" w:type="pct"/>
          </w:tcPr>
          <w:p w14:paraId="3BD37EDF">
            <w:pPr>
              <w:pStyle w:val="11"/>
              <w:spacing w:line="360" w:lineRule="auto"/>
              <w:rPr>
                <w:rFonts w:hint="eastAsia"/>
                <w:sz w:val="24"/>
                <w:szCs w:val="24"/>
              </w:rPr>
            </w:pPr>
            <w:r>
              <w:rPr>
                <w:rFonts w:hint="eastAsia"/>
                <w:sz w:val="24"/>
                <w:szCs w:val="24"/>
              </w:rPr>
              <w:t>针对患者的健康宣教执行情况进行记录。</w:t>
            </w:r>
          </w:p>
        </w:tc>
      </w:tr>
      <w:tr w14:paraId="5B919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 w:type="pct"/>
          </w:tcPr>
          <w:p w14:paraId="77EBC194">
            <w:pPr>
              <w:pStyle w:val="11"/>
              <w:spacing w:line="360" w:lineRule="auto"/>
              <w:jc w:val="center"/>
              <w:rPr>
                <w:rFonts w:hint="eastAsia"/>
                <w:sz w:val="24"/>
                <w:szCs w:val="24"/>
              </w:rPr>
            </w:pPr>
            <w:r>
              <w:rPr>
                <w:rFonts w:hint="eastAsia"/>
                <w:sz w:val="24"/>
                <w:szCs w:val="24"/>
              </w:rPr>
              <w:t>62</w:t>
            </w:r>
          </w:p>
        </w:tc>
        <w:tc>
          <w:tcPr>
            <w:tcW w:w="256" w:type="pct"/>
          </w:tcPr>
          <w:p w14:paraId="2A6E5456">
            <w:pPr>
              <w:pStyle w:val="11"/>
              <w:spacing w:line="360" w:lineRule="auto"/>
              <w:jc w:val="center"/>
              <w:rPr>
                <w:rFonts w:hint="eastAsia"/>
                <w:sz w:val="24"/>
                <w:szCs w:val="24"/>
              </w:rPr>
            </w:pPr>
          </w:p>
        </w:tc>
        <w:tc>
          <w:tcPr>
            <w:tcW w:w="462" w:type="pct"/>
            <w:vMerge w:val="restart"/>
          </w:tcPr>
          <w:p w14:paraId="65A62D99">
            <w:pPr>
              <w:pStyle w:val="11"/>
              <w:spacing w:line="360" w:lineRule="auto"/>
              <w:jc w:val="center"/>
              <w:rPr>
                <w:rFonts w:hint="eastAsia"/>
                <w:sz w:val="24"/>
                <w:szCs w:val="24"/>
              </w:rPr>
            </w:pPr>
            <w:r>
              <w:rPr>
                <w:rFonts w:hint="eastAsia"/>
                <w:sz w:val="24"/>
                <w:szCs w:val="24"/>
              </w:rPr>
              <w:t>检验采集</w:t>
            </w:r>
          </w:p>
        </w:tc>
        <w:tc>
          <w:tcPr>
            <w:tcW w:w="4023" w:type="pct"/>
          </w:tcPr>
          <w:p w14:paraId="333035ED">
            <w:pPr>
              <w:pStyle w:val="11"/>
              <w:spacing w:line="360" w:lineRule="auto"/>
              <w:rPr>
                <w:rFonts w:hint="eastAsia"/>
                <w:sz w:val="24"/>
                <w:szCs w:val="24"/>
              </w:rPr>
            </w:pPr>
            <w:r>
              <w:rPr>
                <w:rFonts w:hint="eastAsia"/>
                <w:sz w:val="24"/>
                <w:szCs w:val="24"/>
              </w:rPr>
              <w:t>支持条码绑定、打印；</w:t>
            </w:r>
          </w:p>
        </w:tc>
      </w:tr>
      <w:tr w14:paraId="1886A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 w:type="pct"/>
          </w:tcPr>
          <w:p w14:paraId="7C12744A">
            <w:pPr>
              <w:pStyle w:val="11"/>
              <w:spacing w:line="360" w:lineRule="auto"/>
              <w:jc w:val="center"/>
              <w:rPr>
                <w:rFonts w:hint="eastAsia"/>
                <w:sz w:val="24"/>
                <w:szCs w:val="24"/>
              </w:rPr>
            </w:pPr>
            <w:r>
              <w:rPr>
                <w:rFonts w:hint="eastAsia"/>
                <w:sz w:val="24"/>
                <w:szCs w:val="24"/>
              </w:rPr>
              <w:t>63</w:t>
            </w:r>
          </w:p>
        </w:tc>
        <w:tc>
          <w:tcPr>
            <w:tcW w:w="256" w:type="pct"/>
          </w:tcPr>
          <w:p w14:paraId="6B0427E7">
            <w:pPr>
              <w:pStyle w:val="11"/>
              <w:spacing w:line="360" w:lineRule="auto"/>
              <w:jc w:val="center"/>
              <w:rPr>
                <w:rFonts w:hint="eastAsia"/>
                <w:sz w:val="24"/>
                <w:szCs w:val="24"/>
              </w:rPr>
            </w:pPr>
          </w:p>
        </w:tc>
        <w:tc>
          <w:tcPr>
            <w:tcW w:w="462" w:type="pct"/>
            <w:vMerge w:val="continue"/>
          </w:tcPr>
          <w:p w14:paraId="197BADD9">
            <w:pPr>
              <w:pStyle w:val="11"/>
              <w:spacing w:line="360" w:lineRule="auto"/>
              <w:rPr>
                <w:rFonts w:hint="eastAsia"/>
                <w:sz w:val="24"/>
                <w:szCs w:val="24"/>
              </w:rPr>
            </w:pPr>
          </w:p>
        </w:tc>
        <w:tc>
          <w:tcPr>
            <w:tcW w:w="4023" w:type="pct"/>
          </w:tcPr>
          <w:p w14:paraId="38C92B15">
            <w:pPr>
              <w:pStyle w:val="11"/>
              <w:spacing w:line="360" w:lineRule="auto"/>
              <w:rPr>
                <w:rFonts w:hint="eastAsia"/>
                <w:sz w:val="24"/>
                <w:szCs w:val="24"/>
              </w:rPr>
            </w:pPr>
            <w:r>
              <w:rPr>
                <w:rFonts w:hint="eastAsia"/>
                <w:sz w:val="24"/>
                <w:szCs w:val="24"/>
              </w:rPr>
              <w:t>支持标本采集；</w:t>
            </w:r>
          </w:p>
        </w:tc>
      </w:tr>
      <w:tr w14:paraId="6D30A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 w:type="pct"/>
          </w:tcPr>
          <w:p w14:paraId="0109C14B">
            <w:pPr>
              <w:pStyle w:val="11"/>
              <w:spacing w:line="360" w:lineRule="auto"/>
              <w:jc w:val="center"/>
              <w:rPr>
                <w:rFonts w:hint="eastAsia"/>
                <w:sz w:val="24"/>
                <w:szCs w:val="24"/>
              </w:rPr>
            </w:pPr>
            <w:r>
              <w:rPr>
                <w:rFonts w:hint="eastAsia"/>
                <w:sz w:val="24"/>
                <w:szCs w:val="24"/>
              </w:rPr>
              <w:t>64</w:t>
            </w:r>
          </w:p>
        </w:tc>
        <w:tc>
          <w:tcPr>
            <w:tcW w:w="256" w:type="pct"/>
          </w:tcPr>
          <w:p w14:paraId="6E490FE4">
            <w:pPr>
              <w:pStyle w:val="11"/>
              <w:spacing w:line="360" w:lineRule="auto"/>
              <w:jc w:val="center"/>
              <w:rPr>
                <w:rFonts w:hint="eastAsia"/>
                <w:sz w:val="24"/>
                <w:szCs w:val="24"/>
              </w:rPr>
            </w:pPr>
          </w:p>
        </w:tc>
        <w:tc>
          <w:tcPr>
            <w:tcW w:w="462" w:type="pct"/>
            <w:vMerge w:val="continue"/>
          </w:tcPr>
          <w:p w14:paraId="03F3A022">
            <w:pPr>
              <w:pStyle w:val="11"/>
              <w:spacing w:line="360" w:lineRule="auto"/>
              <w:rPr>
                <w:rFonts w:hint="eastAsia"/>
                <w:sz w:val="24"/>
                <w:szCs w:val="24"/>
              </w:rPr>
            </w:pPr>
          </w:p>
        </w:tc>
        <w:tc>
          <w:tcPr>
            <w:tcW w:w="4023" w:type="pct"/>
          </w:tcPr>
          <w:p w14:paraId="3452F292">
            <w:pPr>
              <w:pStyle w:val="11"/>
              <w:spacing w:line="360" w:lineRule="auto"/>
              <w:rPr>
                <w:rFonts w:hint="eastAsia"/>
                <w:sz w:val="24"/>
                <w:szCs w:val="24"/>
              </w:rPr>
            </w:pPr>
            <w:r>
              <w:rPr>
                <w:rFonts w:hint="eastAsia"/>
                <w:sz w:val="24"/>
                <w:szCs w:val="24"/>
              </w:rPr>
              <w:t>支持标本送检；</w:t>
            </w:r>
          </w:p>
        </w:tc>
      </w:tr>
      <w:tr w14:paraId="538A9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 w:type="pct"/>
          </w:tcPr>
          <w:p w14:paraId="7EF8747C">
            <w:pPr>
              <w:pStyle w:val="11"/>
              <w:spacing w:line="360" w:lineRule="auto"/>
              <w:jc w:val="center"/>
              <w:rPr>
                <w:rFonts w:hint="eastAsia"/>
                <w:sz w:val="24"/>
                <w:szCs w:val="24"/>
              </w:rPr>
            </w:pPr>
            <w:r>
              <w:rPr>
                <w:rFonts w:hint="eastAsia"/>
                <w:sz w:val="24"/>
                <w:szCs w:val="24"/>
              </w:rPr>
              <w:t>65</w:t>
            </w:r>
          </w:p>
        </w:tc>
        <w:tc>
          <w:tcPr>
            <w:tcW w:w="256" w:type="pct"/>
          </w:tcPr>
          <w:p w14:paraId="1C99A911">
            <w:pPr>
              <w:pStyle w:val="11"/>
              <w:spacing w:line="360" w:lineRule="auto"/>
              <w:jc w:val="center"/>
              <w:rPr>
                <w:rFonts w:hint="eastAsia"/>
                <w:sz w:val="24"/>
                <w:szCs w:val="24"/>
              </w:rPr>
            </w:pPr>
          </w:p>
        </w:tc>
        <w:tc>
          <w:tcPr>
            <w:tcW w:w="462" w:type="pct"/>
            <w:vMerge w:val="continue"/>
          </w:tcPr>
          <w:p w14:paraId="4DF7B9EE">
            <w:pPr>
              <w:pStyle w:val="11"/>
              <w:spacing w:line="360" w:lineRule="auto"/>
              <w:rPr>
                <w:rFonts w:hint="eastAsia"/>
                <w:sz w:val="24"/>
                <w:szCs w:val="24"/>
              </w:rPr>
            </w:pPr>
          </w:p>
        </w:tc>
        <w:tc>
          <w:tcPr>
            <w:tcW w:w="4023" w:type="pct"/>
          </w:tcPr>
          <w:p w14:paraId="33A4C79D">
            <w:pPr>
              <w:pStyle w:val="11"/>
              <w:spacing w:line="360" w:lineRule="auto"/>
              <w:rPr>
                <w:rFonts w:hint="eastAsia"/>
                <w:sz w:val="24"/>
                <w:szCs w:val="24"/>
              </w:rPr>
            </w:pPr>
            <w:r>
              <w:rPr>
                <w:rFonts w:hint="eastAsia"/>
                <w:sz w:val="24"/>
                <w:szCs w:val="24"/>
              </w:rPr>
              <w:t>支持使用预制条码；</w:t>
            </w:r>
          </w:p>
        </w:tc>
      </w:tr>
      <w:tr w14:paraId="02F40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 w:type="pct"/>
          </w:tcPr>
          <w:p w14:paraId="06F3E474">
            <w:pPr>
              <w:pStyle w:val="11"/>
              <w:spacing w:line="360" w:lineRule="auto"/>
              <w:jc w:val="center"/>
              <w:rPr>
                <w:rFonts w:hint="eastAsia"/>
                <w:sz w:val="24"/>
                <w:szCs w:val="24"/>
              </w:rPr>
            </w:pPr>
            <w:r>
              <w:rPr>
                <w:rFonts w:hint="eastAsia"/>
                <w:sz w:val="24"/>
                <w:szCs w:val="24"/>
              </w:rPr>
              <w:t>66</w:t>
            </w:r>
          </w:p>
        </w:tc>
        <w:tc>
          <w:tcPr>
            <w:tcW w:w="256" w:type="pct"/>
          </w:tcPr>
          <w:p w14:paraId="558FD8D5">
            <w:pPr>
              <w:pStyle w:val="11"/>
              <w:spacing w:line="360" w:lineRule="auto"/>
              <w:jc w:val="center"/>
              <w:rPr>
                <w:rFonts w:hint="eastAsia"/>
                <w:sz w:val="24"/>
                <w:szCs w:val="24"/>
              </w:rPr>
            </w:pPr>
          </w:p>
        </w:tc>
        <w:tc>
          <w:tcPr>
            <w:tcW w:w="462" w:type="pct"/>
            <w:vMerge w:val="continue"/>
          </w:tcPr>
          <w:p w14:paraId="0A7E410B">
            <w:pPr>
              <w:pStyle w:val="11"/>
              <w:spacing w:line="360" w:lineRule="auto"/>
              <w:rPr>
                <w:rFonts w:hint="eastAsia"/>
                <w:sz w:val="24"/>
                <w:szCs w:val="24"/>
              </w:rPr>
            </w:pPr>
          </w:p>
        </w:tc>
        <w:tc>
          <w:tcPr>
            <w:tcW w:w="4023" w:type="pct"/>
          </w:tcPr>
          <w:p w14:paraId="2891F86C">
            <w:pPr>
              <w:pStyle w:val="11"/>
              <w:spacing w:line="360" w:lineRule="auto"/>
              <w:rPr>
                <w:rFonts w:hint="eastAsia"/>
                <w:sz w:val="24"/>
                <w:szCs w:val="24"/>
              </w:rPr>
            </w:pPr>
            <w:r>
              <w:rPr>
                <w:rFonts w:hint="eastAsia"/>
                <w:sz w:val="24"/>
                <w:szCs w:val="24"/>
              </w:rPr>
              <w:t>支持查看当前病区标本拒收情况。</w:t>
            </w:r>
          </w:p>
        </w:tc>
      </w:tr>
      <w:tr w14:paraId="71BFE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 w:type="pct"/>
          </w:tcPr>
          <w:p w14:paraId="67D42808">
            <w:pPr>
              <w:pStyle w:val="11"/>
              <w:spacing w:line="360" w:lineRule="auto"/>
              <w:jc w:val="center"/>
              <w:rPr>
                <w:rFonts w:hint="eastAsia"/>
                <w:sz w:val="24"/>
                <w:szCs w:val="24"/>
              </w:rPr>
            </w:pPr>
            <w:r>
              <w:rPr>
                <w:rFonts w:hint="eastAsia"/>
                <w:sz w:val="24"/>
                <w:szCs w:val="24"/>
              </w:rPr>
              <w:t>67</w:t>
            </w:r>
          </w:p>
        </w:tc>
        <w:tc>
          <w:tcPr>
            <w:tcW w:w="256" w:type="pct"/>
          </w:tcPr>
          <w:p w14:paraId="5110B93D">
            <w:pPr>
              <w:pStyle w:val="11"/>
              <w:spacing w:line="360" w:lineRule="auto"/>
              <w:jc w:val="center"/>
              <w:rPr>
                <w:rFonts w:hint="eastAsia"/>
                <w:sz w:val="24"/>
                <w:szCs w:val="24"/>
              </w:rPr>
            </w:pPr>
          </w:p>
        </w:tc>
        <w:tc>
          <w:tcPr>
            <w:tcW w:w="462" w:type="pct"/>
            <w:vMerge w:val="continue"/>
          </w:tcPr>
          <w:p w14:paraId="099F2D15">
            <w:pPr>
              <w:pStyle w:val="11"/>
              <w:spacing w:line="360" w:lineRule="auto"/>
              <w:rPr>
                <w:rFonts w:hint="eastAsia"/>
                <w:sz w:val="24"/>
                <w:szCs w:val="24"/>
              </w:rPr>
            </w:pPr>
          </w:p>
        </w:tc>
        <w:tc>
          <w:tcPr>
            <w:tcW w:w="4023" w:type="pct"/>
          </w:tcPr>
          <w:p w14:paraId="3A9142E4">
            <w:pPr>
              <w:pStyle w:val="11"/>
              <w:spacing w:line="360" w:lineRule="auto"/>
              <w:rPr>
                <w:rFonts w:hint="eastAsia"/>
                <w:sz w:val="24"/>
                <w:szCs w:val="24"/>
              </w:rPr>
            </w:pPr>
            <w:r>
              <w:rPr>
                <w:rFonts w:hint="eastAsia"/>
                <w:sz w:val="24"/>
                <w:szCs w:val="24"/>
              </w:rPr>
              <w:t>针对患者的健康宣教执行情况进行记录。</w:t>
            </w:r>
          </w:p>
        </w:tc>
      </w:tr>
      <w:tr w14:paraId="1E324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 w:type="pct"/>
          </w:tcPr>
          <w:p w14:paraId="6A947A94">
            <w:pPr>
              <w:pStyle w:val="11"/>
              <w:spacing w:line="360" w:lineRule="auto"/>
              <w:jc w:val="center"/>
              <w:rPr>
                <w:rFonts w:hint="eastAsia"/>
                <w:sz w:val="24"/>
                <w:szCs w:val="24"/>
              </w:rPr>
            </w:pPr>
            <w:r>
              <w:rPr>
                <w:rFonts w:hint="eastAsia"/>
                <w:sz w:val="24"/>
                <w:szCs w:val="24"/>
              </w:rPr>
              <w:t>68</w:t>
            </w:r>
          </w:p>
        </w:tc>
        <w:tc>
          <w:tcPr>
            <w:tcW w:w="256" w:type="pct"/>
          </w:tcPr>
          <w:p w14:paraId="5D2F7B9F">
            <w:pPr>
              <w:pStyle w:val="11"/>
              <w:spacing w:line="360" w:lineRule="auto"/>
              <w:jc w:val="center"/>
              <w:rPr>
                <w:rFonts w:hint="eastAsia"/>
                <w:sz w:val="24"/>
                <w:szCs w:val="24"/>
              </w:rPr>
            </w:pPr>
          </w:p>
        </w:tc>
        <w:tc>
          <w:tcPr>
            <w:tcW w:w="462" w:type="pct"/>
            <w:vMerge w:val="restart"/>
          </w:tcPr>
          <w:p w14:paraId="01A66645">
            <w:pPr>
              <w:pStyle w:val="11"/>
              <w:spacing w:line="360" w:lineRule="auto"/>
              <w:rPr>
                <w:rFonts w:hint="eastAsia"/>
                <w:sz w:val="24"/>
                <w:szCs w:val="24"/>
              </w:rPr>
            </w:pPr>
            <w:r>
              <w:rPr>
                <w:rFonts w:hint="eastAsia"/>
                <w:sz w:val="24"/>
                <w:szCs w:val="24"/>
              </w:rPr>
              <w:t>护理会诊</w:t>
            </w:r>
          </w:p>
        </w:tc>
        <w:tc>
          <w:tcPr>
            <w:tcW w:w="4023" w:type="pct"/>
          </w:tcPr>
          <w:p w14:paraId="67AE20EF">
            <w:pPr>
              <w:pStyle w:val="11"/>
              <w:spacing w:line="360" w:lineRule="auto"/>
              <w:rPr>
                <w:rFonts w:hint="eastAsia"/>
                <w:sz w:val="24"/>
                <w:szCs w:val="24"/>
              </w:rPr>
            </w:pPr>
            <w:r>
              <w:rPr>
                <w:rFonts w:hint="eastAsia"/>
                <w:sz w:val="24"/>
                <w:szCs w:val="24"/>
              </w:rPr>
              <w:t>支持多病区协同会诊，针对会诊流程和所需要会诊的患者，填写会诊文书</w:t>
            </w:r>
          </w:p>
        </w:tc>
      </w:tr>
      <w:tr w14:paraId="13302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 w:type="pct"/>
          </w:tcPr>
          <w:p w14:paraId="0B27D03B">
            <w:pPr>
              <w:pStyle w:val="11"/>
              <w:spacing w:line="360" w:lineRule="auto"/>
              <w:jc w:val="center"/>
              <w:rPr>
                <w:rFonts w:hint="eastAsia"/>
                <w:sz w:val="24"/>
                <w:szCs w:val="24"/>
              </w:rPr>
            </w:pPr>
            <w:r>
              <w:rPr>
                <w:rFonts w:hint="eastAsia"/>
                <w:sz w:val="24"/>
                <w:szCs w:val="24"/>
              </w:rPr>
              <w:t>69</w:t>
            </w:r>
          </w:p>
        </w:tc>
        <w:tc>
          <w:tcPr>
            <w:tcW w:w="256" w:type="pct"/>
          </w:tcPr>
          <w:p w14:paraId="116C313E">
            <w:pPr>
              <w:pStyle w:val="11"/>
              <w:spacing w:line="360" w:lineRule="auto"/>
              <w:jc w:val="center"/>
              <w:rPr>
                <w:rFonts w:hint="eastAsia"/>
                <w:sz w:val="24"/>
                <w:szCs w:val="24"/>
              </w:rPr>
            </w:pPr>
          </w:p>
        </w:tc>
        <w:tc>
          <w:tcPr>
            <w:tcW w:w="462" w:type="pct"/>
            <w:vMerge w:val="continue"/>
          </w:tcPr>
          <w:p w14:paraId="7EA9C7C6">
            <w:pPr>
              <w:pStyle w:val="11"/>
              <w:spacing w:line="360" w:lineRule="auto"/>
              <w:rPr>
                <w:rFonts w:hint="eastAsia"/>
                <w:sz w:val="24"/>
                <w:szCs w:val="24"/>
              </w:rPr>
            </w:pPr>
          </w:p>
        </w:tc>
        <w:tc>
          <w:tcPr>
            <w:tcW w:w="4023" w:type="pct"/>
          </w:tcPr>
          <w:p w14:paraId="5261F63B">
            <w:pPr>
              <w:pStyle w:val="11"/>
              <w:spacing w:line="360" w:lineRule="auto"/>
              <w:rPr>
                <w:rFonts w:hint="eastAsia"/>
                <w:sz w:val="24"/>
                <w:szCs w:val="24"/>
              </w:rPr>
            </w:pPr>
            <w:r>
              <w:rPr>
                <w:rFonts w:hint="eastAsia"/>
                <w:sz w:val="24"/>
                <w:szCs w:val="24"/>
              </w:rPr>
              <w:t>支持会诊申请、反馈情况的记录</w:t>
            </w:r>
          </w:p>
        </w:tc>
      </w:tr>
      <w:tr w14:paraId="50470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 w:type="pct"/>
          </w:tcPr>
          <w:p w14:paraId="394799C1">
            <w:pPr>
              <w:pStyle w:val="11"/>
              <w:spacing w:line="360" w:lineRule="auto"/>
              <w:jc w:val="center"/>
              <w:rPr>
                <w:rFonts w:hint="eastAsia"/>
                <w:sz w:val="24"/>
                <w:szCs w:val="24"/>
              </w:rPr>
            </w:pPr>
            <w:r>
              <w:rPr>
                <w:rFonts w:hint="eastAsia"/>
                <w:sz w:val="24"/>
                <w:szCs w:val="24"/>
              </w:rPr>
              <w:t>70</w:t>
            </w:r>
          </w:p>
        </w:tc>
        <w:tc>
          <w:tcPr>
            <w:tcW w:w="256" w:type="pct"/>
          </w:tcPr>
          <w:p w14:paraId="0AE246BA">
            <w:pPr>
              <w:pStyle w:val="11"/>
              <w:spacing w:line="360" w:lineRule="auto"/>
              <w:jc w:val="center"/>
              <w:rPr>
                <w:rFonts w:hint="eastAsia"/>
                <w:sz w:val="24"/>
                <w:szCs w:val="24"/>
              </w:rPr>
            </w:pPr>
          </w:p>
        </w:tc>
        <w:tc>
          <w:tcPr>
            <w:tcW w:w="462" w:type="pct"/>
            <w:vMerge w:val="restart"/>
          </w:tcPr>
          <w:p w14:paraId="25BFF73B">
            <w:pPr>
              <w:pStyle w:val="11"/>
              <w:spacing w:line="360" w:lineRule="auto"/>
              <w:rPr>
                <w:rFonts w:hint="eastAsia"/>
                <w:sz w:val="24"/>
                <w:szCs w:val="24"/>
              </w:rPr>
            </w:pPr>
            <w:r>
              <w:rPr>
                <w:rFonts w:hint="eastAsia"/>
                <w:sz w:val="24"/>
                <w:szCs w:val="24"/>
              </w:rPr>
              <w:t>护士档案</w:t>
            </w:r>
          </w:p>
        </w:tc>
        <w:tc>
          <w:tcPr>
            <w:tcW w:w="4023" w:type="pct"/>
          </w:tcPr>
          <w:p w14:paraId="507C6BF9">
            <w:pPr>
              <w:pStyle w:val="11"/>
              <w:spacing w:line="360" w:lineRule="auto"/>
              <w:rPr>
                <w:rFonts w:hint="eastAsia"/>
                <w:sz w:val="24"/>
                <w:szCs w:val="24"/>
              </w:rPr>
            </w:pPr>
            <w:r>
              <w:rPr>
                <w:rFonts w:hint="eastAsia"/>
                <w:sz w:val="24"/>
                <w:szCs w:val="24"/>
              </w:rPr>
              <w:t>支持护理人员信息查询、编辑、图片上传、档案导入；</w:t>
            </w:r>
          </w:p>
        </w:tc>
      </w:tr>
      <w:tr w14:paraId="3BFD7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 w:type="pct"/>
          </w:tcPr>
          <w:p w14:paraId="50959645">
            <w:pPr>
              <w:pStyle w:val="11"/>
              <w:spacing w:line="360" w:lineRule="auto"/>
              <w:jc w:val="center"/>
              <w:rPr>
                <w:rFonts w:hint="eastAsia"/>
                <w:sz w:val="24"/>
                <w:szCs w:val="24"/>
              </w:rPr>
            </w:pPr>
            <w:r>
              <w:rPr>
                <w:rFonts w:hint="eastAsia"/>
                <w:sz w:val="24"/>
                <w:szCs w:val="24"/>
              </w:rPr>
              <w:t>71</w:t>
            </w:r>
          </w:p>
        </w:tc>
        <w:tc>
          <w:tcPr>
            <w:tcW w:w="256" w:type="pct"/>
          </w:tcPr>
          <w:p w14:paraId="15B2C829">
            <w:pPr>
              <w:pStyle w:val="11"/>
              <w:spacing w:line="360" w:lineRule="auto"/>
              <w:jc w:val="center"/>
              <w:rPr>
                <w:rFonts w:hint="eastAsia"/>
                <w:sz w:val="24"/>
                <w:szCs w:val="24"/>
              </w:rPr>
            </w:pPr>
          </w:p>
        </w:tc>
        <w:tc>
          <w:tcPr>
            <w:tcW w:w="462" w:type="pct"/>
            <w:vMerge w:val="continue"/>
          </w:tcPr>
          <w:p w14:paraId="06B58060">
            <w:pPr>
              <w:pStyle w:val="11"/>
              <w:spacing w:line="360" w:lineRule="auto"/>
              <w:rPr>
                <w:rFonts w:hint="eastAsia"/>
                <w:sz w:val="24"/>
                <w:szCs w:val="24"/>
              </w:rPr>
            </w:pPr>
          </w:p>
        </w:tc>
        <w:tc>
          <w:tcPr>
            <w:tcW w:w="4023" w:type="pct"/>
          </w:tcPr>
          <w:p w14:paraId="7C0A8E2E">
            <w:pPr>
              <w:pStyle w:val="11"/>
              <w:spacing w:line="360" w:lineRule="auto"/>
              <w:rPr>
                <w:rFonts w:hint="eastAsia"/>
                <w:sz w:val="24"/>
                <w:szCs w:val="24"/>
              </w:rPr>
            </w:pPr>
            <w:r>
              <w:rPr>
                <w:rFonts w:hint="eastAsia"/>
                <w:sz w:val="24"/>
                <w:szCs w:val="24"/>
              </w:rPr>
              <w:t>支持按病区护理人员信息查询；</w:t>
            </w:r>
          </w:p>
        </w:tc>
      </w:tr>
      <w:tr w14:paraId="5691D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 w:type="pct"/>
          </w:tcPr>
          <w:p w14:paraId="064FF589">
            <w:pPr>
              <w:pStyle w:val="11"/>
              <w:spacing w:line="360" w:lineRule="auto"/>
              <w:jc w:val="center"/>
              <w:rPr>
                <w:rFonts w:hint="eastAsia"/>
                <w:sz w:val="24"/>
                <w:szCs w:val="24"/>
              </w:rPr>
            </w:pPr>
            <w:r>
              <w:rPr>
                <w:rFonts w:hint="eastAsia"/>
                <w:sz w:val="24"/>
                <w:szCs w:val="24"/>
              </w:rPr>
              <w:t>72</w:t>
            </w:r>
          </w:p>
        </w:tc>
        <w:tc>
          <w:tcPr>
            <w:tcW w:w="256" w:type="pct"/>
          </w:tcPr>
          <w:p w14:paraId="448B3521">
            <w:pPr>
              <w:pStyle w:val="11"/>
              <w:spacing w:line="360" w:lineRule="auto"/>
              <w:jc w:val="center"/>
              <w:rPr>
                <w:rFonts w:hint="eastAsia"/>
                <w:sz w:val="24"/>
                <w:szCs w:val="24"/>
              </w:rPr>
            </w:pPr>
          </w:p>
        </w:tc>
        <w:tc>
          <w:tcPr>
            <w:tcW w:w="462" w:type="pct"/>
            <w:vMerge w:val="continue"/>
          </w:tcPr>
          <w:p w14:paraId="2B81FAD9">
            <w:pPr>
              <w:pStyle w:val="11"/>
              <w:spacing w:line="360" w:lineRule="auto"/>
              <w:rPr>
                <w:rFonts w:hint="eastAsia"/>
                <w:sz w:val="24"/>
                <w:szCs w:val="24"/>
              </w:rPr>
            </w:pPr>
          </w:p>
        </w:tc>
        <w:tc>
          <w:tcPr>
            <w:tcW w:w="4023" w:type="pct"/>
          </w:tcPr>
          <w:p w14:paraId="348111BA">
            <w:pPr>
              <w:pStyle w:val="11"/>
              <w:spacing w:line="360" w:lineRule="auto"/>
              <w:rPr>
                <w:rFonts w:hint="eastAsia"/>
                <w:sz w:val="24"/>
                <w:szCs w:val="24"/>
              </w:rPr>
            </w:pPr>
            <w:r>
              <w:rPr>
                <w:rFonts w:hint="eastAsia"/>
                <w:sz w:val="24"/>
                <w:szCs w:val="24"/>
              </w:rPr>
              <w:t>支持护理人员的变动信息的登记和查询。变动信息包括：状态变动（离职、调离、职称变动、教育信息、病区变动、继续教育、科研专利、获奖情况、论文著作）等等；</w:t>
            </w:r>
          </w:p>
        </w:tc>
      </w:tr>
      <w:tr w14:paraId="0CDE8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 w:type="pct"/>
          </w:tcPr>
          <w:p w14:paraId="34EDEB14">
            <w:pPr>
              <w:pStyle w:val="11"/>
              <w:spacing w:line="360" w:lineRule="auto"/>
              <w:jc w:val="center"/>
              <w:rPr>
                <w:rFonts w:hint="eastAsia"/>
                <w:sz w:val="24"/>
                <w:szCs w:val="24"/>
              </w:rPr>
            </w:pPr>
            <w:r>
              <w:rPr>
                <w:rFonts w:hint="eastAsia"/>
                <w:sz w:val="24"/>
                <w:szCs w:val="24"/>
              </w:rPr>
              <w:t>73</w:t>
            </w:r>
          </w:p>
        </w:tc>
        <w:tc>
          <w:tcPr>
            <w:tcW w:w="256" w:type="pct"/>
          </w:tcPr>
          <w:p w14:paraId="26602B38">
            <w:pPr>
              <w:pStyle w:val="11"/>
              <w:spacing w:line="360" w:lineRule="auto"/>
              <w:jc w:val="center"/>
              <w:rPr>
                <w:rFonts w:hint="eastAsia"/>
                <w:sz w:val="24"/>
                <w:szCs w:val="24"/>
              </w:rPr>
            </w:pPr>
          </w:p>
        </w:tc>
        <w:tc>
          <w:tcPr>
            <w:tcW w:w="462" w:type="pct"/>
            <w:vMerge w:val="continue"/>
          </w:tcPr>
          <w:p w14:paraId="5266CBB9">
            <w:pPr>
              <w:pStyle w:val="11"/>
              <w:spacing w:line="360" w:lineRule="auto"/>
              <w:rPr>
                <w:rFonts w:hint="eastAsia"/>
                <w:sz w:val="24"/>
                <w:szCs w:val="24"/>
              </w:rPr>
            </w:pPr>
          </w:p>
        </w:tc>
        <w:tc>
          <w:tcPr>
            <w:tcW w:w="4023" w:type="pct"/>
          </w:tcPr>
          <w:p w14:paraId="4CA263E1">
            <w:pPr>
              <w:pStyle w:val="11"/>
              <w:spacing w:line="360" w:lineRule="auto"/>
              <w:rPr>
                <w:rFonts w:hint="eastAsia"/>
                <w:sz w:val="24"/>
                <w:szCs w:val="24"/>
              </w:rPr>
            </w:pPr>
            <w:r>
              <w:rPr>
                <w:rFonts w:hint="eastAsia"/>
                <w:sz w:val="24"/>
                <w:szCs w:val="24"/>
              </w:rPr>
              <w:t>支持护理人员的工作经历、兼职情况记录；</w:t>
            </w:r>
          </w:p>
        </w:tc>
      </w:tr>
      <w:tr w14:paraId="27DD7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 w:type="pct"/>
          </w:tcPr>
          <w:p w14:paraId="50444646">
            <w:pPr>
              <w:pStyle w:val="11"/>
              <w:spacing w:line="360" w:lineRule="auto"/>
              <w:jc w:val="center"/>
              <w:rPr>
                <w:rFonts w:hint="eastAsia"/>
                <w:sz w:val="24"/>
                <w:szCs w:val="24"/>
              </w:rPr>
            </w:pPr>
            <w:r>
              <w:rPr>
                <w:rFonts w:hint="eastAsia"/>
                <w:sz w:val="24"/>
                <w:szCs w:val="24"/>
              </w:rPr>
              <w:t>74</w:t>
            </w:r>
          </w:p>
        </w:tc>
        <w:tc>
          <w:tcPr>
            <w:tcW w:w="256" w:type="pct"/>
          </w:tcPr>
          <w:p w14:paraId="6648C617">
            <w:pPr>
              <w:pStyle w:val="11"/>
              <w:spacing w:line="360" w:lineRule="auto"/>
              <w:jc w:val="center"/>
              <w:rPr>
                <w:rFonts w:hint="eastAsia"/>
                <w:sz w:val="24"/>
                <w:szCs w:val="24"/>
              </w:rPr>
            </w:pPr>
          </w:p>
        </w:tc>
        <w:tc>
          <w:tcPr>
            <w:tcW w:w="462" w:type="pct"/>
            <w:vMerge w:val="continue"/>
          </w:tcPr>
          <w:p w14:paraId="10E45852">
            <w:pPr>
              <w:pStyle w:val="11"/>
              <w:spacing w:line="360" w:lineRule="auto"/>
              <w:rPr>
                <w:rFonts w:hint="eastAsia"/>
                <w:sz w:val="24"/>
                <w:szCs w:val="24"/>
              </w:rPr>
            </w:pPr>
          </w:p>
        </w:tc>
        <w:tc>
          <w:tcPr>
            <w:tcW w:w="4023" w:type="pct"/>
          </w:tcPr>
          <w:p w14:paraId="231CEDD9">
            <w:pPr>
              <w:pStyle w:val="11"/>
              <w:spacing w:line="360" w:lineRule="auto"/>
              <w:rPr>
                <w:rFonts w:hint="eastAsia"/>
                <w:sz w:val="24"/>
                <w:szCs w:val="24"/>
              </w:rPr>
            </w:pPr>
            <w:r>
              <w:rPr>
                <w:rFonts w:hint="eastAsia"/>
                <w:sz w:val="24"/>
                <w:szCs w:val="24"/>
              </w:rPr>
              <w:t>支持护理人员相关数据统计；</w:t>
            </w:r>
          </w:p>
        </w:tc>
      </w:tr>
      <w:tr w14:paraId="12825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 w:type="pct"/>
          </w:tcPr>
          <w:p w14:paraId="75256016">
            <w:pPr>
              <w:pStyle w:val="11"/>
              <w:spacing w:line="360" w:lineRule="auto"/>
              <w:jc w:val="center"/>
              <w:rPr>
                <w:rFonts w:hint="eastAsia"/>
                <w:sz w:val="24"/>
                <w:szCs w:val="24"/>
              </w:rPr>
            </w:pPr>
            <w:r>
              <w:rPr>
                <w:rFonts w:hint="eastAsia"/>
                <w:sz w:val="24"/>
                <w:szCs w:val="24"/>
              </w:rPr>
              <w:t>75</w:t>
            </w:r>
          </w:p>
        </w:tc>
        <w:tc>
          <w:tcPr>
            <w:tcW w:w="256" w:type="pct"/>
          </w:tcPr>
          <w:p w14:paraId="35E421DB">
            <w:pPr>
              <w:pStyle w:val="11"/>
              <w:spacing w:line="360" w:lineRule="auto"/>
              <w:jc w:val="center"/>
              <w:rPr>
                <w:rFonts w:hint="eastAsia"/>
                <w:sz w:val="24"/>
                <w:szCs w:val="24"/>
              </w:rPr>
            </w:pPr>
          </w:p>
        </w:tc>
        <w:tc>
          <w:tcPr>
            <w:tcW w:w="462" w:type="pct"/>
            <w:vMerge w:val="continue"/>
          </w:tcPr>
          <w:p w14:paraId="0BF39DC3">
            <w:pPr>
              <w:pStyle w:val="11"/>
              <w:spacing w:line="360" w:lineRule="auto"/>
              <w:rPr>
                <w:rFonts w:hint="eastAsia"/>
                <w:sz w:val="24"/>
                <w:szCs w:val="24"/>
              </w:rPr>
            </w:pPr>
          </w:p>
        </w:tc>
        <w:tc>
          <w:tcPr>
            <w:tcW w:w="4023" w:type="pct"/>
          </w:tcPr>
          <w:p w14:paraId="1BF7F518">
            <w:pPr>
              <w:pStyle w:val="11"/>
              <w:spacing w:line="360" w:lineRule="auto"/>
              <w:rPr>
                <w:rFonts w:hint="eastAsia"/>
                <w:sz w:val="24"/>
                <w:szCs w:val="24"/>
              </w:rPr>
            </w:pPr>
            <w:r>
              <w:rPr>
                <w:rFonts w:hint="eastAsia"/>
                <w:sz w:val="24"/>
                <w:szCs w:val="24"/>
              </w:rPr>
              <w:t>支持外派、实习等无账号人员的维护，便于排班；</w:t>
            </w:r>
          </w:p>
        </w:tc>
      </w:tr>
      <w:tr w14:paraId="6C328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 w:type="pct"/>
          </w:tcPr>
          <w:p w14:paraId="2D3CB8CD">
            <w:pPr>
              <w:pStyle w:val="11"/>
              <w:spacing w:line="360" w:lineRule="auto"/>
              <w:jc w:val="center"/>
              <w:rPr>
                <w:rFonts w:hint="eastAsia"/>
                <w:sz w:val="24"/>
                <w:szCs w:val="24"/>
              </w:rPr>
            </w:pPr>
            <w:r>
              <w:rPr>
                <w:rFonts w:hint="eastAsia"/>
                <w:sz w:val="24"/>
                <w:szCs w:val="24"/>
              </w:rPr>
              <w:t>76</w:t>
            </w:r>
          </w:p>
        </w:tc>
        <w:tc>
          <w:tcPr>
            <w:tcW w:w="256" w:type="pct"/>
          </w:tcPr>
          <w:p w14:paraId="0D8A5D94">
            <w:pPr>
              <w:pStyle w:val="11"/>
              <w:spacing w:line="360" w:lineRule="auto"/>
              <w:jc w:val="center"/>
              <w:rPr>
                <w:rFonts w:hint="eastAsia"/>
                <w:sz w:val="24"/>
                <w:szCs w:val="24"/>
              </w:rPr>
            </w:pPr>
          </w:p>
        </w:tc>
        <w:tc>
          <w:tcPr>
            <w:tcW w:w="462" w:type="pct"/>
            <w:vMerge w:val="restart"/>
          </w:tcPr>
          <w:p w14:paraId="1034A6B9">
            <w:pPr>
              <w:pStyle w:val="11"/>
              <w:spacing w:line="360" w:lineRule="auto"/>
              <w:rPr>
                <w:rFonts w:hint="eastAsia"/>
                <w:sz w:val="24"/>
                <w:szCs w:val="24"/>
              </w:rPr>
            </w:pPr>
            <w:r>
              <w:rPr>
                <w:rFonts w:hint="eastAsia"/>
                <w:sz w:val="24"/>
                <w:szCs w:val="24"/>
              </w:rPr>
              <w:t>出院事务</w:t>
            </w:r>
          </w:p>
        </w:tc>
        <w:tc>
          <w:tcPr>
            <w:tcW w:w="4023" w:type="pct"/>
          </w:tcPr>
          <w:p w14:paraId="4EECC446">
            <w:pPr>
              <w:pStyle w:val="11"/>
              <w:spacing w:line="360" w:lineRule="auto"/>
              <w:rPr>
                <w:rFonts w:hint="eastAsia"/>
                <w:sz w:val="24"/>
                <w:szCs w:val="24"/>
              </w:rPr>
            </w:pPr>
            <w:r>
              <w:rPr>
                <w:rFonts w:hint="eastAsia"/>
                <w:sz w:val="24"/>
                <w:szCs w:val="24"/>
              </w:rPr>
              <w:t>支持对护理文档归档、撤销归档；</w:t>
            </w:r>
          </w:p>
        </w:tc>
      </w:tr>
      <w:tr w14:paraId="3736D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 w:type="pct"/>
          </w:tcPr>
          <w:p w14:paraId="6A4C4547">
            <w:pPr>
              <w:pStyle w:val="11"/>
              <w:spacing w:line="360" w:lineRule="auto"/>
              <w:jc w:val="center"/>
              <w:rPr>
                <w:rFonts w:hint="eastAsia"/>
                <w:sz w:val="24"/>
                <w:szCs w:val="24"/>
              </w:rPr>
            </w:pPr>
            <w:r>
              <w:rPr>
                <w:rFonts w:hint="eastAsia"/>
                <w:sz w:val="24"/>
                <w:szCs w:val="24"/>
              </w:rPr>
              <w:t>77</w:t>
            </w:r>
          </w:p>
        </w:tc>
        <w:tc>
          <w:tcPr>
            <w:tcW w:w="256" w:type="pct"/>
          </w:tcPr>
          <w:p w14:paraId="0B0AB30D">
            <w:pPr>
              <w:pStyle w:val="11"/>
              <w:spacing w:line="360" w:lineRule="auto"/>
              <w:jc w:val="center"/>
              <w:rPr>
                <w:rFonts w:hint="eastAsia"/>
                <w:sz w:val="24"/>
                <w:szCs w:val="24"/>
              </w:rPr>
            </w:pPr>
          </w:p>
        </w:tc>
        <w:tc>
          <w:tcPr>
            <w:tcW w:w="462" w:type="pct"/>
            <w:vMerge w:val="continue"/>
          </w:tcPr>
          <w:p w14:paraId="3483AFAC">
            <w:pPr>
              <w:pStyle w:val="11"/>
              <w:spacing w:line="360" w:lineRule="auto"/>
              <w:rPr>
                <w:rFonts w:hint="eastAsia"/>
                <w:sz w:val="24"/>
                <w:szCs w:val="24"/>
              </w:rPr>
            </w:pPr>
          </w:p>
        </w:tc>
        <w:tc>
          <w:tcPr>
            <w:tcW w:w="4023" w:type="pct"/>
          </w:tcPr>
          <w:p w14:paraId="3AF72AEF">
            <w:pPr>
              <w:pStyle w:val="11"/>
              <w:spacing w:line="360" w:lineRule="auto"/>
              <w:rPr>
                <w:rFonts w:hint="eastAsia"/>
                <w:sz w:val="24"/>
                <w:szCs w:val="24"/>
              </w:rPr>
            </w:pPr>
            <w:r>
              <w:rPr>
                <w:rFonts w:hint="eastAsia"/>
                <w:sz w:val="24"/>
                <w:szCs w:val="24"/>
              </w:rPr>
              <w:t>支持出院患者的护理文书自动归档；</w:t>
            </w:r>
          </w:p>
        </w:tc>
      </w:tr>
      <w:tr w14:paraId="3CB56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 w:type="pct"/>
          </w:tcPr>
          <w:p w14:paraId="4DEECC49">
            <w:pPr>
              <w:pStyle w:val="11"/>
              <w:spacing w:line="360" w:lineRule="auto"/>
              <w:jc w:val="center"/>
              <w:rPr>
                <w:rFonts w:hint="eastAsia"/>
                <w:sz w:val="24"/>
                <w:szCs w:val="24"/>
              </w:rPr>
            </w:pPr>
            <w:r>
              <w:rPr>
                <w:rFonts w:hint="eastAsia"/>
                <w:sz w:val="24"/>
                <w:szCs w:val="24"/>
              </w:rPr>
              <w:t>78</w:t>
            </w:r>
          </w:p>
        </w:tc>
        <w:tc>
          <w:tcPr>
            <w:tcW w:w="256" w:type="pct"/>
          </w:tcPr>
          <w:p w14:paraId="5D1FFD83">
            <w:pPr>
              <w:pStyle w:val="11"/>
              <w:spacing w:line="360" w:lineRule="auto"/>
              <w:jc w:val="center"/>
              <w:rPr>
                <w:rFonts w:hint="eastAsia"/>
                <w:sz w:val="24"/>
                <w:szCs w:val="24"/>
              </w:rPr>
            </w:pPr>
          </w:p>
        </w:tc>
        <w:tc>
          <w:tcPr>
            <w:tcW w:w="462" w:type="pct"/>
            <w:vMerge w:val="continue"/>
          </w:tcPr>
          <w:p w14:paraId="2F4D6122">
            <w:pPr>
              <w:pStyle w:val="11"/>
              <w:spacing w:line="360" w:lineRule="auto"/>
              <w:rPr>
                <w:rFonts w:hint="eastAsia"/>
                <w:sz w:val="24"/>
                <w:szCs w:val="24"/>
              </w:rPr>
            </w:pPr>
          </w:p>
        </w:tc>
        <w:tc>
          <w:tcPr>
            <w:tcW w:w="4023" w:type="pct"/>
          </w:tcPr>
          <w:p w14:paraId="46942753">
            <w:pPr>
              <w:pStyle w:val="11"/>
              <w:spacing w:line="360" w:lineRule="auto"/>
              <w:rPr>
                <w:rFonts w:hint="eastAsia"/>
                <w:sz w:val="24"/>
                <w:szCs w:val="24"/>
              </w:rPr>
            </w:pPr>
            <w:r>
              <w:rPr>
                <w:rFonts w:hint="eastAsia"/>
                <w:sz w:val="24"/>
                <w:szCs w:val="24"/>
              </w:rPr>
              <w:t>支持对未欠费患者进行床旁结算（非现金结算）；</w:t>
            </w:r>
          </w:p>
        </w:tc>
      </w:tr>
    </w:tbl>
    <w:p w14:paraId="16B258D4">
      <w:pPr>
        <w:spacing w:line="360" w:lineRule="auto"/>
        <w:rPr>
          <w:rFonts w:hint="eastAsia" w:ascii="宋体" w:hAnsi="宋体" w:cs="宋体"/>
          <w:sz w:val="24"/>
        </w:rPr>
      </w:pPr>
    </w:p>
    <w:p w14:paraId="53068A44">
      <w:pPr>
        <w:pStyle w:val="3"/>
        <w:spacing w:line="360" w:lineRule="auto"/>
        <w:rPr>
          <w:rFonts w:hint="eastAsia" w:hAnsi="宋体" w:cs="宋体"/>
          <w:szCs w:val="24"/>
          <w:u w:val="none"/>
        </w:rPr>
      </w:pPr>
      <w:r>
        <w:rPr>
          <w:rFonts w:hint="eastAsia" w:hAnsi="宋体" w:cs="宋体"/>
          <w:szCs w:val="24"/>
          <w:u w:val="none"/>
        </w:rPr>
        <w:t>3.8 合理用药监测技术要求</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8"/>
        <w:gridCol w:w="1748"/>
        <w:gridCol w:w="6033"/>
      </w:tblGrid>
      <w:tr w14:paraId="06BA3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3CF336F5">
            <w:pPr>
              <w:pStyle w:val="11"/>
              <w:spacing w:line="360" w:lineRule="auto"/>
              <w:jc w:val="center"/>
              <w:rPr>
                <w:rFonts w:hint="eastAsia"/>
                <w:b/>
                <w:bCs/>
                <w:sz w:val="24"/>
                <w:szCs w:val="24"/>
              </w:rPr>
            </w:pPr>
            <w:r>
              <w:rPr>
                <w:rFonts w:hint="eastAsia"/>
                <w:b/>
                <w:bCs/>
                <w:sz w:val="24"/>
                <w:szCs w:val="24"/>
              </w:rPr>
              <w:t>序号</w:t>
            </w:r>
          </w:p>
        </w:tc>
        <w:tc>
          <w:tcPr>
            <w:tcW w:w="1748" w:type="dxa"/>
            <w:vAlign w:val="center"/>
          </w:tcPr>
          <w:p w14:paraId="59903031">
            <w:pPr>
              <w:pStyle w:val="11"/>
              <w:spacing w:line="360" w:lineRule="auto"/>
              <w:jc w:val="center"/>
              <w:rPr>
                <w:rFonts w:hint="eastAsia"/>
                <w:b/>
                <w:bCs/>
                <w:sz w:val="24"/>
                <w:szCs w:val="24"/>
              </w:rPr>
            </w:pPr>
            <w:r>
              <w:rPr>
                <w:rFonts w:hint="eastAsia"/>
                <w:b/>
                <w:bCs/>
                <w:sz w:val="24"/>
                <w:szCs w:val="24"/>
              </w:rPr>
              <w:t>子项</w:t>
            </w:r>
          </w:p>
        </w:tc>
        <w:tc>
          <w:tcPr>
            <w:tcW w:w="6033" w:type="dxa"/>
            <w:vAlign w:val="center"/>
          </w:tcPr>
          <w:p w14:paraId="0B95A3D1">
            <w:pPr>
              <w:pStyle w:val="11"/>
              <w:spacing w:line="360" w:lineRule="auto"/>
              <w:jc w:val="center"/>
              <w:rPr>
                <w:rFonts w:hint="eastAsia"/>
                <w:b/>
                <w:bCs/>
                <w:sz w:val="24"/>
                <w:szCs w:val="24"/>
              </w:rPr>
            </w:pPr>
            <w:r>
              <w:rPr>
                <w:rFonts w:hint="eastAsia"/>
                <w:b/>
                <w:bCs/>
                <w:sz w:val="24"/>
                <w:szCs w:val="24"/>
              </w:rPr>
              <w:t>详细要求</w:t>
            </w:r>
          </w:p>
        </w:tc>
      </w:tr>
      <w:tr w14:paraId="726BD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31FC8978">
            <w:pPr>
              <w:pStyle w:val="11"/>
              <w:spacing w:line="360" w:lineRule="auto"/>
              <w:jc w:val="center"/>
              <w:rPr>
                <w:rFonts w:hint="eastAsia"/>
                <w:sz w:val="24"/>
                <w:szCs w:val="24"/>
              </w:rPr>
            </w:pPr>
            <w:r>
              <w:rPr>
                <w:rFonts w:hint="eastAsia"/>
                <w:sz w:val="24"/>
                <w:szCs w:val="24"/>
              </w:rPr>
              <w:t>1</w:t>
            </w:r>
          </w:p>
        </w:tc>
        <w:tc>
          <w:tcPr>
            <w:tcW w:w="1748" w:type="dxa"/>
            <w:vAlign w:val="center"/>
          </w:tcPr>
          <w:p w14:paraId="403299AF">
            <w:pPr>
              <w:pStyle w:val="11"/>
              <w:spacing w:line="360" w:lineRule="auto"/>
              <w:rPr>
                <w:rFonts w:hint="eastAsia"/>
                <w:sz w:val="24"/>
                <w:szCs w:val="24"/>
              </w:rPr>
            </w:pPr>
            <w:r>
              <w:rPr>
                <w:rFonts w:hint="eastAsia"/>
                <w:sz w:val="24"/>
                <w:szCs w:val="24"/>
              </w:rPr>
              <w:t>处方（医嘱）用药审查功能</w:t>
            </w:r>
          </w:p>
        </w:tc>
        <w:tc>
          <w:tcPr>
            <w:tcW w:w="6033" w:type="dxa"/>
            <w:vAlign w:val="center"/>
          </w:tcPr>
          <w:p w14:paraId="703EA749">
            <w:pPr>
              <w:pStyle w:val="11"/>
              <w:spacing w:line="360" w:lineRule="auto"/>
              <w:rPr>
                <w:rFonts w:hint="eastAsia"/>
                <w:sz w:val="24"/>
                <w:szCs w:val="24"/>
              </w:rPr>
            </w:pPr>
            <w:r>
              <w:rPr>
                <w:rFonts w:hint="eastAsia"/>
                <w:sz w:val="24"/>
                <w:szCs w:val="24"/>
              </w:rPr>
              <w:t>系统应能对处方（医嘱）用药进行剂量审查、累积剂量审查、超多日用量审查、给药途径审查、相互作用审查、体外注射剂配伍审查、配伍浓度审查、钾离子监测、TPN处方审查、门诊输液审查、禁忌症审查、不良反应审查、特殊人群（儿童、成人、老人、妊娠、哺乳、性别）用药审查、重复用药（重复成分、重复治疗）审查、适应症审查、药物过敏审查、药物检验值审查、规范性审查、医保审查、监测指标审查、越权用药审查、围术期用药审查，并提示医生。</w:t>
            </w:r>
          </w:p>
          <w:p w14:paraId="2EA49E1F">
            <w:pPr>
              <w:pStyle w:val="11"/>
              <w:spacing w:line="360" w:lineRule="auto"/>
              <w:rPr>
                <w:rFonts w:hint="eastAsia"/>
                <w:sz w:val="24"/>
                <w:szCs w:val="24"/>
              </w:rPr>
            </w:pPr>
            <w:r>
              <w:rPr>
                <w:rFonts w:hint="eastAsia"/>
                <w:sz w:val="24"/>
                <w:szCs w:val="24"/>
              </w:rPr>
              <w:t>住院医嘱支持用药天数预警，提醒医生及时调整用药方案。</w:t>
            </w:r>
          </w:p>
          <w:p w14:paraId="7C52D5D0">
            <w:pPr>
              <w:pStyle w:val="11"/>
              <w:spacing w:line="360" w:lineRule="auto"/>
              <w:rPr>
                <w:rFonts w:hint="eastAsia"/>
                <w:sz w:val="24"/>
                <w:szCs w:val="24"/>
              </w:rPr>
            </w:pPr>
            <w:r>
              <w:rPr>
                <w:rFonts w:hint="eastAsia"/>
                <w:sz w:val="24"/>
                <w:szCs w:val="24"/>
              </w:rPr>
              <w:t>超多日用量审查可结合退费情况，管控提前取药患者药量累计持有天数。</w:t>
            </w:r>
          </w:p>
          <w:p w14:paraId="10E18281">
            <w:pPr>
              <w:pStyle w:val="11"/>
              <w:spacing w:line="360" w:lineRule="auto"/>
              <w:rPr>
                <w:rFonts w:hint="eastAsia"/>
                <w:sz w:val="24"/>
                <w:szCs w:val="24"/>
              </w:rPr>
            </w:pPr>
            <w:r>
              <w:rPr>
                <w:rFonts w:hint="eastAsia"/>
                <w:sz w:val="24"/>
                <w:szCs w:val="24"/>
              </w:rPr>
              <w:t>利用大数据分析，自动生成药品品种单次异常剂量审查规则。</w:t>
            </w:r>
          </w:p>
          <w:p w14:paraId="36583EBE">
            <w:pPr>
              <w:pStyle w:val="11"/>
              <w:spacing w:line="360" w:lineRule="auto"/>
              <w:rPr>
                <w:rFonts w:hint="eastAsia"/>
                <w:sz w:val="24"/>
                <w:szCs w:val="24"/>
              </w:rPr>
            </w:pPr>
            <w:r>
              <w:rPr>
                <w:rFonts w:hint="eastAsia"/>
                <w:sz w:val="24"/>
                <w:szCs w:val="24"/>
              </w:rPr>
              <w:t>相互作用联合审查可排除已服用完毕的药品。</w:t>
            </w:r>
          </w:p>
        </w:tc>
      </w:tr>
      <w:tr w14:paraId="07052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2ED0036F">
            <w:pPr>
              <w:pStyle w:val="11"/>
              <w:spacing w:line="360" w:lineRule="auto"/>
              <w:jc w:val="center"/>
              <w:rPr>
                <w:rFonts w:hint="eastAsia"/>
                <w:sz w:val="24"/>
                <w:szCs w:val="24"/>
              </w:rPr>
            </w:pPr>
            <w:r>
              <w:rPr>
                <w:rFonts w:hint="eastAsia"/>
                <w:sz w:val="24"/>
                <w:szCs w:val="24"/>
              </w:rPr>
              <w:t>2</w:t>
            </w:r>
          </w:p>
        </w:tc>
        <w:tc>
          <w:tcPr>
            <w:tcW w:w="1748" w:type="dxa"/>
            <w:vAlign w:val="center"/>
          </w:tcPr>
          <w:p w14:paraId="7D2075A3">
            <w:pPr>
              <w:pStyle w:val="11"/>
              <w:spacing w:line="360" w:lineRule="auto"/>
              <w:rPr>
                <w:rFonts w:hint="eastAsia"/>
                <w:sz w:val="24"/>
                <w:szCs w:val="24"/>
              </w:rPr>
            </w:pPr>
            <w:r>
              <w:rPr>
                <w:rFonts w:hint="eastAsia"/>
                <w:sz w:val="24"/>
                <w:szCs w:val="24"/>
              </w:rPr>
              <w:t>药品信息提示功能</w:t>
            </w:r>
          </w:p>
        </w:tc>
        <w:tc>
          <w:tcPr>
            <w:tcW w:w="6033" w:type="dxa"/>
            <w:vAlign w:val="center"/>
          </w:tcPr>
          <w:p w14:paraId="614DF6E2">
            <w:pPr>
              <w:pStyle w:val="11"/>
              <w:spacing w:line="360" w:lineRule="auto"/>
              <w:rPr>
                <w:rFonts w:hint="eastAsia"/>
                <w:b/>
                <w:bCs/>
                <w:sz w:val="24"/>
                <w:szCs w:val="24"/>
              </w:rPr>
            </w:pPr>
            <w:r>
              <w:rPr>
                <w:rFonts w:hint="eastAsia"/>
                <w:sz w:val="24"/>
                <w:szCs w:val="24"/>
              </w:rPr>
              <w:t>可快捷查看药品相关重要信息；药品厂家说明书，并可查看药监局发布的说明书修订勘误，修改和新增药品说明书内容；查询相应药品的中药材专论信息。</w:t>
            </w:r>
          </w:p>
        </w:tc>
      </w:tr>
      <w:tr w14:paraId="5F9F6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6AF37B87">
            <w:pPr>
              <w:pStyle w:val="11"/>
              <w:spacing w:line="360" w:lineRule="auto"/>
              <w:jc w:val="center"/>
              <w:rPr>
                <w:rFonts w:hint="eastAsia"/>
                <w:sz w:val="24"/>
                <w:szCs w:val="24"/>
              </w:rPr>
            </w:pPr>
            <w:r>
              <w:rPr>
                <w:rFonts w:hint="eastAsia"/>
                <w:sz w:val="24"/>
                <w:szCs w:val="24"/>
              </w:rPr>
              <w:t>3</w:t>
            </w:r>
          </w:p>
        </w:tc>
        <w:tc>
          <w:tcPr>
            <w:tcW w:w="1748" w:type="dxa"/>
            <w:vAlign w:val="center"/>
          </w:tcPr>
          <w:p w14:paraId="19D6E29B">
            <w:pPr>
              <w:pStyle w:val="11"/>
              <w:spacing w:line="360" w:lineRule="auto"/>
              <w:rPr>
                <w:rFonts w:hint="eastAsia"/>
                <w:sz w:val="24"/>
                <w:szCs w:val="24"/>
              </w:rPr>
            </w:pPr>
            <w:r>
              <w:rPr>
                <w:rFonts w:hint="eastAsia"/>
                <w:sz w:val="24"/>
                <w:szCs w:val="24"/>
              </w:rPr>
              <w:t>质子泵抑制药专项管控</w:t>
            </w:r>
          </w:p>
        </w:tc>
        <w:tc>
          <w:tcPr>
            <w:tcW w:w="6033" w:type="dxa"/>
            <w:vAlign w:val="center"/>
          </w:tcPr>
          <w:p w14:paraId="63C011D3">
            <w:pPr>
              <w:pStyle w:val="11"/>
              <w:spacing w:line="360" w:lineRule="auto"/>
              <w:rPr>
                <w:rFonts w:hint="eastAsia"/>
                <w:sz w:val="24"/>
                <w:szCs w:val="24"/>
              </w:rPr>
            </w:pPr>
            <w:r>
              <w:rPr>
                <w:rFonts w:hint="eastAsia"/>
                <w:sz w:val="24"/>
                <w:szCs w:val="24"/>
              </w:rPr>
              <w:t>医生开具质子泵抑制剂药品时，需填写用药评估单。提供评估单专项统计分析。</w:t>
            </w:r>
          </w:p>
          <w:p w14:paraId="5A78AA5C">
            <w:pPr>
              <w:pStyle w:val="11"/>
              <w:spacing w:line="360" w:lineRule="auto"/>
              <w:rPr>
                <w:rFonts w:hint="eastAsia"/>
                <w:sz w:val="24"/>
                <w:szCs w:val="24"/>
              </w:rPr>
            </w:pPr>
            <w:r>
              <w:rPr>
                <w:rFonts w:hint="eastAsia"/>
                <w:sz w:val="24"/>
                <w:szCs w:val="24"/>
              </w:rPr>
              <w:t>系统可评估患者病生状态，若存在应激性溃疡风险，提供质子泵抑制剂用药建议。</w:t>
            </w:r>
          </w:p>
          <w:p w14:paraId="622C7C0A">
            <w:pPr>
              <w:pStyle w:val="11"/>
              <w:spacing w:line="360" w:lineRule="auto"/>
              <w:rPr>
                <w:rFonts w:hint="eastAsia"/>
                <w:sz w:val="24"/>
                <w:szCs w:val="24"/>
              </w:rPr>
            </w:pPr>
            <w:r>
              <w:rPr>
                <w:rFonts w:hint="eastAsia"/>
                <w:sz w:val="24"/>
                <w:szCs w:val="24"/>
              </w:rPr>
              <w:t>围术期不合理使用质子泵抑制剂时，系统可警示医生。</w:t>
            </w:r>
          </w:p>
        </w:tc>
      </w:tr>
      <w:tr w14:paraId="2ACC6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010D443F">
            <w:pPr>
              <w:pStyle w:val="11"/>
              <w:spacing w:line="360" w:lineRule="auto"/>
              <w:jc w:val="center"/>
              <w:rPr>
                <w:rFonts w:hint="eastAsia"/>
                <w:sz w:val="24"/>
                <w:szCs w:val="24"/>
              </w:rPr>
            </w:pPr>
            <w:r>
              <w:rPr>
                <w:rFonts w:hint="eastAsia"/>
                <w:sz w:val="24"/>
                <w:szCs w:val="24"/>
              </w:rPr>
              <w:t>4</w:t>
            </w:r>
          </w:p>
        </w:tc>
        <w:tc>
          <w:tcPr>
            <w:tcW w:w="1748" w:type="dxa"/>
            <w:vAlign w:val="center"/>
          </w:tcPr>
          <w:p w14:paraId="74FFCB8C">
            <w:pPr>
              <w:pStyle w:val="11"/>
              <w:spacing w:line="360" w:lineRule="auto"/>
              <w:rPr>
                <w:rFonts w:hint="eastAsia"/>
                <w:sz w:val="24"/>
                <w:szCs w:val="24"/>
              </w:rPr>
            </w:pPr>
            <w:r>
              <w:rPr>
                <w:rFonts w:hint="eastAsia"/>
                <w:sz w:val="24"/>
                <w:szCs w:val="24"/>
              </w:rPr>
              <w:t>协定方专项管控</w:t>
            </w:r>
          </w:p>
        </w:tc>
        <w:tc>
          <w:tcPr>
            <w:tcW w:w="6033" w:type="dxa"/>
            <w:vAlign w:val="center"/>
          </w:tcPr>
          <w:p w14:paraId="1430AF93">
            <w:pPr>
              <w:pStyle w:val="11"/>
              <w:spacing w:line="360" w:lineRule="auto"/>
              <w:rPr>
                <w:rFonts w:hint="eastAsia"/>
                <w:b/>
                <w:bCs/>
                <w:sz w:val="24"/>
                <w:szCs w:val="24"/>
              </w:rPr>
            </w:pPr>
            <w:r>
              <w:rPr>
                <w:rFonts w:hint="eastAsia"/>
                <w:sz w:val="24"/>
                <w:szCs w:val="24"/>
              </w:rPr>
              <w:t>系统提供医院中药协定方证型适宜性审查。</w:t>
            </w:r>
          </w:p>
        </w:tc>
      </w:tr>
      <w:tr w14:paraId="4974A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7EA016B2">
            <w:pPr>
              <w:pStyle w:val="11"/>
              <w:spacing w:line="360" w:lineRule="auto"/>
              <w:jc w:val="center"/>
              <w:rPr>
                <w:rFonts w:hint="eastAsia"/>
                <w:sz w:val="24"/>
                <w:szCs w:val="24"/>
              </w:rPr>
            </w:pPr>
            <w:r>
              <w:rPr>
                <w:rFonts w:hint="eastAsia"/>
                <w:sz w:val="24"/>
                <w:szCs w:val="24"/>
              </w:rPr>
              <w:t>5</w:t>
            </w:r>
          </w:p>
        </w:tc>
        <w:tc>
          <w:tcPr>
            <w:tcW w:w="1748" w:type="dxa"/>
            <w:vAlign w:val="center"/>
          </w:tcPr>
          <w:p w14:paraId="5E939E94">
            <w:pPr>
              <w:pStyle w:val="11"/>
              <w:spacing w:line="360" w:lineRule="auto"/>
              <w:rPr>
                <w:rFonts w:hint="eastAsia"/>
                <w:sz w:val="24"/>
                <w:szCs w:val="24"/>
              </w:rPr>
            </w:pPr>
            <w:r>
              <w:rPr>
                <w:rFonts w:hint="eastAsia"/>
                <w:sz w:val="24"/>
                <w:szCs w:val="24"/>
              </w:rPr>
              <w:t>经验性用药专项管控</w:t>
            </w:r>
          </w:p>
        </w:tc>
        <w:tc>
          <w:tcPr>
            <w:tcW w:w="6033" w:type="dxa"/>
            <w:vAlign w:val="center"/>
          </w:tcPr>
          <w:p w14:paraId="60376D9A">
            <w:pPr>
              <w:pStyle w:val="11"/>
              <w:spacing w:line="360" w:lineRule="auto"/>
              <w:rPr>
                <w:rFonts w:hint="eastAsia"/>
                <w:b/>
                <w:sz w:val="24"/>
                <w:szCs w:val="24"/>
              </w:rPr>
            </w:pPr>
            <w:r>
              <w:rPr>
                <w:rFonts w:hint="eastAsia"/>
                <w:sz w:val="24"/>
                <w:szCs w:val="24"/>
              </w:rPr>
              <w:t>系统提供抗肿瘤药物过敏反应预处理用药合理性审查。</w:t>
            </w:r>
          </w:p>
        </w:tc>
      </w:tr>
      <w:tr w14:paraId="0FD1A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1AEA0A93">
            <w:pPr>
              <w:pStyle w:val="11"/>
              <w:spacing w:line="360" w:lineRule="auto"/>
              <w:jc w:val="center"/>
              <w:rPr>
                <w:rFonts w:hint="eastAsia"/>
                <w:sz w:val="24"/>
                <w:szCs w:val="24"/>
              </w:rPr>
            </w:pPr>
            <w:r>
              <w:rPr>
                <w:rFonts w:hint="eastAsia"/>
                <w:sz w:val="24"/>
                <w:szCs w:val="24"/>
              </w:rPr>
              <w:t>6</w:t>
            </w:r>
          </w:p>
        </w:tc>
        <w:tc>
          <w:tcPr>
            <w:tcW w:w="1748" w:type="dxa"/>
            <w:vAlign w:val="center"/>
          </w:tcPr>
          <w:p w14:paraId="1FA477A1">
            <w:pPr>
              <w:pStyle w:val="11"/>
              <w:spacing w:line="360" w:lineRule="auto"/>
              <w:rPr>
                <w:rFonts w:hint="eastAsia"/>
                <w:sz w:val="24"/>
                <w:szCs w:val="24"/>
              </w:rPr>
            </w:pPr>
            <w:r>
              <w:rPr>
                <w:rFonts w:hint="eastAsia"/>
                <w:sz w:val="24"/>
                <w:szCs w:val="24"/>
              </w:rPr>
              <w:t>抗菌药物专项管控</w:t>
            </w:r>
          </w:p>
        </w:tc>
        <w:tc>
          <w:tcPr>
            <w:tcW w:w="6033" w:type="dxa"/>
            <w:vAlign w:val="center"/>
          </w:tcPr>
          <w:p w14:paraId="038E273F">
            <w:pPr>
              <w:pStyle w:val="11"/>
              <w:spacing w:line="360" w:lineRule="auto"/>
              <w:rPr>
                <w:rFonts w:hint="eastAsia"/>
                <w:sz w:val="24"/>
                <w:szCs w:val="24"/>
              </w:rPr>
            </w:pPr>
            <w:r>
              <w:rPr>
                <w:rFonts w:hint="eastAsia"/>
                <w:sz w:val="24"/>
                <w:szCs w:val="24"/>
              </w:rPr>
              <w:t>医生开具预防用抗菌药物时，需填写用药评估单，评估单区分非手术预防用药和手术预防用药。</w:t>
            </w:r>
          </w:p>
          <w:p w14:paraId="7F84417F">
            <w:pPr>
              <w:pStyle w:val="11"/>
              <w:spacing w:line="360" w:lineRule="auto"/>
              <w:rPr>
                <w:rFonts w:hint="eastAsia"/>
                <w:b/>
                <w:sz w:val="24"/>
                <w:szCs w:val="24"/>
              </w:rPr>
            </w:pPr>
            <w:r>
              <w:rPr>
                <w:rFonts w:hint="eastAsia"/>
                <w:sz w:val="24"/>
                <w:szCs w:val="24"/>
              </w:rPr>
              <w:t>系统提供抗菌药物用药指征审查。医生开具抗菌药物必须有用药指征，否则系统将予以警示。</w:t>
            </w:r>
          </w:p>
        </w:tc>
      </w:tr>
      <w:tr w14:paraId="54BDB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79CF0031">
            <w:pPr>
              <w:pStyle w:val="11"/>
              <w:spacing w:line="360" w:lineRule="auto"/>
              <w:jc w:val="center"/>
              <w:rPr>
                <w:rFonts w:hint="eastAsia"/>
                <w:sz w:val="24"/>
                <w:szCs w:val="24"/>
              </w:rPr>
            </w:pPr>
            <w:r>
              <w:rPr>
                <w:rFonts w:hint="eastAsia"/>
                <w:sz w:val="24"/>
                <w:szCs w:val="24"/>
              </w:rPr>
              <w:t>7</w:t>
            </w:r>
          </w:p>
        </w:tc>
        <w:tc>
          <w:tcPr>
            <w:tcW w:w="1748" w:type="dxa"/>
            <w:vAlign w:val="center"/>
          </w:tcPr>
          <w:p w14:paraId="15475AC7">
            <w:pPr>
              <w:pStyle w:val="11"/>
              <w:spacing w:line="360" w:lineRule="auto"/>
              <w:rPr>
                <w:rFonts w:hint="eastAsia"/>
                <w:sz w:val="24"/>
                <w:szCs w:val="24"/>
              </w:rPr>
            </w:pPr>
            <w:r>
              <w:rPr>
                <w:rFonts w:hint="eastAsia"/>
                <w:sz w:val="24"/>
                <w:szCs w:val="24"/>
              </w:rPr>
              <w:t>审查提示屏蔽功能</w:t>
            </w:r>
          </w:p>
        </w:tc>
        <w:tc>
          <w:tcPr>
            <w:tcW w:w="6033" w:type="dxa"/>
            <w:vAlign w:val="center"/>
          </w:tcPr>
          <w:p w14:paraId="6D724B3F">
            <w:pPr>
              <w:pStyle w:val="11"/>
              <w:spacing w:line="360" w:lineRule="auto"/>
              <w:rPr>
                <w:rFonts w:hint="eastAsia"/>
                <w:sz w:val="24"/>
                <w:szCs w:val="24"/>
              </w:rPr>
            </w:pPr>
            <w:r>
              <w:rPr>
                <w:rFonts w:hint="eastAsia"/>
                <w:sz w:val="24"/>
                <w:szCs w:val="24"/>
              </w:rPr>
              <w:t>▲系统应能对剂量、给药途径、药物相互作用、体外注射剂配伍、配伍浓度、禁忌症、不良反应、儿童用药、老人用药、成人用药、性别用药、妊娠期用药、哺乳期用药、药物过敏、重复用药等审查项目进行审查提示屏蔽，支持分门诊、住院、急诊屏蔽，屏蔽后不再对相同问题进行提示。</w:t>
            </w:r>
          </w:p>
        </w:tc>
      </w:tr>
      <w:tr w14:paraId="4261C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0C2D5346">
            <w:pPr>
              <w:pStyle w:val="11"/>
              <w:spacing w:line="360" w:lineRule="auto"/>
              <w:jc w:val="center"/>
              <w:rPr>
                <w:rFonts w:hint="eastAsia"/>
                <w:sz w:val="24"/>
                <w:szCs w:val="24"/>
              </w:rPr>
            </w:pPr>
            <w:r>
              <w:rPr>
                <w:rFonts w:hint="eastAsia"/>
                <w:sz w:val="24"/>
                <w:szCs w:val="24"/>
              </w:rPr>
              <w:t>8</w:t>
            </w:r>
          </w:p>
        </w:tc>
        <w:tc>
          <w:tcPr>
            <w:tcW w:w="1748" w:type="dxa"/>
            <w:vAlign w:val="center"/>
          </w:tcPr>
          <w:p w14:paraId="41E06EE9">
            <w:pPr>
              <w:pStyle w:val="11"/>
              <w:spacing w:line="360" w:lineRule="auto"/>
              <w:rPr>
                <w:rFonts w:hint="eastAsia"/>
                <w:sz w:val="24"/>
                <w:szCs w:val="24"/>
              </w:rPr>
            </w:pPr>
            <w:r>
              <w:rPr>
                <w:rFonts w:hint="eastAsia"/>
                <w:sz w:val="24"/>
                <w:szCs w:val="24"/>
              </w:rPr>
              <w:t>审查规则自定义功能（医院专家知识库）</w:t>
            </w:r>
          </w:p>
        </w:tc>
        <w:tc>
          <w:tcPr>
            <w:tcW w:w="6033" w:type="dxa"/>
            <w:vAlign w:val="center"/>
          </w:tcPr>
          <w:p w14:paraId="5A0BA940">
            <w:pPr>
              <w:pStyle w:val="11"/>
              <w:spacing w:line="360" w:lineRule="auto"/>
              <w:rPr>
                <w:rFonts w:hint="eastAsia"/>
                <w:sz w:val="24"/>
                <w:szCs w:val="24"/>
              </w:rPr>
            </w:pPr>
            <w:r>
              <w:rPr>
                <w:rFonts w:hint="eastAsia"/>
                <w:sz w:val="24"/>
                <w:szCs w:val="24"/>
              </w:rPr>
              <w:t>▲系统可以提供多种自定义方式：</w:t>
            </w:r>
          </w:p>
          <w:p w14:paraId="0C68D678">
            <w:pPr>
              <w:pStyle w:val="11"/>
              <w:spacing w:line="360" w:lineRule="auto"/>
              <w:rPr>
                <w:rFonts w:hint="eastAsia"/>
                <w:sz w:val="24"/>
                <w:szCs w:val="24"/>
              </w:rPr>
            </w:pPr>
            <w:r>
              <w:rPr>
                <w:rFonts w:hint="eastAsia"/>
                <w:sz w:val="24"/>
                <w:szCs w:val="24"/>
              </w:rPr>
              <w:t>（1）基于系统审查数据自定义方式，节省药师工作量；</w:t>
            </w:r>
          </w:p>
          <w:p w14:paraId="2CF86162">
            <w:pPr>
              <w:pStyle w:val="11"/>
              <w:spacing w:line="360" w:lineRule="auto"/>
              <w:rPr>
                <w:rFonts w:hint="eastAsia"/>
                <w:sz w:val="24"/>
                <w:szCs w:val="24"/>
              </w:rPr>
            </w:pPr>
            <w:r>
              <w:rPr>
                <w:rFonts w:hint="eastAsia"/>
                <w:sz w:val="24"/>
                <w:szCs w:val="24"/>
              </w:rPr>
              <w:t>（2）可完全由用户新建审查规则包括审查要素和审查逻辑。</w:t>
            </w:r>
          </w:p>
          <w:p w14:paraId="4FBCB163">
            <w:pPr>
              <w:pStyle w:val="11"/>
              <w:spacing w:line="360" w:lineRule="auto"/>
              <w:rPr>
                <w:rFonts w:hint="eastAsia"/>
                <w:sz w:val="24"/>
                <w:szCs w:val="24"/>
              </w:rPr>
            </w:pPr>
            <w:r>
              <w:rPr>
                <w:rFonts w:hint="eastAsia"/>
                <w:sz w:val="24"/>
                <w:szCs w:val="24"/>
              </w:rPr>
              <w:t>用户可自定义药品警示、拦截规则，被拦截的问题处方必须返回修改，否则不可进行下一步操作。用户可设置已执行的长期医嘱是否拦截。</w:t>
            </w:r>
          </w:p>
          <w:p w14:paraId="14EDF311">
            <w:pPr>
              <w:pStyle w:val="11"/>
              <w:spacing w:line="360" w:lineRule="auto"/>
              <w:rPr>
                <w:rFonts w:hint="eastAsia"/>
                <w:sz w:val="24"/>
                <w:szCs w:val="24"/>
              </w:rPr>
            </w:pPr>
            <w:r>
              <w:rPr>
                <w:rFonts w:hint="eastAsia"/>
                <w:sz w:val="24"/>
                <w:szCs w:val="24"/>
              </w:rPr>
              <w:t>其中部分审查项目可支持以下功能：</w:t>
            </w:r>
          </w:p>
          <w:p w14:paraId="07928D53">
            <w:pPr>
              <w:pStyle w:val="11"/>
              <w:spacing w:line="360" w:lineRule="auto"/>
              <w:rPr>
                <w:rFonts w:hint="eastAsia"/>
                <w:sz w:val="24"/>
                <w:szCs w:val="24"/>
              </w:rPr>
            </w:pPr>
            <w:r>
              <w:rPr>
                <w:rFonts w:hint="eastAsia"/>
                <w:sz w:val="24"/>
                <w:szCs w:val="24"/>
              </w:rPr>
              <w:t>剂量：可显示某个药品在本院近一个月医嘱用量统计，查看不同科室的剂量使用情况。用户只需维护药品一种给药单位的剂量审查规则，系统可自动将规则匹配到该药品其余给药单位。</w:t>
            </w:r>
          </w:p>
          <w:p w14:paraId="1C445AD5">
            <w:pPr>
              <w:pStyle w:val="11"/>
              <w:spacing w:line="360" w:lineRule="auto"/>
              <w:rPr>
                <w:rFonts w:hint="eastAsia"/>
                <w:sz w:val="24"/>
                <w:szCs w:val="24"/>
              </w:rPr>
            </w:pPr>
            <w:r>
              <w:rPr>
                <w:rFonts w:hint="eastAsia"/>
                <w:sz w:val="24"/>
                <w:szCs w:val="24"/>
              </w:rPr>
              <w:t>超多日用量：可对门、急诊处方药品、麻醉药品和精一药品超多日用量天数进行设置，可针对慢病（区分医保、自费）、非慢病处方、特殊患者分别设置用药天数，并可根据超出天数设置不同的警示级别。用户可维护参与联合审查的历史处方时间范围。针对特定药品可设置是否拆零参与审查。</w:t>
            </w:r>
          </w:p>
          <w:p w14:paraId="055D6145">
            <w:pPr>
              <w:pStyle w:val="11"/>
              <w:spacing w:line="360" w:lineRule="auto"/>
              <w:rPr>
                <w:rFonts w:hint="eastAsia"/>
                <w:sz w:val="24"/>
                <w:szCs w:val="24"/>
              </w:rPr>
            </w:pPr>
            <w:r>
              <w:rPr>
                <w:rFonts w:hint="eastAsia"/>
                <w:sz w:val="24"/>
                <w:szCs w:val="24"/>
              </w:rPr>
              <w:t>体外注射剂配伍：可设置小剂量胰岛素不参与体外配伍审查，具体剂量标准可由用户自行设置。</w:t>
            </w:r>
          </w:p>
          <w:p w14:paraId="6A6936E8">
            <w:pPr>
              <w:pStyle w:val="11"/>
              <w:spacing w:line="360" w:lineRule="auto"/>
              <w:rPr>
                <w:rFonts w:hint="eastAsia"/>
                <w:sz w:val="24"/>
                <w:szCs w:val="24"/>
              </w:rPr>
            </w:pPr>
            <w:r>
              <w:rPr>
                <w:rFonts w:hint="eastAsia"/>
                <w:sz w:val="24"/>
                <w:szCs w:val="24"/>
              </w:rPr>
              <w:t>妊娠用药：提供多元化妊娠状态判断方式，可设置妊娠状态判断优先级。</w:t>
            </w:r>
          </w:p>
          <w:p w14:paraId="616C4DE0">
            <w:pPr>
              <w:pStyle w:val="11"/>
              <w:spacing w:line="360" w:lineRule="auto"/>
              <w:rPr>
                <w:rFonts w:hint="eastAsia"/>
                <w:sz w:val="24"/>
                <w:szCs w:val="24"/>
              </w:rPr>
            </w:pPr>
            <w:r>
              <w:rPr>
                <w:rFonts w:hint="eastAsia"/>
                <w:sz w:val="24"/>
                <w:szCs w:val="24"/>
              </w:rPr>
              <w:t>可设置应激性溃疡风险的预警规则；设置可预防使用质子泵抑制剂的手术、质子泵抑制剂药品及术后质子泵抑制剂用药疗程；</w:t>
            </w:r>
          </w:p>
          <w:p w14:paraId="12F48449">
            <w:pPr>
              <w:pStyle w:val="11"/>
              <w:spacing w:line="360" w:lineRule="auto"/>
              <w:rPr>
                <w:rFonts w:hint="eastAsia"/>
                <w:sz w:val="24"/>
                <w:szCs w:val="24"/>
              </w:rPr>
            </w:pPr>
            <w:r>
              <w:rPr>
                <w:rFonts w:hint="eastAsia"/>
                <w:sz w:val="24"/>
                <w:szCs w:val="24"/>
              </w:rPr>
              <w:t>用户可维护医院协定方及对应证型；</w:t>
            </w:r>
          </w:p>
          <w:p w14:paraId="4983AC4D">
            <w:pPr>
              <w:pStyle w:val="11"/>
              <w:spacing w:line="360" w:lineRule="auto"/>
              <w:rPr>
                <w:rFonts w:hint="eastAsia"/>
                <w:sz w:val="24"/>
                <w:szCs w:val="24"/>
              </w:rPr>
            </w:pPr>
            <w:r>
              <w:rPr>
                <w:rFonts w:hint="eastAsia"/>
                <w:sz w:val="24"/>
                <w:szCs w:val="24"/>
              </w:rPr>
              <w:t>用户可设置抗肿瘤药物过敏反应预防药品品种。</w:t>
            </w:r>
          </w:p>
          <w:p w14:paraId="5B75E043">
            <w:pPr>
              <w:pStyle w:val="11"/>
              <w:spacing w:line="360" w:lineRule="auto"/>
              <w:rPr>
                <w:rFonts w:hint="eastAsia"/>
                <w:sz w:val="24"/>
                <w:szCs w:val="24"/>
              </w:rPr>
            </w:pPr>
            <w:r>
              <w:rPr>
                <w:rFonts w:hint="eastAsia"/>
                <w:sz w:val="24"/>
                <w:szCs w:val="24"/>
              </w:rPr>
              <w:t>用户可设置质子泵抑制药、抗菌药物用药评估单模板。</w:t>
            </w:r>
          </w:p>
          <w:p w14:paraId="54293F75">
            <w:pPr>
              <w:pStyle w:val="11"/>
              <w:spacing w:line="360" w:lineRule="auto"/>
              <w:rPr>
                <w:rFonts w:hint="eastAsia"/>
                <w:sz w:val="24"/>
                <w:szCs w:val="24"/>
              </w:rPr>
            </w:pPr>
            <w:r>
              <w:rPr>
                <w:rFonts w:hint="eastAsia"/>
                <w:sz w:val="24"/>
                <w:szCs w:val="24"/>
              </w:rPr>
              <w:t>规则复制功能：系统支持将其它药品已有的自定义规则分模块复制到被选择的药品上。</w:t>
            </w:r>
          </w:p>
          <w:p w14:paraId="4D745288">
            <w:pPr>
              <w:pStyle w:val="11"/>
              <w:spacing w:line="360" w:lineRule="auto"/>
              <w:rPr>
                <w:rFonts w:hint="eastAsia"/>
                <w:sz w:val="24"/>
                <w:szCs w:val="24"/>
              </w:rPr>
            </w:pPr>
            <w:r>
              <w:rPr>
                <w:rFonts w:hint="eastAsia"/>
                <w:sz w:val="24"/>
                <w:szCs w:val="24"/>
              </w:rPr>
              <w:t>▲豁免对象：可根据药品、医生、科室、患者年龄、手术信息、医嘱备注等条件设置特定对象不参与某些模块审查，并可按照模块查看对各种豁免情况的统计。</w:t>
            </w:r>
          </w:p>
          <w:p w14:paraId="028EFBE2">
            <w:pPr>
              <w:pStyle w:val="11"/>
              <w:spacing w:line="360" w:lineRule="auto"/>
              <w:rPr>
                <w:rFonts w:hint="eastAsia"/>
                <w:sz w:val="24"/>
                <w:szCs w:val="24"/>
              </w:rPr>
            </w:pPr>
            <w:r>
              <w:rPr>
                <w:rFonts w:hint="eastAsia"/>
                <w:sz w:val="24"/>
                <w:szCs w:val="24"/>
              </w:rPr>
              <w:t xml:space="preserve">自定义规则查询：可查询药品、科室以及各模块的自定义规则。 </w:t>
            </w:r>
          </w:p>
        </w:tc>
      </w:tr>
      <w:tr w14:paraId="3504E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3B9E7A02">
            <w:pPr>
              <w:pStyle w:val="11"/>
              <w:spacing w:line="360" w:lineRule="auto"/>
              <w:jc w:val="center"/>
              <w:rPr>
                <w:rFonts w:hint="eastAsia"/>
                <w:sz w:val="24"/>
                <w:szCs w:val="24"/>
              </w:rPr>
            </w:pPr>
            <w:r>
              <w:rPr>
                <w:rFonts w:hint="eastAsia"/>
                <w:sz w:val="24"/>
                <w:szCs w:val="24"/>
              </w:rPr>
              <w:t>9</w:t>
            </w:r>
          </w:p>
        </w:tc>
        <w:tc>
          <w:tcPr>
            <w:tcW w:w="1748" w:type="dxa"/>
            <w:vAlign w:val="center"/>
          </w:tcPr>
          <w:p w14:paraId="49BB7B7D">
            <w:pPr>
              <w:pStyle w:val="11"/>
              <w:spacing w:line="360" w:lineRule="auto"/>
              <w:rPr>
                <w:rFonts w:hint="eastAsia"/>
                <w:sz w:val="24"/>
                <w:szCs w:val="24"/>
              </w:rPr>
            </w:pPr>
            <w:r>
              <w:rPr>
                <w:rFonts w:hint="eastAsia"/>
                <w:sz w:val="24"/>
                <w:szCs w:val="24"/>
              </w:rPr>
              <w:t>统计分析功能</w:t>
            </w:r>
          </w:p>
        </w:tc>
        <w:tc>
          <w:tcPr>
            <w:tcW w:w="6033" w:type="dxa"/>
            <w:vAlign w:val="center"/>
          </w:tcPr>
          <w:p w14:paraId="387D3F4E">
            <w:pPr>
              <w:pStyle w:val="11"/>
              <w:spacing w:line="360" w:lineRule="auto"/>
              <w:rPr>
                <w:rFonts w:hint="eastAsia"/>
                <w:sz w:val="24"/>
                <w:szCs w:val="24"/>
              </w:rPr>
            </w:pPr>
            <w:r>
              <w:rPr>
                <w:rFonts w:hint="eastAsia"/>
                <w:sz w:val="24"/>
                <w:szCs w:val="24"/>
              </w:rPr>
              <w:t>问题处方（医嘱）保存、查询，以及不合理问题统计分析。</w:t>
            </w:r>
          </w:p>
          <w:p w14:paraId="37F26575">
            <w:pPr>
              <w:pStyle w:val="11"/>
              <w:spacing w:line="360" w:lineRule="auto"/>
              <w:rPr>
                <w:rFonts w:hint="eastAsia"/>
                <w:sz w:val="24"/>
                <w:szCs w:val="24"/>
              </w:rPr>
            </w:pPr>
            <w:r>
              <w:rPr>
                <w:rFonts w:hint="eastAsia"/>
                <w:sz w:val="24"/>
                <w:szCs w:val="24"/>
              </w:rPr>
              <w:t>提供不合理问题评估功能，便于药师在做回顾性分析时对已评估的问题做记录。</w:t>
            </w:r>
          </w:p>
          <w:p w14:paraId="692B1656">
            <w:pPr>
              <w:pStyle w:val="11"/>
              <w:spacing w:line="360" w:lineRule="auto"/>
              <w:rPr>
                <w:rFonts w:hint="eastAsia"/>
                <w:sz w:val="24"/>
                <w:szCs w:val="24"/>
              </w:rPr>
            </w:pPr>
            <w:r>
              <w:rPr>
                <w:rFonts w:hint="eastAsia"/>
                <w:sz w:val="24"/>
                <w:szCs w:val="24"/>
              </w:rPr>
              <w:t>用药理由统计</w:t>
            </w:r>
          </w:p>
        </w:tc>
      </w:tr>
      <w:tr w14:paraId="2A3BF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17974099">
            <w:pPr>
              <w:pStyle w:val="11"/>
              <w:spacing w:line="360" w:lineRule="auto"/>
              <w:jc w:val="center"/>
              <w:rPr>
                <w:rFonts w:hint="eastAsia"/>
                <w:sz w:val="24"/>
                <w:szCs w:val="24"/>
              </w:rPr>
            </w:pPr>
            <w:r>
              <w:rPr>
                <w:rFonts w:hint="eastAsia"/>
                <w:sz w:val="24"/>
                <w:szCs w:val="24"/>
              </w:rPr>
              <w:t>10</w:t>
            </w:r>
          </w:p>
        </w:tc>
        <w:tc>
          <w:tcPr>
            <w:tcW w:w="1748" w:type="dxa"/>
            <w:vAlign w:val="center"/>
          </w:tcPr>
          <w:p w14:paraId="2095E46F">
            <w:pPr>
              <w:pStyle w:val="11"/>
              <w:spacing w:line="360" w:lineRule="auto"/>
              <w:rPr>
                <w:rFonts w:hint="eastAsia"/>
                <w:sz w:val="24"/>
                <w:szCs w:val="24"/>
              </w:rPr>
            </w:pPr>
            <w:r>
              <w:rPr>
                <w:rFonts w:hint="eastAsia"/>
                <w:sz w:val="24"/>
                <w:szCs w:val="24"/>
              </w:rPr>
              <w:t>通讯功能</w:t>
            </w:r>
          </w:p>
        </w:tc>
        <w:tc>
          <w:tcPr>
            <w:tcW w:w="6033" w:type="dxa"/>
            <w:vAlign w:val="center"/>
          </w:tcPr>
          <w:p w14:paraId="3169284D">
            <w:pPr>
              <w:pStyle w:val="11"/>
              <w:spacing w:line="360" w:lineRule="auto"/>
              <w:rPr>
                <w:rFonts w:hint="eastAsia"/>
                <w:b/>
                <w:bCs/>
                <w:sz w:val="24"/>
                <w:szCs w:val="24"/>
              </w:rPr>
            </w:pPr>
            <w:r>
              <w:rPr>
                <w:rFonts w:hint="eastAsia"/>
                <w:sz w:val="24"/>
                <w:szCs w:val="24"/>
              </w:rPr>
              <w:t>系统应提供药师和医生的在线沟通平台，提供截图、发送图片、文件传输、消息撤回、消息已读提示功能。</w:t>
            </w:r>
          </w:p>
        </w:tc>
      </w:tr>
    </w:tbl>
    <w:p w14:paraId="58B57204">
      <w:pPr>
        <w:spacing w:line="360" w:lineRule="auto"/>
        <w:rPr>
          <w:rFonts w:hint="eastAsia" w:ascii="宋体" w:hAnsi="宋体" w:cs="宋体"/>
          <w:sz w:val="24"/>
        </w:rPr>
      </w:pPr>
    </w:p>
    <w:p w14:paraId="43E3F08C">
      <w:pPr>
        <w:pStyle w:val="3"/>
        <w:spacing w:line="360" w:lineRule="auto"/>
        <w:rPr>
          <w:rFonts w:hint="eastAsia" w:hAnsi="宋体" w:cs="宋体"/>
          <w:szCs w:val="24"/>
          <w:u w:val="none"/>
        </w:rPr>
      </w:pPr>
      <w:r>
        <w:rPr>
          <w:rFonts w:hint="eastAsia" w:hAnsi="宋体" w:cs="宋体"/>
          <w:szCs w:val="24"/>
          <w:u w:val="none"/>
        </w:rPr>
        <w:t>3.9 临床药学（处方点评）技术要求</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8"/>
        <w:gridCol w:w="1748"/>
        <w:gridCol w:w="6033"/>
      </w:tblGrid>
      <w:tr w14:paraId="39BD5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1A9016AF">
            <w:pPr>
              <w:pStyle w:val="11"/>
              <w:spacing w:line="360" w:lineRule="auto"/>
              <w:jc w:val="center"/>
              <w:rPr>
                <w:rFonts w:hint="eastAsia"/>
                <w:b/>
                <w:bCs/>
                <w:sz w:val="24"/>
                <w:szCs w:val="24"/>
              </w:rPr>
            </w:pPr>
            <w:r>
              <w:rPr>
                <w:rFonts w:hint="eastAsia"/>
                <w:b/>
                <w:bCs/>
                <w:sz w:val="24"/>
                <w:szCs w:val="24"/>
              </w:rPr>
              <w:t>序号</w:t>
            </w:r>
          </w:p>
        </w:tc>
        <w:tc>
          <w:tcPr>
            <w:tcW w:w="1748" w:type="dxa"/>
            <w:vAlign w:val="center"/>
          </w:tcPr>
          <w:p w14:paraId="24C2F9AA">
            <w:pPr>
              <w:pStyle w:val="11"/>
              <w:spacing w:line="360" w:lineRule="auto"/>
              <w:jc w:val="center"/>
              <w:rPr>
                <w:rFonts w:hint="eastAsia"/>
                <w:b/>
                <w:bCs/>
                <w:sz w:val="24"/>
                <w:szCs w:val="24"/>
              </w:rPr>
            </w:pPr>
            <w:r>
              <w:rPr>
                <w:rFonts w:hint="eastAsia"/>
                <w:b/>
                <w:bCs/>
                <w:sz w:val="24"/>
                <w:szCs w:val="24"/>
              </w:rPr>
              <w:t>功能类别</w:t>
            </w:r>
          </w:p>
        </w:tc>
        <w:tc>
          <w:tcPr>
            <w:tcW w:w="6033" w:type="dxa"/>
            <w:vAlign w:val="center"/>
          </w:tcPr>
          <w:p w14:paraId="66F0AA2D">
            <w:pPr>
              <w:pStyle w:val="11"/>
              <w:spacing w:line="360" w:lineRule="auto"/>
              <w:jc w:val="center"/>
              <w:rPr>
                <w:rFonts w:hint="eastAsia"/>
                <w:b/>
                <w:bCs/>
                <w:sz w:val="24"/>
                <w:szCs w:val="24"/>
              </w:rPr>
            </w:pPr>
            <w:r>
              <w:rPr>
                <w:rFonts w:hint="eastAsia"/>
                <w:b/>
                <w:bCs/>
                <w:sz w:val="24"/>
                <w:szCs w:val="24"/>
              </w:rPr>
              <w:t>功能指标要求</w:t>
            </w:r>
          </w:p>
        </w:tc>
      </w:tr>
      <w:tr w14:paraId="5C65E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vAlign w:val="center"/>
          </w:tcPr>
          <w:p w14:paraId="30761265">
            <w:pPr>
              <w:pStyle w:val="11"/>
              <w:spacing w:line="360" w:lineRule="auto"/>
              <w:jc w:val="center"/>
              <w:rPr>
                <w:rFonts w:hint="eastAsia"/>
                <w:sz w:val="24"/>
                <w:szCs w:val="24"/>
              </w:rPr>
            </w:pPr>
            <w:r>
              <w:rPr>
                <w:rFonts w:hint="eastAsia"/>
                <w:sz w:val="24"/>
                <w:szCs w:val="24"/>
              </w:rPr>
              <w:t>1</w:t>
            </w:r>
          </w:p>
        </w:tc>
        <w:tc>
          <w:tcPr>
            <w:tcW w:w="1748" w:type="dxa"/>
            <w:tcBorders>
              <w:top w:val="single" w:color="auto" w:sz="4" w:space="0"/>
              <w:left w:val="single" w:color="auto" w:sz="4" w:space="0"/>
              <w:bottom w:val="single" w:color="auto" w:sz="4" w:space="0"/>
              <w:right w:val="single" w:color="auto" w:sz="4" w:space="0"/>
            </w:tcBorders>
            <w:vAlign w:val="center"/>
          </w:tcPr>
          <w:p w14:paraId="3CAC7C44">
            <w:pPr>
              <w:pStyle w:val="11"/>
              <w:spacing w:line="360" w:lineRule="auto"/>
              <w:rPr>
                <w:rFonts w:hint="eastAsia"/>
                <w:sz w:val="24"/>
                <w:szCs w:val="24"/>
              </w:rPr>
            </w:pPr>
            <w:r>
              <w:rPr>
                <w:rFonts w:hint="eastAsia"/>
                <w:sz w:val="24"/>
                <w:szCs w:val="24"/>
              </w:rPr>
              <w:t>智慧中心</w:t>
            </w:r>
          </w:p>
        </w:tc>
        <w:tc>
          <w:tcPr>
            <w:tcW w:w="6033" w:type="dxa"/>
            <w:tcBorders>
              <w:top w:val="single" w:color="auto" w:sz="4" w:space="0"/>
              <w:left w:val="single" w:color="auto" w:sz="4" w:space="0"/>
              <w:bottom w:val="single" w:color="auto" w:sz="4" w:space="0"/>
              <w:right w:val="single" w:color="auto" w:sz="4" w:space="0"/>
            </w:tcBorders>
            <w:vAlign w:val="center"/>
          </w:tcPr>
          <w:p w14:paraId="402812CC">
            <w:pPr>
              <w:pStyle w:val="11"/>
              <w:spacing w:line="360" w:lineRule="auto"/>
              <w:rPr>
                <w:rFonts w:hint="eastAsia"/>
                <w:b/>
                <w:bCs/>
                <w:sz w:val="24"/>
                <w:szCs w:val="24"/>
              </w:rPr>
            </w:pPr>
            <w:r>
              <w:rPr>
                <w:rFonts w:hint="eastAsia"/>
                <w:sz w:val="24"/>
                <w:szCs w:val="24"/>
              </w:rPr>
              <w:t>系统主页应能显示门诊/住院点评率、合理率、住院抗菌药物使用强度、门诊基本药物占比、住院静脉输液使用率等指标。</w:t>
            </w:r>
          </w:p>
        </w:tc>
      </w:tr>
      <w:tr w14:paraId="2C87D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vAlign w:val="center"/>
          </w:tcPr>
          <w:p w14:paraId="4CE7307A">
            <w:pPr>
              <w:pStyle w:val="11"/>
              <w:spacing w:line="360" w:lineRule="auto"/>
              <w:jc w:val="center"/>
              <w:rPr>
                <w:rFonts w:hint="eastAsia"/>
                <w:sz w:val="24"/>
                <w:szCs w:val="24"/>
              </w:rPr>
            </w:pPr>
            <w:r>
              <w:rPr>
                <w:rFonts w:hint="eastAsia"/>
                <w:sz w:val="24"/>
                <w:szCs w:val="24"/>
              </w:rPr>
              <w:t>2</w:t>
            </w:r>
          </w:p>
        </w:tc>
        <w:tc>
          <w:tcPr>
            <w:tcW w:w="1748" w:type="dxa"/>
            <w:tcBorders>
              <w:top w:val="single" w:color="auto" w:sz="4" w:space="0"/>
              <w:left w:val="single" w:color="auto" w:sz="4" w:space="0"/>
              <w:bottom w:val="single" w:color="auto" w:sz="4" w:space="0"/>
              <w:right w:val="single" w:color="auto" w:sz="4" w:space="0"/>
            </w:tcBorders>
            <w:vAlign w:val="center"/>
          </w:tcPr>
          <w:p w14:paraId="5C3B9A2D">
            <w:pPr>
              <w:pStyle w:val="11"/>
              <w:spacing w:line="360" w:lineRule="auto"/>
              <w:rPr>
                <w:rFonts w:hint="eastAsia"/>
                <w:sz w:val="24"/>
                <w:szCs w:val="24"/>
              </w:rPr>
            </w:pPr>
            <w:r>
              <w:rPr>
                <w:rFonts w:hint="eastAsia"/>
                <w:sz w:val="24"/>
                <w:szCs w:val="24"/>
              </w:rPr>
              <w:t>读取和查看病人信息</w:t>
            </w:r>
          </w:p>
        </w:tc>
        <w:tc>
          <w:tcPr>
            <w:tcW w:w="6033" w:type="dxa"/>
            <w:tcBorders>
              <w:top w:val="single" w:color="auto" w:sz="4" w:space="0"/>
              <w:left w:val="single" w:color="auto" w:sz="4" w:space="0"/>
              <w:bottom w:val="single" w:color="auto" w:sz="4" w:space="0"/>
              <w:right w:val="single" w:color="auto" w:sz="4" w:space="0"/>
            </w:tcBorders>
            <w:vAlign w:val="center"/>
          </w:tcPr>
          <w:p w14:paraId="759692BA">
            <w:pPr>
              <w:pStyle w:val="11"/>
              <w:spacing w:line="360" w:lineRule="auto"/>
              <w:rPr>
                <w:rFonts w:hint="eastAsia"/>
                <w:b/>
                <w:bCs/>
                <w:sz w:val="24"/>
                <w:szCs w:val="24"/>
              </w:rPr>
            </w:pPr>
            <w:r>
              <w:rPr>
                <w:rFonts w:hint="eastAsia"/>
                <w:sz w:val="24"/>
                <w:szCs w:val="24"/>
              </w:rPr>
              <w:t>系统应能筛选患者并查看患者基本信息、医嘱、诊断、检查、检验、手术、费用、会诊、病程等信息，同时能提供EMR、PACS、LIS超链接功能，帮助药师快速切换。</w:t>
            </w:r>
          </w:p>
        </w:tc>
      </w:tr>
      <w:tr w14:paraId="3318B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vAlign w:val="center"/>
          </w:tcPr>
          <w:p w14:paraId="7237A418">
            <w:pPr>
              <w:pStyle w:val="11"/>
              <w:spacing w:line="360" w:lineRule="auto"/>
              <w:jc w:val="center"/>
              <w:rPr>
                <w:rFonts w:hint="eastAsia"/>
                <w:sz w:val="24"/>
                <w:szCs w:val="24"/>
              </w:rPr>
            </w:pPr>
            <w:r>
              <w:rPr>
                <w:rFonts w:hint="eastAsia"/>
                <w:sz w:val="24"/>
                <w:szCs w:val="24"/>
              </w:rPr>
              <w:t>3</w:t>
            </w:r>
          </w:p>
        </w:tc>
        <w:tc>
          <w:tcPr>
            <w:tcW w:w="1748" w:type="dxa"/>
            <w:tcBorders>
              <w:top w:val="single" w:color="auto" w:sz="4" w:space="0"/>
              <w:left w:val="single" w:color="auto" w:sz="4" w:space="0"/>
              <w:bottom w:val="single" w:color="auto" w:sz="4" w:space="0"/>
              <w:right w:val="single" w:color="auto" w:sz="4" w:space="0"/>
            </w:tcBorders>
            <w:vAlign w:val="center"/>
          </w:tcPr>
          <w:p w14:paraId="5B9F25A7">
            <w:pPr>
              <w:pStyle w:val="11"/>
              <w:spacing w:line="360" w:lineRule="auto"/>
              <w:rPr>
                <w:rFonts w:hint="eastAsia"/>
                <w:sz w:val="24"/>
                <w:szCs w:val="24"/>
              </w:rPr>
            </w:pPr>
            <w:r>
              <w:rPr>
                <w:rFonts w:hint="eastAsia"/>
                <w:sz w:val="24"/>
                <w:szCs w:val="24"/>
              </w:rPr>
              <w:t>处方点评</w:t>
            </w:r>
          </w:p>
        </w:tc>
        <w:tc>
          <w:tcPr>
            <w:tcW w:w="6033" w:type="dxa"/>
            <w:tcBorders>
              <w:top w:val="single" w:color="auto" w:sz="4" w:space="0"/>
              <w:left w:val="single" w:color="auto" w:sz="4" w:space="0"/>
              <w:bottom w:val="single" w:color="auto" w:sz="4" w:space="0"/>
              <w:right w:val="single" w:color="auto" w:sz="4" w:space="0"/>
            </w:tcBorders>
            <w:vAlign w:val="center"/>
          </w:tcPr>
          <w:p w14:paraId="0374581B">
            <w:pPr>
              <w:pStyle w:val="11"/>
              <w:spacing w:line="360" w:lineRule="auto"/>
              <w:rPr>
                <w:rFonts w:hint="eastAsia"/>
                <w:sz w:val="24"/>
                <w:szCs w:val="24"/>
              </w:rPr>
            </w:pPr>
            <w:r>
              <w:rPr>
                <w:rFonts w:hint="eastAsia"/>
                <w:sz w:val="24"/>
                <w:szCs w:val="24"/>
              </w:rPr>
              <w:t>系统应结合国家处方点评相关政策要求，实现对处方（医嘱）电子化评价功能。</w:t>
            </w:r>
          </w:p>
          <w:p w14:paraId="2164AE85">
            <w:pPr>
              <w:pStyle w:val="11"/>
              <w:spacing w:line="360" w:lineRule="auto"/>
              <w:rPr>
                <w:rFonts w:hint="eastAsia"/>
                <w:sz w:val="24"/>
                <w:szCs w:val="24"/>
              </w:rPr>
            </w:pPr>
            <w:r>
              <w:rPr>
                <w:rFonts w:hint="eastAsia"/>
                <w:sz w:val="24"/>
                <w:szCs w:val="24"/>
              </w:rPr>
              <w:t>▲应能提供程序点评功能，包括对处方（医嘱）用药进行以下程序点评：剂量审查、给药途径审查、相互作用审查、体外注射剂配伍审查、配伍浓度审查、钾离子监测、TPN处方审查、门诊输液审查、禁忌症审查、不良反应审查、特殊人群用药审查、重复用药审查、适应症审查、药物过敏审查、药物检验值审查、规范性审查、医保审查、越权用药审查、围术期用药审查，并提供审查规则自定义功能，使得点评结果更加符合医院实际用药情况。</w:t>
            </w:r>
          </w:p>
          <w:p w14:paraId="2E87EC53">
            <w:pPr>
              <w:pStyle w:val="11"/>
              <w:spacing w:line="360" w:lineRule="auto"/>
              <w:rPr>
                <w:rFonts w:hint="eastAsia"/>
                <w:sz w:val="24"/>
                <w:szCs w:val="24"/>
              </w:rPr>
            </w:pPr>
            <w:r>
              <w:rPr>
                <w:rFonts w:hint="eastAsia"/>
                <w:sz w:val="24"/>
                <w:szCs w:val="24"/>
              </w:rPr>
              <w:t>系统应能实现点评任务分配、点评求助、点评复核、反馈医生、医生申述的闭环管理，并在医生、药师交互环节进行消息提示。点评结果反馈医生或科主任后，医生（工作站）可直接填写申述理由或确认，无需登录系统查看点评结果。</w:t>
            </w:r>
          </w:p>
          <w:p w14:paraId="2F81F4FC">
            <w:pPr>
              <w:pStyle w:val="11"/>
              <w:spacing w:line="360" w:lineRule="auto"/>
              <w:rPr>
                <w:rFonts w:hint="eastAsia"/>
                <w:sz w:val="24"/>
                <w:szCs w:val="24"/>
              </w:rPr>
            </w:pPr>
            <w:r>
              <w:rPr>
                <w:rFonts w:hint="eastAsia"/>
                <w:sz w:val="24"/>
                <w:szCs w:val="24"/>
              </w:rPr>
              <w:t xml:space="preserve">系统应提供双盲点评设置、医生处理点评结果逾期设置、增补处方或病人、高亮显示被点评药品功能，方便药师点评。 </w:t>
            </w:r>
          </w:p>
          <w:p w14:paraId="27A0304E">
            <w:pPr>
              <w:pStyle w:val="11"/>
              <w:spacing w:line="360" w:lineRule="auto"/>
              <w:rPr>
                <w:rFonts w:hint="eastAsia"/>
                <w:sz w:val="24"/>
                <w:szCs w:val="24"/>
              </w:rPr>
            </w:pPr>
            <w:r>
              <w:rPr>
                <w:rFonts w:hint="eastAsia"/>
                <w:sz w:val="24"/>
                <w:szCs w:val="24"/>
              </w:rPr>
              <w:t>系统应能自定义点评模板及点评点，实现个性化点评需求。</w:t>
            </w:r>
          </w:p>
          <w:p w14:paraId="4769E21F">
            <w:pPr>
              <w:pStyle w:val="11"/>
              <w:spacing w:line="360" w:lineRule="auto"/>
              <w:rPr>
                <w:rFonts w:hint="eastAsia"/>
                <w:sz w:val="24"/>
                <w:szCs w:val="24"/>
              </w:rPr>
            </w:pPr>
            <w:r>
              <w:rPr>
                <w:rFonts w:hint="eastAsia"/>
                <w:sz w:val="24"/>
                <w:szCs w:val="24"/>
              </w:rPr>
              <w:t>系统应能自动生成住院患者用药联用图、时序图，并支持自定义。住院患者时序图包含患者体征、用药、手术和检验信息等内容。</w:t>
            </w:r>
          </w:p>
          <w:p w14:paraId="4414AB88">
            <w:pPr>
              <w:pStyle w:val="11"/>
              <w:spacing w:line="360" w:lineRule="auto"/>
              <w:rPr>
                <w:rFonts w:hint="eastAsia"/>
                <w:sz w:val="24"/>
                <w:szCs w:val="24"/>
              </w:rPr>
            </w:pPr>
            <w:r>
              <w:rPr>
                <w:rFonts w:hint="eastAsia"/>
                <w:sz w:val="24"/>
                <w:szCs w:val="24"/>
              </w:rPr>
              <w:t>系统应能自动生成点评相关报表及任务完成情况等管理报表。</w:t>
            </w:r>
          </w:p>
          <w:p w14:paraId="68056C4D">
            <w:pPr>
              <w:pStyle w:val="11"/>
              <w:spacing w:line="360" w:lineRule="auto"/>
              <w:rPr>
                <w:rFonts w:hint="eastAsia"/>
                <w:sz w:val="24"/>
                <w:szCs w:val="24"/>
              </w:rPr>
            </w:pPr>
            <w:r>
              <w:rPr>
                <w:rFonts w:hint="eastAsia"/>
                <w:sz w:val="24"/>
                <w:szCs w:val="24"/>
              </w:rPr>
              <w:t>3.7 系统应包含全处方点评、全医嘱点评、门急诊/住院抗菌药物专项点评、围手术期抗菌药物专项点评、门急诊/住院专项药品点评、门急诊/住院抗肿瘤药物专项点评、住院病人特殊级抗菌药物专项点评、住院病人碳青霉烯类及替加环素专项点评、住院病人人血白蛋白专项点评、门（急）诊/住院中药饮片专项点评、门（急）诊中成药处方专项点评、用药排名医嘱点评、住院用药医嘱点评、出院带药医嘱点评、门（急）诊基本药物专项点评、住院病人肠外营养专项点评、住院病人自备药专项点评、门（急）诊外延处方点评。</w:t>
            </w:r>
          </w:p>
        </w:tc>
      </w:tr>
      <w:tr w14:paraId="16ADC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vAlign w:val="center"/>
          </w:tcPr>
          <w:p w14:paraId="55F39AFD">
            <w:pPr>
              <w:pStyle w:val="11"/>
              <w:spacing w:line="360" w:lineRule="auto"/>
              <w:jc w:val="center"/>
              <w:rPr>
                <w:rFonts w:hint="eastAsia"/>
                <w:sz w:val="24"/>
                <w:szCs w:val="24"/>
              </w:rPr>
            </w:pPr>
            <w:r>
              <w:rPr>
                <w:rFonts w:hint="eastAsia"/>
                <w:sz w:val="24"/>
                <w:szCs w:val="24"/>
              </w:rPr>
              <w:t>4</w:t>
            </w:r>
          </w:p>
        </w:tc>
        <w:tc>
          <w:tcPr>
            <w:tcW w:w="1748" w:type="dxa"/>
            <w:tcBorders>
              <w:top w:val="single" w:color="auto" w:sz="4" w:space="0"/>
              <w:left w:val="single" w:color="auto" w:sz="4" w:space="0"/>
              <w:bottom w:val="single" w:color="auto" w:sz="4" w:space="0"/>
              <w:right w:val="single" w:color="auto" w:sz="4" w:space="0"/>
            </w:tcBorders>
            <w:vAlign w:val="center"/>
          </w:tcPr>
          <w:p w14:paraId="7D8DB7B2">
            <w:pPr>
              <w:pStyle w:val="11"/>
              <w:spacing w:line="360" w:lineRule="auto"/>
              <w:rPr>
                <w:rFonts w:hint="eastAsia"/>
                <w:sz w:val="24"/>
                <w:szCs w:val="24"/>
              </w:rPr>
            </w:pPr>
            <w:r>
              <w:rPr>
                <w:rFonts w:hint="eastAsia"/>
                <w:sz w:val="24"/>
                <w:szCs w:val="24"/>
              </w:rPr>
              <w:t>抗菌药物临床应用监测</w:t>
            </w:r>
          </w:p>
        </w:tc>
        <w:tc>
          <w:tcPr>
            <w:tcW w:w="6033" w:type="dxa"/>
            <w:tcBorders>
              <w:top w:val="single" w:color="auto" w:sz="4" w:space="0"/>
              <w:left w:val="single" w:color="auto" w:sz="4" w:space="0"/>
              <w:bottom w:val="single" w:color="auto" w:sz="4" w:space="0"/>
              <w:right w:val="single" w:color="auto" w:sz="4" w:space="0"/>
            </w:tcBorders>
            <w:vAlign w:val="center"/>
          </w:tcPr>
          <w:p w14:paraId="40CD150F">
            <w:pPr>
              <w:pStyle w:val="11"/>
              <w:spacing w:line="360" w:lineRule="auto"/>
              <w:rPr>
                <w:rFonts w:hint="eastAsia"/>
                <w:sz w:val="24"/>
                <w:szCs w:val="24"/>
              </w:rPr>
            </w:pPr>
            <w:r>
              <w:rPr>
                <w:rFonts w:hint="eastAsia"/>
                <w:sz w:val="24"/>
                <w:szCs w:val="24"/>
              </w:rPr>
              <w:t>系统应根据卫生部《抗菌药物临床应用监测方案》中的相关规定，完成抗菌药物临床应用监测网要求的抗菌药物使用情况统计及上报工作。系统应提供手术/非手术抗菌药物使用情况调查表、门诊/急诊处方用药情况、住院患者抗菌药物使用情况统计报表的离线上报功能，可直接上传文档至监测网完成填报工作，避免二次填写。</w:t>
            </w:r>
          </w:p>
        </w:tc>
      </w:tr>
      <w:tr w14:paraId="7F314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vAlign w:val="center"/>
          </w:tcPr>
          <w:p w14:paraId="22EFEDA0">
            <w:pPr>
              <w:pStyle w:val="11"/>
              <w:spacing w:line="360" w:lineRule="auto"/>
              <w:jc w:val="center"/>
              <w:rPr>
                <w:rFonts w:hint="eastAsia"/>
                <w:sz w:val="24"/>
                <w:szCs w:val="24"/>
              </w:rPr>
            </w:pPr>
            <w:r>
              <w:rPr>
                <w:rFonts w:hint="eastAsia"/>
                <w:sz w:val="24"/>
                <w:szCs w:val="24"/>
              </w:rPr>
              <w:t>5</w:t>
            </w:r>
          </w:p>
        </w:tc>
        <w:tc>
          <w:tcPr>
            <w:tcW w:w="1748" w:type="dxa"/>
            <w:tcBorders>
              <w:top w:val="single" w:color="auto" w:sz="4" w:space="0"/>
              <w:left w:val="single" w:color="auto" w:sz="4" w:space="0"/>
              <w:bottom w:val="single" w:color="auto" w:sz="4" w:space="0"/>
              <w:right w:val="single" w:color="auto" w:sz="4" w:space="0"/>
            </w:tcBorders>
            <w:vAlign w:val="center"/>
          </w:tcPr>
          <w:p w14:paraId="697BD00A">
            <w:pPr>
              <w:pStyle w:val="11"/>
              <w:spacing w:line="360" w:lineRule="auto"/>
              <w:rPr>
                <w:rFonts w:hint="eastAsia"/>
                <w:sz w:val="24"/>
                <w:szCs w:val="24"/>
              </w:rPr>
            </w:pPr>
            <w:r>
              <w:rPr>
                <w:rFonts w:hint="eastAsia"/>
                <w:sz w:val="24"/>
                <w:szCs w:val="24"/>
              </w:rPr>
              <w:t>电子药历</w:t>
            </w:r>
          </w:p>
        </w:tc>
        <w:tc>
          <w:tcPr>
            <w:tcW w:w="6033" w:type="dxa"/>
            <w:tcBorders>
              <w:top w:val="single" w:color="auto" w:sz="4" w:space="0"/>
              <w:left w:val="single" w:color="auto" w:sz="4" w:space="0"/>
              <w:bottom w:val="single" w:color="auto" w:sz="4" w:space="0"/>
              <w:right w:val="single" w:color="auto" w:sz="4" w:space="0"/>
            </w:tcBorders>
            <w:vAlign w:val="center"/>
          </w:tcPr>
          <w:p w14:paraId="4DE90352">
            <w:pPr>
              <w:pStyle w:val="11"/>
              <w:spacing w:line="360" w:lineRule="auto"/>
              <w:rPr>
                <w:rFonts w:hint="eastAsia"/>
                <w:sz w:val="24"/>
                <w:szCs w:val="24"/>
              </w:rPr>
            </w:pPr>
            <w:r>
              <w:rPr>
                <w:rFonts w:hint="eastAsia"/>
                <w:sz w:val="24"/>
                <w:szCs w:val="24"/>
              </w:rPr>
              <w:t>系统应提供工作药历、教学药历、查房记录填写模块，同时允许用户自定义药历的显示内容。系统应提供药历提交、审阅、退回、导出流程。应提供工作量统计，按时间段分别统计药历书写量及药历审阅量。</w:t>
            </w:r>
          </w:p>
        </w:tc>
      </w:tr>
      <w:tr w14:paraId="4D226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vAlign w:val="center"/>
          </w:tcPr>
          <w:p w14:paraId="213DE629">
            <w:pPr>
              <w:pStyle w:val="11"/>
              <w:spacing w:line="360" w:lineRule="auto"/>
              <w:jc w:val="center"/>
              <w:rPr>
                <w:rFonts w:hint="eastAsia"/>
                <w:sz w:val="24"/>
                <w:szCs w:val="24"/>
              </w:rPr>
            </w:pPr>
            <w:r>
              <w:rPr>
                <w:rFonts w:hint="eastAsia"/>
                <w:sz w:val="24"/>
                <w:szCs w:val="24"/>
              </w:rPr>
              <w:t>6</w:t>
            </w:r>
          </w:p>
        </w:tc>
        <w:tc>
          <w:tcPr>
            <w:tcW w:w="1748" w:type="dxa"/>
            <w:tcBorders>
              <w:top w:val="single" w:color="auto" w:sz="4" w:space="0"/>
              <w:left w:val="single" w:color="auto" w:sz="4" w:space="0"/>
              <w:bottom w:val="single" w:color="auto" w:sz="4" w:space="0"/>
              <w:right w:val="single" w:color="auto" w:sz="4" w:space="0"/>
            </w:tcBorders>
            <w:vAlign w:val="center"/>
          </w:tcPr>
          <w:p w14:paraId="5EB36911">
            <w:pPr>
              <w:pStyle w:val="11"/>
              <w:spacing w:line="360" w:lineRule="auto"/>
              <w:rPr>
                <w:rFonts w:hint="eastAsia"/>
                <w:sz w:val="24"/>
                <w:szCs w:val="24"/>
              </w:rPr>
            </w:pPr>
            <w:r>
              <w:rPr>
                <w:rFonts w:hint="eastAsia"/>
                <w:sz w:val="24"/>
                <w:szCs w:val="24"/>
              </w:rPr>
              <w:t>统计分析</w:t>
            </w:r>
          </w:p>
        </w:tc>
        <w:tc>
          <w:tcPr>
            <w:tcW w:w="6033" w:type="dxa"/>
            <w:tcBorders>
              <w:top w:val="single" w:color="auto" w:sz="4" w:space="0"/>
              <w:left w:val="single" w:color="auto" w:sz="4" w:space="0"/>
              <w:bottom w:val="single" w:color="auto" w:sz="4" w:space="0"/>
              <w:right w:val="single" w:color="auto" w:sz="4" w:space="0"/>
            </w:tcBorders>
            <w:vAlign w:val="center"/>
          </w:tcPr>
          <w:p w14:paraId="23D29788">
            <w:pPr>
              <w:pStyle w:val="11"/>
              <w:spacing w:line="360" w:lineRule="auto"/>
              <w:rPr>
                <w:rFonts w:hint="eastAsia"/>
                <w:sz w:val="24"/>
                <w:szCs w:val="24"/>
              </w:rPr>
            </w:pPr>
            <w:r>
              <w:rPr>
                <w:rFonts w:hint="eastAsia"/>
                <w:sz w:val="24"/>
                <w:szCs w:val="24"/>
              </w:rPr>
              <w:t>系统应提供对医院合理用药指标及药品使用情况的统计分析，并能自定义显示和导出。同时提供关键字检索功能，便于快速查询指标。</w:t>
            </w:r>
          </w:p>
          <w:p w14:paraId="610BF487">
            <w:pPr>
              <w:pStyle w:val="11"/>
              <w:spacing w:line="360" w:lineRule="auto"/>
              <w:rPr>
                <w:rFonts w:hint="eastAsia"/>
                <w:sz w:val="24"/>
                <w:szCs w:val="24"/>
              </w:rPr>
            </w:pPr>
            <w:r>
              <w:rPr>
                <w:rFonts w:hint="eastAsia"/>
                <w:sz w:val="24"/>
                <w:szCs w:val="24"/>
              </w:rPr>
              <w:t>合理用药指标及趋势分析，包括：抗菌药物使用率、平均用药品种数、注射剂使用率、抗菌药物患者使用前病原送检率、X类切口手术预防用抗菌药物百分率、X类切口手术术前0.5-1.0小时预防给药百分率等。应能按全院、大科室、科室、医疗组、医生分别提供合理用药相关指标的统计，并能将合理用药指标重新组合并生成新的报表。应能实现抗菌药物使用强度、抗菌药物使用率、抗菌药物使用量、I类切口手术预防用抗菌药物百分率、国家基本药物药占比同比、环比分析。</w:t>
            </w:r>
          </w:p>
          <w:p w14:paraId="22B0BAC2">
            <w:pPr>
              <w:pStyle w:val="11"/>
              <w:spacing w:line="360" w:lineRule="auto"/>
              <w:rPr>
                <w:rFonts w:hint="eastAsia"/>
                <w:sz w:val="24"/>
                <w:szCs w:val="24"/>
              </w:rPr>
            </w:pPr>
            <w:r>
              <w:rPr>
                <w:rFonts w:hint="eastAsia"/>
                <w:sz w:val="24"/>
                <w:szCs w:val="24"/>
              </w:rPr>
              <w:t>自定义合理用药指标</w:t>
            </w:r>
          </w:p>
          <w:p w14:paraId="70F9648A">
            <w:pPr>
              <w:pStyle w:val="11"/>
              <w:spacing w:line="360" w:lineRule="auto"/>
              <w:rPr>
                <w:rFonts w:hint="eastAsia"/>
                <w:sz w:val="24"/>
                <w:szCs w:val="24"/>
              </w:rPr>
            </w:pPr>
            <w:r>
              <w:rPr>
                <w:rFonts w:hint="eastAsia"/>
                <w:sz w:val="24"/>
                <w:szCs w:val="24"/>
              </w:rPr>
              <w:t>系统应提供自定义合理用药指标功能，可自行设置指标分子、分母进行统计。自定义要素包含药品、治疗金额、药品金额、处方数、病人数、药品品种数、使用量DDDs、人天数、用药医嘱条目数。</w:t>
            </w:r>
          </w:p>
          <w:p w14:paraId="2A92E796">
            <w:pPr>
              <w:pStyle w:val="11"/>
              <w:spacing w:line="360" w:lineRule="auto"/>
              <w:rPr>
                <w:rFonts w:hint="eastAsia"/>
                <w:sz w:val="24"/>
                <w:szCs w:val="24"/>
              </w:rPr>
            </w:pPr>
            <w:r>
              <w:rPr>
                <w:rFonts w:hint="eastAsia"/>
                <w:sz w:val="24"/>
                <w:szCs w:val="24"/>
              </w:rPr>
              <w:t>药品使用强度统计</w:t>
            </w:r>
          </w:p>
          <w:p w14:paraId="60CB3D3B">
            <w:pPr>
              <w:pStyle w:val="11"/>
              <w:spacing w:line="360" w:lineRule="auto"/>
              <w:rPr>
                <w:rFonts w:hint="eastAsia"/>
                <w:sz w:val="24"/>
                <w:szCs w:val="24"/>
              </w:rPr>
            </w:pPr>
            <w:r>
              <w:rPr>
                <w:rFonts w:hint="eastAsia"/>
                <w:sz w:val="24"/>
                <w:szCs w:val="24"/>
              </w:rPr>
              <w:t>药品金额、数量、DDDs统计</w:t>
            </w:r>
          </w:p>
          <w:p w14:paraId="6FF8F52B">
            <w:pPr>
              <w:pStyle w:val="11"/>
              <w:spacing w:line="360" w:lineRule="auto"/>
              <w:rPr>
                <w:rFonts w:hint="eastAsia"/>
                <w:sz w:val="24"/>
                <w:szCs w:val="24"/>
              </w:rPr>
            </w:pPr>
            <w:r>
              <w:rPr>
                <w:rFonts w:hint="eastAsia"/>
                <w:sz w:val="24"/>
                <w:szCs w:val="24"/>
              </w:rPr>
              <w:t>药品使用人次统计</w:t>
            </w:r>
          </w:p>
          <w:p w14:paraId="3CE272AD">
            <w:pPr>
              <w:pStyle w:val="11"/>
              <w:spacing w:line="360" w:lineRule="auto"/>
              <w:rPr>
                <w:rFonts w:hint="eastAsia"/>
                <w:sz w:val="24"/>
                <w:szCs w:val="24"/>
              </w:rPr>
            </w:pPr>
            <w:r>
              <w:rPr>
                <w:rFonts w:hint="eastAsia"/>
                <w:sz w:val="24"/>
                <w:szCs w:val="24"/>
              </w:rPr>
              <w:t>注射剂/大容量注射液统计</w:t>
            </w:r>
          </w:p>
          <w:p w14:paraId="56561AA8">
            <w:pPr>
              <w:pStyle w:val="11"/>
              <w:spacing w:line="360" w:lineRule="auto"/>
              <w:rPr>
                <w:rFonts w:hint="eastAsia"/>
                <w:sz w:val="24"/>
                <w:szCs w:val="24"/>
              </w:rPr>
            </w:pPr>
            <w:r>
              <w:rPr>
                <w:rFonts w:hint="eastAsia"/>
                <w:sz w:val="24"/>
                <w:szCs w:val="24"/>
              </w:rPr>
              <w:t>药品品种/费用构成统计</w:t>
            </w:r>
          </w:p>
          <w:p w14:paraId="404987A2">
            <w:pPr>
              <w:pStyle w:val="11"/>
              <w:spacing w:line="360" w:lineRule="auto"/>
              <w:rPr>
                <w:rFonts w:hint="eastAsia"/>
                <w:sz w:val="24"/>
                <w:szCs w:val="24"/>
              </w:rPr>
            </w:pPr>
            <w:r>
              <w:rPr>
                <w:rFonts w:hint="eastAsia"/>
                <w:sz w:val="24"/>
                <w:szCs w:val="24"/>
              </w:rPr>
              <w:t>门（急）诊大处方分析</w:t>
            </w:r>
          </w:p>
          <w:p w14:paraId="5FE51B34">
            <w:pPr>
              <w:pStyle w:val="11"/>
              <w:spacing w:line="360" w:lineRule="auto"/>
              <w:rPr>
                <w:rFonts w:hint="eastAsia"/>
                <w:sz w:val="24"/>
                <w:szCs w:val="24"/>
              </w:rPr>
            </w:pPr>
            <w:r>
              <w:rPr>
                <w:rFonts w:hint="eastAsia"/>
                <w:sz w:val="24"/>
                <w:szCs w:val="24"/>
              </w:rPr>
              <w:t>抗菌药物使用清单及统计</w:t>
            </w:r>
          </w:p>
          <w:p w14:paraId="7351936C">
            <w:pPr>
              <w:pStyle w:val="11"/>
              <w:spacing w:line="360" w:lineRule="auto"/>
              <w:rPr>
                <w:rFonts w:hint="eastAsia"/>
                <w:sz w:val="24"/>
                <w:szCs w:val="24"/>
              </w:rPr>
            </w:pPr>
            <w:r>
              <w:rPr>
                <w:rFonts w:hint="eastAsia"/>
                <w:sz w:val="24"/>
                <w:szCs w:val="24"/>
              </w:rPr>
              <w:t>基本药物使用清单及统计</w:t>
            </w:r>
          </w:p>
          <w:p w14:paraId="1B9187E7">
            <w:pPr>
              <w:pStyle w:val="11"/>
              <w:spacing w:line="360" w:lineRule="auto"/>
              <w:rPr>
                <w:rFonts w:hint="eastAsia"/>
                <w:sz w:val="24"/>
                <w:szCs w:val="24"/>
              </w:rPr>
            </w:pPr>
            <w:r>
              <w:rPr>
                <w:rFonts w:hint="eastAsia"/>
                <w:sz w:val="24"/>
                <w:szCs w:val="24"/>
              </w:rPr>
              <w:t>重点监控合理用药药品监测</w:t>
            </w:r>
          </w:p>
          <w:p w14:paraId="39177186">
            <w:pPr>
              <w:pStyle w:val="11"/>
              <w:spacing w:line="360" w:lineRule="auto"/>
              <w:rPr>
                <w:rFonts w:hint="eastAsia"/>
                <w:sz w:val="24"/>
                <w:szCs w:val="24"/>
              </w:rPr>
            </w:pPr>
            <w:r>
              <w:rPr>
                <w:rFonts w:hint="eastAsia"/>
                <w:sz w:val="24"/>
                <w:szCs w:val="24"/>
              </w:rPr>
              <w:t>麻精药品管理处方登记表</w:t>
            </w:r>
          </w:p>
          <w:p w14:paraId="536AFBE4">
            <w:pPr>
              <w:pStyle w:val="11"/>
              <w:spacing w:line="360" w:lineRule="auto"/>
              <w:rPr>
                <w:rFonts w:hint="eastAsia"/>
                <w:sz w:val="24"/>
                <w:szCs w:val="24"/>
              </w:rPr>
            </w:pPr>
            <w:r>
              <w:rPr>
                <w:rFonts w:hint="eastAsia"/>
                <w:sz w:val="24"/>
                <w:szCs w:val="24"/>
              </w:rPr>
              <w:t>药事管理专业医疗质量控制指标</w:t>
            </w:r>
          </w:p>
          <w:p w14:paraId="4A4E4E57">
            <w:pPr>
              <w:pStyle w:val="11"/>
              <w:spacing w:line="360" w:lineRule="auto"/>
              <w:rPr>
                <w:rFonts w:hint="eastAsia"/>
                <w:sz w:val="24"/>
                <w:szCs w:val="24"/>
              </w:rPr>
            </w:pPr>
            <w:r>
              <w:rPr>
                <w:rFonts w:hint="eastAsia"/>
                <w:sz w:val="24"/>
                <w:szCs w:val="24"/>
              </w:rPr>
              <w:t>全国抗菌药物临床应用管理数据统计</w:t>
            </w:r>
          </w:p>
          <w:p w14:paraId="39204AC1">
            <w:pPr>
              <w:pStyle w:val="11"/>
              <w:spacing w:line="360" w:lineRule="auto"/>
              <w:rPr>
                <w:rFonts w:hint="eastAsia"/>
                <w:sz w:val="24"/>
                <w:szCs w:val="24"/>
              </w:rPr>
            </w:pPr>
            <w:r>
              <w:rPr>
                <w:rFonts w:hint="eastAsia"/>
                <w:sz w:val="24"/>
                <w:szCs w:val="24"/>
              </w:rPr>
              <w:t>全国合理用药监测系统数据统计</w:t>
            </w:r>
          </w:p>
          <w:p w14:paraId="26E09E37">
            <w:pPr>
              <w:pStyle w:val="11"/>
              <w:spacing w:line="360" w:lineRule="auto"/>
              <w:rPr>
                <w:rFonts w:hint="eastAsia"/>
                <w:sz w:val="24"/>
                <w:szCs w:val="24"/>
              </w:rPr>
            </w:pPr>
            <w:r>
              <w:rPr>
                <w:rFonts w:hint="eastAsia"/>
                <w:sz w:val="24"/>
                <w:szCs w:val="24"/>
              </w:rPr>
              <w:t>医疗机构药品使用监测</w:t>
            </w:r>
          </w:p>
          <w:p w14:paraId="12225E21">
            <w:pPr>
              <w:pStyle w:val="11"/>
              <w:spacing w:line="360" w:lineRule="auto"/>
              <w:rPr>
                <w:rFonts w:hint="eastAsia"/>
                <w:sz w:val="24"/>
                <w:szCs w:val="24"/>
              </w:rPr>
            </w:pPr>
            <w:r>
              <w:rPr>
                <w:rFonts w:hint="eastAsia"/>
                <w:sz w:val="24"/>
                <w:szCs w:val="24"/>
              </w:rPr>
              <w:t>抗肿瘤药物临床应用情况调查表</w:t>
            </w:r>
          </w:p>
          <w:p w14:paraId="4B81C9AA">
            <w:pPr>
              <w:pStyle w:val="11"/>
              <w:spacing w:line="360" w:lineRule="auto"/>
              <w:rPr>
                <w:rFonts w:hint="eastAsia"/>
                <w:sz w:val="24"/>
                <w:szCs w:val="24"/>
              </w:rPr>
            </w:pPr>
            <w:r>
              <w:rPr>
                <w:rFonts w:hint="eastAsia"/>
                <w:sz w:val="24"/>
                <w:szCs w:val="24"/>
              </w:rPr>
              <w:t>静脉输液使用情况调查表</w:t>
            </w:r>
          </w:p>
        </w:tc>
      </w:tr>
      <w:tr w14:paraId="170F2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vAlign w:val="center"/>
          </w:tcPr>
          <w:p w14:paraId="3C233AEF">
            <w:pPr>
              <w:pStyle w:val="11"/>
              <w:spacing w:line="360" w:lineRule="auto"/>
              <w:jc w:val="center"/>
              <w:rPr>
                <w:rFonts w:hint="eastAsia"/>
                <w:sz w:val="24"/>
                <w:szCs w:val="24"/>
              </w:rPr>
            </w:pPr>
            <w:r>
              <w:rPr>
                <w:rFonts w:hint="eastAsia"/>
                <w:sz w:val="24"/>
                <w:szCs w:val="24"/>
              </w:rPr>
              <w:t>7</w:t>
            </w:r>
          </w:p>
        </w:tc>
        <w:tc>
          <w:tcPr>
            <w:tcW w:w="1748" w:type="dxa"/>
            <w:tcBorders>
              <w:top w:val="single" w:color="auto" w:sz="4" w:space="0"/>
              <w:left w:val="single" w:color="auto" w:sz="4" w:space="0"/>
              <w:bottom w:val="single" w:color="auto" w:sz="4" w:space="0"/>
              <w:right w:val="single" w:color="auto" w:sz="4" w:space="0"/>
            </w:tcBorders>
            <w:vAlign w:val="center"/>
          </w:tcPr>
          <w:p w14:paraId="2E98A80F">
            <w:pPr>
              <w:pStyle w:val="11"/>
              <w:spacing w:line="360" w:lineRule="auto"/>
              <w:rPr>
                <w:rFonts w:hint="eastAsia"/>
                <w:sz w:val="24"/>
                <w:szCs w:val="24"/>
              </w:rPr>
            </w:pPr>
            <w:r>
              <w:rPr>
                <w:rFonts w:hint="eastAsia"/>
                <w:sz w:val="24"/>
                <w:szCs w:val="24"/>
              </w:rPr>
              <w:t>其它</w:t>
            </w:r>
          </w:p>
        </w:tc>
        <w:tc>
          <w:tcPr>
            <w:tcW w:w="6033" w:type="dxa"/>
            <w:tcBorders>
              <w:top w:val="single" w:color="auto" w:sz="4" w:space="0"/>
              <w:left w:val="single" w:color="auto" w:sz="4" w:space="0"/>
              <w:bottom w:val="single" w:color="auto" w:sz="4" w:space="0"/>
              <w:right w:val="single" w:color="auto" w:sz="4" w:space="0"/>
            </w:tcBorders>
            <w:vAlign w:val="center"/>
          </w:tcPr>
          <w:p w14:paraId="31741AFF">
            <w:pPr>
              <w:pStyle w:val="11"/>
              <w:spacing w:line="360" w:lineRule="auto"/>
              <w:rPr>
                <w:rFonts w:hint="eastAsia"/>
                <w:sz w:val="24"/>
                <w:szCs w:val="24"/>
              </w:rPr>
            </w:pPr>
            <w:r>
              <w:rPr>
                <w:rFonts w:hint="eastAsia"/>
                <w:sz w:val="24"/>
                <w:szCs w:val="24"/>
              </w:rPr>
              <w:t>自维护功能</w:t>
            </w:r>
          </w:p>
          <w:p w14:paraId="4E3C706B">
            <w:pPr>
              <w:pStyle w:val="11"/>
              <w:spacing w:line="360" w:lineRule="auto"/>
              <w:rPr>
                <w:rFonts w:hint="eastAsia"/>
                <w:sz w:val="24"/>
                <w:szCs w:val="24"/>
              </w:rPr>
            </w:pPr>
            <w:r>
              <w:rPr>
                <w:rFonts w:hint="eastAsia"/>
                <w:sz w:val="24"/>
                <w:szCs w:val="24"/>
              </w:rPr>
              <w:t>系统应对医院药品属性、给药途径、给药频次、感染疾病类型、检验申请/结果/收费项目类型、手术分类、科室类型、医生抗菌药物权限、围术期用药等基础数据进行程序自动维护。</w:t>
            </w:r>
          </w:p>
          <w:p w14:paraId="7FB19328">
            <w:pPr>
              <w:pStyle w:val="11"/>
              <w:spacing w:line="360" w:lineRule="auto"/>
              <w:rPr>
                <w:rFonts w:hint="eastAsia"/>
                <w:sz w:val="24"/>
                <w:szCs w:val="24"/>
              </w:rPr>
            </w:pPr>
            <w:r>
              <w:rPr>
                <w:rFonts w:hint="eastAsia"/>
                <w:sz w:val="24"/>
                <w:szCs w:val="24"/>
              </w:rPr>
              <w:t>权限管理</w:t>
            </w:r>
          </w:p>
          <w:p w14:paraId="5A676103">
            <w:pPr>
              <w:pStyle w:val="11"/>
              <w:spacing w:line="360" w:lineRule="auto"/>
              <w:rPr>
                <w:rFonts w:hint="eastAsia"/>
                <w:sz w:val="24"/>
                <w:szCs w:val="24"/>
              </w:rPr>
            </w:pPr>
            <w:r>
              <w:rPr>
                <w:rFonts w:hint="eastAsia"/>
                <w:sz w:val="24"/>
                <w:szCs w:val="24"/>
              </w:rPr>
              <w:t>系统应对各项功能设置严格的权限管理，包括处方点评权限、报表的统计权限、打印/导出权限等。</w:t>
            </w:r>
          </w:p>
          <w:p w14:paraId="4B01971E">
            <w:pPr>
              <w:pStyle w:val="11"/>
              <w:spacing w:line="360" w:lineRule="auto"/>
              <w:rPr>
                <w:rFonts w:hint="eastAsia"/>
                <w:sz w:val="24"/>
                <w:szCs w:val="24"/>
              </w:rPr>
            </w:pPr>
            <w:r>
              <w:rPr>
                <w:rFonts w:hint="eastAsia"/>
                <w:sz w:val="24"/>
                <w:szCs w:val="24"/>
              </w:rPr>
              <w:t>系统应提供用户操作日志、版本更新内容查询功能。</w:t>
            </w:r>
          </w:p>
        </w:tc>
      </w:tr>
    </w:tbl>
    <w:p w14:paraId="3BD95B80">
      <w:pPr>
        <w:spacing w:line="360" w:lineRule="auto"/>
        <w:rPr>
          <w:rFonts w:hint="eastAsia" w:ascii="宋体" w:hAnsi="宋体" w:cs="宋体"/>
          <w:sz w:val="24"/>
        </w:rPr>
      </w:pPr>
    </w:p>
    <w:p w14:paraId="1C9800F0">
      <w:pPr>
        <w:pStyle w:val="3"/>
        <w:spacing w:line="360" w:lineRule="auto"/>
        <w:rPr>
          <w:rFonts w:hint="eastAsia" w:hAnsi="宋体" w:cs="宋体"/>
          <w:szCs w:val="24"/>
          <w:u w:val="none"/>
        </w:rPr>
      </w:pPr>
      <w:r>
        <w:rPr>
          <w:rFonts w:hint="eastAsia" w:hAnsi="宋体" w:cs="宋体"/>
          <w:szCs w:val="24"/>
          <w:u w:val="none"/>
        </w:rPr>
        <w:t>3.10 实时审方技术要求</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8"/>
        <w:gridCol w:w="1748"/>
        <w:gridCol w:w="6033"/>
      </w:tblGrid>
      <w:tr w14:paraId="2A67D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0E68BCF3">
            <w:pPr>
              <w:pStyle w:val="11"/>
              <w:spacing w:line="360" w:lineRule="auto"/>
              <w:jc w:val="center"/>
              <w:rPr>
                <w:rFonts w:hint="eastAsia"/>
                <w:b/>
                <w:bCs/>
                <w:sz w:val="24"/>
                <w:szCs w:val="24"/>
              </w:rPr>
            </w:pPr>
            <w:r>
              <w:rPr>
                <w:rFonts w:hint="eastAsia"/>
                <w:b/>
                <w:bCs/>
                <w:sz w:val="24"/>
                <w:szCs w:val="24"/>
              </w:rPr>
              <w:t>序号</w:t>
            </w:r>
          </w:p>
        </w:tc>
        <w:tc>
          <w:tcPr>
            <w:tcW w:w="1748" w:type="dxa"/>
            <w:vAlign w:val="center"/>
          </w:tcPr>
          <w:p w14:paraId="63256DDF">
            <w:pPr>
              <w:pStyle w:val="11"/>
              <w:spacing w:line="360" w:lineRule="auto"/>
              <w:jc w:val="center"/>
              <w:rPr>
                <w:rFonts w:hint="eastAsia"/>
                <w:b/>
                <w:bCs/>
                <w:sz w:val="24"/>
                <w:szCs w:val="24"/>
              </w:rPr>
            </w:pPr>
            <w:r>
              <w:rPr>
                <w:rFonts w:hint="eastAsia"/>
                <w:b/>
                <w:bCs/>
                <w:sz w:val="24"/>
                <w:szCs w:val="24"/>
              </w:rPr>
              <w:t>功能类别</w:t>
            </w:r>
          </w:p>
        </w:tc>
        <w:tc>
          <w:tcPr>
            <w:tcW w:w="6033" w:type="dxa"/>
            <w:vAlign w:val="center"/>
          </w:tcPr>
          <w:p w14:paraId="2DF4FBAC">
            <w:pPr>
              <w:pStyle w:val="11"/>
              <w:spacing w:line="360" w:lineRule="auto"/>
              <w:jc w:val="center"/>
              <w:rPr>
                <w:rFonts w:hint="eastAsia"/>
                <w:b/>
                <w:bCs/>
                <w:sz w:val="24"/>
                <w:szCs w:val="24"/>
              </w:rPr>
            </w:pPr>
            <w:r>
              <w:rPr>
                <w:rFonts w:hint="eastAsia"/>
                <w:b/>
                <w:bCs/>
                <w:sz w:val="24"/>
                <w:szCs w:val="24"/>
              </w:rPr>
              <w:t>功能指标要求</w:t>
            </w:r>
          </w:p>
        </w:tc>
      </w:tr>
      <w:tr w14:paraId="6F273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6BFF4F85">
            <w:pPr>
              <w:pStyle w:val="11"/>
              <w:spacing w:line="360" w:lineRule="auto"/>
              <w:jc w:val="center"/>
              <w:rPr>
                <w:rFonts w:hint="eastAsia"/>
                <w:sz w:val="24"/>
                <w:szCs w:val="24"/>
              </w:rPr>
            </w:pPr>
            <w:r>
              <w:rPr>
                <w:rFonts w:hint="eastAsia"/>
                <w:sz w:val="24"/>
                <w:szCs w:val="24"/>
              </w:rPr>
              <w:t>1</w:t>
            </w:r>
          </w:p>
        </w:tc>
        <w:tc>
          <w:tcPr>
            <w:tcW w:w="1748" w:type="dxa"/>
            <w:vAlign w:val="center"/>
          </w:tcPr>
          <w:p w14:paraId="3C9A918F">
            <w:pPr>
              <w:pStyle w:val="11"/>
              <w:spacing w:line="360" w:lineRule="auto"/>
              <w:rPr>
                <w:rFonts w:hint="eastAsia"/>
                <w:sz w:val="24"/>
                <w:szCs w:val="24"/>
              </w:rPr>
            </w:pPr>
            <w:r>
              <w:rPr>
                <w:rFonts w:hint="eastAsia"/>
                <w:sz w:val="24"/>
                <w:szCs w:val="24"/>
              </w:rPr>
              <w:t>审方时机和过程</w:t>
            </w:r>
          </w:p>
        </w:tc>
        <w:tc>
          <w:tcPr>
            <w:tcW w:w="6033" w:type="dxa"/>
            <w:vAlign w:val="center"/>
          </w:tcPr>
          <w:p w14:paraId="10CEF8B0">
            <w:pPr>
              <w:pStyle w:val="11"/>
              <w:spacing w:line="360" w:lineRule="auto"/>
              <w:rPr>
                <w:rFonts w:hint="eastAsia"/>
                <w:sz w:val="24"/>
                <w:szCs w:val="24"/>
              </w:rPr>
            </w:pPr>
            <w:r>
              <w:rPr>
                <w:rFonts w:hint="eastAsia"/>
                <w:sz w:val="24"/>
                <w:szCs w:val="24"/>
              </w:rPr>
              <w:t>系统可以为药师提供专门的审方工作平台，帮助门诊药师在患者缴费前完成门诊处方实时审查、住院药师在护士领药前完成住院医嘱审查。系统先自动审查出问题处方（医嘱），再由药师人工审查，审查过程中药师可以与医生实时互动，直到处方（医嘱）通过。必要时，药师可同时接收门诊、住院任务。</w:t>
            </w:r>
          </w:p>
        </w:tc>
      </w:tr>
      <w:tr w14:paraId="334F3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4E0F63CA">
            <w:pPr>
              <w:pStyle w:val="11"/>
              <w:spacing w:line="360" w:lineRule="auto"/>
              <w:jc w:val="center"/>
              <w:rPr>
                <w:rFonts w:hint="eastAsia"/>
                <w:sz w:val="24"/>
                <w:szCs w:val="24"/>
              </w:rPr>
            </w:pPr>
            <w:r>
              <w:rPr>
                <w:rFonts w:hint="eastAsia"/>
                <w:sz w:val="24"/>
                <w:szCs w:val="24"/>
              </w:rPr>
              <w:t>2</w:t>
            </w:r>
          </w:p>
        </w:tc>
        <w:tc>
          <w:tcPr>
            <w:tcW w:w="1748" w:type="dxa"/>
            <w:vAlign w:val="center"/>
          </w:tcPr>
          <w:p w14:paraId="3F741E2A">
            <w:pPr>
              <w:pStyle w:val="11"/>
              <w:spacing w:line="360" w:lineRule="auto"/>
              <w:rPr>
                <w:rFonts w:hint="eastAsia"/>
                <w:sz w:val="24"/>
                <w:szCs w:val="24"/>
              </w:rPr>
            </w:pPr>
            <w:r>
              <w:rPr>
                <w:rFonts w:hint="eastAsia"/>
                <w:sz w:val="24"/>
                <w:szCs w:val="24"/>
              </w:rPr>
              <w:t>审方干预功能</w:t>
            </w:r>
          </w:p>
        </w:tc>
        <w:tc>
          <w:tcPr>
            <w:tcW w:w="6033" w:type="dxa"/>
            <w:vAlign w:val="center"/>
          </w:tcPr>
          <w:p w14:paraId="64B60CAB">
            <w:pPr>
              <w:pStyle w:val="11"/>
              <w:spacing w:line="360" w:lineRule="auto"/>
              <w:rPr>
                <w:rFonts w:hint="eastAsia"/>
                <w:sz w:val="24"/>
                <w:szCs w:val="24"/>
              </w:rPr>
            </w:pPr>
            <w:r>
              <w:rPr>
                <w:rFonts w:hint="eastAsia"/>
                <w:sz w:val="24"/>
                <w:szCs w:val="24"/>
              </w:rPr>
              <w:t>药师审查时，可在审查界面一体化查看当前处方（医嘱）历史干预记录，如医生操作、用药理由等。</w:t>
            </w:r>
          </w:p>
          <w:p w14:paraId="3710ED0A">
            <w:pPr>
              <w:pStyle w:val="11"/>
              <w:spacing w:line="360" w:lineRule="auto"/>
              <w:rPr>
                <w:rFonts w:hint="eastAsia"/>
                <w:sz w:val="24"/>
                <w:szCs w:val="24"/>
              </w:rPr>
            </w:pPr>
            <w:r>
              <w:rPr>
                <w:rFonts w:hint="eastAsia"/>
                <w:sz w:val="24"/>
                <w:szCs w:val="24"/>
              </w:rPr>
              <w:t>药师审查时可查看当前处方（医嘱）历史修改版本信息。</w:t>
            </w:r>
          </w:p>
          <w:p w14:paraId="1F626835">
            <w:pPr>
              <w:pStyle w:val="11"/>
              <w:spacing w:line="360" w:lineRule="auto"/>
              <w:rPr>
                <w:rFonts w:hint="eastAsia"/>
                <w:sz w:val="24"/>
                <w:szCs w:val="24"/>
              </w:rPr>
            </w:pPr>
            <w:r>
              <w:rPr>
                <w:rFonts w:hint="eastAsia"/>
                <w:sz w:val="24"/>
                <w:szCs w:val="24"/>
              </w:rPr>
              <w:t>药师可选择审核意见中的重点文字变色处理后发给医生。药师还可预设常用问题模板。</w:t>
            </w:r>
          </w:p>
          <w:p w14:paraId="1D448F59">
            <w:pPr>
              <w:pStyle w:val="11"/>
              <w:spacing w:line="360" w:lineRule="auto"/>
              <w:rPr>
                <w:rFonts w:hint="eastAsia"/>
                <w:sz w:val="24"/>
                <w:szCs w:val="24"/>
              </w:rPr>
            </w:pPr>
            <w:r>
              <w:rPr>
                <w:rFonts w:hint="eastAsia"/>
                <w:sz w:val="24"/>
                <w:szCs w:val="24"/>
              </w:rPr>
              <w:t>药师可以根据不同任务情况选择医生处方（医嘱）直接双签通过还是需要药师复核。</w:t>
            </w:r>
          </w:p>
          <w:p w14:paraId="6A3C17DB">
            <w:pPr>
              <w:pStyle w:val="11"/>
              <w:spacing w:line="360" w:lineRule="auto"/>
              <w:rPr>
                <w:rFonts w:hint="eastAsia"/>
                <w:sz w:val="24"/>
                <w:szCs w:val="24"/>
              </w:rPr>
            </w:pPr>
            <w:r>
              <w:rPr>
                <w:rFonts w:hint="eastAsia"/>
                <w:sz w:val="24"/>
                <w:szCs w:val="24"/>
              </w:rPr>
              <w:t>若一张处方（医嘱）通过前有多个修改版本，系统可以标记每个版本的处置状态。</w:t>
            </w:r>
          </w:p>
          <w:p w14:paraId="1E6C1430">
            <w:pPr>
              <w:pStyle w:val="11"/>
              <w:spacing w:line="360" w:lineRule="auto"/>
              <w:rPr>
                <w:rFonts w:hint="eastAsia"/>
                <w:sz w:val="24"/>
                <w:szCs w:val="24"/>
              </w:rPr>
            </w:pPr>
            <w:r>
              <w:rPr>
                <w:rFonts w:hint="eastAsia"/>
                <w:sz w:val="24"/>
                <w:szCs w:val="24"/>
              </w:rPr>
              <w:t>系统支持根据医生提交至药师处的中药处方智能检索近似经典方剂供药师参考。</w:t>
            </w:r>
          </w:p>
        </w:tc>
      </w:tr>
      <w:tr w14:paraId="7D85C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0014FCD9">
            <w:pPr>
              <w:pStyle w:val="11"/>
              <w:spacing w:line="360" w:lineRule="auto"/>
              <w:jc w:val="center"/>
              <w:rPr>
                <w:rFonts w:hint="eastAsia"/>
                <w:sz w:val="24"/>
                <w:szCs w:val="24"/>
              </w:rPr>
            </w:pPr>
            <w:r>
              <w:rPr>
                <w:rFonts w:hint="eastAsia"/>
                <w:sz w:val="24"/>
                <w:szCs w:val="24"/>
              </w:rPr>
              <w:t>3</w:t>
            </w:r>
          </w:p>
        </w:tc>
        <w:tc>
          <w:tcPr>
            <w:tcW w:w="1748" w:type="dxa"/>
            <w:vAlign w:val="center"/>
          </w:tcPr>
          <w:p w14:paraId="4034B0E7">
            <w:pPr>
              <w:pStyle w:val="11"/>
              <w:spacing w:line="360" w:lineRule="auto"/>
              <w:rPr>
                <w:rFonts w:hint="eastAsia"/>
                <w:sz w:val="24"/>
                <w:szCs w:val="24"/>
              </w:rPr>
            </w:pPr>
            <w:r>
              <w:rPr>
                <w:rFonts w:hint="eastAsia"/>
                <w:sz w:val="24"/>
                <w:szCs w:val="24"/>
              </w:rPr>
              <w:t>质量评价功能</w:t>
            </w:r>
          </w:p>
        </w:tc>
        <w:tc>
          <w:tcPr>
            <w:tcW w:w="6033" w:type="dxa"/>
            <w:vAlign w:val="center"/>
          </w:tcPr>
          <w:p w14:paraId="40735DDE">
            <w:pPr>
              <w:pStyle w:val="11"/>
              <w:spacing w:line="360" w:lineRule="auto"/>
              <w:rPr>
                <w:rFonts w:hint="eastAsia"/>
                <w:sz w:val="24"/>
                <w:szCs w:val="24"/>
              </w:rPr>
            </w:pPr>
            <w:r>
              <w:rPr>
                <w:rFonts w:hint="eastAsia"/>
                <w:sz w:val="24"/>
                <w:szCs w:val="24"/>
              </w:rPr>
              <w:t>系统提供多种筛选方案设置功能，进行待评价任务筛选。评价人可对每个任务输入审核意见并打分。系统可自动生成任务评分表，并可导出到Excel。</w:t>
            </w:r>
          </w:p>
          <w:p w14:paraId="24E4EDDC">
            <w:pPr>
              <w:pStyle w:val="11"/>
              <w:spacing w:line="360" w:lineRule="auto"/>
              <w:rPr>
                <w:rFonts w:hint="eastAsia"/>
                <w:sz w:val="24"/>
                <w:szCs w:val="24"/>
              </w:rPr>
            </w:pPr>
            <w:r>
              <w:rPr>
                <w:rFonts w:hint="eastAsia"/>
                <w:sz w:val="24"/>
                <w:szCs w:val="24"/>
              </w:rPr>
              <w:t>评价人可评估历史审核任务并设置问题推荐处置方案，供审方药师审核同一问题时参考。</w:t>
            </w:r>
          </w:p>
        </w:tc>
      </w:tr>
      <w:tr w14:paraId="78B20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1119BFBA">
            <w:pPr>
              <w:pStyle w:val="11"/>
              <w:spacing w:line="360" w:lineRule="auto"/>
              <w:jc w:val="center"/>
              <w:rPr>
                <w:rFonts w:hint="eastAsia"/>
                <w:sz w:val="24"/>
                <w:szCs w:val="24"/>
              </w:rPr>
            </w:pPr>
            <w:r>
              <w:rPr>
                <w:rFonts w:hint="eastAsia"/>
                <w:sz w:val="24"/>
                <w:szCs w:val="24"/>
              </w:rPr>
              <w:t>4</w:t>
            </w:r>
          </w:p>
        </w:tc>
        <w:tc>
          <w:tcPr>
            <w:tcW w:w="1748" w:type="dxa"/>
            <w:vAlign w:val="center"/>
          </w:tcPr>
          <w:p w14:paraId="23DD0A6E">
            <w:pPr>
              <w:pStyle w:val="11"/>
              <w:spacing w:line="360" w:lineRule="auto"/>
              <w:rPr>
                <w:rFonts w:hint="eastAsia"/>
                <w:sz w:val="24"/>
                <w:szCs w:val="24"/>
              </w:rPr>
            </w:pPr>
            <w:r>
              <w:rPr>
                <w:rFonts w:hint="eastAsia"/>
                <w:sz w:val="24"/>
                <w:szCs w:val="24"/>
              </w:rPr>
              <w:t>审方干预自定义功能</w:t>
            </w:r>
          </w:p>
        </w:tc>
        <w:tc>
          <w:tcPr>
            <w:tcW w:w="6033" w:type="dxa"/>
            <w:vAlign w:val="center"/>
          </w:tcPr>
          <w:p w14:paraId="71E5D8DA">
            <w:pPr>
              <w:pStyle w:val="11"/>
              <w:spacing w:line="360" w:lineRule="auto"/>
              <w:rPr>
                <w:rFonts w:hint="eastAsia"/>
                <w:sz w:val="24"/>
                <w:szCs w:val="24"/>
              </w:rPr>
            </w:pPr>
            <w:r>
              <w:rPr>
                <w:rFonts w:hint="eastAsia"/>
                <w:sz w:val="24"/>
                <w:szCs w:val="24"/>
              </w:rPr>
              <w:t>用户可将任意科室、医生、患者、疾病、药品设置为重点关注，可按科室、医生、患者、疾病、药品、问题类型、警示级别多条件组合设置重点关注，包含重点关注信息的处方由药师进行全面审查。</w:t>
            </w:r>
          </w:p>
          <w:p w14:paraId="19BD1A8F">
            <w:pPr>
              <w:pStyle w:val="11"/>
              <w:spacing w:line="360" w:lineRule="auto"/>
              <w:rPr>
                <w:rFonts w:hint="eastAsia"/>
                <w:sz w:val="24"/>
                <w:szCs w:val="24"/>
              </w:rPr>
            </w:pPr>
            <w:r>
              <w:rPr>
                <w:rFonts w:hint="eastAsia"/>
                <w:sz w:val="24"/>
                <w:szCs w:val="24"/>
              </w:rPr>
              <w:t>用户可设置双盲审方、单盲审方，在需要时隐藏医生、药师信息。</w:t>
            </w:r>
          </w:p>
          <w:p w14:paraId="06B0A111">
            <w:pPr>
              <w:pStyle w:val="11"/>
              <w:spacing w:line="360" w:lineRule="auto"/>
              <w:rPr>
                <w:rFonts w:hint="eastAsia"/>
                <w:sz w:val="24"/>
                <w:szCs w:val="24"/>
              </w:rPr>
            </w:pPr>
            <w:r>
              <w:rPr>
                <w:rFonts w:hint="eastAsia"/>
                <w:sz w:val="24"/>
                <w:szCs w:val="24"/>
              </w:rPr>
              <w:t>用户可根据使用习惯进行个性化设置，如任务提示音（支持上传），处置按钮顺序及样式，审方界面字体及颜色，发送给医生的常用语等。</w:t>
            </w:r>
          </w:p>
          <w:p w14:paraId="411FB6BC">
            <w:pPr>
              <w:pStyle w:val="11"/>
              <w:spacing w:line="360" w:lineRule="auto"/>
              <w:rPr>
                <w:rFonts w:hint="eastAsia"/>
                <w:sz w:val="24"/>
                <w:szCs w:val="24"/>
              </w:rPr>
            </w:pPr>
            <w:r>
              <w:rPr>
                <w:rFonts w:hint="eastAsia"/>
                <w:sz w:val="24"/>
                <w:szCs w:val="24"/>
              </w:rPr>
              <w:t>用户可设置自动干预模式，并设置医生填写用药理由的模式。药师不在岗时，系统自动干预，医生填写用药理由后方可执行，支持全院和分科室设置。</w:t>
            </w:r>
          </w:p>
        </w:tc>
      </w:tr>
      <w:tr w14:paraId="055DE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61E549A1">
            <w:pPr>
              <w:pStyle w:val="11"/>
              <w:spacing w:line="360" w:lineRule="auto"/>
              <w:jc w:val="center"/>
              <w:rPr>
                <w:rFonts w:hint="eastAsia"/>
                <w:sz w:val="24"/>
                <w:szCs w:val="24"/>
              </w:rPr>
            </w:pPr>
            <w:r>
              <w:rPr>
                <w:rFonts w:hint="eastAsia"/>
                <w:sz w:val="24"/>
                <w:szCs w:val="24"/>
              </w:rPr>
              <w:t>5</w:t>
            </w:r>
          </w:p>
        </w:tc>
        <w:tc>
          <w:tcPr>
            <w:tcW w:w="1748" w:type="dxa"/>
            <w:vAlign w:val="center"/>
          </w:tcPr>
          <w:p w14:paraId="3446A2FF">
            <w:pPr>
              <w:pStyle w:val="11"/>
              <w:spacing w:line="360" w:lineRule="auto"/>
              <w:rPr>
                <w:rFonts w:hint="eastAsia"/>
                <w:sz w:val="24"/>
                <w:szCs w:val="24"/>
              </w:rPr>
            </w:pPr>
            <w:r>
              <w:rPr>
                <w:rFonts w:hint="eastAsia"/>
                <w:sz w:val="24"/>
                <w:szCs w:val="24"/>
              </w:rPr>
              <w:t>患者信息查看</w:t>
            </w:r>
          </w:p>
        </w:tc>
        <w:tc>
          <w:tcPr>
            <w:tcW w:w="6033" w:type="dxa"/>
            <w:vAlign w:val="center"/>
          </w:tcPr>
          <w:p w14:paraId="14E7CDA2">
            <w:pPr>
              <w:pStyle w:val="11"/>
              <w:spacing w:line="360" w:lineRule="auto"/>
              <w:rPr>
                <w:rFonts w:hint="eastAsia"/>
                <w:sz w:val="24"/>
                <w:szCs w:val="24"/>
              </w:rPr>
            </w:pPr>
            <w:r>
              <w:rPr>
                <w:rFonts w:hint="eastAsia"/>
                <w:sz w:val="24"/>
                <w:szCs w:val="24"/>
              </w:rPr>
              <w:t>药师审方界面：可查看患者基本信息、患者过敏史、手术信息、检验检查信息、会诊信息、病程记录，检验结果异常项可单独显示。可链接EMR系统查看患者详细信息。</w:t>
            </w:r>
          </w:p>
          <w:p w14:paraId="1BC86DC9">
            <w:pPr>
              <w:pStyle w:val="11"/>
              <w:spacing w:line="360" w:lineRule="auto"/>
              <w:rPr>
                <w:rFonts w:hint="eastAsia"/>
                <w:sz w:val="24"/>
                <w:szCs w:val="24"/>
              </w:rPr>
            </w:pPr>
            <w:r>
              <w:rPr>
                <w:rFonts w:hint="eastAsia"/>
                <w:sz w:val="24"/>
                <w:szCs w:val="24"/>
              </w:rPr>
              <w:t>可标记门诊特殊病人。</w:t>
            </w:r>
          </w:p>
          <w:p w14:paraId="732878C1">
            <w:pPr>
              <w:pStyle w:val="11"/>
              <w:spacing w:line="360" w:lineRule="auto"/>
              <w:rPr>
                <w:rFonts w:hint="eastAsia"/>
                <w:sz w:val="24"/>
                <w:szCs w:val="24"/>
              </w:rPr>
            </w:pPr>
            <w:r>
              <w:rPr>
                <w:rFonts w:hint="eastAsia"/>
                <w:sz w:val="24"/>
                <w:szCs w:val="24"/>
              </w:rPr>
              <w:t>可标记慢病处方。</w:t>
            </w:r>
          </w:p>
          <w:p w14:paraId="72AD81EA">
            <w:pPr>
              <w:pStyle w:val="11"/>
              <w:spacing w:line="360" w:lineRule="auto"/>
              <w:rPr>
                <w:rFonts w:hint="eastAsia"/>
                <w:sz w:val="24"/>
                <w:szCs w:val="24"/>
              </w:rPr>
            </w:pPr>
            <w:r>
              <w:rPr>
                <w:rFonts w:hint="eastAsia"/>
                <w:sz w:val="24"/>
                <w:szCs w:val="24"/>
              </w:rPr>
              <w:t>药师审查时可查看当前患者的其他处方。</w:t>
            </w:r>
          </w:p>
        </w:tc>
      </w:tr>
      <w:tr w14:paraId="72637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7F65E0EA">
            <w:pPr>
              <w:pStyle w:val="11"/>
              <w:spacing w:line="360" w:lineRule="auto"/>
              <w:jc w:val="center"/>
              <w:rPr>
                <w:rFonts w:hint="eastAsia"/>
                <w:sz w:val="24"/>
                <w:szCs w:val="24"/>
              </w:rPr>
            </w:pPr>
            <w:r>
              <w:rPr>
                <w:rFonts w:hint="eastAsia"/>
                <w:sz w:val="24"/>
                <w:szCs w:val="24"/>
              </w:rPr>
              <w:t>6</w:t>
            </w:r>
          </w:p>
        </w:tc>
        <w:tc>
          <w:tcPr>
            <w:tcW w:w="1748" w:type="dxa"/>
            <w:vAlign w:val="center"/>
          </w:tcPr>
          <w:p w14:paraId="02725C76">
            <w:pPr>
              <w:pStyle w:val="11"/>
              <w:spacing w:line="360" w:lineRule="auto"/>
              <w:rPr>
                <w:rFonts w:hint="eastAsia"/>
                <w:sz w:val="24"/>
                <w:szCs w:val="24"/>
              </w:rPr>
            </w:pPr>
            <w:r>
              <w:rPr>
                <w:rFonts w:hint="eastAsia"/>
                <w:sz w:val="24"/>
                <w:szCs w:val="24"/>
              </w:rPr>
              <w:t>系统审查</w:t>
            </w:r>
          </w:p>
        </w:tc>
        <w:tc>
          <w:tcPr>
            <w:tcW w:w="6033" w:type="dxa"/>
            <w:vAlign w:val="center"/>
          </w:tcPr>
          <w:p w14:paraId="7851BA42">
            <w:pPr>
              <w:pStyle w:val="11"/>
              <w:spacing w:line="360" w:lineRule="auto"/>
              <w:rPr>
                <w:rFonts w:hint="eastAsia"/>
                <w:sz w:val="24"/>
                <w:szCs w:val="24"/>
              </w:rPr>
            </w:pPr>
            <w:r>
              <w:rPr>
                <w:rFonts w:hint="eastAsia"/>
                <w:sz w:val="24"/>
                <w:szCs w:val="24"/>
              </w:rPr>
              <w:t>系统审查项目、规则等应与医生端审方系统保持一致，并能实现无缝对接，即药师端可查看医生端审方系统的详细审查结果信息，同时药师审核问题标准可按医生端审方系统的审查项目和问题级别进行设置。</w:t>
            </w:r>
          </w:p>
        </w:tc>
      </w:tr>
      <w:tr w14:paraId="55762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6D57C458">
            <w:pPr>
              <w:pStyle w:val="11"/>
              <w:spacing w:line="360" w:lineRule="auto"/>
              <w:jc w:val="center"/>
              <w:rPr>
                <w:rFonts w:hint="eastAsia"/>
                <w:sz w:val="24"/>
                <w:szCs w:val="24"/>
              </w:rPr>
            </w:pPr>
            <w:r>
              <w:rPr>
                <w:rFonts w:hint="eastAsia"/>
                <w:sz w:val="24"/>
                <w:szCs w:val="24"/>
              </w:rPr>
              <w:t>7</w:t>
            </w:r>
          </w:p>
        </w:tc>
        <w:tc>
          <w:tcPr>
            <w:tcW w:w="1748" w:type="dxa"/>
            <w:vAlign w:val="center"/>
          </w:tcPr>
          <w:p w14:paraId="5B146538">
            <w:pPr>
              <w:pStyle w:val="11"/>
              <w:spacing w:line="360" w:lineRule="auto"/>
              <w:rPr>
                <w:rFonts w:hint="eastAsia"/>
                <w:sz w:val="24"/>
                <w:szCs w:val="24"/>
              </w:rPr>
            </w:pPr>
            <w:r>
              <w:rPr>
                <w:rFonts w:hint="eastAsia"/>
                <w:sz w:val="24"/>
                <w:szCs w:val="24"/>
              </w:rPr>
              <w:t>统计分析</w:t>
            </w:r>
          </w:p>
        </w:tc>
        <w:tc>
          <w:tcPr>
            <w:tcW w:w="6033" w:type="dxa"/>
            <w:vAlign w:val="center"/>
          </w:tcPr>
          <w:p w14:paraId="387BFBEC">
            <w:pPr>
              <w:pStyle w:val="11"/>
              <w:spacing w:line="360" w:lineRule="auto"/>
              <w:rPr>
                <w:rFonts w:hint="eastAsia"/>
                <w:sz w:val="24"/>
                <w:szCs w:val="24"/>
              </w:rPr>
            </w:pPr>
            <w:r>
              <w:rPr>
                <w:rFonts w:hint="eastAsia"/>
                <w:sz w:val="24"/>
                <w:szCs w:val="24"/>
              </w:rPr>
              <w:t>可以分别统计门诊、住院任务的审核率、干预率、合格率等重要指标，并可提供统计图。可按照科室、医生、药品、药师、药物类进行干预情况分类统计。</w:t>
            </w:r>
          </w:p>
          <w:p w14:paraId="077C59C4">
            <w:pPr>
              <w:pStyle w:val="11"/>
              <w:spacing w:line="360" w:lineRule="auto"/>
              <w:rPr>
                <w:rFonts w:hint="eastAsia"/>
                <w:sz w:val="24"/>
                <w:szCs w:val="24"/>
              </w:rPr>
            </w:pPr>
            <w:r>
              <w:rPr>
                <w:rFonts w:hint="eastAsia"/>
                <w:sz w:val="24"/>
                <w:szCs w:val="24"/>
              </w:rPr>
              <w:t>可以统计每个药师的监测时长、审核工作量、干预工作量和干预有效率，并可提供统计图。</w:t>
            </w:r>
          </w:p>
          <w:p w14:paraId="488C5D30">
            <w:pPr>
              <w:pStyle w:val="11"/>
              <w:spacing w:line="360" w:lineRule="auto"/>
              <w:rPr>
                <w:rFonts w:hint="eastAsia"/>
                <w:sz w:val="24"/>
                <w:szCs w:val="24"/>
              </w:rPr>
            </w:pPr>
            <w:r>
              <w:rPr>
                <w:rFonts w:hint="eastAsia"/>
                <w:sz w:val="24"/>
                <w:szCs w:val="24"/>
              </w:rPr>
              <w:t>可以提供不合理问题统计分析，支持按时间、问题类型、警示等级等条件进行统计，并可生成统计图。可以查看在人工审方时药师主动添加的问题的发生次数、发生率。</w:t>
            </w:r>
          </w:p>
          <w:p w14:paraId="4BDFE1FD">
            <w:pPr>
              <w:pStyle w:val="11"/>
              <w:spacing w:line="360" w:lineRule="auto"/>
              <w:rPr>
                <w:rFonts w:hint="eastAsia"/>
                <w:sz w:val="24"/>
                <w:szCs w:val="24"/>
              </w:rPr>
            </w:pPr>
            <w:r>
              <w:rPr>
                <w:rFonts w:hint="eastAsia"/>
                <w:sz w:val="24"/>
                <w:szCs w:val="24"/>
              </w:rPr>
              <w:t>可以分科室、医生、药品、问题类型提供干预效果追踪，并以统计图的方式体现干预效果。</w:t>
            </w:r>
          </w:p>
          <w:p w14:paraId="66ED81CC">
            <w:pPr>
              <w:pStyle w:val="11"/>
              <w:spacing w:line="360" w:lineRule="auto"/>
              <w:rPr>
                <w:rFonts w:hint="eastAsia"/>
                <w:sz w:val="24"/>
                <w:szCs w:val="24"/>
              </w:rPr>
            </w:pPr>
            <w:r>
              <w:rPr>
                <w:rFonts w:hint="eastAsia"/>
                <w:sz w:val="24"/>
                <w:szCs w:val="24"/>
              </w:rPr>
              <w:t>可按不同的处方（医嘱）通过状态进行统计，并可生成统计图。</w:t>
            </w:r>
          </w:p>
          <w:p w14:paraId="4099559D">
            <w:pPr>
              <w:pStyle w:val="11"/>
              <w:spacing w:line="360" w:lineRule="auto"/>
              <w:rPr>
                <w:rFonts w:hint="eastAsia"/>
                <w:sz w:val="24"/>
                <w:szCs w:val="24"/>
              </w:rPr>
            </w:pPr>
            <w:r>
              <w:rPr>
                <w:rFonts w:hint="eastAsia"/>
                <w:sz w:val="24"/>
                <w:szCs w:val="24"/>
              </w:rPr>
              <w:t>医生端可通过用药自查，查看自身任务的审核干预相关统计数据。</w:t>
            </w:r>
          </w:p>
        </w:tc>
      </w:tr>
      <w:tr w14:paraId="50831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31D32231">
            <w:pPr>
              <w:pStyle w:val="11"/>
              <w:spacing w:line="360" w:lineRule="auto"/>
              <w:jc w:val="center"/>
              <w:rPr>
                <w:rFonts w:hint="eastAsia"/>
                <w:sz w:val="24"/>
                <w:szCs w:val="24"/>
              </w:rPr>
            </w:pPr>
            <w:r>
              <w:rPr>
                <w:rFonts w:hint="eastAsia"/>
                <w:sz w:val="24"/>
                <w:szCs w:val="24"/>
              </w:rPr>
              <w:t>8</w:t>
            </w:r>
          </w:p>
        </w:tc>
        <w:tc>
          <w:tcPr>
            <w:tcW w:w="1748" w:type="dxa"/>
            <w:vAlign w:val="center"/>
          </w:tcPr>
          <w:p w14:paraId="0BD3729E">
            <w:pPr>
              <w:pStyle w:val="11"/>
              <w:spacing w:line="360" w:lineRule="auto"/>
              <w:rPr>
                <w:rFonts w:hint="eastAsia"/>
                <w:sz w:val="24"/>
                <w:szCs w:val="24"/>
              </w:rPr>
            </w:pPr>
            <w:r>
              <w:rPr>
                <w:rFonts w:hint="eastAsia"/>
                <w:sz w:val="24"/>
                <w:szCs w:val="24"/>
              </w:rPr>
              <w:t>大屏展示功能</w:t>
            </w:r>
          </w:p>
        </w:tc>
        <w:tc>
          <w:tcPr>
            <w:tcW w:w="6033" w:type="dxa"/>
            <w:vAlign w:val="center"/>
          </w:tcPr>
          <w:p w14:paraId="49E0CF72">
            <w:pPr>
              <w:pStyle w:val="11"/>
              <w:spacing w:line="360" w:lineRule="auto"/>
              <w:rPr>
                <w:rFonts w:hint="eastAsia"/>
                <w:sz w:val="24"/>
                <w:szCs w:val="24"/>
              </w:rPr>
            </w:pPr>
            <w:r>
              <w:rPr>
                <w:rFonts w:hint="eastAsia"/>
                <w:sz w:val="24"/>
                <w:szCs w:val="24"/>
              </w:rPr>
              <w:t>系统应支持将重要审方指标通过图表在用户大屏上展示。</w:t>
            </w:r>
          </w:p>
        </w:tc>
      </w:tr>
    </w:tbl>
    <w:p w14:paraId="51027214">
      <w:pPr>
        <w:spacing w:line="360" w:lineRule="auto"/>
        <w:rPr>
          <w:rFonts w:hint="eastAsia" w:ascii="宋体" w:hAnsi="宋体" w:cs="宋体"/>
          <w:sz w:val="24"/>
        </w:rPr>
      </w:pPr>
    </w:p>
    <w:p w14:paraId="65DF4E58">
      <w:pPr>
        <w:pStyle w:val="2"/>
        <w:spacing w:line="360" w:lineRule="auto"/>
        <w:jc w:val="both"/>
        <w:rPr>
          <w:rFonts w:hint="eastAsia" w:ascii="宋体" w:hAnsi="宋体" w:eastAsia="宋体" w:cs="宋体"/>
          <w:sz w:val="24"/>
          <w:szCs w:val="24"/>
        </w:rPr>
      </w:pPr>
      <w:r>
        <w:rPr>
          <w:rFonts w:hint="eastAsia" w:ascii="宋体" w:hAnsi="宋体" w:eastAsia="宋体" w:cs="宋体"/>
          <w:sz w:val="24"/>
          <w:szCs w:val="24"/>
        </w:rPr>
        <w:t>4、系统软硬件产品技术规格要求</w:t>
      </w:r>
    </w:p>
    <w:p w14:paraId="42CD6115">
      <w:pPr>
        <w:pStyle w:val="3"/>
        <w:spacing w:line="360" w:lineRule="auto"/>
        <w:rPr>
          <w:rFonts w:hint="eastAsia" w:hAnsi="宋体" w:cs="宋体"/>
          <w:szCs w:val="24"/>
          <w:u w:val="none"/>
        </w:rPr>
      </w:pPr>
      <w:r>
        <w:rPr>
          <w:rFonts w:hint="eastAsia" w:hAnsi="宋体" w:cs="宋体"/>
          <w:szCs w:val="24"/>
          <w:u w:val="none"/>
        </w:rPr>
        <w:t>4.1 服务器CPU扩容（6颗）</w:t>
      </w:r>
    </w:p>
    <w:tbl>
      <w:tblPr>
        <w:tblStyle w:val="7"/>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2"/>
        <w:gridCol w:w="567"/>
        <w:gridCol w:w="7938"/>
      </w:tblGrid>
      <w:tr w14:paraId="059A1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5C1237AC">
            <w:pPr>
              <w:pStyle w:val="11"/>
              <w:spacing w:line="360" w:lineRule="auto"/>
              <w:jc w:val="center"/>
              <w:rPr>
                <w:rFonts w:hint="eastAsia"/>
                <w:b/>
                <w:bCs/>
                <w:sz w:val="24"/>
                <w:szCs w:val="24"/>
              </w:rPr>
            </w:pPr>
            <w:r>
              <w:rPr>
                <w:rFonts w:hint="eastAsia"/>
                <w:b/>
                <w:bCs/>
                <w:sz w:val="24"/>
                <w:szCs w:val="24"/>
              </w:rPr>
              <w:t>序号</w:t>
            </w:r>
          </w:p>
        </w:tc>
        <w:tc>
          <w:tcPr>
            <w:tcW w:w="567" w:type="dxa"/>
            <w:vAlign w:val="center"/>
          </w:tcPr>
          <w:p w14:paraId="41EEA18B">
            <w:pPr>
              <w:pStyle w:val="11"/>
              <w:spacing w:line="360" w:lineRule="auto"/>
              <w:jc w:val="center"/>
              <w:rPr>
                <w:rFonts w:hint="eastAsia"/>
                <w:b/>
                <w:bCs/>
                <w:sz w:val="24"/>
                <w:szCs w:val="24"/>
              </w:rPr>
            </w:pPr>
            <w:r>
              <w:rPr>
                <w:rFonts w:hint="eastAsia"/>
                <w:b/>
                <w:bCs/>
                <w:sz w:val="24"/>
                <w:szCs w:val="24"/>
              </w:rPr>
              <w:t>标记</w:t>
            </w:r>
          </w:p>
        </w:tc>
        <w:tc>
          <w:tcPr>
            <w:tcW w:w="7938" w:type="dxa"/>
            <w:vAlign w:val="center"/>
          </w:tcPr>
          <w:p w14:paraId="7AB82616">
            <w:pPr>
              <w:pStyle w:val="11"/>
              <w:spacing w:line="360" w:lineRule="auto"/>
              <w:jc w:val="center"/>
              <w:rPr>
                <w:rFonts w:hint="eastAsia"/>
                <w:b/>
                <w:bCs/>
                <w:sz w:val="24"/>
                <w:szCs w:val="24"/>
              </w:rPr>
            </w:pPr>
            <w:r>
              <w:rPr>
                <w:rFonts w:hint="eastAsia"/>
                <w:b/>
                <w:bCs/>
                <w:sz w:val="24"/>
                <w:szCs w:val="24"/>
              </w:rPr>
              <w:t>技术指标要求</w:t>
            </w:r>
          </w:p>
        </w:tc>
      </w:tr>
      <w:tr w14:paraId="382CF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14:paraId="04561D0E">
            <w:pPr>
              <w:pStyle w:val="11"/>
              <w:spacing w:line="360" w:lineRule="auto"/>
              <w:jc w:val="center"/>
              <w:rPr>
                <w:rFonts w:hint="eastAsia"/>
                <w:sz w:val="24"/>
                <w:szCs w:val="24"/>
              </w:rPr>
            </w:pPr>
            <w:r>
              <w:rPr>
                <w:rFonts w:hint="eastAsia"/>
                <w:sz w:val="24"/>
                <w:szCs w:val="24"/>
              </w:rPr>
              <w:t>1</w:t>
            </w:r>
          </w:p>
        </w:tc>
        <w:tc>
          <w:tcPr>
            <w:tcW w:w="567" w:type="dxa"/>
          </w:tcPr>
          <w:p w14:paraId="76A55615">
            <w:pPr>
              <w:pStyle w:val="11"/>
              <w:spacing w:line="360" w:lineRule="auto"/>
              <w:jc w:val="center"/>
              <w:rPr>
                <w:rFonts w:hint="eastAsia"/>
                <w:sz w:val="24"/>
                <w:szCs w:val="24"/>
              </w:rPr>
            </w:pPr>
          </w:p>
        </w:tc>
        <w:tc>
          <w:tcPr>
            <w:tcW w:w="7938" w:type="dxa"/>
          </w:tcPr>
          <w:p w14:paraId="3FE46614">
            <w:pPr>
              <w:pStyle w:val="11"/>
              <w:spacing w:line="360" w:lineRule="auto"/>
              <w:rPr>
                <w:rFonts w:hint="eastAsia"/>
                <w:sz w:val="24"/>
                <w:szCs w:val="24"/>
              </w:rPr>
            </w:pPr>
            <w:r>
              <w:rPr>
                <w:rFonts w:hint="eastAsia"/>
                <w:sz w:val="24"/>
                <w:szCs w:val="24"/>
              </w:rPr>
              <w:t>每颗CPU性能≥Intel Xeon Gold 5218处理器，主频≥2.3GHz且≥16核；需保证能扩容至现有服务器</w:t>
            </w:r>
          </w:p>
        </w:tc>
      </w:tr>
    </w:tbl>
    <w:p w14:paraId="2F0978B4">
      <w:pPr>
        <w:pStyle w:val="11"/>
        <w:spacing w:line="360" w:lineRule="auto"/>
        <w:rPr>
          <w:rFonts w:hint="eastAsia"/>
          <w:sz w:val="24"/>
          <w:szCs w:val="24"/>
        </w:rPr>
      </w:pPr>
    </w:p>
    <w:p w14:paraId="196866BD">
      <w:pPr>
        <w:pStyle w:val="3"/>
        <w:spacing w:line="360" w:lineRule="auto"/>
        <w:rPr>
          <w:rFonts w:hint="eastAsia" w:hAnsi="宋体" w:cs="宋体"/>
          <w:szCs w:val="24"/>
          <w:u w:val="none"/>
        </w:rPr>
      </w:pPr>
      <w:r>
        <w:rPr>
          <w:rFonts w:hint="eastAsia" w:hAnsi="宋体" w:cs="宋体"/>
          <w:szCs w:val="24"/>
          <w:u w:val="none"/>
        </w:rPr>
        <w:t>4.2 服务器内存扩容（12条）</w:t>
      </w:r>
    </w:p>
    <w:tbl>
      <w:tblPr>
        <w:tblStyle w:val="7"/>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2"/>
        <w:gridCol w:w="567"/>
        <w:gridCol w:w="7938"/>
      </w:tblGrid>
      <w:tr w14:paraId="60E61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553A0FDD">
            <w:pPr>
              <w:pStyle w:val="11"/>
              <w:spacing w:line="360" w:lineRule="auto"/>
              <w:jc w:val="center"/>
              <w:rPr>
                <w:rFonts w:hint="eastAsia"/>
                <w:b/>
                <w:bCs/>
                <w:sz w:val="24"/>
                <w:szCs w:val="24"/>
              </w:rPr>
            </w:pPr>
            <w:r>
              <w:rPr>
                <w:rFonts w:hint="eastAsia"/>
                <w:b/>
                <w:bCs/>
                <w:sz w:val="24"/>
                <w:szCs w:val="24"/>
              </w:rPr>
              <w:t>序号</w:t>
            </w:r>
          </w:p>
        </w:tc>
        <w:tc>
          <w:tcPr>
            <w:tcW w:w="567" w:type="dxa"/>
            <w:vAlign w:val="center"/>
          </w:tcPr>
          <w:p w14:paraId="2F7F7BC2">
            <w:pPr>
              <w:pStyle w:val="11"/>
              <w:spacing w:line="360" w:lineRule="auto"/>
              <w:jc w:val="center"/>
              <w:rPr>
                <w:rFonts w:hint="eastAsia"/>
                <w:b/>
                <w:bCs/>
                <w:sz w:val="24"/>
                <w:szCs w:val="24"/>
              </w:rPr>
            </w:pPr>
            <w:r>
              <w:rPr>
                <w:rFonts w:hint="eastAsia"/>
                <w:b/>
                <w:bCs/>
                <w:sz w:val="24"/>
                <w:szCs w:val="24"/>
              </w:rPr>
              <w:t>标记</w:t>
            </w:r>
          </w:p>
        </w:tc>
        <w:tc>
          <w:tcPr>
            <w:tcW w:w="7938" w:type="dxa"/>
            <w:vAlign w:val="center"/>
          </w:tcPr>
          <w:p w14:paraId="48BB9F96">
            <w:pPr>
              <w:pStyle w:val="11"/>
              <w:spacing w:line="360" w:lineRule="auto"/>
              <w:jc w:val="center"/>
              <w:rPr>
                <w:rFonts w:hint="eastAsia"/>
                <w:b/>
                <w:bCs/>
                <w:sz w:val="24"/>
                <w:szCs w:val="24"/>
              </w:rPr>
            </w:pPr>
            <w:r>
              <w:rPr>
                <w:rFonts w:hint="eastAsia"/>
                <w:b/>
                <w:bCs/>
                <w:sz w:val="24"/>
                <w:szCs w:val="24"/>
              </w:rPr>
              <w:t>技术指标要求</w:t>
            </w:r>
          </w:p>
        </w:tc>
      </w:tr>
      <w:tr w14:paraId="39F00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14:paraId="76E8E03C">
            <w:pPr>
              <w:pStyle w:val="11"/>
              <w:spacing w:line="360" w:lineRule="auto"/>
              <w:jc w:val="center"/>
              <w:rPr>
                <w:rFonts w:hint="eastAsia"/>
                <w:sz w:val="24"/>
                <w:szCs w:val="24"/>
              </w:rPr>
            </w:pPr>
            <w:r>
              <w:rPr>
                <w:rFonts w:hint="eastAsia"/>
                <w:sz w:val="24"/>
                <w:szCs w:val="24"/>
              </w:rPr>
              <w:t>1</w:t>
            </w:r>
          </w:p>
        </w:tc>
        <w:tc>
          <w:tcPr>
            <w:tcW w:w="567" w:type="dxa"/>
          </w:tcPr>
          <w:p w14:paraId="5EEF67BD">
            <w:pPr>
              <w:pStyle w:val="11"/>
              <w:spacing w:line="360" w:lineRule="auto"/>
              <w:jc w:val="center"/>
              <w:rPr>
                <w:rFonts w:hint="eastAsia"/>
                <w:sz w:val="24"/>
                <w:szCs w:val="24"/>
              </w:rPr>
            </w:pPr>
          </w:p>
        </w:tc>
        <w:tc>
          <w:tcPr>
            <w:tcW w:w="7938" w:type="dxa"/>
          </w:tcPr>
          <w:p w14:paraId="216BA6F0">
            <w:pPr>
              <w:pStyle w:val="11"/>
              <w:spacing w:line="360" w:lineRule="auto"/>
              <w:rPr>
                <w:rFonts w:hint="eastAsia"/>
                <w:sz w:val="24"/>
                <w:szCs w:val="24"/>
              </w:rPr>
            </w:pPr>
            <w:r>
              <w:rPr>
                <w:rFonts w:hint="eastAsia"/>
                <w:sz w:val="24"/>
                <w:szCs w:val="24"/>
              </w:rPr>
              <w:t>配置12条内存，≥64GB TruDDR4·2933MHz。</w:t>
            </w:r>
          </w:p>
        </w:tc>
      </w:tr>
    </w:tbl>
    <w:p w14:paraId="475135DA">
      <w:pPr>
        <w:pStyle w:val="11"/>
        <w:spacing w:line="360" w:lineRule="auto"/>
        <w:rPr>
          <w:rFonts w:hint="eastAsia"/>
          <w:sz w:val="24"/>
          <w:szCs w:val="24"/>
        </w:rPr>
      </w:pPr>
    </w:p>
    <w:p w14:paraId="118BBAE0">
      <w:pPr>
        <w:pStyle w:val="3"/>
        <w:spacing w:line="360" w:lineRule="auto"/>
        <w:rPr>
          <w:rFonts w:hint="eastAsia" w:hAnsi="宋体" w:cs="宋体"/>
          <w:szCs w:val="24"/>
          <w:u w:val="none"/>
        </w:rPr>
      </w:pPr>
      <w:r>
        <w:rPr>
          <w:rFonts w:hint="eastAsia" w:hAnsi="宋体" w:cs="宋体"/>
          <w:szCs w:val="24"/>
          <w:u w:val="none"/>
        </w:rPr>
        <w:t>4.3 服务器配件（3套）</w:t>
      </w:r>
    </w:p>
    <w:tbl>
      <w:tblPr>
        <w:tblStyle w:val="7"/>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2"/>
        <w:gridCol w:w="567"/>
        <w:gridCol w:w="7938"/>
      </w:tblGrid>
      <w:tr w14:paraId="72214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388CCC36">
            <w:pPr>
              <w:pStyle w:val="11"/>
              <w:spacing w:line="360" w:lineRule="auto"/>
              <w:jc w:val="center"/>
              <w:rPr>
                <w:rFonts w:hint="eastAsia"/>
                <w:b/>
                <w:bCs/>
                <w:sz w:val="24"/>
                <w:szCs w:val="24"/>
              </w:rPr>
            </w:pPr>
            <w:r>
              <w:rPr>
                <w:rFonts w:hint="eastAsia"/>
                <w:b/>
                <w:bCs/>
                <w:sz w:val="24"/>
                <w:szCs w:val="24"/>
              </w:rPr>
              <w:t>序号</w:t>
            </w:r>
          </w:p>
        </w:tc>
        <w:tc>
          <w:tcPr>
            <w:tcW w:w="567" w:type="dxa"/>
            <w:vAlign w:val="center"/>
          </w:tcPr>
          <w:p w14:paraId="0C830D3C">
            <w:pPr>
              <w:pStyle w:val="11"/>
              <w:spacing w:line="360" w:lineRule="auto"/>
              <w:jc w:val="center"/>
              <w:rPr>
                <w:rFonts w:hint="eastAsia"/>
                <w:b/>
                <w:bCs/>
                <w:sz w:val="24"/>
                <w:szCs w:val="24"/>
              </w:rPr>
            </w:pPr>
            <w:r>
              <w:rPr>
                <w:rFonts w:hint="eastAsia"/>
                <w:b/>
                <w:bCs/>
                <w:sz w:val="24"/>
                <w:szCs w:val="24"/>
              </w:rPr>
              <w:t>标记</w:t>
            </w:r>
          </w:p>
        </w:tc>
        <w:tc>
          <w:tcPr>
            <w:tcW w:w="7938" w:type="dxa"/>
            <w:vAlign w:val="center"/>
          </w:tcPr>
          <w:p w14:paraId="1A9F7391">
            <w:pPr>
              <w:pStyle w:val="11"/>
              <w:spacing w:line="360" w:lineRule="auto"/>
              <w:jc w:val="center"/>
              <w:rPr>
                <w:rFonts w:hint="eastAsia"/>
                <w:b/>
                <w:bCs/>
                <w:sz w:val="24"/>
                <w:szCs w:val="24"/>
              </w:rPr>
            </w:pPr>
            <w:r>
              <w:rPr>
                <w:rFonts w:hint="eastAsia"/>
                <w:b/>
                <w:bCs/>
                <w:sz w:val="24"/>
                <w:szCs w:val="24"/>
              </w:rPr>
              <w:t>技术指标要求</w:t>
            </w:r>
          </w:p>
        </w:tc>
      </w:tr>
      <w:tr w14:paraId="165F9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14:paraId="00C9F648">
            <w:pPr>
              <w:pStyle w:val="11"/>
              <w:spacing w:line="360" w:lineRule="auto"/>
              <w:jc w:val="center"/>
              <w:rPr>
                <w:rFonts w:hint="eastAsia"/>
                <w:sz w:val="24"/>
                <w:szCs w:val="24"/>
              </w:rPr>
            </w:pPr>
            <w:r>
              <w:rPr>
                <w:rFonts w:hint="eastAsia"/>
                <w:sz w:val="24"/>
                <w:szCs w:val="24"/>
              </w:rPr>
              <w:t>1</w:t>
            </w:r>
          </w:p>
        </w:tc>
        <w:tc>
          <w:tcPr>
            <w:tcW w:w="567" w:type="dxa"/>
          </w:tcPr>
          <w:p w14:paraId="5EF9D82F">
            <w:pPr>
              <w:pStyle w:val="11"/>
              <w:spacing w:line="360" w:lineRule="auto"/>
              <w:jc w:val="center"/>
              <w:rPr>
                <w:rFonts w:hint="eastAsia"/>
                <w:sz w:val="24"/>
                <w:szCs w:val="24"/>
              </w:rPr>
            </w:pPr>
          </w:p>
        </w:tc>
        <w:tc>
          <w:tcPr>
            <w:tcW w:w="7938" w:type="dxa"/>
          </w:tcPr>
          <w:p w14:paraId="31E76D7A">
            <w:pPr>
              <w:pStyle w:val="11"/>
              <w:spacing w:line="360" w:lineRule="auto"/>
              <w:rPr>
                <w:rFonts w:hint="eastAsia"/>
                <w:sz w:val="24"/>
                <w:szCs w:val="24"/>
              </w:rPr>
            </w:pPr>
            <w:r>
              <w:rPr>
                <w:rFonts w:hint="eastAsia"/>
                <w:sz w:val="24"/>
                <w:szCs w:val="24"/>
              </w:rPr>
              <w:t>配置处理器和内存扩展托盘，确保本次采购的服务器CPU和内存能够在现有服务器上安装并实现扩容。</w:t>
            </w:r>
          </w:p>
        </w:tc>
      </w:tr>
    </w:tbl>
    <w:p w14:paraId="6D2C78A6">
      <w:pPr>
        <w:pStyle w:val="11"/>
        <w:spacing w:line="360" w:lineRule="auto"/>
        <w:rPr>
          <w:rFonts w:hint="eastAsia"/>
          <w:sz w:val="24"/>
          <w:szCs w:val="24"/>
        </w:rPr>
      </w:pPr>
    </w:p>
    <w:p w14:paraId="5E1D6240">
      <w:pPr>
        <w:pStyle w:val="3"/>
        <w:spacing w:line="360" w:lineRule="auto"/>
        <w:rPr>
          <w:rFonts w:hint="eastAsia" w:hAnsi="宋体" w:cs="宋体"/>
          <w:szCs w:val="24"/>
          <w:u w:val="none"/>
        </w:rPr>
      </w:pPr>
      <w:r>
        <w:rPr>
          <w:rFonts w:hint="eastAsia" w:hAnsi="宋体" w:cs="宋体"/>
          <w:szCs w:val="24"/>
          <w:u w:val="none"/>
        </w:rPr>
        <w:t>4.4 虚拟化存储扩盘（12块）</w:t>
      </w:r>
    </w:p>
    <w:tbl>
      <w:tblPr>
        <w:tblStyle w:val="7"/>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2"/>
        <w:gridCol w:w="567"/>
        <w:gridCol w:w="7938"/>
      </w:tblGrid>
      <w:tr w14:paraId="291EC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62" w:type="dxa"/>
            <w:vAlign w:val="center"/>
          </w:tcPr>
          <w:p w14:paraId="284F2B76">
            <w:pPr>
              <w:pStyle w:val="11"/>
              <w:spacing w:line="360" w:lineRule="auto"/>
              <w:jc w:val="center"/>
              <w:rPr>
                <w:rFonts w:hint="eastAsia"/>
                <w:b/>
                <w:bCs/>
                <w:sz w:val="24"/>
                <w:szCs w:val="24"/>
              </w:rPr>
            </w:pPr>
            <w:r>
              <w:rPr>
                <w:rFonts w:hint="eastAsia"/>
                <w:b/>
                <w:bCs/>
                <w:sz w:val="24"/>
                <w:szCs w:val="24"/>
              </w:rPr>
              <w:t>序号</w:t>
            </w:r>
          </w:p>
        </w:tc>
        <w:tc>
          <w:tcPr>
            <w:tcW w:w="567" w:type="dxa"/>
            <w:vAlign w:val="center"/>
          </w:tcPr>
          <w:p w14:paraId="00430B2A">
            <w:pPr>
              <w:pStyle w:val="11"/>
              <w:spacing w:line="360" w:lineRule="auto"/>
              <w:jc w:val="center"/>
              <w:rPr>
                <w:rFonts w:hint="eastAsia"/>
                <w:b/>
                <w:bCs/>
                <w:sz w:val="24"/>
                <w:szCs w:val="24"/>
              </w:rPr>
            </w:pPr>
            <w:r>
              <w:rPr>
                <w:rFonts w:hint="eastAsia"/>
                <w:b/>
                <w:bCs/>
                <w:sz w:val="24"/>
                <w:szCs w:val="24"/>
              </w:rPr>
              <w:t>标记</w:t>
            </w:r>
          </w:p>
        </w:tc>
        <w:tc>
          <w:tcPr>
            <w:tcW w:w="7938" w:type="dxa"/>
            <w:vAlign w:val="center"/>
          </w:tcPr>
          <w:p w14:paraId="270FEDB3">
            <w:pPr>
              <w:pStyle w:val="11"/>
              <w:spacing w:line="360" w:lineRule="auto"/>
              <w:jc w:val="center"/>
              <w:rPr>
                <w:rFonts w:hint="eastAsia"/>
                <w:b/>
                <w:bCs/>
                <w:sz w:val="24"/>
                <w:szCs w:val="24"/>
              </w:rPr>
            </w:pPr>
            <w:r>
              <w:rPr>
                <w:rFonts w:hint="eastAsia"/>
                <w:b/>
                <w:bCs/>
                <w:sz w:val="24"/>
                <w:szCs w:val="24"/>
              </w:rPr>
              <w:t>技术指标要求</w:t>
            </w:r>
          </w:p>
        </w:tc>
      </w:tr>
      <w:tr w14:paraId="6B082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14:paraId="1C1E1B45">
            <w:pPr>
              <w:pStyle w:val="11"/>
              <w:spacing w:line="360" w:lineRule="auto"/>
              <w:jc w:val="center"/>
              <w:rPr>
                <w:rFonts w:hint="eastAsia"/>
                <w:sz w:val="24"/>
                <w:szCs w:val="24"/>
              </w:rPr>
            </w:pPr>
            <w:r>
              <w:rPr>
                <w:rFonts w:hint="eastAsia"/>
                <w:sz w:val="24"/>
                <w:szCs w:val="24"/>
              </w:rPr>
              <w:t>1</w:t>
            </w:r>
          </w:p>
        </w:tc>
        <w:tc>
          <w:tcPr>
            <w:tcW w:w="567" w:type="dxa"/>
          </w:tcPr>
          <w:p w14:paraId="4A08EC0D">
            <w:pPr>
              <w:pStyle w:val="11"/>
              <w:spacing w:line="360" w:lineRule="auto"/>
              <w:jc w:val="center"/>
              <w:rPr>
                <w:rFonts w:hint="eastAsia"/>
                <w:sz w:val="24"/>
                <w:szCs w:val="24"/>
              </w:rPr>
            </w:pPr>
          </w:p>
        </w:tc>
        <w:tc>
          <w:tcPr>
            <w:tcW w:w="7938" w:type="dxa"/>
          </w:tcPr>
          <w:p w14:paraId="53547B39">
            <w:pPr>
              <w:pStyle w:val="11"/>
              <w:spacing w:line="360" w:lineRule="auto"/>
              <w:rPr>
                <w:rFonts w:hint="eastAsia"/>
                <w:sz w:val="24"/>
                <w:szCs w:val="24"/>
              </w:rPr>
            </w:pPr>
            <w:r>
              <w:rPr>
                <w:rFonts w:hint="eastAsia"/>
                <w:sz w:val="24"/>
                <w:szCs w:val="24"/>
              </w:rPr>
              <w:t>12块2.5英寸硬盘，≥1.2TB 10K 。</w:t>
            </w:r>
          </w:p>
        </w:tc>
      </w:tr>
    </w:tbl>
    <w:p w14:paraId="32807566">
      <w:pPr>
        <w:pStyle w:val="11"/>
        <w:spacing w:line="360" w:lineRule="auto"/>
        <w:rPr>
          <w:rFonts w:hint="eastAsia"/>
          <w:sz w:val="24"/>
          <w:szCs w:val="24"/>
        </w:rPr>
      </w:pPr>
    </w:p>
    <w:p w14:paraId="0524A266">
      <w:pPr>
        <w:pStyle w:val="3"/>
        <w:spacing w:line="360" w:lineRule="auto"/>
        <w:rPr>
          <w:rFonts w:hint="eastAsia" w:hAnsi="宋体" w:cs="宋体"/>
          <w:szCs w:val="24"/>
          <w:u w:val="none"/>
        </w:rPr>
      </w:pPr>
      <w:r>
        <w:rPr>
          <w:rFonts w:hint="eastAsia" w:hAnsi="宋体" w:cs="宋体"/>
          <w:szCs w:val="24"/>
          <w:u w:val="none"/>
        </w:rPr>
        <w:t>4.5 虚拟化软件及管理中心（1套）</w:t>
      </w:r>
    </w:p>
    <w:tbl>
      <w:tblPr>
        <w:tblStyle w:val="7"/>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2"/>
        <w:gridCol w:w="567"/>
        <w:gridCol w:w="7938"/>
      </w:tblGrid>
      <w:tr w14:paraId="73BE6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6976DC73">
            <w:pPr>
              <w:pStyle w:val="11"/>
              <w:spacing w:line="360" w:lineRule="auto"/>
              <w:jc w:val="center"/>
              <w:rPr>
                <w:rFonts w:hint="eastAsia"/>
                <w:b/>
                <w:bCs/>
                <w:sz w:val="24"/>
                <w:szCs w:val="24"/>
              </w:rPr>
            </w:pPr>
            <w:r>
              <w:rPr>
                <w:rFonts w:hint="eastAsia"/>
                <w:b/>
                <w:bCs/>
                <w:sz w:val="24"/>
                <w:szCs w:val="24"/>
              </w:rPr>
              <w:t>序号</w:t>
            </w:r>
          </w:p>
        </w:tc>
        <w:tc>
          <w:tcPr>
            <w:tcW w:w="567" w:type="dxa"/>
            <w:vAlign w:val="center"/>
          </w:tcPr>
          <w:p w14:paraId="0FF406DD">
            <w:pPr>
              <w:pStyle w:val="11"/>
              <w:spacing w:line="360" w:lineRule="auto"/>
              <w:jc w:val="center"/>
              <w:rPr>
                <w:rFonts w:hint="eastAsia"/>
                <w:b/>
                <w:bCs/>
                <w:sz w:val="24"/>
                <w:szCs w:val="24"/>
              </w:rPr>
            </w:pPr>
            <w:r>
              <w:rPr>
                <w:rFonts w:hint="eastAsia"/>
                <w:b/>
                <w:bCs/>
                <w:sz w:val="24"/>
                <w:szCs w:val="24"/>
              </w:rPr>
              <w:t>标记</w:t>
            </w:r>
          </w:p>
        </w:tc>
        <w:tc>
          <w:tcPr>
            <w:tcW w:w="7938" w:type="dxa"/>
            <w:vAlign w:val="center"/>
          </w:tcPr>
          <w:p w14:paraId="1FB81305">
            <w:pPr>
              <w:pStyle w:val="11"/>
              <w:spacing w:line="360" w:lineRule="auto"/>
              <w:jc w:val="center"/>
              <w:rPr>
                <w:rFonts w:hint="eastAsia"/>
                <w:b/>
                <w:bCs/>
                <w:sz w:val="24"/>
                <w:szCs w:val="24"/>
              </w:rPr>
            </w:pPr>
            <w:r>
              <w:rPr>
                <w:rFonts w:hint="eastAsia"/>
                <w:b/>
                <w:bCs/>
                <w:sz w:val="24"/>
                <w:szCs w:val="24"/>
              </w:rPr>
              <w:t>技术指标要求</w:t>
            </w:r>
          </w:p>
        </w:tc>
      </w:tr>
      <w:tr w14:paraId="3F49C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14:paraId="6B4CA1E1">
            <w:pPr>
              <w:pStyle w:val="11"/>
              <w:spacing w:line="360" w:lineRule="auto"/>
              <w:jc w:val="center"/>
              <w:rPr>
                <w:rFonts w:hint="eastAsia"/>
                <w:sz w:val="24"/>
                <w:szCs w:val="24"/>
              </w:rPr>
            </w:pPr>
            <w:r>
              <w:rPr>
                <w:rFonts w:hint="eastAsia"/>
                <w:sz w:val="24"/>
                <w:szCs w:val="24"/>
              </w:rPr>
              <w:t>1</w:t>
            </w:r>
          </w:p>
        </w:tc>
        <w:tc>
          <w:tcPr>
            <w:tcW w:w="567" w:type="dxa"/>
          </w:tcPr>
          <w:p w14:paraId="75EB16AB">
            <w:pPr>
              <w:pStyle w:val="11"/>
              <w:spacing w:line="360" w:lineRule="auto"/>
              <w:jc w:val="center"/>
              <w:rPr>
                <w:rFonts w:hint="eastAsia"/>
                <w:sz w:val="24"/>
                <w:szCs w:val="24"/>
              </w:rPr>
            </w:pPr>
          </w:p>
        </w:tc>
        <w:tc>
          <w:tcPr>
            <w:tcW w:w="7938" w:type="dxa"/>
          </w:tcPr>
          <w:p w14:paraId="56D1878B">
            <w:pPr>
              <w:pStyle w:val="11"/>
              <w:spacing w:line="360" w:lineRule="auto"/>
              <w:rPr>
                <w:rFonts w:hint="eastAsia"/>
                <w:sz w:val="24"/>
                <w:szCs w:val="24"/>
              </w:rPr>
            </w:pPr>
            <w:r>
              <w:rPr>
                <w:rFonts w:hint="eastAsia"/>
                <w:sz w:val="24"/>
                <w:szCs w:val="24"/>
              </w:rPr>
              <w:t>服务器虚拟化软件，适配主流服务器产品，配置≥6个物理处理器许可及管理中心功能。</w:t>
            </w:r>
          </w:p>
        </w:tc>
      </w:tr>
      <w:tr w14:paraId="6A4BD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14:paraId="0D9F4427">
            <w:pPr>
              <w:pStyle w:val="11"/>
              <w:spacing w:line="360" w:lineRule="auto"/>
              <w:jc w:val="center"/>
              <w:rPr>
                <w:rFonts w:hint="eastAsia"/>
                <w:sz w:val="24"/>
                <w:szCs w:val="24"/>
              </w:rPr>
            </w:pPr>
            <w:r>
              <w:rPr>
                <w:rFonts w:hint="eastAsia"/>
                <w:sz w:val="24"/>
                <w:szCs w:val="24"/>
              </w:rPr>
              <w:t>2</w:t>
            </w:r>
          </w:p>
        </w:tc>
        <w:tc>
          <w:tcPr>
            <w:tcW w:w="567" w:type="dxa"/>
          </w:tcPr>
          <w:p w14:paraId="32065779">
            <w:pPr>
              <w:pStyle w:val="11"/>
              <w:spacing w:line="360" w:lineRule="auto"/>
              <w:jc w:val="center"/>
              <w:rPr>
                <w:rFonts w:hint="eastAsia"/>
                <w:sz w:val="24"/>
                <w:szCs w:val="24"/>
              </w:rPr>
            </w:pPr>
          </w:p>
        </w:tc>
        <w:tc>
          <w:tcPr>
            <w:tcW w:w="7938" w:type="dxa"/>
          </w:tcPr>
          <w:p w14:paraId="3856857D">
            <w:pPr>
              <w:pStyle w:val="11"/>
              <w:spacing w:line="360" w:lineRule="auto"/>
              <w:rPr>
                <w:rFonts w:hint="eastAsia"/>
                <w:sz w:val="24"/>
                <w:szCs w:val="24"/>
              </w:rPr>
            </w:pPr>
            <w:r>
              <w:rPr>
                <w:rFonts w:hint="eastAsia"/>
                <w:sz w:val="24"/>
                <w:szCs w:val="24"/>
              </w:rPr>
              <w:t>虚拟机之间支持隔离保护。虚拟机支持物理机的全部 功能，包含但不限于内存、CPU、网卡、存储，指定单 独的IP地址、MAC地址等。</w:t>
            </w:r>
          </w:p>
        </w:tc>
      </w:tr>
      <w:tr w14:paraId="12A7E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14:paraId="7BD0024D">
            <w:pPr>
              <w:pStyle w:val="11"/>
              <w:spacing w:line="360" w:lineRule="auto"/>
              <w:jc w:val="center"/>
              <w:rPr>
                <w:rFonts w:hint="eastAsia"/>
                <w:sz w:val="24"/>
                <w:szCs w:val="24"/>
              </w:rPr>
            </w:pPr>
            <w:r>
              <w:rPr>
                <w:rFonts w:hint="eastAsia"/>
                <w:sz w:val="24"/>
                <w:szCs w:val="24"/>
              </w:rPr>
              <w:t>3</w:t>
            </w:r>
          </w:p>
        </w:tc>
        <w:tc>
          <w:tcPr>
            <w:tcW w:w="567" w:type="dxa"/>
          </w:tcPr>
          <w:p w14:paraId="75F52EBE">
            <w:pPr>
              <w:pStyle w:val="11"/>
              <w:spacing w:line="360" w:lineRule="auto"/>
              <w:jc w:val="center"/>
              <w:rPr>
                <w:rFonts w:hint="eastAsia"/>
                <w:sz w:val="24"/>
                <w:szCs w:val="24"/>
              </w:rPr>
            </w:pPr>
          </w:p>
        </w:tc>
        <w:tc>
          <w:tcPr>
            <w:tcW w:w="7938" w:type="dxa"/>
          </w:tcPr>
          <w:p w14:paraId="5A0F2915">
            <w:pPr>
              <w:pStyle w:val="11"/>
              <w:spacing w:line="360" w:lineRule="auto"/>
              <w:rPr>
                <w:rFonts w:hint="eastAsia"/>
                <w:sz w:val="24"/>
                <w:szCs w:val="24"/>
              </w:rPr>
            </w:pPr>
            <w:r>
              <w:rPr>
                <w:rFonts w:hint="eastAsia"/>
                <w:sz w:val="24"/>
                <w:szCs w:val="24"/>
              </w:rPr>
              <w:t>提供资源告警阈值配置能力，包含但不限于CPU利用率/内存利用率/磁盘分区利用率/磁盘读写IOPS/磁盘读写IO延时/磁盘吞吐量/网络发送接收吞吐量/存储池利用率等指标。每项指标初始化即提供默认阈值，对应紧急、重要、次要、提示四个告警等级。提供告警信息输出接口，支持转储至第三方NFS平台持久记录保存。</w:t>
            </w:r>
          </w:p>
        </w:tc>
      </w:tr>
      <w:tr w14:paraId="0D64A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14:paraId="4D596840">
            <w:pPr>
              <w:pStyle w:val="11"/>
              <w:spacing w:line="360" w:lineRule="auto"/>
              <w:jc w:val="center"/>
              <w:rPr>
                <w:rFonts w:hint="eastAsia"/>
                <w:sz w:val="24"/>
                <w:szCs w:val="24"/>
              </w:rPr>
            </w:pPr>
            <w:r>
              <w:rPr>
                <w:rFonts w:hint="eastAsia"/>
                <w:sz w:val="24"/>
                <w:szCs w:val="24"/>
              </w:rPr>
              <w:t>4</w:t>
            </w:r>
          </w:p>
        </w:tc>
        <w:tc>
          <w:tcPr>
            <w:tcW w:w="567" w:type="dxa"/>
          </w:tcPr>
          <w:p w14:paraId="7A0130FE">
            <w:pPr>
              <w:pStyle w:val="11"/>
              <w:spacing w:line="360" w:lineRule="auto"/>
              <w:jc w:val="center"/>
              <w:rPr>
                <w:rFonts w:hint="eastAsia"/>
                <w:sz w:val="24"/>
                <w:szCs w:val="24"/>
              </w:rPr>
            </w:pPr>
          </w:p>
        </w:tc>
        <w:tc>
          <w:tcPr>
            <w:tcW w:w="7938" w:type="dxa"/>
          </w:tcPr>
          <w:p w14:paraId="1AC186FF">
            <w:pPr>
              <w:pStyle w:val="11"/>
              <w:spacing w:line="360" w:lineRule="auto"/>
              <w:rPr>
                <w:rFonts w:hint="eastAsia"/>
                <w:sz w:val="24"/>
                <w:szCs w:val="24"/>
              </w:rPr>
            </w:pPr>
            <w:r>
              <w:rPr>
                <w:rFonts w:hint="eastAsia"/>
                <w:sz w:val="24"/>
                <w:szCs w:val="24"/>
              </w:rPr>
              <w:t>平台应当提供多维度的异常或故障检测告警能力，包含但不限于宿主机故障、光纤链路故障、物理网卡故障、存储多路径数变化异常、共享文件系统磁盘心跳异常、宿主机存储故障、根目录不足异常、底层事件告警、虚拟机异常重新拉起等指标。</w:t>
            </w:r>
          </w:p>
        </w:tc>
      </w:tr>
      <w:tr w14:paraId="31C7E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14:paraId="6A963AE4">
            <w:pPr>
              <w:pStyle w:val="11"/>
              <w:spacing w:line="360" w:lineRule="auto"/>
              <w:jc w:val="center"/>
              <w:rPr>
                <w:rFonts w:hint="eastAsia"/>
                <w:sz w:val="24"/>
                <w:szCs w:val="24"/>
              </w:rPr>
            </w:pPr>
            <w:r>
              <w:rPr>
                <w:rFonts w:hint="eastAsia"/>
                <w:sz w:val="24"/>
                <w:szCs w:val="24"/>
              </w:rPr>
              <w:t>5</w:t>
            </w:r>
          </w:p>
        </w:tc>
        <w:tc>
          <w:tcPr>
            <w:tcW w:w="567" w:type="dxa"/>
          </w:tcPr>
          <w:p w14:paraId="205E2368">
            <w:pPr>
              <w:pStyle w:val="11"/>
              <w:spacing w:line="360" w:lineRule="auto"/>
              <w:jc w:val="center"/>
              <w:rPr>
                <w:rFonts w:hint="eastAsia"/>
                <w:sz w:val="24"/>
                <w:szCs w:val="24"/>
              </w:rPr>
            </w:pPr>
          </w:p>
        </w:tc>
        <w:tc>
          <w:tcPr>
            <w:tcW w:w="7938" w:type="dxa"/>
          </w:tcPr>
          <w:p w14:paraId="568119CE">
            <w:pPr>
              <w:pStyle w:val="11"/>
              <w:spacing w:line="360" w:lineRule="auto"/>
              <w:rPr>
                <w:rFonts w:hint="eastAsia"/>
                <w:sz w:val="24"/>
                <w:szCs w:val="24"/>
              </w:rPr>
            </w:pPr>
            <w:r>
              <w:rPr>
                <w:rFonts w:hint="eastAsia"/>
                <w:sz w:val="24"/>
                <w:szCs w:val="24"/>
              </w:rPr>
              <w:t>所投虚拟化产品架构应基于KVM虚拟化路线，提供“虚拟化引擎+虚拟化资源管理平台（非云运营管理/云服务目录）”的架构。产品应保证非采用OpenStack架构或基于OpenStack架构二次开发的云平台，无须借助单独的控制节点、网络节点、VRouter云路由、集群/节点控制器等组件实现计算集群和网络的管理。</w:t>
            </w:r>
          </w:p>
        </w:tc>
      </w:tr>
      <w:tr w14:paraId="0E0CC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14:paraId="5D578769">
            <w:pPr>
              <w:pStyle w:val="11"/>
              <w:spacing w:line="360" w:lineRule="auto"/>
              <w:jc w:val="center"/>
              <w:rPr>
                <w:rFonts w:hint="eastAsia"/>
                <w:sz w:val="24"/>
                <w:szCs w:val="24"/>
              </w:rPr>
            </w:pPr>
            <w:r>
              <w:rPr>
                <w:rFonts w:hint="eastAsia"/>
                <w:sz w:val="24"/>
                <w:szCs w:val="24"/>
              </w:rPr>
              <w:t>6</w:t>
            </w:r>
          </w:p>
        </w:tc>
        <w:tc>
          <w:tcPr>
            <w:tcW w:w="567" w:type="dxa"/>
          </w:tcPr>
          <w:p w14:paraId="01F2A209">
            <w:pPr>
              <w:pStyle w:val="11"/>
              <w:spacing w:line="360" w:lineRule="auto"/>
              <w:jc w:val="center"/>
              <w:rPr>
                <w:rFonts w:hint="eastAsia"/>
                <w:sz w:val="24"/>
                <w:szCs w:val="24"/>
              </w:rPr>
            </w:pPr>
          </w:p>
        </w:tc>
        <w:tc>
          <w:tcPr>
            <w:tcW w:w="7938" w:type="dxa"/>
          </w:tcPr>
          <w:p w14:paraId="543EF368">
            <w:pPr>
              <w:pStyle w:val="11"/>
              <w:spacing w:line="360" w:lineRule="auto"/>
              <w:rPr>
                <w:rFonts w:hint="eastAsia"/>
                <w:sz w:val="24"/>
                <w:szCs w:val="24"/>
              </w:rPr>
            </w:pPr>
            <w:r>
              <w:rPr>
                <w:rFonts w:hint="eastAsia"/>
                <w:sz w:val="24"/>
                <w:szCs w:val="24"/>
              </w:rPr>
              <w:t>管理平台支持≥2节点且不依赖外部存储实现；当管理平台其中一个节点出现故障时，能够自动故障切换并保证平台管理能力的连续性。管理平台支持以虚拟机的方式灵活部署，支持管理平台所在虚拟机迁移至其他宿主机进行维护。</w:t>
            </w:r>
          </w:p>
        </w:tc>
      </w:tr>
      <w:tr w14:paraId="21E43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14:paraId="1B8FBA5E">
            <w:pPr>
              <w:pStyle w:val="11"/>
              <w:spacing w:line="360" w:lineRule="auto"/>
              <w:jc w:val="center"/>
              <w:rPr>
                <w:rFonts w:hint="eastAsia"/>
                <w:sz w:val="24"/>
                <w:szCs w:val="24"/>
              </w:rPr>
            </w:pPr>
            <w:r>
              <w:rPr>
                <w:rFonts w:hint="eastAsia"/>
                <w:sz w:val="24"/>
                <w:szCs w:val="24"/>
              </w:rPr>
              <w:t>7</w:t>
            </w:r>
          </w:p>
        </w:tc>
        <w:tc>
          <w:tcPr>
            <w:tcW w:w="567" w:type="dxa"/>
          </w:tcPr>
          <w:p w14:paraId="73ED5FE4">
            <w:pPr>
              <w:pStyle w:val="11"/>
              <w:spacing w:line="360" w:lineRule="auto"/>
              <w:jc w:val="center"/>
              <w:rPr>
                <w:rFonts w:hint="eastAsia"/>
                <w:sz w:val="24"/>
                <w:szCs w:val="24"/>
              </w:rPr>
            </w:pPr>
          </w:p>
        </w:tc>
        <w:tc>
          <w:tcPr>
            <w:tcW w:w="7938" w:type="dxa"/>
          </w:tcPr>
          <w:p w14:paraId="7484B36C">
            <w:pPr>
              <w:pStyle w:val="11"/>
              <w:spacing w:line="360" w:lineRule="auto"/>
              <w:rPr>
                <w:rFonts w:hint="eastAsia"/>
                <w:sz w:val="24"/>
                <w:szCs w:val="24"/>
              </w:rPr>
            </w:pPr>
            <w:r>
              <w:rPr>
                <w:rFonts w:hint="eastAsia"/>
                <w:sz w:val="24"/>
                <w:szCs w:val="24"/>
              </w:rPr>
              <w:t>管理平台支持管理虚拟化集群、虚拟化计算节点，无需借助额外的集群/节点控制器。</w:t>
            </w:r>
          </w:p>
        </w:tc>
      </w:tr>
      <w:tr w14:paraId="641EE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14:paraId="4A45C13A">
            <w:pPr>
              <w:pStyle w:val="11"/>
              <w:spacing w:line="360" w:lineRule="auto"/>
              <w:jc w:val="center"/>
              <w:rPr>
                <w:rFonts w:hint="eastAsia"/>
                <w:sz w:val="24"/>
                <w:szCs w:val="24"/>
              </w:rPr>
            </w:pPr>
            <w:r>
              <w:rPr>
                <w:rFonts w:hint="eastAsia"/>
                <w:sz w:val="24"/>
                <w:szCs w:val="24"/>
              </w:rPr>
              <w:t>8</w:t>
            </w:r>
          </w:p>
        </w:tc>
        <w:tc>
          <w:tcPr>
            <w:tcW w:w="567" w:type="dxa"/>
          </w:tcPr>
          <w:p w14:paraId="7112BA1D">
            <w:pPr>
              <w:pStyle w:val="11"/>
              <w:spacing w:line="360" w:lineRule="auto"/>
              <w:jc w:val="center"/>
              <w:rPr>
                <w:rFonts w:hint="eastAsia"/>
                <w:sz w:val="24"/>
                <w:szCs w:val="24"/>
              </w:rPr>
            </w:pPr>
          </w:p>
        </w:tc>
        <w:tc>
          <w:tcPr>
            <w:tcW w:w="7938" w:type="dxa"/>
          </w:tcPr>
          <w:p w14:paraId="767AE7E3">
            <w:pPr>
              <w:pStyle w:val="11"/>
              <w:spacing w:line="360" w:lineRule="auto"/>
              <w:rPr>
                <w:rFonts w:hint="eastAsia"/>
                <w:sz w:val="24"/>
                <w:szCs w:val="24"/>
              </w:rPr>
            </w:pPr>
            <w:r>
              <w:rPr>
                <w:rFonts w:hint="eastAsia"/>
                <w:sz w:val="24"/>
                <w:szCs w:val="24"/>
              </w:rPr>
              <w:t>所投产品的许可授权应保证不与计算节点硬件绑定（例如采用USB-Key等方式），即涉及虚拟化宿主机所在的服务器硬件更换/调整、虚拟化管理平台所在的虚拟机迁移等情况，均不对已应用的许可授权造成影响、无需更新许可授权,无需支付额外费用。</w:t>
            </w:r>
          </w:p>
        </w:tc>
      </w:tr>
      <w:tr w14:paraId="25BF4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14:paraId="11368C5F">
            <w:pPr>
              <w:pStyle w:val="11"/>
              <w:spacing w:line="360" w:lineRule="auto"/>
              <w:jc w:val="center"/>
              <w:rPr>
                <w:rFonts w:hint="eastAsia"/>
                <w:sz w:val="24"/>
                <w:szCs w:val="24"/>
              </w:rPr>
            </w:pPr>
            <w:r>
              <w:rPr>
                <w:rFonts w:hint="eastAsia"/>
                <w:sz w:val="24"/>
                <w:szCs w:val="24"/>
              </w:rPr>
              <w:t>9</w:t>
            </w:r>
          </w:p>
        </w:tc>
        <w:tc>
          <w:tcPr>
            <w:tcW w:w="567" w:type="dxa"/>
          </w:tcPr>
          <w:p w14:paraId="74B3DB58">
            <w:pPr>
              <w:pStyle w:val="11"/>
              <w:spacing w:line="360" w:lineRule="auto"/>
              <w:jc w:val="center"/>
              <w:rPr>
                <w:rFonts w:hint="eastAsia"/>
                <w:sz w:val="24"/>
                <w:szCs w:val="24"/>
              </w:rPr>
            </w:pPr>
          </w:p>
        </w:tc>
        <w:tc>
          <w:tcPr>
            <w:tcW w:w="7938" w:type="dxa"/>
          </w:tcPr>
          <w:p w14:paraId="32F2C012">
            <w:pPr>
              <w:pStyle w:val="11"/>
              <w:spacing w:line="360" w:lineRule="auto"/>
              <w:rPr>
                <w:rFonts w:hint="eastAsia"/>
                <w:sz w:val="24"/>
                <w:szCs w:val="24"/>
              </w:rPr>
            </w:pPr>
            <w:r>
              <w:rPr>
                <w:rFonts w:hint="eastAsia"/>
                <w:sz w:val="24"/>
                <w:szCs w:val="24"/>
              </w:rPr>
              <w:t>虚拟化平台提供通过虚拟化集群的方式，管理一组虚拟化宿主机，包含但不限于集群性能监控、集群HA高可用、DRS动态调度、DPM电源管理、Affinity亲和性规则等特性；创建集群时允许指定X86、ARM、MIPS、LoongArch、SW等架构类型，不同的集群之间的计算、存储、网络资源互相独立。</w:t>
            </w:r>
          </w:p>
        </w:tc>
      </w:tr>
      <w:tr w14:paraId="53CF3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14:paraId="36B3F8FB">
            <w:pPr>
              <w:pStyle w:val="11"/>
              <w:spacing w:line="360" w:lineRule="auto"/>
              <w:jc w:val="center"/>
              <w:rPr>
                <w:rFonts w:hint="eastAsia"/>
                <w:sz w:val="24"/>
                <w:szCs w:val="24"/>
              </w:rPr>
            </w:pPr>
            <w:r>
              <w:rPr>
                <w:rFonts w:hint="eastAsia"/>
                <w:sz w:val="24"/>
                <w:szCs w:val="24"/>
              </w:rPr>
              <w:t>10</w:t>
            </w:r>
          </w:p>
        </w:tc>
        <w:tc>
          <w:tcPr>
            <w:tcW w:w="567" w:type="dxa"/>
          </w:tcPr>
          <w:p w14:paraId="316383C9">
            <w:pPr>
              <w:pStyle w:val="11"/>
              <w:spacing w:line="360" w:lineRule="auto"/>
              <w:jc w:val="center"/>
              <w:rPr>
                <w:rFonts w:hint="eastAsia"/>
                <w:sz w:val="24"/>
                <w:szCs w:val="24"/>
              </w:rPr>
            </w:pPr>
          </w:p>
        </w:tc>
        <w:tc>
          <w:tcPr>
            <w:tcW w:w="7938" w:type="dxa"/>
          </w:tcPr>
          <w:p w14:paraId="51C37E40">
            <w:pPr>
              <w:pStyle w:val="11"/>
              <w:spacing w:line="360" w:lineRule="auto"/>
              <w:rPr>
                <w:rFonts w:hint="eastAsia"/>
                <w:sz w:val="24"/>
                <w:szCs w:val="24"/>
              </w:rPr>
            </w:pPr>
            <w:r>
              <w:rPr>
                <w:rFonts w:hint="eastAsia"/>
                <w:sz w:val="24"/>
                <w:szCs w:val="24"/>
              </w:rPr>
              <w:t>宿主机的管理包含但不限于包括进入/退出维护模式、修改配置、同步主机、远程唤醒、BMC地址配置、IOMMU配置、存储多路径等常见操作。提供宿主机的CPU分配比、内存分配比。</w:t>
            </w:r>
          </w:p>
        </w:tc>
      </w:tr>
      <w:tr w14:paraId="5AB64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14:paraId="5016B84D">
            <w:pPr>
              <w:pStyle w:val="11"/>
              <w:spacing w:line="360" w:lineRule="auto"/>
              <w:jc w:val="center"/>
              <w:rPr>
                <w:rFonts w:hint="eastAsia"/>
                <w:sz w:val="24"/>
                <w:szCs w:val="24"/>
              </w:rPr>
            </w:pPr>
            <w:r>
              <w:rPr>
                <w:rFonts w:hint="eastAsia"/>
                <w:sz w:val="24"/>
                <w:szCs w:val="24"/>
              </w:rPr>
              <w:t>11</w:t>
            </w:r>
          </w:p>
        </w:tc>
        <w:tc>
          <w:tcPr>
            <w:tcW w:w="567" w:type="dxa"/>
          </w:tcPr>
          <w:p w14:paraId="12A94B40">
            <w:pPr>
              <w:pStyle w:val="11"/>
              <w:spacing w:line="360" w:lineRule="auto"/>
              <w:jc w:val="center"/>
              <w:rPr>
                <w:rFonts w:hint="eastAsia"/>
                <w:sz w:val="24"/>
                <w:szCs w:val="24"/>
              </w:rPr>
            </w:pPr>
          </w:p>
        </w:tc>
        <w:tc>
          <w:tcPr>
            <w:tcW w:w="7938" w:type="dxa"/>
          </w:tcPr>
          <w:p w14:paraId="03B89199">
            <w:pPr>
              <w:pStyle w:val="11"/>
              <w:spacing w:line="360" w:lineRule="auto"/>
              <w:rPr>
                <w:rFonts w:hint="eastAsia"/>
                <w:sz w:val="24"/>
                <w:szCs w:val="24"/>
              </w:rPr>
            </w:pPr>
            <w:r>
              <w:rPr>
                <w:rFonts w:hint="eastAsia"/>
                <w:sz w:val="24"/>
                <w:szCs w:val="24"/>
              </w:rPr>
              <w:t>识别宿主机的全部软硬件配置信息，硬件信息包括但不限于CPU设备信息、内存设备信息、物理网卡设备信息、PCI设备列表、HBA卡等；软件信息包括但不限于IP地址、iqn号、IOMMU状态、维护状态、连接状态、CPU信息（插槽/内核/线程/型号/主频）、服务器硬件型号、序列号、虚拟化版本、虚拟机数量及运行分布、服务器时间、运行时间等信息。</w:t>
            </w:r>
          </w:p>
        </w:tc>
      </w:tr>
      <w:tr w14:paraId="5CB57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14:paraId="1E0E706F">
            <w:pPr>
              <w:pStyle w:val="11"/>
              <w:spacing w:line="360" w:lineRule="auto"/>
              <w:jc w:val="center"/>
              <w:rPr>
                <w:rFonts w:hint="eastAsia"/>
                <w:sz w:val="24"/>
                <w:szCs w:val="24"/>
              </w:rPr>
            </w:pPr>
            <w:r>
              <w:rPr>
                <w:rFonts w:hint="eastAsia"/>
                <w:sz w:val="24"/>
                <w:szCs w:val="24"/>
              </w:rPr>
              <w:t>12</w:t>
            </w:r>
          </w:p>
        </w:tc>
        <w:tc>
          <w:tcPr>
            <w:tcW w:w="567" w:type="dxa"/>
          </w:tcPr>
          <w:p w14:paraId="2AFC2186">
            <w:pPr>
              <w:pStyle w:val="11"/>
              <w:spacing w:line="360" w:lineRule="auto"/>
              <w:jc w:val="center"/>
              <w:rPr>
                <w:rFonts w:hint="eastAsia"/>
                <w:sz w:val="24"/>
                <w:szCs w:val="24"/>
              </w:rPr>
            </w:pPr>
          </w:p>
        </w:tc>
        <w:tc>
          <w:tcPr>
            <w:tcW w:w="7938" w:type="dxa"/>
          </w:tcPr>
          <w:p w14:paraId="259EEB4C">
            <w:pPr>
              <w:pStyle w:val="11"/>
              <w:spacing w:line="360" w:lineRule="auto"/>
              <w:rPr>
                <w:rFonts w:hint="eastAsia"/>
                <w:sz w:val="24"/>
                <w:szCs w:val="24"/>
              </w:rPr>
            </w:pPr>
            <w:r>
              <w:rPr>
                <w:rFonts w:hint="eastAsia"/>
                <w:sz w:val="24"/>
                <w:szCs w:val="24"/>
              </w:rPr>
              <w:t>虚拟化平台具备性能优化机制，支持NUMA/vNUMA配置、vCPU与物理CPU核心绑定。虚拟机支持分配Strict、Preferred、Interleave等内存策略，通过配置vNUMA向虚拟机操作系统透传呈现虚拟NUMA架构拓扑</w:t>
            </w:r>
          </w:p>
        </w:tc>
      </w:tr>
      <w:tr w14:paraId="66A4E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14:paraId="39E46BA1">
            <w:pPr>
              <w:pStyle w:val="11"/>
              <w:spacing w:line="360" w:lineRule="auto"/>
              <w:jc w:val="center"/>
              <w:rPr>
                <w:rFonts w:hint="eastAsia"/>
                <w:sz w:val="24"/>
                <w:szCs w:val="24"/>
              </w:rPr>
            </w:pPr>
            <w:r>
              <w:rPr>
                <w:rFonts w:hint="eastAsia"/>
                <w:sz w:val="24"/>
                <w:szCs w:val="24"/>
              </w:rPr>
              <w:t>13</w:t>
            </w:r>
          </w:p>
        </w:tc>
        <w:tc>
          <w:tcPr>
            <w:tcW w:w="567" w:type="dxa"/>
          </w:tcPr>
          <w:p w14:paraId="0B01CC98">
            <w:pPr>
              <w:pStyle w:val="11"/>
              <w:spacing w:line="360" w:lineRule="auto"/>
              <w:jc w:val="center"/>
              <w:rPr>
                <w:rFonts w:hint="eastAsia"/>
                <w:sz w:val="24"/>
                <w:szCs w:val="24"/>
              </w:rPr>
            </w:pPr>
          </w:p>
        </w:tc>
        <w:tc>
          <w:tcPr>
            <w:tcW w:w="7938" w:type="dxa"/>
          </w:tcPr>
          <w:p w14:paraId="5F12932C">
            <w:pPr>
              <w:pStyle w:val="11"/>
              <w:spacing w:line="360" w:lineRule="auto"/>
              <w:rPr>
                <w:rFonts w:hint="eastAsia"/>
                <w:sz w:val="24"/>
                <w:szCs w:val="24"/>
              </w:rPr>
            </w:pPr>
            <w:r>
              <w:rPr>
                <w:rFonts w:hint="eastAsia"/>
                <w:sz w:val="24"/>
                <w:szCs w:val="24"/>
              </w:rPr>
              <w:t>虚拟化平台具备计算调度与保护机制，在X86、ARM、LoongArch等架构下能够实现内存资源的超量分配使用，单台宿主机之上的虚拟机内存之和均可大于实际物理内存容量。</w:t>
            </w:r>
          </w:p>
        </w:tc>
      </w:tr>
      <w:tr w14:paraId="5C71E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14:paraId="5E8ED7C5">
            <w:pPr>
              <w:pStyle w:val="11"/>
              <w:spacing w:line="360" w:lineRule="auto"/>
              <w:jc w:val="center"/>
              <w:rPr>
                <w:rFonts w:hint="eastAsia"/>
                <w:sz w:val="24"/>
                <w:szCs w:val="24"/>
              </w:rPr>
            </w:pPr>
            <w:r>
              <w:rPr>
                <w:rFonts w:hint="eastAsia"/>
                <w:sz w:val="24"/>
                <w:szCs w:val="24"/>
              </w:rPr>
              <w:t>14</w:t>
            </w:r>
          </w:p>
        </w:tc>
        <w:tc>
          <w:tcPr>
            <w:tcW w:w="567" w:type="dxa"/>
          </w:tcPr>
          <w:p w14:paraId="28F8838C">
            <w:pPr>
              <w:pStyle w:val="11"/>
              <w:spacing w:line="360" w:lineRule="auto"/>
              <w:jc w:val="center"/>
              <w:rPr>
                <w:rFonts w:hint="eastAsia"/>
                <w:sz w:val="24"/>
                <w:szCs w:val="24"/>
              </w:rPr>
            </w:pPr>
          </w:p>
        </w:tc>
        <w:tc>
          <w:tcPr>
            <w:tcW w:w="7938" w:type="dxa"/>
          </w:tcPr>
          <w:p w14:paraId="60DB69AC">
            <w:pPr>
              <w:pStyle w:val="11"/>
              <w:spacing w:line="360" w:lineRule="auto"/>
              <w:rPr>
                <w:rFonts w:hint="eastAsia"/>
                <w:sz w:val="24"/>
                <w:szCs w:val="24"/>
              </w:rPr>
            </w:pPr>
            <w:r>
              <w:rPr>
                <w:rFonts w:hint="eastAsia"/>
                <w:sz w:val="24"/>
                <w:szCs w:val="24"/>
              </w:rPr>
              <w:t>虚拟化平台具备批量对虚拟机在线、离线调整vCPU、内存等，包含但不限于X86、ARM架构；提供多种内存大页规格和数量配置；支持为HostOS、libvirt、OVS等虚拟化管理程序预留内存资源。</w:t>
            </w:r>
          </w:p>
        </w:tc>
      </w:tr>
      <w:tr w14:paraId="2F770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18BF185F">
            <w:pPr>
              <w:pStyle w:val="11"/>
              <w:spacing w:line="360" w:lineRule="auto"/>
              <w:jc w:val="center"/>
              <w:rPr>
                <w:rFonts w:hint="eastAsia"/>
                <w:sz w:val="24"/>
                <w:szCs w:val="24"/>
              </w:rPr>
            </w:pPr>
            <w:r>
              <w:rPr>
                <w:rFonts w:hint="eastAsia"/>
                <w:sz w:val="24"/>
                <w:szCs w:val="24"/>
              </w:rPr>
              <w:t>15</w:t>
            </w:r>
          </w:p>
        </w:tc>
        <w:tc>
          <w:tcPr>
            <w:tcW w:w="567" w:type="dxa"/>
          </w:tcPr>
          <w:p w14:paraId="7616B89E">
            <w:pPr>
              <w:pStyle w:val="11"/>
              <w:spacing w:line="360" w:lineRule="auto"/>
              <w:jc w:val="center"/>
              <w:rPr>
                <w:rFonts w:hint="eastAsia"/>
                <w:sz w:val="24"/>
                <w:szCs w:val="24"/>
              </w:rPr>
            </w:pPr>
          </w:p>
        </w:tc>
        <w:tc>
          <w:tcPr>
            <w:tcW w:w="7938" w:type="dxa"/>
          </w:tcPr>
          <w:p w14:paraId="60B589DF">
            <w:pPr>
              <w:pStyle w:val="11"/>
              <w:spacing w:line="360" w:lineRule="auto"/>
              <w:rPr>
                <w:rFonts w:hint="eastAsia"/>
                <w:sz w:val="24"/>
                <w:szCs w:val="24"/>
              </w:rPr>
            </w:pPr>
            <w:r>
              <w:rPr>
                <w:rFonts w:hint="eastAsia"/>
                <w:sz w:val="24"/>
                <w:szCs w:val="24"/>
              </w:rPr>
              <w:t>虚拟机在主流架构均上支持配置USB设备直通，虚拟机可以访问主机上的USB设备；支持设置USB重定向，虚拟机跨主机迁移后仍能访问源主机的USB设备。</w:t>
            </w:r>
          </w:p>
        </w:tc>
      </w:tr>
      <w:tr w14:paraId="3AF6A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0590B88F">
            <w:pPr>
              <w:pStyle w:val="11"/>
              <w:spacing w:line="360" w:lineRule="auto"/>
              <w:jc w:val="center"/>
              <w:rPr>
                <w:rFonts w:hint="eastAsia"/>
                <w:sz w:val="24"/>
                <w:szCs w:val="24"/>
              </w:rPr>
            </w:pPr>
            <w:r>
              <w:rPr>
                <w:rFonts w:hint="eastAsia"/>
                <w:sz w:val="24"/>
                <w:szCs w:val="24"/>
              </w:rPr>
              <w:t>16</w:t>
            </w:r>
          </w:p>
        </w:tc>
        <w:tc>
          <w:tcPr>
            <w:tcW w:w="567" w:type="dxa"/>
          </w:tcPr>
          <w:p w14:paraId="1C05032B">
            <w:pPr>
              <w:pStyle w:val="11"/>
              <w:spacing w:line="360" w:lineRule="auto"/>
              <w:jc w:val="center"/>
              <w:rPr>
                <w:rFonts w:hint="eastAsia"/>
                <w:sz w:val="24"/>
                <w:szCs w:val="24"/>
              </w:rPr>
            </w:pPr>
          </w:p>
        </w:tc>
        <w:tc>
          <w:tcPr>
            <w:tcW w:w="7938" w:type="dxa"/>
          </w:tcPr>
          <w:p w14:paraId="07574B76">
            <w:pPr>
              <w:pStyle w:val="11"/>
              <w:spacing w:line="360" w:lineRule="auto"/>
              <w:rPr>
                <w:rFonts w:hint="eastAsia"/>
                <w:sz w:val="24"/>
                <w:szCs w:val="24"/>
              </w:rPr>
            </w:pPr>
            <w:r>
              <w:rPr>
                <w:rFonts w:hint="eastAsia"/>
                <w:sz w:val="24"/>
                <w:szCs w:val="24"/>
              </w:rPr>
              <w:t>虚拟机生命周期管理操作包含但不限于创建、启动、关闭、关闭电源、修改配置、重启、强制重启、休眠、暂停、恢复、挂载安装tools、VNC/SPICE控制台配置、克隆、标签关联、删除等。支持为虚拟机分配CPU、内存、磁盘、光驱、网卡、显卡、鼠标、键盘、写字板、GPU、USB设备、PCI设备、SR-IOV网卡等虚拟硬件。</w:t>
            </w:r>
          </w:p>
        </w:tc>
      </w:tr>
      <w:tr w14:paraId="65228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22BAFD17">
            <w:pPr>
              <w:pStyle w:val="11"/>
              <w:spacing w:line="360" w:lineRule="auto"/>
              <w:jc w:val="center"/>
              <w:rPr>
                <w:rFonts w:hint="eastAsia"/>
                <w:sz w:val="24"/>
                <w:szCs w:val="24"/>
              </w:rPr>
            </w:pPr>
            <w:r>
              <w:rPr>
                <w:rFonts w:hint="eastAsia"/>
                <w:sz w:val="24"/>
                <w:szCs w:val="24"/>
              </w:rPr>
              <w:t>17</w:t>
            </w:r>
          </w:p>
        </w:tc>
        <w:tc>
          <w:tcPr>
            <w:tcW w:w="567" w:type="dxa"/>
          </w:tcPr>
          <w:p w14:paraId="7A8C29A7">
            <w:pPr>
              <w:pStyle w:val="11"/>
              <w:spacing w:line="360" w:lineRule="auto"/>
              <w:jc w:val="center"/>
              <w:rPr>
                <w:rFonts w:hint="eastAsia"/>
                <w:sz w:val="24"/>
                <w:szCs w:val="24"/>
              </w:rPr>
            </w:pPr>
          </w:p>
        </w:tc>
        <w:tc>
          <w:tcPr>
            <w:tcW w:w="7938" w:type="dxa"/>
          </w:tcPr>
          <w:p w14:paraId="6E26E4C0">
            <w:pPr>
              <w:pStyle w:val="11"/>
              <w:spacing w:line="360" w:lineRule="auto"/>
              <w:rPr>
                <w:rFonts w:hint="eastAsia"/>
                <w:sz w:val="24"/>
                <w:szCs w:val="24"/>
              </w:rPr>
            </w:pPr>
            <w:r>
              <w:rPr>
                <w:rFonts w:hint="eastAsia"/>
                <w:sz w:val="24"/>
                <w:szCs w:val="24"/>
              </w:rPr>
              <w:t>支持配置BIOS或UEFI的引导方式，以及设置从硬盘、光驱、网络等设备的引导顺序优先级。支持宿主机重启后自动启动虚拟机，同时能够设置虚拟机启动先后顺序、延迟间隔等。</w:t>
            </w:r>
          </w:p>
        </w:tc>
      </w:tr>
      <w:tr w14:paraId="028D5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78C7166C">
            <w:pPr>
              <w:pStyle w:val="11"/>
              <w:spacing w:line="360" w:lineRule="auto"/>
              <w:jc w:val="center"/>
              <w:rPr>
                <w:rFonts w:hint="eastAsia"/>
                <w:sz w:val="24"/>
                <w:szCs w:val="24"/>
              </w:rPr>
            </w:pPr>
            <w:r>
              <w:rPr>
                <w:rFonts w:hint="eastAsia"/>
                <w:sz w:val="24"/>
                <w:szCs w:val="24"/>
              </w:rPr>
              <w:t>18</w:t>
            </w:r>
          </w:p>
        </w:tc>
        <w:tc>
          <w:tcPr>
            <w:tcW w:w="567" w:type="dxa"/>
          </w:tcPr>
          <w:p w14:paraId="08B42B91">
            <w:pPr>
              <w:pStyle w:val="11"/>
              <w:spacing w:line="360" w:lineRule="auto"/>
              <w:jc w:val="center"/>
              <w:rPr>
                <w:rFonts w:hint="eastAsia"/>
                <w:sz w:val="24"/>
                <w:szCs w:val="24"/>
              </w:rPr>
            </w:pPr>
          </w:p>
        </w:tc>
        <w:tc>
          <w:tcPr>
            <w:tcW w:w="7938" w:type="dxa"/>
          </w:tcPr>
          <w:p w14:paraId="02F816BF">
            <w:pPr>
              <w:pStyle w:val="11"/>
              <w:spacing w:line="360" w:lineRule="auto"/>
              <w:rPr>
                <w:rFonts w:hint="eastAsia"/>
                <w:sz w:val="24"/>
                <w:szCs w:val="24"/>
              </w:rPr>
            </w:pPr>
            <w:r>
              <w:rPr>
                <w:rFonts w:hint="eastAsia"/>
                <w:sz w:val="24"/>
                <w:szCs w:val="24"/>
              </w:rPr>
              <w:t>提供在X86、ARM、LoongArch等主流架构下多种虚拟机部署方式，包括通过ISO镜像介质全新安装虚拟机操作系统、通过已有的存储卷快速创建虚拟机、通过虚拟机镜像（模板）快速部署及一键还原虚拟机、通过Excel模板导入批量部署多规格虚拟机；提供虚拟机计算Qos及调优配置，能够自定义虚拟机的vCPU总数、socket个数、core核心数、32bit/64bit架构、兼容/主机匹配/直通等工作模式等模拟物理拓扑结构，支持vCPU上限、优先级、预留调度策略，以及内存预留比例配置。</w:t>
            </w:r>
          </w:p>
        </w:tc>
      </w:tr>
      <w:tr w14:paraId="08D8E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029A9D82">
            <w:pPr>
              <w:pStyle w:val="11"/>
              <w:spacing w:line="360" w:lineRule="auto"/>
              <w:jc w:val="center"/>
              <w:rPr>
                <w:rFonts w:hint="eastAsia"/>
                <w:sz w:val="24"/>
                <w:szCs w:val="24"/>
              </w:rPr>
            </w:pPr>
            <w:r>
              <w:rPr>
                <w:rFonts w:hint="eastAsia"/>
                <w:sz w:val="24"/>
                <w:szCs w:val="24"/>
              </w:rPr>
              <w:t>19</w:t>
            </w:r>
          </w:p>
        </w:tc>
        <w:tc>
          <w:tcPr>
            <w:tcW w:w="567" w:type="dxa"/>
          </w:tcPr>
          <w:p w14:paraId="00992652">
            <w:pPr>
              <w:pStyle w:val="11"/>
              <w:spacing w:line="360" w:lineRule="auto"/>
              <w:jc w:val="center"/>
              <w:rPr>
                <w:rFonts w:hint="eastAsia"/>
                <w:sz w:val="24"/>
                <w:szCs w:val="24"/>
              </w:rPr>
            </w:pPr>
          </w:p>
        </w:tc>
        <w:tc>
          <w:tcPr>
            <w:tcW w:w="7938" w:type="dxa"/>
          </w:tcPr>
          <w:p w14:paraId="0E5FB614">
            <w:pPr>
              <w:pStyle w:val="11"/>
              <w:spacing w:line="360" w:lineRule="auto"/>
              <w:rPr>
                <w:rFonts w:hint="eastAsia"/>
                <w:sz w:val="24"/>
                <w:szCs w:val="24"/>
              </w:rPr>
            </w:pPr>
            <w:r>
              <w:rPr>
                <w:rFonts w:hint="eastAsia"/>
                <w:sz w:val="24"/>
                <w:szCs w:val="24"/>
              </w:rPr>
              <w:t>提供集中式的虚拟机镜像库管理，支持本地存储、NFS、iSCSI、FC等作为镜像库的存储路径。支持从虚拟机转换为镜像、虚拟机克隆为镜像、从已有镜像存储同步、镜像导入等多种镜像生成方式；采用国密算法及密钥加密镜像、校验镜像完整性、公有/私有权限控制等机制保障虚拟机镜像的安全性。</w:t>
            </w:r>
          </w:p>
        </w:tc>
      </w:tr>
      <w:tr w14:paraId="3EAFF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0420BCE1">
            <w:pPr>
              <w:pStyle w:val="11"/>
              <w:spacing w:line="360" w:lineRule="auto"/>
              <w:jc w:val="center"/>
              <w:rPr>
                <w:rFonts w:hint="eastAsia"/>
                <w:sz w:val="24"/>
                <w:szCs w:val="24"/>
              </w:rPr>
            </w:pPr>
            <w:r>
              <w:rPr>
                <w:rFonts w:hint="eastAsia"/>
                <w:sz w:val="24"/>
                <w:szCs w:val="24"/>
              </w:rPr>
              <w:t>20</w:t>
            </w:r>
          </w:p>
        </w:tc>
        <w:tc>
          <w:tcPr>
            <w:tcW w:w="567" w:type="dxa"/>
          </w:tcPr>
          <w:p w14:paraId="76FAAF3B">
            <w:pPr>
              <w:pStyle w:val="11"/>
              <w:spacing w:line="360" w:lineRule="auto"/>
              <w:jc w:val="center"/>
              <w:rPr>
                <w:rFonts w:hint="eastAsia"/>
                <w:sz w:val="24"/>
                <w:szCs w:val="24"/>
              </w:rPr>
            </w:pPr>
          </w:p>
        </w:tc>
        <w:tc>
          <w:tcPr>
            <w:tcW w:w="7938" w:type="dxa"/>
          </w:tcPr>
          <w:p w14:paraId="0A21686E">
            <w:pPr>
              <w:pStyle w:val="11"/>
              <w:spacing w:line="360" w:lineRule="auto"/>
              <w:rPr>
                <w:rFonts w:hint="eastAsia"/>
                <w:sz w:val="24"/>
                <w:szCs w:val="24"/>
              </w:rPr>
            </w:pPr>
            <w:r>
              <w:rPr>
                <w:rFonts w:hint="eastAsia"/>
                <w:sz w:val="24"/>
                <w:szCs w:val="24"/>
              </w:rPr>
              <w:t>面向生产或测试场景，灵活提供基于完整卷拷贝的普通部署、基于基础卷共享的快速部署两种镜像部署模式；根据集群的工作负载能力，提供集中式、分散式的部署策略灵活调度部署位置。</w:t>
            </w:r>
          </w:p>
        </w:tc>
      </w:tr>
      <w:tr w14:paraId="51EFF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7F4CDA03">
            <w:pPr>
              <w:pStyle w:val="11"/>
              <w:spacing w:line="360" w:lineRule="auto"/>
              <w:jc w:val="center"/>
              <w:rPr>
                <w:rFonts w:hint="eastAsia"/>
                <w:sz w:val="24"/>
                <w:szCs w:val="24"/>
              </w:rPr>
            </w:pPr>
            <w:r>
              <w:rPr>
                <w:rFonts w:hint="eastAsia"/>
                <w:sz w:val="24"/>
                <w:szCs w:val="24"/>
              </w:rPr>
              <w:t>21</w:t>
            </w:r>
          </w:p>
        </w:tc>
        <w:tc>
          <w:tcPr>
            <w:tcW w:w="567" w:type="dxa"/>
          </w:tcPr>
          <w:p w14:paraId="42549FBF">
            <w:pPr>
              <w:pStyle w:val="11"/>
              <w:spacing w:line="360" w:lineRule="auto"/>
              <w:jc w:val="center"/>
              <w:rPr>
                <w:rFonts w:hint="eastAsia"/>
                <w:sz w:val="24"/>
                <w:szCs w:val="24"/>
              </w:rPr>
            </w:pPr>
          </w:p>
        </w:tc>
        <w:tc>
          <w:tcPr>
            <w:tcW w:w="7938" w:type="dxa"/>
          </w:tcPr>
          <w:p w14:paraId="43814990">
            <w:pPr>
              <w:pStyle w:val="11"/>
              <w:spacing w:line="360" w:lineRule="auto"/>
              <w:rPr>
                <w:rFonts w:hint="eastAsia"/>
                <w:sz w:val="24"/>
                <w:szCs w:val="24"/>
              </w:rPr>
            </w:pPr>
            <w:r>
              <w:rPr>
                <w:rFonts w:hint="eastAsia"/>
                <w:sz w:val="24"/>
                <w:szCs w:val="24"/>
              </w:rPr>
              <w:t>支持虚拟机的整机快照（包含内存状态数据）、磁盘快照（仅包含指定磁盘状态数据）两种类型；支持快照树父子层级关系管理，还原至或删除任一快照点，均不影响其他快照点的数据；删除父快照时支持一并删除所有子快照。</w:t>
            </w:r>
          </w:p>
        </w:tc>
      </w:tr>
      <w:tr w14:paraId="44C79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7DFF48F3">
            <w:pPr>
              <w:pStyle w:val="11"/>
              <w:spacing w:line="360" w:lineRule="auto"/>
              <w:jc w:val="center"/>
              <w:rPr>
                <w:rFonts w:hint="eastAsia"/>
                <w:sz w:val="24"/>
                <w:szCs w:val="24"/>
              </w:rPr>
            </w:pPr>
            <w:r>
              <w:rPr>
                <w:rFonts w:hint="eastAsia"/>
                <w:sz w:val="24"/>
                <w:szCs w:val="24"/>
              </w:rPr>
              <w:t>22</w:t>
            </w:r>
          </w:p>
        </w:tc>
        <w:tc>
          <w:tcPr>
            <w:tcW w:w="567" w:type="dxa"/>
          </w:tcPr>
          <w:p w14:paraId="459E7CD3">
            <w:pPr>
              <w:pStyle w:val="11"/>
              <w:spacing w:line="360" w:lineRule="auto"/>
              <w:jc w:val="center"/>
              <w:rPr>
                <w:rFonts w:hint="eastAsia"/>
                <w:sz w:val="24"/>
                <w:szCs w:val="24"/>
              </w:rPr>
            </w:pPr>
          </w:p>
        </w:tc>
        <w:tc>
          <w:tcPr>
            <w:tcW w:w="7938" w:type="dxa"/>
          </w:tcPr>
          <w:p w14:paraId="6C278FE1">
            <w:pPr>
              <w:pStyle w:val="11"/>
              <w:spacing w:line="360" w:lineRule="auto"/>
              <w:rPr>
                <w:rFonts w:hint="eastAsia"/>
                <w:sz w:val="24"/>
                <w:szCs w:val="24"/>
              </w:rPr>
            </w:pPr>
            <w:r>
              <w:rPr>
                <w:rFonts w:hint="eastAsia"/>
                <w:sz w:val="24"/>
                <w:szCs w:val="24"/>
              </w:rPr>
              <w:t>支持虚拟机在线迁移、离线迁移。提供仅迁移计算、仅迁移存储、整机迁移等多种迁移方式，同时支持虚拟机跨存储池类型迁移、跨集群迁移、虚拟机批量迁移。在迁移过程中支持采用密码技术保障迁移过程的保密性。提供查询虚拟机所有的历史迁移日志，包括源主机、目标主机、迁移耗时、时间、是否在线迁移、日志类型、触发类型等信息。</w:t>
            </w:r>
          </w:p>
        </w:tc>
      </w:tr>
      <w:tr w14:paraId="12327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377D7956">
            <w:pPr>
              <w:pStyle w:val="11"/>
              <w:spacing w:line="360" w:lineRule="auto"/>
              <w:jc w:val="center"/>
              <w:rPr>
                <w:rFonts w:hint="eastAsia"/>
                <w:sz w:val="24"/>
                <w:szCs w:val="24"/>
              </w:rPr>
            </w:pPr>
            <w:r>
              <w:rPr>
                <w:rFonts w:hint="eastAsia"/>
                <w:sz w:val="24"/>
                <w:szCs w:val="24"/>
              </w:rPr>
              <w:t>23</w:t>
            </w:r>
          </w:p>
        </w:tc>
        <w:tc>
          <w:tcPr>
            <w:tcW w:w="567" w:type="dxa"/>
          </w:tcPr>
          <w:p w14:paraId="63A4A09F">
            <w:pPr>
              <w:pStyle w:val="11"/>
              <w:spacing w:line="360" w:lineRule="auto"/>
              <w:jc w:val="center"/>
              <w:rPr>
                <w:rFonts w:hint="eastAsia"/>
                <w:sz w:val="24"/>
                <w:szCs w:val="24"/>
              </w:rPr>
            </w:pPr>
          </w:p>
        </w:tc>
        <w:tc>
          <w:tcPr>
            <w:tcW w:w="7938" w:type="dxa"/>
          </w:tcPr>
          <w:p w14:paraId="3DB2DF6F">
            <w:pPr>
              <w:pStyle w:val="11"/>
              <w:spacing w:line="360" w:lineRule="auto"/>
              <w:rPr>
                <w:rFonts w:hint="eastAsia"/>
                <w:sz w:val="24"/>
                <w:szCs w:val="24"/>
              </w:rPr>
            </w:pPr>
            <w:r>
              <w:rPr>
                <w:rFonts w:hint="eastAsia"/>
                <w:sz w:val="24"/>
                <w:szCs w:val="24"/>
              </w:rPr>
              <w:t>提供跨架构、跨平台的迁移能力，支持X86、ARM架构的虚拟机OVF模板从国产虚拟化平台导出到本地，导出位置不依赖于指定的存储类型，利于跨平台复制和转移。为满足未来国产化替代的要求，需支持虚拟机在同芯片架构的资源池（例如鲲鹏和飞腾之间、Intel/AMD和海光之间）相互迁移，无需额外工具支持；支持向国产虚拟化平台导入从VMware vSphere导出的虚拟机OVA/OVF模板，提供将虚拟机从VMware vSphere一键批量迁移至国产虚拟化平台的迁移管理功能（集成在虚拟化管理平台，非提供第三方迁移工具的方式），迁移过程能够规划迁移目标位置和目标网络。</w:t>
            </w:r>
          </w:p>
        </w:tc>
      </w:tr>
      <w:tr w14:paraId="729F9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365F1EC4">
            <w:pPr>
              <w:pStyle w:val="11"/>
              <w:spacing w:line="360" w:lineRule="auto"/>
              <w:jc w:val="center"/>
              <w:rPr>
                <w:rFonts w:hint="eastAsia"/>
                <w:sz w:val="24"/>
                <w:szCs w:val="24"/>
              </w:rPr>
            </w:pPr>
            <w:r>
              <w:rPr>
                <w:rFonts w:hint="eastAsia"/>
                <w:sz w:val="24"/>
                <w:szCs w:val="24"/>
              </w:rPr>
              <w:t>24</w:t>
            </w:r>
          </w:p>
        </w:tc>
        <w:tc>
          <w:tcPr>
            <w:tcW w:w="567" w:type="dxa"/>
          </w:tcPr>
          <w:p w14:paraId="7A2C1FDD">
            <w:pPr>
              <w:pStyle w:val="11"/>
              <w:spacing w:line="360" w:lineRule="auto"/>
              <w:jc w:val="center"/>
              <w:rPr>
                <w:rFonts w:hint="eastAsia"/>
                <w:sz w:val="24"/>
                <w:szCs w:val="24"/>
              </w:rPr>
            </w:pPr>
          </w:p>
        </w:tc>
        <w:tc>
          <w:tcPr>
            <w:tcW w:w="7938" w:type="dxa"/>
          </w:tcPr>
          <w:p w14:paraId="09CF5940">
            <w:pPr>
              <w:pStyle w:val="11"/>
              <w:spacing w:line="360" w:lineRule="auto"/>
              <w:rPr>
                <w:rFonts w:hint="eastAsia"/>
                <w:sz w:val="24"/>
                <w:szCs w:val="24"/>
              </w:rPr>
            </w:pPr>
            <w:r>
              <w:rPr>
                <w:rFonts w:hint="eastAsia"/>
                <w:sz w:val="24"/>
                <w:szCs w:val="24"/>
              </w:rPr>
              <w:t>当虚拟机业务的使用者忘记虚拟机操作系统的密码时，管理员能够通过管理界面修改重置linux、windows虚拟机操作系统的密码且无需重启即可生效。</w:t>
            </w:r>
          </w:p>
        </w:tc>
      </w:tr>
      <w:tr w14:paraId="2899F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6FA5C0EA">
            <w:pPr>
              <w:pStyle w:val="11"/>
              <w:spacing w:line="360" w:lineRule="auto"/>
              <w:jc w:val="center"/>
              <w:rPr>
                <w:rFonts w:hint="eastAsia"/>
                <w:sz w:val="24"/>
                <w:szCs w:val="24"/>
              </w:rPr>
            </w:pPr>
            <w:r>
              <w:rPr>
                <w:rFonts w:hint="eastAsia"/>
                <w:sz w:val="24"/>
                <w:szCs w:val="24"/>
              </w:rPr>
              <w:t>25</w:t>
            </w:r>
          </w:p>
        </w:tc>
        <w:tc>
          <w:tcPr>
            <w:tcW w:w="567" w:type="dxa"/>
          </w:tcPr>
          <w:p w14:paraId="44E6BEA1">
            <w:pPr>
              <w:pStyle w:val="11"/>
              <w:spacing w:line="360" w:lineRule="auto"/>
              <w:jc w:val="center"/>
              <w:rPr>
                <w:rFonts w:hint="eastAsia"/>
                <w:sz w:val="24"/>
                <w:szCs w:val="24"/>
              </w:rPr>
            </w:pPr>
          </w:p>
        </w:tc>
        <w:tc>
          <w:tcPr>
            <w:tcW w:w="7938" w:type="dxa"/>
          </w:tcPr>
          <w:p w14:paraId="632BF66F">
            <w:pPr>
              <w:pStyle w:val="11"/>
              <w:spacing w:line="360" w:lineRule="auto"/>
              <w:rPr>
                <w:rFonts w:hint="eastAsia"/>
                <w:sz w:val="24"/>
                <w:szCs w:val="24"/>
              </w:rPr>
            </w:pPr>
            <w:r>
              <w:rPr>
                <w:rFonts w:hint="eastAsia"/>
                <w:sz w:val="24"/>
                <w:szCs w:val="24"/>
              </w:rPr>
              <w:t>提供虚拟机业务组，将相同业务属性的虚拟机实例加入业务组统一管理，支持对业务组的启动、关闭、暂停、恢复、重启等操作。针对潮汐式业务特征提供弹性伸缩组配置，支持触发扩缩容的CPU、内存平均利用率监控策略、持续时间和间隔时间策略、移出策略；支持将已创建的虚拟机加入伸缩组，并指定保护、备用等保护级别。</w:t>
            </w:r>
          </w:p>
        </w:tc>
      </w:tr>
      <w:tr w14:paraId="35B37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35FC3943">
            <w:pPr>
              <w:pStyle w:val="11"/>
              <w:spacing w:line="360" w:lineRule="auto"/>
              <w:jc w:val="center"/>
              <w:rPr>
                <w:rFonts w:hint="eastAsia"/>
                <w:sz w:val="24"/>
                <w:szCs w:val="24"/>
              </w:rPr>
            </w:pPr>
            <w:r>
              <w:rPr>
                <w:rFonts w:hint="eastAsia"/>
                <w:sz w:val="24"/>
                <w:szCs w:val="24"/>
              </w:rPr>
              <w:t>26</w:t>
            </w:r>
          </w:p>
        </w:tc>
        <w:tc>
          <w:tcPr>
            <w:tcW w:w="567" w:type="dxa"/>
          </w:tcPr>
          <w:p w14:paraId="282D827A">
            <w:pPr>
              <w:pStyle w:val="11"/>
              <w:spacing w:line="360" w:lineRule="auto"/>
              <w:jc w:val="center"/>
              <w:rPr>
                <w:rFonts w:hint="eastAsia"/>
                <w:sz w:val="24"/>
                <w:szCs w:val="24"/>
              </w:rPr>
            </w:pPr>
          </w:p>
        </w:tc>
        <w:tc>
          <w:tcPr>
            <w:tcW w:w="7938" w:type="dxa"/>
          </w:tcPr>
          <w:p w14:paraId="74F35291">
            <w:pPr>
              <w:pStyle w:val="11"/>
              <w:spacing w:line="360" w:lineRule="auto"/>
              <w:rPr>
                <w:rFonts w:hint="eastAsia"/>
                <w:sz w:val="24"/>
                <w:szCs w:val="24"/>
              </w:rPr>
            </w:pPr>
            <w:r>
              <w:rPr>
                <w:rFonts w:hint="eastAsia"/>
                <w:sz w:val="24"/>
                <w:szCs w:val="24"/>
              </w:rPr>
              <w:t>提供回收站功能，虚拟机等资源实例被删除后放置到回收站，允许再次恢复使用或彻底销毁；支持设置回收策略，包括冻结、关闭等回收方式，以及实例的保留时间。</w:t>
            </w:r>
          </w:p>
        </w:tc>
      </w:tr>
      <w:tr w14:paraId="3AAB8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40543C36">
            <w:pPr>
              <w:pStyle w:val="11"/>
              <w:spacing w:line="360" w:lineRule="auto"/>
              <w:jc w:val="center"/>
              <w:rPr>
                <w:rFonts w:hint="eastAsia"/>
                <w:sz w:val="24"/>
                <w:szCs w:val="24"/>
              </w:rPr>
            </w:pPr>
            <w:r>
              <w:rPr>
                <w:rFonts w:hint="eastAsia"/>
                <w:sz w:val="24"/>
                <w:szCs w:val="24"/>
              </w:rPr>
              <w:t>27</w:t>
            </w:r>
          </w:p>
        </w:tc>
        <w:tc>
          <w:tcPr>
            <w:tcW w:w="567" w:type="dxa"/>
          </w:tcPr>
          <w:p w14:paraId="7A96B62F">
            <w:pPr>
              <w:pStyle w:val="11"/>
              <w:spacing w:line="360" w:lineRule="auto"/>
              <w:jc w:val="center"/>
              <w:rPr>
                <w:rFonts w:hint="eastAsia"/>
                <w:sz w:val="24"/>
                <w:szCs w:val="24"/>
              </w:rPr>
            </w:pPr>
          </w:p>
        </w:tc>
        <w:tc>
          <w:tcPr>
            <w:tcW w:w="7938" w:type="dxa"/>
          </w:tcPr>
          <w:p w14:paraId="02D82FB9">
            <w:pPr>
              <w:pStyle w:val="11"/>
              <w:spacing w:line="360" w:lineRule="auto"/>
              <w:rPr>
                <w:rFonts w:hint="eastAsia"/>
                <w:sz w:val="24"/>
                <w:szCs w:val="24"/>
              </w:rPr>
            </w:pPr>
            <w:r>
              <w:rPr>
                <w:rFonts w:hint="eastAsia"/>
                <w:sz w:val="24"/>
                <w:szCs w:val="24"/>
              </w:rPr>
              <w:t>虚拟化管理界面自带备份管理模块，不需借助独立第三方软件或额外工具，且无需虚拟机系统安装代理，即可在虚拟化管理界面实现虚拟机全量、增量备份；</w:t>
            </w:r>
          </w:p>
        </w:tc>
      </w:tr>
      <w:tr w14:paraId="6A789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62A9D317">
            <w:pPr>
              <w:pStyle w:val="11"/>
              <w:spacing w:line="360" w:lineRule="auto"/>
              <w:jc w:val="center"/>
              <w:rPr>
                <w:rFonts w:hint="eastAsia"/>
                <w:sz w:val="24"/>
                <w:szCs w:val="24"/>
              </w:rPr>
            </w:pPr>
            <w:r>
              <w:rPr>
                <w:rFonts w:hint="eastAsia"/>
                <w:sz w:val="24"/>
                <w:szCs w:val="24"/>
              </w:rPr>
              <w:t>28</w:t>
            </w:r>
          </w:p>
        </w:tc>
        <w:tc>
          <w:tcPr>
            <w:tcW w:w="567" w:type="dxa"/>
          </w:tcPr>
          <w:p w14:paraId="2813F452">
            <w:pPr>
              <w:pStyle w:val="11"/>
              <w:spacing w:line="360" w:lineRule="auto"/>
              <w:jc w:val="center"/>
              <w:rPr>
                <w:rFonts w:hint="eastAsia"/>
                <w:sz w:val="24"/>
                <w:szCs w:val="24"/>
              </w:rPr>
            </w:pPr>
          </w:p>
        </w:tc>
        <w:tc>
          <w:tcPr>
            <w:tcW w:w="7938" w:type="dxa"/>
          </w:tcPr>
          <w:p w14:paraId="2090B4E6">
            <w:pPr>
              <w:pStyle w:val="11"/>
              <w:spacing w:line="360" w:lineRule="auto"/>
              <w:rPr>
                <w:rFonts w:hint="eastAsia"/>
                <w:sz w:val="24"/>
                <w:szCs w:val="24"/>
              </w:rPr>
            </w:pPr>
            <w:r>
              <w:rPr>
                <w:rFonts w:hint="eastAsia"/>
                <w:sz w:val="24"/>
                <w:szCs w:val="24"/>
              </w:rPr>
              <w:t>兼容主流的存储设备、协议和类型，支持包括本地目录、FC SAN、iSCSI SAN、NFS、NVMe、Ceph分布式存储、共享文件系统等存储类型。</w:t>
            </w:r>
          </w:p>
        </w:tc>
      </w:tr>
      <w:tr w14:paraId="328FA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303EBE9F">
            <w:pPr>
              <w:pStyle w:val="11"/>
              <w:spacing w:line="360" w:lineRule="auto"/>
              <w:jc w:val="center"/>
              <w:rPr>
                <w:rFonts w:hint="eastAsia"/>
                <w:sz w:val="24"/>
                <w:szCs w:val="24"/>
              </w:rPr>
            </w:pPr>
            <w:r>
              <w:rPr>
                <w:rFonts w:hint="eastAsia"/>
                <w:sz w:val="24"/>
                <w:szCs w:val="24"/>
              </w:rPr>
              <w:t>29</w:t>
            </w:r>
          </w:p>
        </w:tc>
        <w:tc>
          <w:tcPr>
            <w:tcW w:w="567" w:type="dxa"/>
          </w:tcPr>
          <w:p w14:paraId="7223970D">
            <w:pPr>
              <w:pStyle w:val="11"/>
              <w:spacing w:line="360" w:lineRule="auto"/>
              <w:jc w:val="center"/>
              <w:rPr>
                <w:rFonts w:hint="eastAsia"/>
                <w:sz w:val="24"/>
                <w:szCs w:val="24"/>
              </w:rPr>
            </w:pPr>
          </w:p>
        </w:tc>
        <w:tc>
          <w:tcPr>
            <w:tcW w:w="7938" w:type="dxa"/>
          </w:tcPr>
          <w:p w14:paraId="5A66BDE4">
            <w:pPr>
              <w:pStyle w:val="11"/>
              <w:spacing w:line="360" w:lineRule="auto"/>
              <w:rPr>
                <w:rFonts w:hint="eastAsia"/>
                <w:sz w:val="24"/>
                <w:szCs w:val="24"/>
              </w:rPr>
            </w:pPr>
            <w:r>
              <w:rPr>
                <w:rFonts w:hint="eastAsia"/>
                <w:sz w:val="24"/>
                <w:szCs w:val="24"/>
              </w:rPr>
              <w:t>包括X86、ARM架构的存储池内均支持RAW、qcow2等格式的虚拟磁盘，虚拟磁盘支持新增、扩容、挂载、卸载、导入、导出、删除等管理操作。</w:t>
            </w:r>
          </w:p>
        </w:tc>
      </w:tr>
      <w:tr w14:paraId="32FD8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4C8D9039">
            <w:pPr>
              <w:pStyle w:val="11"/>
              <w:spacing w:line="360" w:lineRule="auto"/>
              <w:jc w:val="center"/>
              <w:rPr>
                <w:rFonts w:hint="eastAsia"/>
                <w:sz w:val="24"/>
                <w:szCs w:val="24"/>
              </w:rPr>
            </w:pPr>
            <w:r>
              <w:rPr>
                <w:rFonts w:hint="eastAsia"/>
                <w:sz w:val="24"/>
                <w:szCs w:val="24"/>
              </w:rPr>
              <w:t>30</w:t>
            </w:r>
          </w:p>
        </w:tc>
        <w:tc>
          <w:tcPr>
            <w:tcW w:w="567" w:type="dxa"/>
          </w:tcPr>
          <w:p w14:paraId="6DE2C7BA">
            <w:pPr>
              <w:pStyle w:val="11"/>
              <w:spacing w:line="360" w:lineRule="auto"/>
              <w:jc w:val="center"/>
              <w:rPr>
                <w:rFonts w:hint="eastAsia"/>
                <w:sz w:val="24"/>
                <w:szCs w:val="24"/>
              </w:rPr>
            </w:pPr>
          </w:p>
        </w:tc>
        <w:tc>
          <w:tcPr>
            <w:tcW w:w="7938" w:type="dxa"/>
          </w:tcPr>
          <w:p w14:paraId="30150F6D">
            <w:pPr>
              <w:pStyle w:val="11"/>
              <w:spacing w:line="360" w:lineRule="auto"/>
              <w:rPr>
                <w:rFonts w:hint="eastAsia"/>
                <w:sz w:val="24"/>
                <w:szCs w:val="24"/>
              </w:rPr>
            </w:pPr>
            <w:r>
              <w:rPr>
                <w:rFonts w:hint="eastAsia"/>
                <w:sz w:val="24"/>
                <w:szCs w:val="24"/>
              </w:rPr>
              <w:t>虚拟磁盘支持精简置备、厚置备置零、厚置备延迟置零等磁盘置备类型，实现灵活分配存储容量空间，提高存储利用效率。</w:t>
            </w:r>
          </w:p>
        </w:tc>
      </w:tr>
      <w:tr w14:paraId="18664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446215FC">
            <w:pPr>
              <w:pStyle w:val="11"/>
              <w:spacing w:line="360" w:lineRule="auto"/>
              <w:jc w:val="center"/>
              <w:rPr>
                <w:rFonts w:hint="eastAsia"/>
                <w:sz w:val="24"/>
                <w:szCs w:val="24"/>
              </w:rPr>
            </w:pPr>
            <w:r>
              <w:rPr>
                <w:rFonts w:hint="eastAsia"/>
                <w:sz w:val="24"/>
                <w:szCs w:val="24"/>
              </w:rPr>
              <w:t>31</w:t>
            </w:r>
          </w:p>
        </w:tc>
        <w:tc>
          <w:tcPr>
            <w:tcW w:w="567" w:type="dxa"/>
          </w:tcPr>
          <w:p w14:paraId="01F23B3E">
            <w:pPr>
              <w:pStyle w:val="11"/>
              <w:spacing w:line="360" w:lineRule="auto"/>
              <w:jc w:val="center"/>
              <w:rPr>
                <w:rFonts w:hint="eastAsia"/>
                <w:sz w:val="24"/>
                <w:szCs w:val="24"/>
              </w:rPr>
            </w:pPr>
          </w:p>
        </w:tc>
        <w:tc>
          <w:tcPr>
            <w:tcW w:w="7938" w:type="dxa"/>
          </w:tcPr>
          <w:p w14:paraId="44D77312">
            <w:pPr>
              <w:pStyle w:val="11"/>
              <w:spacing w:line="360" w:lineRule="auto"/>
              <w:rPr>
                <w:rFonts w:hint="eastAsia"/>
                <w:sz w:val="24"/>
                <w:szCs w:val="24"/>
              </w:rPr>
            </w:pPr>
            <w:r>
              <w:rPr>
                <w:rFonts w:hint="eastAsia"/>
                <w:sz w:val="24"/>
                <w:szCs w:val="24"/>
              </w:rPr>
              <w:t>支持针对单块虚拟磁盘（非存储池）的读写双向IO速率、IOPS的Qos限速策略。</w:t>
            </w:r>
          </w:p>
        </w:tc>
      </w:tr>
      <w:tr w14:paraId="3FB73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25B9BA06">
            <w:pPr>
              <w:pStyle w:val="11"/>
              <w:spacing w:line="360" w:lineRule="auto"/>
              <w:jc w:val="center"/>
              <w:rPr>
                <w:rFonts w:hint="eastAsia"/>
                <w:sz w:val="24"/>
                <w:szCs w:val="24"/>
              </w:rPr>
            </w:pPr>
            <w:r>
              <w:rPr>
                <w:rFonts w:hint="eastAsia"/>
                <w:sz w:val="24"/>
                <w:szCs w:val="24"/>
              </w:rPr>
              <w:t>32</w:t>
            </w:r>
          </w:p>
        </w:tc>
        <w:tc>
          <w:tcPr>
            <w:tcW w:w="567" w:type="dxa"/>
          </w:tcPr>
          <w:p w14:paraId="61223552">
            <w:pPr>
              <w:pStyle w:val="11"/>
              <w:spacing w:line="360" w:lineRule="auto"/>
              <w:jc w:val="center"/>
              <w:rPr>
                <w:rFonts w:hint="eastAsia"/>
                <w:sz w:val="24"/>
                <w:szCs w:val="24"/>
              </w:rPr>
            </w:pPr>
          </w:p>
        </w:tc>
        <w:tc>
          <w:tcPr>
            <w:tcW w:w="7938" w:type="dxa"/>
          </w:tcPr>
          <w:p w14:paraId="78646D04">
            <w:pPr>
              <w:pStyle w:val="11"/>
              <w:spacing w:line="360" w:lineRule="auto"/>
              <w:rPr>
                <w:rFonts w:hint="eastAsia"/>
                <w:sz w:val="24"/>
                <w:szCs w:val="24"/>
              </w:rPr>
            </w:pPr>
            <w:r>
              <w:rPr>
                <w:rFonts w:hint="eastAsia"/>
                <w:sz w:val="24"/>
                <w:szCs w:val="24"/>
              </w:rPr>
              <w:t>虚拟磁盘支持高速、IDE、SCSI、SATA、USB等多种总线类型配置；支持directsync、writethrough、writeback、none等缓存方式；支持共享/非共享等类型。</w:t>
            </w:r>
          </w:p>
        </w:tc>
      </w:tr>
      <w:tr w14:paraId="05FCF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72DFC02F">
            <w:pPr>
              <w:pStyle w:val="11"/>
              <w:spacing w:line="360" w:lineRule="auto"/>
              <w:jc w:val="center"/>
              <w:rPr>
                <w:rFonts w:hint="eastAsia"/>
                <w:sz w:val="24"/>
                <w:szCs w:val="24"/>
              </w:rPr>
            </w:pPr>
            <w:r>
              <w:rPr>
                <w:rFonts w:hint="eastAsia"/>
                <w:sz w:val="24"/>
                <w:szCs w:val="24"/>
              </w:rPr>
              <w:t>33</w:t>
            </w:r>
          </w:p>
        </w:tc>
        <w:tc>
          <w:tcPr>
            <w:tcW w:w="567" w:type="dxa"/>
          </w:tcPr>
          <w:p w14:paraId="0CDCD133">
            <w:pPr>
              <w:pStyle w:val="11"/>
              <w:spacing w:line="360" w:lineRule="auto"/>
              <w:jc w:val="center"/>
              <w:rPr>
                <w:rFonts w:hint="eastAsia"/>
                <w:sz w:val="24"/>
                <w:szCs w:val="24"/>
              </w:rPr>
            </w:pPr>
          </w:p>
        </w:tc>
        <w:tc>
          <w:tcPr>
            <w:tcW w:w="7938" w:type="dxa"/>
          </w:tcPr>
          <w:p w14:paraId="0E524A67">
            <w:pPr>
              <w:pStyle w:val="11"/>
              <w:spacing w:line="360" w:lineRule="auto"/>
              <w:rPr>
                <w:rFonts w:hint="eastAsia"/>
                <w:sz w:val="24"/>
                <w:szCs w:val="24"/>
              </w:rPr>
            </w:pPr>
            <w:r>
              <w:rPr>
                <w:rFonts w:hint="eastAsia"/>
                <w:sz w:val="24"/>
                <w:szCs w:val="24"/>
              </w:rPr>
              <w:t>支持管理界面内置多款主流存储设备多路径配置模板，能够开启多路径服务及完成参数配置，减少存储连接和管理压力。</w:t>
            </w:r>
          </w:p>
        </w:tc>
      </w:tr>
      <w:tr w14:paraId="0EA36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55EB3FC9">
            <w:pPr>
              <w:pStyle w:val="11"/>
              <w:spacing w:line="360" w:lineRule="auto"/>
              <w:jc w:val="center"/>
              <w:rPr>
                <w:rFonts w:hint="eastAsia"/>
                <w:sz w:val="24"/>
                <w:szCs w:val="24"/>
              </w:rPr>
            </w:pPr>
            <w:r>
              <w:rPr>
                <w:rFonts w:hint="eastAsia"/>
                <w:sz w:val="24"/>
                <w:szCs w:val="24"/>
              </w:rPr>
              <w:t>34</w:t>
            </w:r>
          </w:p>
        </w:tc>
        <w:tc>
          <w:tcPr>
            <w:tcW w:w="567" w:type="dxa"/>
          </w:tcPr>
          <w:p w14:paraId="3CFAEB38">
            <w:pPr>
              <w:pStyle w:val="11"/>
              <w:spacing w:line="360" w:lineRule="auto"/>
              <w:jc w:val="center"/>
              <w:rPr>
                <w:rFonts w:hint="eastAsia"/>
                <w:sz w:val="24"/>
                <w:szCs w:val="24"/>
              </w:rPr>
            </w:pPr>
          </w:p>
        </w:tc>
        <w:tc>
          <w:tcPr>
            <w:tcW w:w="7938" w:type="dxa"/>
          </w:tcPr>
          <w:p w14:paraId="011E9E16">
            <w:pPr>
              <w:pStyle w:val="11"/>
              <w:spacing w:line="360" w:lineRule="auto"/>
              <w:rPr>
                <w:rFonts w:hint="eastAsia"/>
                <w:sz w:val="24"/>
                <w:szCs w:val="24"/>
              </w:rPr>
            </w:pPr>
            <w:r>
              <w:rPr>
                <w:rFonts w:hint="eastAsia"/>
                <w:sz w:val="24"/>
                <w:szCs w:val="24"/>
              </w:rPr>
              <w:t>提供虚拟交换机配置管理能力，且虚拟交换机要求基于OpenvSwitch技术实现。</w:t>
            </w:r>
          </w:p>
        </w:tc>
      </w:tr>
      <w:tr w14:paraId="2B179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2D47A077">
            <w:pPr>
              <w:pStyle w:val="11"/>
              <w:spacing w:line="360" w:lineRule="auto"/>
              <w:jc w:val="center"/>
              <w:rPr>
                <w:rFonts w:hint="eastAsia"/>
                <w:sz w:val="24"/>
                <w:szCs w:val="24"/>
              </w:rPr>
            </w:pPr>
            <w:r>
              <w:rPr>
                <w:rFonts w:hint="eastAsia"/>
                <w:sz w:val="24"/>
                <w:szCs w:val="24"/>
              </w:rPr>
              <w:t>35</w:t>
            </w:r>
          </w:p>
        </w:tc>
        <w:tc>
          <w:tcPr>
            <w:tcW w:w="567" w:type="dxa"/>
          </w:tcPr>
          <w:p w14:paraId="2FE3D374">
            <w:pPr>
              <w:pStyle w:val="11"/>
              <w:spacing w:line="360" w:lineRule="auto"/>
              <w:jc w:val="center"/>
              <w:rPr>
                <w:rFonts w:hint="eastAsia"/>
                <w:sz w:val="24"/>
                <w:szCs w:val="24"/>
              </w:rPr>
            </w:pPr>
          </w:p>
        </w:tc>
        <w:tc>
          <w:tcPr>
            <w:tcW w:w="7938" w:type="dxa"/>
          </w:tcPr>
          <w:p w14:paraId="5233DFA5">
            <w:pPr>
              <w:pStyle w:val="11"/>
              <w:spacing w:line="360" w:lineRule="auto"/>
              <w:rPr>
                <w:rFonts w:hint="eastAsia"/>
                <w:sz w:val="24"/>
                <w:szCs w:val="24"/>
              </w:rPr>
            </w:pPr>
            <w:r>
              <w:rPr>
                <w:rFonts w:hint="eastAsia"/>
                <w:sz w:val="24"/>
                <w:szCs w:val="24"/>
              </w:rPr>
              <w:t>支持创建、修改、启动、暂停、删除多个虚拟交换机；支持查看指定虚拟交换机的虚拟端口信息，包括虚拟端口对应的虚拟机、MAC地址、收发字节数、收发报文数等流量信息；支持虚拟端口镜像功能，可将一个或多个源端口的数据流量转发到某一个指定目标监听端口，且可设置镜像数据包长度；通过LLDP协议通告本地网卡信息给直连的邻居网络设备并查询对端状态。</w:t>
            </w:r>
          </w:p>
        </w:tc>
      </w:tr>
      <w:tr w14:paraId="3C42A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442CAAC7">
            <w:pPr>
              <w:pStyle w:val="11"/>
              <w:spacing w:line="360" w:lineRule="auto"/>
              <w:jc w:val="center"/>
              <w:rPr>
                <w:rFonts w:hint="eastAsia"/>
                <w:sz w:val="24"/>
                <w:szCs w:val="24"/>
              </w:rPr>
            </w:pPr>
            <w:r>
              <w:rPr>
                <w:rFonts w:hint="eastAsia"/>
                <w:sz w:val="24"/>
                <w:szCs w:val="24"/>
              </w:rPr>
              <w:t>36</w:t>
            </w:r>
          </w:p>
        </w:tc>
        <w:tc>
          <w:tcPr>
            <w:tcW w:w="567" w:type="dxa"/>
          </w:tcPr>
          <w:p w14:paraId="00A0618C">
            <w:pPr>
              <w:pStyle w:val="11"/>
              <w:spacing w:line="360" w:lineRule="auto"/>
              <w:jc w:val="center"/>
              <w:rPr>
                <w:rFonts w:hint="eastAsia"/>
                <w:sz w:val="24"/>
                <w:szCs w:val="24"/>
              </w:rPr>
            </w:pPr>
          </w:p>
        </w:tc>
        <w:tc>
          <w:tcPr>
            <w:tcW w:w="7938" w:type="dxa"/>
          </w:tcPr>
          <w:p w14:paraId="23CAF5C1">
            <w:pPr>
              <w:pStyle w:val="11"/>
              <w:spacing w:line="360" w:lineRule="auto"/>
              <w:rPr>
                <w:rFonts w:hint="eastAsia"/>
                <w:sz w:val="24"/>
                <w:szCs w:val="24"/>
              </w:rPr>
            </w:pPr>
            <w:r>
              <w:rPr>
                <w:rFonts w:hint="eastAsia"/>
                <w:sz w:val="24"/>
                <w:szCs w:val="24"/>
              </w:rPr>
              <w:t>提供标准虚拟交换机、分布式虚拟交换机，支持查询虚拟交换机与物理网卡、端口组、虚拟机的动态网络关系拓扑图；支持基于虚拟交换机内置NETflow流量采样发送能力，管理员能通过NetFlow分析软件处理目标IP和端口的流量信息。</w:t>
            </w:r>
          </w:p>
        </w:tc>
      </w:tr>
      <w:tr w14:paraId="22243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634B5BB3">
            <w:pPr>
              <w:pStyle w:val="11"/>
              <w:spacing w:line="360" w:lineRule="auto"/>
              <w:jc w:val="center"/>
              <w:rPr>
                <w:rFonts w:hint="eastAsia"/>
                <w:sz w:val="24"/>
                <w:szCs w:val="24"/>
              </w:rPr>
            </w:pPr>
            <w:r>
              <w:rPr>
                <w:rFonts w:hint="eastAsia"/>
                <w:sz w:val="24"/>
                <w:szCs w:val="24"/>
              </w:rPr>
              <w:t>37</w:t>
            </w:r>
          </w:p>
        </w:tc>
        <w:tc>
          <w:tcPr>
            <w:tcW w:w="567" w:type="dxa"/>
          </w:tcPr>
          <w:p w14:paraId="5D09CC93">
            <w:pPr>
              <w:pStyle w:val="11"/>
              <w:spacing w:line="360" w:lineRule="auto"/>
              <w:jc w:val="center"/>
              <w:rPr>
                <w:rFonts w:hint="eastAsia"/>
                <w:sz w:val="24"/>
                <w:szCs w:val="24"/>
              </w:rPr>
            </w:pPr>
          </w:p>
        </w:tc>
        <w:tc>
          <w:tcPr>
            <w:tcW w:w="7938" w:type="dxa"/>
          </w:tcPr>
          <w:p w14:paraId="5BFA087B">
            <w:pPr>
              <w:pStyle w:val="11"/>
              <w:spacing w:line="360" w:lineRule="auto"/>
              <w:rPr>
                <w:rFonts w:hint="eastAsia"/>
                <w:sz w:val="24"/>
                <w:szCs w:val="24"/>
              </w:rPr>
            </w:pPr>
            <w:r>
              <w:rPr>
                <w:rFonts w:hint="eastAsia"/>
                <w:sz w:val="24"/>
                <w:szCs w:val="24"/>
              </w:rPr>
              <w:t>管理网络与业务网络同时支持物理、逻辑隔离。物理隔离的方式管理与业务网络分别使用不同的物理网卡，逻辑隔离的方式管理与业务网络能够基于相同的物理网卡并通过VLAN等方式隔离。</w:t>
            </w:r>
          </w:p>
        </w:tc>
      </w:tr>
      <w:tr w14:paraId="63D42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61973427">
            <w:pPr>
              <w:pStyle w:val="11"/>
              <w:spacing w:line="360" w:lineRule="auto"/>
              <w:jc w:val="center"/>
              <w:rPr>
                <w:rFonts w:hint="eastAsia"/>
                <w:sz w:val="24"/>
                <w:szCs w:val="24"/>
              </w:rPr>
            </w:pPr>
            <w:r>
              <w:rPr>
                <w:rFonts w:hint="eastAsia"/>
                <w:sz w:val="24"/>
                <w:szCs w:val="24"/>
              </w:rPr>
              <w:t>38</w:t>
            </w:r>
          </w:p>
        </w:tc>
        <w:tc>
          <w:tcPr>
            <w:tcW w:w="567" w:type="dxa"/>
          </w:tcPr>
          <w:p w14:paraId="00B89C3B">
            <w:pPr>
              <w:pStyle w:val="11"/>
              <w:spacing w:line="360" w:lineRule="auto"/>
              <w:jc w:val="center"/>
              <w:rPr>
                <w:rFonts w:hint="eastAsia"/>
                <w:sz w:val="24"/>
                <w:szCs w:val="24"/>
              </w:rPr>
            </w:pPr>
          </w:p>
        </w:tc>
        <w:tc>
          <w:tcPr>
            <w:tcW w:w="7938" w:type="dxa"/>
          </w:tcPr>
          <w:p w14:paraId="454E31AA">
            <w:pPr>
              <w:pStyle w:val="11"/>
              <w:spacing w:line="360" w:lineRule="auto"/>
              <w:rPr>
                <w:rFonts w:hint="eastAsia"/>
                <w:sz w:val="24"/>
                <w:szCs w:val="24"/>
              </w:rPr>
            </w:pPr>
            <w:r>
              <w:rPr>
                <w:rFonts w:hint="eastAsia"/>
                <w:sz w:val="24"/>
                <w:szCs w:val="24"/>
              </w:rPr>
              <w:t>提供物理网卡接口的活动状态、MAC地址、速率、工作模式等信息的查询；物理网卡SR-IOV等直通虚拟化特性全面支持鲲鹏、飞腾、海光等服务器，不绑定特定品牌型号的物理网卡，提供无差别的配置管理界面。</w:t>
            </w:r>
          </w:p>
        </w:tc>
      </w:tr>
      <w:tr w14:paraId="1F1B8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5C5DC5EE">
            <w:pPr>
              <w:pStyle w:val="11"/>
              <w:spacing w:line="360" w:lineRule="auto"/>
              <w:jc w:val="center"/>
              <w:rPr>
                <w:rFonts w:hint="eastAsia"/>
                <w:sz w:val="24"/>
                <w:szCs w:val="24"/>
              </w:rPr>
            </w:pPr>
            <w:r>
              <w:rPr>
                <w:rFonts w:hint="eastAsia"/>
                <w:sz w:val="24"/>
                <w:szCs w:val="24"/>
              </w:rPr>
              <w:t>39</w:t>
            </w:r>
          </w:p>
        </w:tc>
        <w:tc>
          <w:tcPr>
            <w:tcW w:w="567" w:type="dxa"/>
          </w:tcPr>
          <w:p w14:paraId="147F342C">
            <w:pPr>
              <w:pStyle w:val="11"/>
              <w:spacing w:line="360" w:lineRule="auto"/>
              <w:jc w:val="center"/>
              <w:rPr>
                <w:rFonts w:hint="eastAsia"/>
                <w:sz w:val="24"/>
                <w:szCs w:val="24"/>
              </w:rPr>
            </w:pPr>
          </w:p>
        </w:tc>
        <w:tc>
          <w:tcPr>
            <w:tcW w:w="7938" w:type="dxa"/>
          </w:tcPr>
          <w:p w14:paraId="6F01475C">
            <w:pPr>
              <w:pStyle w:val="11"/>
              <w:spacing w:line="360" w:lineRule="auto"/>
              <w:rPr>
                <w:rFonts w:hint="eastAsia"/>
                <w:sz w:val="24"/>
                <w:szCs w:val="24"/>
              </w:rPr>
            </w:pPr>
            <w:r>
              <w:rPr>
                <w:rFonts w:hint="eastAsia"/>
                <w:sz w:val="24"/>
                <w:szCs w:val="24"/>
              </w:rPr>
              <w:t>虚拟机网卡支持virtio高速网卡、e1000网卡、SR-IOV网卡等多种类型；支持启用/断开虚拟网卡网络连接，非新增、卸载虚拟网卡的方式实现。</w:t>
            </w:r>
          </w:p>
        </w:tc>
      </w:tr>
      <w:tr w14:paraId="733D3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7E94E1B7">
            <w:pPr>
              <w:pStyle w:val="11"/>
              <w:spacing w:line="360" w:lineRule="auto"/>
              <w:jc w:val="center"/>
              <w:rPr>
                <w:rFonts w:hint="eastAsia"/>
                <w:sz w:val="24"/>
                <w:szCs w:val="24"/>
              </w:rPr>
            </w:pPr>
            <w:r>
              <w:rPr>
                <w:rFonts w:hint="eastAsia"/>
                <w:sz w:val="24"/>
                <w:szCs w:val="24"/>
              </w:rPr>
              <w:t>40</w:t>
            </w:r>
          </w:p>
        </w:tc>
        <w:tc>
          <w:tcPr>
            <w:tcW w:w="567" w:type="dxa"/>
          </w:tcPr>
          <w:p w14:paraId="30A42976">
            <w:pPr>
              <w:pStyle w:val="11"/>
              <w:spacing w:line="360" w:lineRule="auto"/>
              <w:jc w:val="center"/>
              <w:rPr>
                <w:rFonts w:hint="eastAsia"/>
                <w:sz w:val="24"/>
                <w:szCs w:val="24"/>
              </w:rPr>
            </w:pPr>
          </w:p>
        </w:tc>
        <w:tc>
          <w:tcPr>
            <w:tcW w:w="7938" w:type="dxa"/>
          </w:tcPr>
          <w:p w14:paraId="24D750A3">
            <w:pPr>
              <w:pStyle w:val="11"/>
              <w:spacing w:line="360" w:lineRule="auto"/>
              <w:rPr>
                <w:rFonts w:hint="eastAsia"/>
                <w:sz w:val="24"/>
                <w:szCs w:val="24"/>
              </w:rPr>
            </w:pPr>
            <w:r>
              <w:rPr>
                <w:rFonts w:hint="eastAsia"/>
                <w:sz w:val="24"/>
                <w:szCs w:val="24"/>
              </w:rPr>
              <w:t>支持图形管理界面为运行中的虚拟机设置IPv4/IPv6类型的IP地址。同时提供IP冲突检测机制；支持为单个虚拟机网卡设置MTU值和多队列参数。</w:t>
            </w:r>
          </w:p>
        </w:tc>
      </w:tr>
      <w:tr w14:paraId="66AC7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0F4AD36A">
            <w:pPr>
              <w:pStyle w:val="11"/>
              <w:spacing w:line="360" w:lineRule="auto"/>
              <w:jc w:val="center"/>
              <w:rPr>
                <w:rFonts w:hint="eastAsia"/>
                <w:sz w:val="24"/>
                <w:szCs w:val="24"/>
              </w:rPr>
            </w:pPr>
            <w:r>
              <w:rPr>
                <w:rFonts w:hint="eastAsia"/>
                <w:sz w:val="24"/>
                <w:szCs w:val="24"/>
              </w:rPr>
              <w:t>41</w:t>
            </w:r>
          </w:p>
        </w:tc>
        <w:tc>
          <w:tcPr>
            <w:tcW w:w="567" w:type="dxa"/>
          </w:tcPr>
          <w:p w14:paraId="449D3989">
            <w:pPr>
              <w:pStyle w:val="11"/>
              <w:spacing w:line="360" w:lineRule="auto"/>
              <w:jc w:val="center"/>
              <w:rPr>
                <w:rFonts w:hint="eastAsia"/>
                <w:sz w:val="24"/>
                <w:szCs w:val="24"/>
              </w:rPr>
            </w:pPr>
          </w:p>
        </w:tc>
        <w:tc>
          <w:tcPr>
            <w:tcW w:w="7938" w:type="dxa"/>
          </w:tcPr>
          <w:p w14:paraId="5EB5272B">
            <w:pPr>
              <w:pStyle w:val="11"/>
              <w:spacing w:line="360" w:lineRule="auto"/>
              <w:rPr>
                <w:rFonts w:hint="eastAsia"/>
                <w:sz w:val="24"/>
                <w:szCs w:val="24"/>
              </w:rPr>
            </w:pPr>
            <w:r>
              <w:rPr>
                <w:rFonts w:hint="eastAsia"/>
                <w:sz w:val="24"/>
                <w:szCs w:val="24"/>
              </w:rPr>
              <w:t>端口组支持Qos及安全能力，包括设置VLAN ID、以及出入方向平均带宽、出入方向突发缓冲、网络优先级、IP广播包限速、ARP广播包限速、DHCP拦截等参数。使用VPC网络时，支持基于浮动IP的带宽Qos策略</w:t>
            </w:r>
          </w:p>
        </w:tc>
      </w:tr>
      <w:tr w14:paraId="01EC4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00E1E333">
            <w:pPr>
              <w:pStyle w:val="11"/>
              <w:spacing w:line="360" w:lineRule="auto"/>
              <w:jc w:val="center"/>
              <w:rPr>
                <w:rFonts w:hint="eastAsia"/>
                <w:sz w:val="24"/>
                <w:szCs w:val="24"/>
              </w:rPr>
            </w:pPr>
            <w:r>
              <w:rPr>
                <w:rFonts w:hint="eastAsia"/>
                <w:sz w:val="24"/>
                <w:szCs w:val="24"/>
              </w:rPr>
              <w:t>42</w:t>
            </w:r>
          </w:p>
        </w:tc>
        <w:tc>
          <w:tcPr>
            <w:tcW w:w="567" w:type="dxa"/>
          </w:tcPr>
          <w:p w14:paraId="74D5C975">
            <w:pPr>
              <w:pStyle w:val="11"/>
              <w:spacing w:line="360" w:lineRule="auto"/>
              <w:jc w:val="center"/>
              <w:rPr>
                <w:rFonts w:hint="eastAsia"/>
                <w:sz w:val="24"/>
                <w:szCs w:val="24"/>
              </w:rPr>
            </w:pPr>
          </w:p>
        </w:tc>
        <w:tc>
          <w:tcPr>
            <w:tcW w:w="7938" w:type="dxa"/>
          </w:tcPr>
          <w:p w14:paraId="489E749B">
            <w:pPr>
              <w:pStyle w:val="11"/>
              <w:spacing w:line="360" w:lineRule="auto"/>
              <w:rPr>
                <w:rFonts w:hint="eastAsia"/>
                <w:sz w:val="24"/>
                <w:szCs w:val="24"/>
              </w:rPr>
            </w:pPr>
            <w:r>
              <w:rPr>
                <w:rFonts w:hint="eastAsia"/>
                <w:sz w:val="24"/>
                <w:szCs w:val="24"/>
              </w:rPr>
              <w:t>不依赖SDN硬件交换机、不依赖VRouter路由器软件，应当基于openvswitch虚拟交换机和分布式技术实现VPC私有网络模型，提供独享的、互相隔离的虚拟网络，实现不限制数量的包括虚拟私有网络、虚拟路由器、虚拟负载均衡、安全组、浮动IP、NAT网关、VPC网络拓扑等元素。</w:t>
            </w:r>
          </w:p>
        </w:tc>
      </w:tr>
      <w:tr w14:paraId="109E8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5F918BB2">
            <w:pPr>
              <w:pStyle w:val="11"/>
              <w:spacing w:line="360" w:lineRule="auto"/>
              <w:jc w:val="center"/>
              <w:rPr>
                <w:rFonts w:hint="eastAsia"/>
                <w:sz w:val="24"/>
                <w:szCs w:val="24"/>
              </w:rPr>
            </w:pPr>
            <w:r>
              <w:rPr>
                <w:rFonts w:hint="eastAsia"/>
                <w:sz w:val="24"/>
                <w:szCs w:val="24"/>
              </w:rPr>
              <w:t>43</w:t>
            </w:r>
          </w:p>
        </w:tc>
        <w:tc>
          <w:tcPr>
            <w:tcW w:w="567" w:type="dxa"/>
          </w:tcPr>
          <w:p w14:paraId="6DA9275F">
            <w:pPr>
              <w:pStyle w:val="11"/>
              <w:spacing w:line="360" w:lineRule="auto"/>
              <w:jc w:val="center"/>
              <w:rPr>
                <w:rFonts w:hint="eastAsia"/>
                <w:sz w:val="24"/>
                <w:szCs w:val="24"/>
              </w:rPr>
            </w:pPr>
          </w:p>
        </w:tc>
        <w:tc>
          <w:tcPr>
            <w:tcW w:w="7938" w:type="dxa"/>
          </w:tcPr>
          <w:p w14:paraId="0D585416">
            <w:pPr>
              <w:pStyle w:val="11"/>
              <w:spacing w:line="360" w:lineRule="auto"/>
              <w:rPr>
                <w:rFonts w:hint="eastAsia"/>
                <w:sz w:val="24"/>
                <w:szCs w:val="24"/>
              </w:rPr>
            </w:pPr>
            <w:r>
              <w:rPr>
                <w:rFonts w:hint="eastAsia"/>
                <w:sz w:val="24"/>
                <w:szCs w:val="24"/>
              </w:rPr>
              <w:t>提供全局负载均衡器能力，支持单节点或双节点高可用部署，提供4-7层流量分发能力，支持HTTP/HTTPS/TCP等协议、会话保持、域名转发、证书绑定，以及最小连接/轮询/源IP等多种负载均衡策略，提供时间间隔、重试次数、超时限制等健康监控检查方式。</w:t>
            </w:r>
          </w:p>
        </w:tc>
      </w:tr>
      <w:tr w14:paraId="07B8B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2D4B9713">
            <w:pPr>
              <w:pStyle w:val="11"/>
              <w:spacing w:line="360" w:lineRule="auto"/>
              <w:jc w:val="center"/>
              <w:rPr>
                <w:rFonts w:hint="eastAsia"/>
                <w:sz w:val="24"/>
                <w:szCs w:val="24"/>
              </w:rPr>
            </w:pPr>
            <w:r>
              <w:rPr>
                <w:rFonts w:hint="eastAsia"/>
                <w:sz w:val="24"/>
                <w:szCs w:val="24"/>
              </w:rPr>
              <w:t>44</w:t>
            </w:r>
          </w:p>
        </w:tc>
        <w:tc>
          <w:tcPr>
            <w:tcW w:w="567" w:type="dxa"/>
          </w:tcPr>
          <w:p w14:paraId="47EF8EF1">
            <w:pPr>
              <w:pStyle w:val="11"/>
              <w:spacing w:line="360" w:lineRule="auto"/>
              <w:jc w:val="center"/>
              <w:rPr>
                <w:rFonts w:hint="eastAsia"/>
                <w:sz w:val="24"/>
                <w:szCs w:val="24"/>
              </w:rPr>
            </w:pPr>
          </w:p>
        </w:tc>
        <w:tc>
          <w:tcPr>
            <w:tcW w:w="7938" w:type="dxa"/>
          </w:tcPr>
          <w:p w14:paraId="4C4B81A0">
            <w:pPr>
              <w:pStyle w:val="11"/>
              <w:spacing w:line="360" w:lineRule="auto"/>
              <w:rPr>
                <w:rFonts w:hint="eastAsia"/>
                <w:sz w:val="24"/>
                <w:szCs w:val="24"/>
              </w:rPr>
            </w:pPr>
            <w:r>
              <w:rPr>
                <w:rFonts w:hint="eastAsia"/>
                <w:sz w:val="24"/>
                <w:szCs w:val="24"/>
              </w:rPr>
              <w:t>支持虚拟机加入安全组，设置安全组规则控制出站或入站的流量；创建新的安全组实例时允许引用已有安全组实例的规则，提高配置效率。</w:t>
            </w:r>
          </w:p>
        </w:tc>
      </w:tr>
      <w:tr w14:paraId="12644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54F6738E">
            <w:pPr>
              <w:pStyle w:val="11"/>
              <w:spacing w:line="360" w:lineRule="auto"/>
              <w:jc w:val="center"/>
              <w:rPr>
                <w:rFonts w:hint="eastAsia"/>
                <w:sz w:val="24"/>
                <w:szCs w:val="24"/>
              </w:rPr>
            </w:pPr>
            <w:r>
              <w:rPr>
                <w:rFonts w:hint="eastAsia"/>
                <w:sz w:val="24"/>
                <w:szCs w:val="24"/>
              </w:rPr>
              <w:t>45</w:t>
            </w:r>
          </w:p>
        </w:tc>
        <w:tc>
          <w:tcPr>
            <w:tcW w:w="567" w:type="dxa"/>
          </w:tcPr>
          <w:p w14:paraId="0DBBEEB9">
            <w:pPr>
              <w:pStyle w:val="11"/>
              <w:spacing w:line="360" w:lineRule="auto"/>
              <w:jc w:val="center"/>
              <w:rPr>
                <w:rFonts w:hint="eastAsia"/>
                <w:sz w:val="24"/>
                <w:szCs w:val="24"/>
              </w:rPr>
            </w:pPr>
          </w:p>
        </w:tc>
        <w:tc>
          <w:tcPr>
            <w:tcW w:w="7938" w:type="dxa"/>
          </w:tcPr>
          <w:p w14:paraId="7DC1E467">
            <w:pPr>
              <w:pStyle w:val="11"/>
              <w:spacing w:line="360" w:lineRule="auto"/>
              <w:rPr>
                <w:rFonts w:hint="eastAsia"/>
                <w:sz w:val="24"/>
                <w:szCs w:val="24"/>
              </w:rPr>
            </w:pPr>
            <w:r>
              <w:rPr>
                <w:rFonts w:hint="eastAsia"/>
                <w:sz w:val="24"/>
                <w:szCs w:val="24"/>
              </w:rPr>
              <w:t>删除虚拟磁盘时支持彻底擦除数据，防止数据泄密。</w:t>
            </w:r>
          </w:p>
        </w:tc>
      </w:tr>
      <w:tr w14:paraId="32C1A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2B4F3ED7">
            <w:pPr>
              <w:pStyle w:val="11"/>
              <w:spacing w:line="360" w:lineRule="auto"/>
              <w:jc w:val="center"/>
              <w:rPr>
                <w:rFonts w:hint="eastAsia"/>
                <w:sz w:val="24"/>
                <w:szCs w:val="24"/>
              </w:rPr>
            </w:pPr>
            <w:r>
              <w:rPr>
                <w:rFonts w:hint="eastAsia"/>
                <w:sz w:val="24"/>
                <w:szCs w:val="24"/>
              </w:rPr>
              <w:t>46</w:t>
            </w:r>
          </w:p>
        </w:tc>
        <w:tc>
          <w:tcPr>
            <w:tcW w:w="567" w:type="dxa"/>
          </w:tcPr>
          <w:p w14:paraId="1A2A758E">
            <w:pPr>
              <w:pStyle w:val="11"/>
              <w:spacing w:line="360" w:lineRule="auto"/>
              <w:jc w:val="center"/>
              <w:rPr>
                <w:rFonts w:hint="eastAsia"/>
                <w:sz w:val="24"/>
                <w:szCs w:val="24"/>
              </w:rPr>
            </w:pPr>
          </w:p>
        </w:tc>
        <w:tc>
          <w:tcPr>
            <w:tcW w:w="7938" w:type="dxa"/>
          </w:tcPr>
          <w:p w14:paraId="69EC8BF2">
            <w:pPr>
              <w:pStyle w:val="11"/>
              <w:spacing w:line="360" w:lineRule="auto"/>
              <w:rPr>
                <w:rFonts w:hint="eastAsia"/>
                <w:sz w:val="24"/>
                <w:szCs w:val="24"/>
              </w:rPr>
            </w:pPr>
            <w:r>
              <w:rPr>
                <w:rFonts w:hint="eastAsia"/>
                <w:sz w:val="24"/>
                <w:szCs w:val="24"/>
              </w:rPr>
              <w:t>支持三员管理，将超级管理员分解为系统管理员、安全保密员、安全审计员等角色。</w:t>
            </w:r>
          </w:p>
        </w:tc>
      </w:tr>
      <w:tr w14:paraId="6FF5F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4A597642">
            <w:pPr>
              <w:pStyle w:val="11"/>
              <w:spacing w:line="360" w:lineRule="auto"/>
              <w:jc w:val="center"/>
              <w:rPr>
                <w:rFonts w:hint="eastAsia"/>
                <w:sz w:val="24"/>
                <w:szCs w:val="24"/>
              </w:rPr>
            </w:pPr>
            <w:r>
              <w:rPr>
                <w:rFonts w:hint="eastAsia"/>
                <w:sz w:val="24"/>
                <w:szCs w:val="24"/>
              </w:rPr>
              <w:t>47</w:t>
            </w:r>
          </w:p>
        </w:tc>
        <w:tc>
          <w:tcPr>
            <w:tcW w:w="567" w:type="dxa"/>
          </w:tcPr>
          <w:p w14:paraId="651A92E6">
            <w:pPr>
              <w:pStyle w:val="11"/>
              <w:spacing w:line="360" w:lineRule="auto"/>
              <w:jc w:val="center"/>
              <w:rPr>
                <w:rFonts w:hint="eastAsia"/>
                <w:sz w:val="24"/>
                <w:szCs w:val="24"/>
              </w:rPr>
            </w:pPr>
          </w:p>
        </w:tc>
        <w:tc>
          <w:tcPr>
            <w:tcW w:w="7938" w:type="dxa"/>
          </w:tcPr>
          <w:p w14:paraId="478261FD">
            <w:pPr>
              <w:pStyle w:val="11"/>
              <w:spacing w:line="360" w:lineRule="auto"/>
              <w:rPr>
                <w:rFonts w:hint="eastAsia"/>
                <w:sz w:val="24"/>
                <w:szCs w:val="24"/>
              </w:rPr>
            </w:pPr>
            <w:r>
              <w:rPr>
                <w:rFonts w:hint="eastAsia"/>
                <w:sz w:val="24"/>
                <w:szCs w:val="24"/>
              </w:rPr>
              <w:t>提供宿主机的端口安全检测。</w:t>
            </w:r>
          </w:p>
        </w:tc>
      </w:tr>
      <w:tr w14:paraId="613C2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4A37468D">
            <w:pPr>
              <w:pStyle w:val="11"/>
              <w:spacing w:line="360" w:lineRule="auto"/>
              <w:jc w:val="center"/>
              <w:rPr>
                <w:rFonts w:hint="eastAsia"/>
                <w:sz w:val="24"/>
                <w:szCs w:val="24"/>
              </w:rPr>
            </w:pPr>
            <w:r>
              <w:rPr>
                <w:rFonts w:hint="eastAsia"/>
                <w:sz w:val="24"/>
                <w:szCs w:val="24"/>
              </w:rPr>
              <w:t>48</w:t>
            </w:r>
          </w:p>
        </w:tc>
        <w:tc>
          <w:tcPr>
            <w:tcW w:w="567" w:type="dxa"/>
          </w:tcPr>
          <w:p w14:paraId="459A7E7E">
            <w:pPr>
              <w:pStyle w:val="11"/>
              <w:spacing w:line="360" w:lineRule="auto"/>
              <w:jc w:val="center"/>
              <w:rPr>
                <w:rFonts w:hint="eastAsia"/>
                <w:sz w:val="24"/>
                <w:szCs w:val="24"/>
              </w:rPr>
            </w:pPr>
          </w:p>
        </w:tc>
        <w:tc>
          <w:tcPr>
            <w:tcW w:w="7938" w:type="dxa"/>
          </w:tcPr>
          <w:p w14:paraId="52F3777F">
            <w:pPr>
              <w:pStyle w:val="11"/>
              <w:spacing w:line="360" w:lineRule="auto"/>
              <w:rPr>
                <w:rFonts w:hint="eastAsia"/>
                <w:sz w:val="24"/>
                <w:szCs w:val="24"/>
              </w:rPr>
            </w:pPr>
            <w:r>
              <w:rPr>
                <w:rFonts w:hint="eastAsia"/>
                <w:sz w:val="24"/>
                <w:szCs w:val="24"/>
              </w:rPr>
              <w:t>支持日志数据完整性校验、镜像完整性校验等特性。</w:t>
            </w:r>
          </w:p>
        </w:tc>
      </w:tr>
      <w:tr w14:paraId="43C2F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5BB762E7">
            <w:pPr>
              <w:pStyle w:val="11"/>
              <w:spacing w:line="360" w:lineRule="auto"/>
              <w:jc w:val="center"/>
              <w:rPr>
                <w:rFonts w:hint="eastAsia"/>
                <w:sz w:val="24"/>
                <w:szCs w:val="24"/>
              </w:rPr>
            </w:pPr>
            <w:r>
              <w:rPr>
                <w:rFonts w:hint="eastAsia"/>
                <w:sz w:val="24"/>
                <w:szCs w:val="24"/>
              </w:rPr>
              <w:t>49</w:t>
            </w:r>
          </w:p>
        </w:tc>
        <w:tc>
          <w:tcPr>
            <w:tcW w:w="567" w:type="dxa"/>
          </w:tcPr>
          <w:p w14:paraId="255A204C">
            <w:pPr>
              <w:pStyle w:val="11"/>
              <w:spacing w:line="360" w:lineRule="auto"/>
              <w:jc w:val="center"/>
              <w:rPr>
                <w:rFonts w:hint="eastAsia"/>
                <w:sz w:val="24"/>
                <w:szCs w:val="24"/>
              </w:rPr>
            </w:pPr>
            <w:r>
              <w:rPr>
                <w:rFonts w:hint="eastAsia"/>
                <w:sz w:val="24"/>
                <w:szCs w:val="24"/>
              </w:rPr>
              <w:t>▲</w:t>
            </w:r>
          </w:p>
        </w:tc>
        <w:tc>
          <w:tcPr>
            <w:tcW w:w="7938" w:type="dxa"/>
          </w:tcPr>
          <w:p w14:paraId="0D95B810">
            <w:pPr>
              <w:pStyle w:val="11"/>
              <w:spacing w:line="360" w:lineRule="auto"/>
              <w:rPr>
                <w:rFonts w:hint="eastAsia"/>
                <w:sz w:val="24"/>
                <w:szCs w:val="24"/>
              </w:rPr>
            </w:pPr>
            <w:r>
              <w:rPr>
                <w:rFonts w:hint="eastAsia"/>
                <w:sz w:val="24"/>
                <w:szCs w:val="24"/>
              </w:rPr>
              <w:t>支持采用国密算法加密关键敏感数据，防止关键数据被篡改（提供主机防篡改配置的界面截图）</w:t>
            </w:r>
          </w:p>
        </w:tc>
      </w:tr>
      <w:tr w14:paraId="17900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2989EBBA">
            <w:pPr>
              <w:pStyle w:val="11"/>
              <w:spacing w:line="360" w:lineRule="auto"/>
              <w:jc w:val="center"/>
              <w:rPr>
                <w:rFonts w:hint="eastAsia"/>
                <w:sz w:val="24"/>
                <w:szCs w:val="24"/>
              </w:rPr>
            </w:pPr>
            <w:r>
              <w:rPr>
                <w:rFonts w:hint="eastAsia"/>
                <w:sz w:val="24"/>
                <w:szCs w:val="24"/>
              </w:rPr>
              <w:t>50</w:t>
            </w:r>
          </w:p>
        </w:tc>
        <w:tc>
          <w:tcPr>
            <w:tcW w:w="567" w:type="dxa"/>
          </w:tcPr>
          <w:p w14:paraId="2B2511AB">
            <w:pPr>
              <w:pStyle w:val="11"/>
              <w:spacing w:line="360" w:lineRule="auto"/>
              <w:jc w:val="center"/>
              <w:rPr>
                <w:rFonts w:hint="eastAsia"/>
                <w:sz w:val="24"/>
                <w:szCs w:val="24"/>
              </w:rPr>
            </w:pPr>
          </w:p>
        </w:tc>
        <w:tc>
          <w:tcPr>
            <w:tcW w:w="7938" w:type="dxa"/>
          </w:tcPr>
          <w:p w14:paraId="48239175">
            <w:pPr>
              <w:pStyle w:val="11"/>
              <w:spacing w:line="360" w:lineRule="auto"/>
              <w:rPr>
                <w:rFonts w:hint="eastAsia"/>
                <w:sz w:val="24"/>
                <w:szCs w:val="24"/>
              </w:rPr>
            </w:pPr>
            <w:r>
              <w:rPr>
                <w:rFonts w:hint="eastAsia"/>
                <w:sz w:val="24"/>
                <w:szCs w:val="24"/>
              </w:rPr>
              <w:t>支持安全密钥（非SSH密钥对）管理，包括密钥生成、上传、计划删除、归档，支持采用安全密钥加密虚拟机磁盘（提供密钥生成与管理、采用密钥加密虚拟机磁盘的界面）</w:t>
            </w:r>
          </w:p>
        </w:tc>
      </w:tr>
      <w:tr w14:paraId="1B892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0AAF8B68">
            <w:pPr>
              <w:pStyle w:val="11"/>
              <w:spacing w:line="360" w:lineRule="auto"/>
              <w:jc w:val="center"/>
              <w:rPr>
                <w:rFonts w:hint="eastAsia"/>
                <w:sz w:val="24"/>
                <w:szCs w:val="24"/>
              </w:rPr>
            </w:pPr>
            <w:r>
              <w:rPr>
                <w:rFonts w:hint="eastAsia"/>
                <w:sz w:val="24"/>
                <w:szCs w:val="24"/>
              </w:rPr>
              <w:t>51</w:t>
            </w:r>
          </w:p>
        </w:tc>
        <w:tc>
          <w:tcPr>
            <w:tcW w:w="567" w:type="dxa"/>
          </w:tcPr>
          <w:p w14:paraId="0B83C437">
            <w:pPr>
              <w:pStyle w:val="11"/>
              <w:spacing w:line="360" w:lineRule="auto"/>
              <w:jc w:val="center"/>
              <w:rPr>
                <w:rFonts w:hint="eastAsia"/>
                <w:sz w:val="24"/>
                <w:szCs w:val="24"/>
              </w:rPr>
            </w:pPr>
          </w:p>
        </w:tc>
        <w:tc>
          <w:tcPr>
            <w:tcW w:w="7938" w:type="dxa"/>
          </w:tcPr>
          <w:p w14:paraId="590B24A1">
            <w:pPr>
              <w:pStyle w:val="11"/>
              <w:spacing w:line="360" w:lineRule="auto"/>
              <w:rPr>
                <w:rFonts w:hint="eastAsia"/>
                <w:sz w:val="24"/>
                <w:szCs w:val="24"/>
              </w:rPr>
            </w:pPr>
            <w:r>
              <w:rPr>
                <w:rFonts w:hint="eastAsia"/>
                <w:sz w:val="24"/>
                <w:szCs w:val="24"/>
              </w:rPr>
              <w:t>宿主机提供DDoS防护能力，能够统计被攻击IP及记录，自动生成DDoS防护统计热点图</w:t>
            </w:r>
          </w:p>
        </w:tc>
      </w:tr>
      <w:tr w14:paraId="0A538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7880C9F0">
            <w:pPr>
              <w:pStyle w:val="11"/>
              <w:spacing w:line="360" w:lineRule="auto"/>
              <w:jc w:val="center"/>
              <w:rPr>
                <w:rFonts w:hint="eastAsia"/>
                <w:sz w:val="24"/>
                <w:szCs w:val="24"/>
              </w:rPr>
            </w:pPr>
            <w:r>
              <w:rPr>
                <w:rFonts w:hint="eastAsia"/>
                <w:sz w:val="24"/>
                <w:szCs w:val="24"/>
              </w:rPr>
              <w:t>52</w:t>
            </w:r>
          </w:p>
        </w:tc>
        <w:tc>
          <w:tcPr>
            <w:tcW w:w="567" w:type="dxa"/>
          </w:tcPr>
          <w:p w14:paraId="7FCFECA7">
            <w:pPr>
              <w:pStyle w:val="11"/>
              <w:spacing w:line="360" w:lineRule="auto"/>
              <w:jc w:val="center"/>
              <w:rPr>
                <w:rFonts w:hint="eastAsia"/>
                <w:sz w:val="24"/>
                <w:szCs w:val="24"/>
              </w:rPr>
            </w:pPr>
          </w:p>
        </w:tc>
        <w:tc>
          <w:tcPr>
            <w:tcW w:w="7938" w:type="dxa"/>
          </w:tcPr>
          <w:p w14:paraId="66B6B53B">
            <w:pPr>
              <w:pStyle w:val="11"/>
              <w:spacing w:line="360" w:lineRule="auto"/>
              <w:rPr>
                <w:rFonts w:hint="eastAsia"/>
                <w:sz w:val="24"/>
                <w:szCs w:val="24"/>
              </w:rPr>
            </w:pPr>
            <w:r>
              <w:rPr>
                <w:rFonts w:hint="eastAsia"/>
                <w:sz w:val="24"/>
                <w:szCs w:val="24"/>
              </w:rPr>
              <w:t>支持控制虚拟机的虚拟设备挂载权限，包括USB设备、ISO、共享磁盘等。</w:t>
            </w:r>
          </w:p>
        </w:tc>
      </w:tr>
      <w:tr w14:paraId="4C296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4286C8BC">
            <w:pPr>
              <w:pStyle w:val="11"/>
              <w:spacing w:line="360" w:lineRule="auto"/>
              <w:jc w:val="center"/>
              <w:rPr>
                <w:rFonts w:hint="eastAsia"/>
                <w:sz w:val="24"/>
                <w:szCs w:val="24"/>
              </w:rPr>
            </w:pPr>
            <w:r>
              <w:rPr>
                <w:rFonts w:hint="eastAsia"/>
                <w:sz w:val="24"/>
                <w:szCs w:val="24"/>
              </w:rPr>
              <w:t>53</w:t>
            </w:r>
          </w:p>
        </w:tc>
        <w:tc>
          <w:tcPr>
            <w:tcW w:w="567" w:type="dxa"/>
          </w:tcPr>
          <w:p w14:paraId="47CFA6F1">
            <w:pPr>
              <w:pStyle w:val="11"/>
              <w:spacing w:line="360" w:lineRule="auto"/>
              <w:jc w:val="center"/>
              <w:rPr>
                <w:rFonts w:hint="eastAsia"/>
                <w:sz w:val="24"/>
                <w:szCs w:val="24"/>
              </w:rPr>
            </w:pPr>
          </w:p>
        </w:tc>
        <w:tc>
          <w:tcPr>
            <w:tcW w:w="7938" w:type="dxa"/>
          </w:tcPr>
          <w:p w14:paraId="044452CE">
            <w:pPr>
              <w:pStyle w:val="11"/>
              <w:spacing w:line="360" w:lineRule="auto"/>
              <w:rPr>
                <w:rFonts w:hint="eastAsia"/>
                <w:sz w:val="24"/>
                <w:szCs w:val="24"/>
              </w:rPr>
            </w:pPr>
            <w:r>
              <w:rPr>
                <w:rFonts w:hint="eastAsia"/>
                <w:sz w:val="24"/>
                <w:szCs w:val="24"/>
              </w:rPr>
              <w:t>支持平台异常登录、非法入侵、虚拟化安全、完整性校验等安全事件实时告警与统计分析。</w:t>
            </w:r>
          </w:p>
        </w:tc>
      </w:tr>
      <w:tr w14:paraId="21014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6B81E6D1">
            <w:pPr>
              <w:pStyle w:val="11"/>
              <w:spacing w:line="360" w:lineRule="auto"/>
              <w:jc w:val="center"/>
              <w:rPr>
                <w:rFonts w:hint="eastAsia"/>
                <w:sz w:val="24"/>
                <w:szCs w:val="24"/>
              </w:rPr>
            </w:pPr>
            <w:r>
              <w:rPr>
                <w:rFonts w:hint="eastAsia"/>
                <w:sz w:val="24"/>
                <w:szCs w:val="24"/>
              </w:rPr>
              <w:t>54</w:t>
            </w:r>
          </w:p>
        </w:tc>
        <w:tc>
          <w:tcPr>
            <w:tcW w:w="567" w:type="dxa"/>
          </w:tcPr>
          <w:p w14:paraId="7180CAD9">
            <w:pPr>
              <w:pStyle w:val="11"/>
              <w:spacing w:line="360" w:lineRule="auto"/>
              <w:jc w:val="center"/>
              <w:rPr>
                <w:rFonts w:hint="eastAsia"/>
                <w:sz w:val="24"/>
                <w:szCs w:val="24"/>
              </w:rPr>
            </w:pPr>
          </w:p>
        </w:tc>
        <w:tc>
          <w:tcPr>
            <w:tcW w:w="7938" w:type="dxa"/>
          </w:tcPr>
          <w:p w14:paraId="74F2C876">
            <w:pPr>
              <w:pStyle w:val="11"/>
              <w:spacing w:line="360" w:lineRule="auto"/>
              <w:rPr>
                <w:rFonts w:hint="eastAsia"/>
                <w:sz w:val="24"/>
                <w:szCs w:val="24"/>
              </w:rPr>
            </w:pPr>
            <w:r>
              <w:rPr>
                <w:rFonts w:hint="eastAsia"/>
                <w:sz w:val="24"/>
                <w:szCs w:val="24"/>
              </w:rPr>
              <w:t>支持LDAP/LDAPS协议对接，实现域用户集成登录；支持指定多个外部NTP服务器，为虚拟化平台提供时间同步服务。</w:t>
            </w:r>
          </w:p>
        </w:tc>
      </w:tr>
      <w:tr w14:paraId="7BF6F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499EB47F">
            <w:pPr>
              <w:pStyle w:val="11"/>
              <w:spacing w:line="360" w:lineRule="auto"/>
              <w:jc w:val="center"/>
              <w:rPr>
                <w:rFonts w:hint="eastAsia"/>
                <w:sz w:val="24"/>
                <w:szCs w:val="24"/>
              </w:rPr>
            </w:pPr>
            <w:r>
              <w:rPr>
                <w:rFonts w:hint="eastAsia"/>
                <w:sz w:val="24"/>
                <w:szCs w:val="24"/>
              </w:rPr>
              <w:t>55</w:t>
            </w:r>
          </w:p>
        </w:tc>
        <w:tc>
          <w:tcPr>
            <w:tcW w:w="567" w:type="dxa"/>
          </w:tcPr>
          <w:p w14:paraId="687F3DCE">
            <w:pPr>
              <w:pStyle w:val="11"/>
              <w:spacing w:line="360" w:lineRule="auto"/>
              <w:jc w:val="center"/>
              <w:rPr>
                <w:rFonts w:hint="eastAsia"/>
                <w:sz w:val="24"/>
                <w:szCs w:val="24"/>
              </w:rPr>
            </w:pPr>
          </w:p>
        </w:tc>
        <w:tc>
          <w:tcPr>
            <w:tcW w:w="7938" w:type="dxa"/>
          </w:tcPr>
          <w:p w14:paraId="74730796">
            <w:pPr>
              <w:pStyle w:val="11"/>
              <w:spacing w:line="360" w:lineRule="auto"/>
              <w:rPr>
                <w:rFonts w:hint="eastAsia"/>
                <w:sz w:val="24"/>
                <w:szCs w:val="24"/>
              </w:rPr>
            </w:pPr>
            <w:r>
              <w:rPr>
                <w:rFonts w:hint="eastAsia"/>
                <w:sz w:val="24"/>
                <w:szCs w:val="24"/>
              </w:rPr>
              <w:t>系统内置系统管理员、虚拟机管理员、资源管理员、运维管理员等角色，支持角色自定义新增和权限授予，包括菜单权限、操作权限、资源权限的分配控制；支持用户添加、修改、重置密码、上次登录时间及IP查询、冻结/解冻、删除等。</w:t>
            </w:r>
          </w:p>
        </w:tc>
      </w:tr>
      <w:tr w14:paraId="626E9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4CE4C362">
            <w:pPr>
              <w:pStyle w:val="11"/>
              <w:spacing w:line="360" w:lineRule="auto"/>
              <w:jc w:val="center"/>
              <w:rPr>
                <w:rFonts w:hint="eastAsia"/>
                <w:sz w:val="24"/>
                <w:szCs w:val="24"/>
              </w:rPr>
            </w:pPr>
            <w:r>
              <w:rPr>
                <w:rFonts w:hint="eastAsia"/>
                <w:sz w:val="24"/>
                <w:szCs w:val="24"/>
              </w:rPr>
              <w:t>56</w:t>
            </w:r>
          </w:p>
        </w:tc>
        <w:tc>
          <w:tcPr>
            <w:tcW w:w="567" w:type="dxa"/>
          </w:tcPr>
          <w:p w14:paraId="7F2852A6">
            <w:pPr>
              <w:pStyle w:val="11"/>
              <w:spacing w:line="360" w:lineRule="auto"/>
              <w:jc w:val="center"/>
              <w:rPr>
                <w:rFonts w:hint="eastAsia"/>
                <w:sz w:val="24"/>
                <w:szCs w:val="24"/>
              </w:rPr>
            </w:pPr>
          </w:p>
        </w:tc>
        <w:tc>
          <w:tcPr>
            <w:tcW w:w="7938" w:type="dxa"/>
          </w:tcPr>
          <w:p w14:paraId="48F7B885">
            <w:pPr>
              <w:pStyle w:val="11"/>
              <w:spacing w:line="360" w:lineRule="auto"/>
              <w:rPr>
                <w:rFonts w:hint="eastAsia"/>
                <w:sz w:val="24"/>
                <w:szCs w:val="24"/>
              </w:rPr>
            </w:pPr>
            <w:r>
              <w:rPr>
                <w:rFonts w:hint="eastAsia"/>
                <w:sz w:val="24"/>
                <w:szCs w:val="24"/>
              </w:rPr>
              <w:t>支持用户登录策略，包括用户连续登录失败次数、连续登录失败锁定时长、单一账号防止重复登录、指定IP地址或时间段登录等。</w:t>
            </w:r>
          </w:p>
        </w:tc>
      </w:tr>
      <w:tr w14:paraId="222CD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479E803D">
            <w:pPr>
              <w:pStyle w:val="11"/>
              <w:spacing w:line="360" w:lineRule="auto"/>
              <w:jc w:val="center"/>
              <w:rPr>
                <w:rFonts w:hint="eastAsia"/>
                <w:sz w:val="24"/>
                <w:szCs w:val="24"/>
              </w:rPr>
            </w:pPr>
            <w:r>
              <w:rPr>
                <w:rFonts w:hint="eastAsia"/>
                <w:sz w:val="24"/>
                <w:szCs w:val="24"/>
              </w:rPr>
              <w:t>57</w:t>
            </w:r>
          </w:p>
        </w:tc>
        <w:tc>
          <w:tcPr>
            <w:tcW w:w="567" w:type="dxa"/>
          </w:tcPr>
          <w:p w14:paraId="26AA89D7">
            <w:pPr>
              <w:pStyle w:val="11"/>
              <w:spacing w:line="360" w:lineRule="auto"/>
              <w:jc w:val="center"/>
              <w:rPr>
                <w:rFonts w:hint="eastAsia"/>
                <w:sz w:val="24"/>
                <w:szCs w:val="24"/>
              </w:rPr>
            </w:pPr>
          </w:p>
        </w:tc>
        <w:tc>
          <w:tcPr>
            <w:tcW w:w="7938" w:type="dxa"/>
          </w:tcPr>
          <w:p w14:paraId="7776C33C">
            <w:pPr>
              <w:pStyle w:val="11"/>
              <w:spacing w:line="360" w:lineRule="auto"/>
              <w:rPr>
                <w:rFonts w:hint="eastAsia"/>
                <w:sz w:val="24"/>
                <w:szCs w:val="24"/>
              </w:rPr>
            </w:pPr>
            <w:r>
              <w:rPr>
                <w:rFonts w:hint="eastAsia"/>
                <w:sz w:val="24"/>
                <w:szCs w:val="24"/>
              </w:rPr>
              <w:t>支持用户密码策略，包括密码复杂性要求、密码最小长度、密码有效期等。</w:t>
            </w:r>
          </w:p>
        </w:tc>
      </w:tr>
      <w:tr w14:paraId="68F43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2D0B31B7">
            <w:pPr>
              <w:pStyle w:val="11"/>
              <w:spacing w:line="360" w:lineRule="auto"/>
              <w:jc w:val="center"/>
              <w:rPr>
                <w:rFonts w:hint="eastAsia"/>
                <w:sz w:val="24"/>
                <w:szCs w:val="24"/>
              </w:rPr>
            </w:pPr>
            <w:r>
              <w:rPr>
                <w:rFonts w:hint="eastAsia"/>
                <w:sz w:val="24"/>
                <w:szCs w:val="24"/>
              </w:rPr>
              <w:t>58</w:t>
            </w:r>
          </w:p>
        </w:tc>
        <w:tc>
          <w:tcPr>
            <w:tcW w:w="567" w:type="dxa"/>
          </w:tcPr>
          <w:p w14:paraId="217EF8DF">
            <w:pPr>
              <w:pStyle w:val="11"/>
              <w:spacing w:line="360" w:lineRule="auto"/>
              <w:jc w:val="center"/>
              <w:rPr>
                <w:rFonts w:hint="eastAsia"/>
                <w:sz w:val="24"/>
                <w:szCs w:val="24"/>
              </w:rPr>
            </w:pPr>
          </w:p>
        </w:tc>
        <w:tc>
          <w:tcPr>
            <w:tcW w:w="7938" w:type="dxa"/>
          </w:tcPr>
          <w:p w14:paraId="1F1E501E">
            <w:pPr>
              <w:pStyle w:val="11"/>
              <w:spacing w:line="360" w:lineRule="auto"/>
              <w:rPr>
                <w:rFonts w:hint="eastAsia"/>
                <w:sz w:val="24"/>
                <w:szCs w:val="24"/>
              </w:rPr>
            </w:pPr>
            <w:r>
              <w:rPr>
                <w:rFonts w:hint="eastAsia"/>
                <w:sz w:val="24"/>
                <w:szCs w:val="24"/>
              </w:rPr>
              <w:t>支持集群HA高可用，故障主机上的虚拟机自动在集群内的其它宿主机上恢复运行；HA心跳网络支持管理网络、存储网络、分布式存储网络，兼容物理交换机的单播、组播模式配置，仲裁方式支持IPMI、SBD磁盘等。</w:t>
            </w:r>
          </w:p>
        </w:tc>
      </w:tr>
      <w:tr w14:paraId="5AF15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7D1C149F">
            <w:pPr>
              <w:pStyle w:val="11"/>
              <w:spacing w:line="360" w:lineRule="auto"/>
              <w:jc w:val="center"/>
              <w:rPr>
                <w:rFonts w:hint="eastAsia"/>
                <w:sz w:val="24"/>
                <w:szCs w:val="24"/>
              </w:rPr>
            </w:pPr>
            <w:r>
              <w:rPr>
                <w:rFonts w:hint="eastAsia"/>
                <w:sz w:val="24"/>
                <w:szCs w:val="24"/>
              </w:rPr>
              <w:t>59</w:t>
            </w:r>
          </w:p>
        </w:tc>
        <w:tc>
          <w:tcPr>
            <w:tcW w:w="567" w:type="dxa"/>
          </w:tcPr>
          <w:p w14:paraId="39501963">
            <w:pPr>
              <w:pStyle w:val="11"/>
              <w:spacing w:line="360" w:lineRule="auto"/>
              <w:jc w:val="center"/>
              <w:rPr>
                <w:rFonts w:hint="eastAsia"/>
                <w:sz w:val="24"/>
                <w:szCs w:val="24"/>
              </w:rPr>
            </w:pPr>
          </w:p>
        </w:tc>
        <w:tc>
          <w:tcPr>
            <w:tcW w:w="7938" w:type="dxa"/>
          </w:tcPr>
          <w:p w14:paraId="50EACE18">
            <w:pPr>
              <w:pStyle w:val="11"/>
              <w:spacing w:line="360" w:lineRule="auto"/>
              <w:rPr>
                <w:rFonts w:hint="eastAsia"/>
                <w:sz w:val="24"/>
                <w:szCs w:val="24"/>
              </w:rPr>
            </w:pPr>
            <w:r>
              <w:rPr>
                <w:rFonts w:hint="eastAsia"/>
                <w:sz w:val="24"/>
                <w:szCs w:val="24"/>
              </w:rPr>
              <w:t>当虚拟机操作系统发生崩溃、异常退出等故障后，能够自动重新拉起虚拟机保障业务连续性。</w:t>
            </w:r>
          </w:p>
        </w:tc>
      </w:tr>
      <w:tr w14:paraId="52C7D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7742730E">
            <w:pPr>
              <w:pStyle w:val="11"/>
              <w:spacing w:line="360" w:lineRule="auto"/>
              <w:jc w:val="center"/>
              <w:rPr>
                <w:rFonts w:hint="eastAsia"/>
                <w:sz w:val="24"/>
                <w:szCs w:val="24"/>
              </w:rPr>
            </w:pPr>
            <w:r>
              <w:rPr>
                <w:rFonts w:hint="eastAsia"/>
                <w:sz w:val="24"/>
                <w:szCs w:val="24"/>
              </w:rPr>
              <w:t>60</w:t>
            </w:r>
          </w:p>
        </w:tc>
        <w:tc>
          <w:tcPr>
            <w:tcW w:w="567" w:type="dxa"/>
          </w:tcPr>
          <w:p w14:paraId="4B44DCC4">
            <w:pPr>
              <w:pStyle w:val="11"/>
              <w:spacing w:line="360" w:lineRule="auto"/>
              <w:jc w:val="center"/>
              <w:rPr>
                <w:rFonts w:hint="eastAsia"/>
                <w:sz w:val="24"/>
                <w:szCs w:val="24"/>
              </w:rPr>
            </w:pPr>
          </w:p>
        </w:tc>
        <w:tc>
          <w:tcPr>
            <w:tcW w:w="7938" w:type="dxa"/>
          </w:tcPr>
          <w:p w14:paraId="2BD62EA2">
            <w:pPr>
              <w:pStyle w:val="11"/>
              <w:spacing w:line="360" w:lineRule="auto"/>
              <w:rPr>
                <w:rFonts w:hint="eastAsia"/>
                <w:sz w:val="24"/>
                <w:szCs w:val="24"/>
              </w:rPr>
            </w:pPr>
            <w:r>
              <w:rPr>
                <w:rFonts w:hint="eastAsia"/>
                <w:sz w:val="24"/>
                <w:szCs w:val="24"/>
              </w:rPr>
              <w:t>支持DRS动态资源调整功能，管理员根据业务的负载策略和规划，灵活设置CPU、内存、存储资源利用率的监控阈值、持续时间和间隔，实现主机资源利用率自动均衡；支持DPM电源智能管理，通过持续监测CPU、内存利用率，在触发低阈值时自动关闭回收利用率低的宿主机，触发高阈值时自动唤醒处于睡眠状态的宿主机。</w:t>
            </w:r>
          </w:p>
        </w:tc>
      </w:tr>
      <w:tr w14:paraId="616BC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57BAB384">
            <w:pPr>
              <w:pStyle w:val="11"/>
              <w:spacing w:line="360" w:lineRule="auto"/>
              <w:jc w:val="center"/>
              <w:rPr>
                <w:rFonts w:hint="eastAsia"/>
                <w:sz w:val="24"/>
                <w:szCs w:val="24"/>
              </w:rPr>
            </w:pPr>
            <w:r>
              <w:rPr>
                <w:rFonts w:hint="eastAsia"/>
                <w:sz w:val="24"/>
                <w:szCs w:val="24"/>
              </w:rPr>
              <w:t>61</w:t>
            </w:r>
          </w:p>
        </w:tc>
        <w:tc>
          <w:tcPr>
            <w:tcW w:w="567" w:type="dxa"/>
          </w:tcPr>
          <w:p w14:paraId="3085A6C5">
            <w:pPr>
              <w:pStyle w:val="11"/>
              <w:spacing w:line="360" w:lineRule="auto"/>
              <w:jc w:val="center"/>
              <w:rPr>
                <w:rFonts w:hint="eastAsia"/>
                <w:sz w:val="24"/>
                <w:szCs w:val="24"/>
              </w:rPr>
            </w:pPr>
          </w:p>
        </w:tc>
        <w:tc>
          <w:tcPr>
            <w:tcW w:w="7938" w:type="dxa"/>
          </w:tcPr>
          <w:p w14:paraId="125BA8EA">
            <w:pPr>
              <w:pStyle w:val="11"/>
              <w:spacing w:line="360" w:lineRule="auto"/>
              <w:rPr>
                <w:rFonts w:hint="eastAsia"/>
                <w:sz w:val="24"/>
                <w:szCs w:val="24"/>
              </w:rPr>
            </w:pPr>
            <w:r>
              <w:rPr>
                <w:rFonts w:hint="eastAsia"/>
                <w:sz w:val="24"/>
                <w:szCs w:val="24"/>
              </w:rPr>
              <w:t>支持虚拟化管理平台主备部署，保证平台管理能力的连续性；当管理平台出现故障时，不影响业务的运行以及HA高可用等能力。</w:t>
            </w:r>
          </w:p>
        </w:tc>
      </w:tr>
      <w:tr w14:paraId="7C4C2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7EECAA16">
            <w:pPr>
              <w:pStyle w:val="11"/>
              <w:spacing w:line="360" w:lineRule="auto"/>
              <w:jc w:val="center"/>
              <w:rPr>
                <w:rFonts w:hint="eastAsia"/>
                <w:sz w:val="24"/>
                <w:szCs w:val="24"/>
              </w:rPr>
            </w:pPr>
            <w:r>
              <w:rPr>
                <w:rFonts w:hint="eastAsia"/>
                <w:sz w:val="24"/>
                <w:szCs w:val="24"/>
              </w:rPr>
              <w:t>62</w:t>
            </w:r>
          </w:p>
        </w:tc>
        <w:tc>
          <w:tcPr>
            <w:tcW w:w="567" w:type="dxa"/>
          </w:tcPr>
          <w:p w14:paraId="58461277">
            <w:pPr>
              <w:pStyle w:val="11"/>
              <w:spacing w:line="360" w:lineRule="auto"/>
              <w:jc w:val="center"/>
              <w:rPr>
                <w:rFonts w:hint="eastAsia"/>
                <w:sz w:val="24"/>
                <w:szCs w:val="24"/>
              </w:rPr>
            </w:pPr>
          </w:p>
        </w:tc>
        <w:tc>
          <w:tcPr>
            <w:tcW w:w="7938" w:type="dxa"/>
          </w:tcPr>
          <w:p w14:paraId="133F3E78">
            <w:pPr>
              <w:pStyle w:val="11"/>
              <w:spacing w:line="360" w:lineRule="auto"/>
              <w:rPr>
                <w:rFonts w:hint="eastAsia"/>
                <w:sz w:val="24"/>
                <w:szCs w:val="24"/>
              </w:rPr>
            </w:pPr>
            <w:r>
              <w:rPr>
                <w:rFonts w:hint="eastAsia"/>
                <w:sz w:val="24"/>
                <w:szCs w:val="24"/>
              </w:rPr>
              <w:t>针对虚拟磁盘提供IO悬挂超时时长配置，防止因存储链路抖动导致大规模虚拟机只读的风险。</w:t>
            </w:r>
          </w:p>
        </w:tc>
      </w:tr>
      <w:tr w14:paraId="44123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11D66E23">
            <w:pPr>
              <w:pStyle w:val="11"/>
              <w:spacing w:line="360" w:lineRule="auto"/>
              <w:jc w:val="center"/>
              <w:rPr>
                <w:rFonts w:hint="eastAsia"/>
                <w:sz w:val="24"/>
                <w:szCs w:val="24"/>
              </w:rPr>
            </w:pPr>
            <w:r>
              <w:rPr>
                <w:rFonts w:hint="eastAsia"/>
                <w:sz w:val="24"/>
                <w:szCs w:val="24"/>
              </w:rPr>
              <w:t>63</w:t>
            </w:r>
          </w:p>
        </w:tc>
        <w:tc>
          <w:tcPr>
            <w:tcW w:w="567" w:type="dxa"/>
          </w:tcPr>
          <w:p w14:paraId="6A4BF7A0">
            <w:pPr>
              <w:pStyle w:val="11"/>
              <w:spacing w:line="360" w:lineRule="auto"/>
              <w:jc w:val="center"/>
              <w:rPr>
                <w:rFonts w:hint="eastAsia"/>
                <w:sz w:val="24"/>
                <w:szCs w:val="24"/>
              </w:rPr>
            </w:pPr>
          </w:p>
        </w:tc>
        <w:tc>
          <w:tcPr>
            <w:tcW w:w="7938" w:type="dxa"/>
          </w:tcPr>
          <w:p w14:paraId="7F6796D4">
            <w:pPr>
              <w:pStyle w:val="11"/>
              <w:spacing w:line="360" w:lineRule="auto"/>
              <w:rPr>
                <w:rFonts w:hint="eastAsia"/>
                <w:sz w:val="24"/>
                <w:szCs w:val="24"/>
              </w:rPr>
            </w:pPr>
            <w:r>
              <w:rPr>
                <w:rFonts w:hint="eastAsia"/>
                <w:sz w:val="24"/>
                <w:szCs w:val="24"/>
              </w:rPr>
              <w:t>聚合绑定多个物理网口提升可用性，提供动态、静态模式；支持单个网络端口故障或链路故障时提供自动切换的能力，保证业务访问的连续性，负载均衡策略包括主备、基本负载、高级负载分担等。</w:t>
            </w:r>
          </w:p>
        </w:tc>
      </w:tr>
      <w:tr w14:paraId="75587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0ADA9668">
            <w:pPr>
              <w:pStyle w:val="11"/>
              <w:spacing w:line="360" w:lineRule="auto"/>
              <w:jc w:val="center"/>
              <w:rPr>
                <w:rFonts w:hint="eastAsia"/>
                <w:sz w:val="24"/>
                <w:szCs w:val="24"/>
              </w:rPr>
            </w:pPr>
            <w:r>
              <w:rPr>
                <w:rFonts w:hint="eastAsia"/>
                <w:sz w:val="24"/>
                <w:szCs w:val="24"/>
              </w:rPr>
              <w:t>64</w:t>
            </w:r>
          </w:p>
        </w:tc>
        <w:tc>
          <w:tcPr>
            <w:tcW w:w="567" w:type="dxa"/>
          </w:tcPr>
          <w:p w14:paraId="7EC8C395">
            <w:pPr>
              <w:pStyle w:val="11"/>
              <w:spacing w:line="360" w:lineRule="auto"/>
              <w:jc w:val="center"/>
              <w:rPr>
                <w:rFonts w:hint="eastAsia"/>
                <w:sz w:val="24"/>
                <w:szCs w:val="24"/>
              </w:rPr>
            </w:pPr>
            <w:r>
              <w:rPr>
                <w:rFonts w:hint="eastAsia"/>
                <w:sz w:val="24"/>
                <w:szCs w:val="24"/>
              </w:rPr>
              <w:t>▲</w:t>
            </w:r>
          </w:p>
        </w:tc>
        <w:tc>
          <w:tcPr>
            <w:tcW w:w="7938" w:type="dxa"/>
          </w:tcPr>
          <w:p w14:paraId="770426FB">
            <w:pPr>
              <w:pStyle w:val="11"/>
              <w:spacing w:line="360" w:lineRule="auto"/>
              <w:rPr>
                <w:rFonts w:hint="eastAsia"/>
                <w:sz w:val="24"/>
                <w:szCs w:val="24"/>
              </w:rPr>
            </w:pPr>
            <w:r>
              <w:rPr>
                <w:rFonts w:hint="eastAsia"/>
                <w:sz w:val="24"/>
                <w:szCs w:val="24"/>
              </w:rPr>
              <w:t>支持裸金属架构，虚拟化能力广泛兼容国产服务器，包括龙芯（包括3000/4000/5000系列）、兆芯（KH-30000系列）、飞腾（包括FT1500A、FT2000+、S2500）、鲲鹏（TaiShan100、TaiShan200）、海光(3000/5000/7000系列)、申威3231等。（提供产品互认证证书）</w:t>
            </w:r>
          </w:p>
        </w:tc>
      </w:tr>
      <w:tr w14:paraId="35D8E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5D9235E6">
            <w:pPr>
              <w:pStyle w:val="11"/>
              <w:spacing w:line="360" w:lineRule="auto"/>
              <w:jc w:val="center"/>
              <w:rPr>
                <w:rFonts w:hint="eastAsia"/>
                <w:sz w:val="24"/>
                <w:szCs w:val="24"/>
              </w:rPr>
            </w:pPr>
            <w:r>
              <w:rPr>
                <w:rFonts w:hint="eastAsia"/>
                <w:sz w:val="24"/>
                <w:szCs w:val="24"/>
              </w:rPr>
              <w:t>65</w:t>
            </w:r>
          </w:p>
        </w:tc>
        <w:tc>
          <w:tcPr>
            <w:tcW w:w="567" w:type="dxa"/>
          </w:tcPr>
          <w:p w14:paraId="4D2A9A56">
            <w:pPr>
              <w:pStyle w:val="11"/>
              <w:spacing w:line="360" w:lineRule="auto"/>
              <w:jc w:val="center"/>
              <w:rPr>
                <w:rFonts w:hint="eastAsia"/>
                <w:sz w:val="24"/>
                <w:szCs w:val="24"/>
              </w:rPr>
            </w:pPr>
            <w:r>
              <w:rPr>
                <w:rFonts w:hint="eastAsia"/>
                <w:sz w:val="24"/>
                <w:szCs w:val="24"/>
              </w:rPr>
              <w:t>▲</w:t>
            </w:r>
          </w:p>
        </w:tc>
        <w:tc>
          <w:tcPr>
            <w:tcW w:w="7938" w:type="dxa"/>
          </w:tcPr>
          <w:p w14:paraId="766FB0A7">
            <w:pPr>
              <w:pStyle w:val="11"/>
              <w:spacing w:line="360" w:lineRule="auto"/>
              <w:rPr>
                <w:rFonts w:hint="eastAsia"/>
                <w:sz w:val="24"/>
                <w:szCs w:val="24"/>
              </w:rPr>
            </w:pPr>
            <w:r>
              <w:rPr>
                <w:rFonts w:hint="eastAsia"/>
                <w:sz w:val="24"/>
                <w:szCs w:val="24"/>
              </w:rPr>
              <w:t>提供统一的虚拟化图形界面管理主流x86以及多种国产芯片服务器，至少支持同时管理基于鲲鹏、飞腾、海光、龙芯等芯片的虚拟化计算节点（提供完整界面截图）</w:t>
            </w:r>
          </w:p>
        </w:tc>
      </w:tr>
      <w:tr w14:paraId="504A4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5D393524">
            <w:pPr>
              <w:pStyle w:val="11"/>
              <w:spacing w:line="360" w:lineRule="auto"/>
              <w:jc w:val="center"/>
              <w:rPr>
                <w:rFonts w:hint="eastAsia"/>
                <w:sz w:val="24"/>
                <w:szCs w:val="24"/>
              </w:rPr>
            </w:pPr>
            <w:r>
              <w:rPr>
                <w:rFonts w:hint="eastAsia"/>
                <w:sz w:val="24"/>
                <w:szCs w:val="24"/>
              </w:rPr>
              <w:t>66</w:t>
            </w:r>
          </w:p>
        </w:tc>
        <w:tc>
          <w:tcPr>
            <w:tcW w:w="567" w:type="dxa"/>
          </w:tcPr>
          <w:p w14:paraId="76B88323">
            <w:pPr>
              <w:pStyle w:val="11"/>
              <w:spacing w:line="360" w:lineRule="auto"/>
              <w:jc w:val="center"/>
              <w:rPr>
                <w:rFonts w:hint="eastAsia"/>
                <w:sz w:val="24"/>
                <w:szCs w:val="24"/>
              </w:rPr>
            </w:pPr>
            <w:r>
              <w:rPr>
                <w:rFonts w:hint="eastAsia"/>
                <w:sz w:val="24"/>
                <w:szCs w:val="24"/>
              </w:rPr>
              <w:t>▲</w:t>
            </w:r>
          </w:p>
        </w:tc>
        <w:tc>
          <w:tcPr>
            <w:tcW w:w="7938" w:type="dxa"/>
          </w:tcPr>
          <w:p w14:paraId="1F8BC67C">
            <w:pPr>
              <w:pStyle w:val="11"/>
              <w:spacing w:line="360" w:lineRule="auto"/>
              <w:rPr>
                <w:rFonts w:hint="eastAsia"/>
                <w:sz w:val="24"/>
                <w:szCs w:val="24"/>
              </w:rPr>
            </w:pPr>
            <w:r>
              <w:rPr>
                <w:rFonts w:hint="eastAsia"/>
                <w:sz w:val="24"/>
                <w:szCs w:val="24"/>
              </w:rPr>
              <w:t>广泛兼容国产操作系统，至少支持统信、银河麒麟、中科方德、万里红、拓林思、凝思等。（提供产品互认证证书）</w:t>
            </w:r>
          </w:p>
        </w:tc>
      </w:tr>
      <w:tr w14:paraId="17FA9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4C3CABC7">
            <w:pPr>
              <w:pStyle w:val="11"/>
              <w:spacing w:line="360" w:lineRule="auto"/>
              <w:jc w:val="center"/>
              <w:rPr>
                <w:rFonts w:hint="eastAsia"/>
                <w:sz w:val="24"/>
                <w:szCs w:val="24"/>
              </w:rPr>
            </w:pPr>
            <w:r>
              <w:rPr>
                <w:rFonts w:hint="eastAsia"/>
                <w:sz w:val="24"/>
                <w:szCs w:val="24"/>
              </w:rPr>
              <w:t>67</w:t>
            </w:r>
          </w:p>
        </w:tc>
        <w:tc>
          <w:tcPr>
            <w:tcW w:w="567" w:type="dxa"/>
          </w:tcPr>
          <w:p w14:paraId="4E96E14F">
            <w:pPr>
              <w:pStyle w:val="11"/>
              <w:spacing w:line="360" w:lineRule="auto"/>
              <w:jc w:val="center"/>
              <w:rPr>
                <w:rFonts w:hint="eastAsia"/>
                <w:sz w:val="24"/>
                <w:szCs w:val="24"/>
              </w:rPr>
            </w:pPr>
            <w:r>
              <w:rPr>
                <w:rFonts w:hint="eastAsia"/>
                <w:sz w:val="24"/>
                <w:szCs w:val="24"/>
              </w:rPr>
              <w:t>▲</w:t>
            </w:r>
          </w:p>
        </w:tc>
        <w:tc>
          <w:tcPr>
            <w:tcW w:w="7938" w:type="dxa"/>
          </w:tcPr>
          <w:p w14:paraId="0D4E82BF">
            <w:pPr>
              <w:pStyle w:val="11"/>
              <w:spacing w:line="360" w:lineRule="auto"/>
              <w:rPr>
                <w:rFonts w:hint="eastAsia"/>
                <w:sz w:val="24"/>
                <w:szCs w:val="24"/>
              </w:rPr>
            </w:pPr>
            <w:r>
              <w:rPr>
                <w:rFonts w:hint="eastAsia"/>
                <w:sz w:val="24"/>
                <w:szCs w:val="24"/>
              </w:rPr>
              <w:t>广泛兼容国产数据库基础软件，至少支持达梦、人大金仓、神舟通用、南大通用、万里开源、瀚高等。（提供产品互认证证书）</w:t>
            </w:r>
          </w:p>
        </w:tc>
      </w:tr>
      <w:tr w14:paraId="4E40C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03147F49">
            <w:pPr>
              <w:pStyle w:val="11"/>
              <w:spacing w:line="360" w:lineRule="auto"/>
              <w:jc w:val="center"/>
              <w:rPr>
                <w:rFonts w:hint="eastAsia"/>
                <w:sz w:val="24"/>
                <w:szCs w:val="24"/>
              </w:rPr>
            </w:pPr>
            <w:r>
              <w:rPr>
                <w:rFonts w:hint="eastAsia"/>
                <w:sz w:val="24"/>
                <w:szCs w:val="24"/>
              </w:rPr>
              <w:t>68</w:t>
            </w:r>
          </w:p>
        </w:tc>
        <w:tc>
          <w:tcPr>
            <w:tcW w:w="567" w:type="dxa"/>
          </w:tcPr>
          <w:p w14:paraId="4463D8AE">
            <w:pPr>
              <w:pStyle w:val="11"/>
              <w:spacing w:line="360" w:lineRule="auto"/>
              <w:jc w:val="center"/>
              <w:rPr>
                <w:rFonts w:hint="eastAsia"/>
                <w:sz w:val="24"/>
                <w:szCs w:val="24"/>
              </w:rPr>
            </w:pPr>
          </w:p>
        </w:tc>
        <w:tc>
          <w:tcPr>
            <w:tcW w:w="7938" w:type="dxa"/>
          </w:tcPr>
          <w:p w14:paraId="457C57CA">
            <w:pPr>
              <w:pStyle w:val="11"/>
              <w:spacing w:line="360" w:lineRule="auto"/>
              <w:rPr>
                <w:rFonts w:hint="eastAsia"/>
                <w:sz w:val="24"/>
                <w:szCs w:val="24"/>
              </w:rPr>
            </w:pPr>
            <w:r>
              <w:rPr>
                <w:rFonts w:hint="eastAsia"/>
                <w:sz w:val="24"/>
                <w:szCs w:val="24"/>
              </w:rPr>
              <w:t>广泛兼容国产中间件基础软件，至少支持中创、金蝶天燕、东方通、宝兰德、普元、华宇等。</w:t>
            </w:r>
          </w:p>
        </w:tc>
      </w:tr>
      <w:tr w14:paraId="6BBF1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2590BEBB">
            <w:pPr>
              <w:pStyle w:val="11"/>
              <w:spacing w:line="360" w:lineRule="auto"/>
              <w:jc w:val="center"/>
              <w:rPr>
                <w:rFonts w:hint="eastAsia"/>
                <w:sz w:val="24"/>
                <w:szCs w:val="24"/>
              </w:rPr>
            </w:pPr>
            <w:r>
              <w:rPr>
                <w:rFonts w:hint="eastAsia"/>
                <w:sz w:val="24"/>
                <w:szCs w:val="24"/>
              </w:rPr>
              <w:t>69</w:t>
            </w:r>
          </w:p>
        </w:tc>
        <w:tc>
          <w:tcPr>
            <w:tcW w:w="567" w:type="dxa"/>
          </w:tcPr>
          <w:p w14:paraId="3CF1E566">
            <w:pPr>
              <w:pStyle w:val="11"/>
              <w:spacing w:line="360" w:lineRule="auto"/>
              <w:jc w:val="center"/>
              <w:rPr>
                <w:rFonts w:hint="eastAsia"/>
                <w:sz w:val="24"/>
                <w:szCs w:val="24"/>
              </w:rPr>
            </w:pPr>
          </w:p>
        </w:tc>
        <w:tc>
          <w:tcPr>
            <w:tcW w:w="7938" w:type="dxa"/>
          </w:tcPr>
          <w:p w14:paraId="26FA4F40">
            <w:pPr>
              <w:pStyle w:val="11"/>
              <w:spacing w:line="360" w:lineRule="auto"/>
              <w:rPr>
                <w:rFonts w:hint="eastAsia"/>
                <w:sz w:val="24"/>
                <w:szCs w:val="24"/>
              </w:rPr>
            </w:pPr>
            <w:r>
              <w:rPr>
                <w:rFonts w:hint="eastAsia"/>
                <w:sz w:val="24"/>
                <w:szCs w:val="24"/>
              </w:rPr>
              <w:t>广泛兼容常见网卡品牌及型号（例如Intel、Mellanox等），兼容1G/10G/25G等网卡速率。</w:t>
            </w:r>
          </w:p>
        </w:tc>
      </w:tr>
      <w:tr w14:paraId="58E00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1C1DD775">
            <w:pPr>
              <w:pStyle w:val="11"/>
              <w:spacing w:line="360" w:lineRule="auto"/>
              <w:jc w:val="center"/>
              <w:rPr>
                <w:rFonts w:hint="eastAsia"/>
                <w:sz w:val="24"/>
                <w:szCs w:val="24"/>
              </w:rPr>
            </w:pPr>
            <w:r>
              <w:rPr>
                <w:rFonts w:hint="eastAsia"/>
                <w:sz w:val="24"/>
                <w:szCs w:val="24"/>
              </w:rPr>
              <w:t>70</w:t>
            </w:r>
          </w:p>
        </w:tc>
        <w:tc>
          <w:tcPr>
            <w:tcW w:w="567" w:type="dxa"/>
          </w:tcPr>
          <w:p w14:paraId="3FDF5A94">
            <w:pPr>
              <w:pStyle w:val="11"/>
              <w:spacing w:line="360" w:lineRule="auto"/>
              <w:jc w:val="center"/>
              <w:rPr>
                <w:rFonts w:hint="eastAsia"/>
                <w:sz w:val="24"/>
                <w:szCs w:val="24"/>
              </w:rPr>
            </w:pPr>
          </w:p>
        </w:tc>
        <w:tc>
          <w:tcPr>
            <w:tcW w:w="7938" w:type="dxa"/>
          </w:tcPr>
          <w:p w14:paraId="76A2A6A5">
            <w:pPr>
              <w:pStyle w:val="11"/>
              <w:spacing w:line="360" w:lineRule="auto"/>
              <w:rPr>
                <w:rFonts w:hint="eastAsia"/>
                <w:sz w:val="24"/>
                <w:szCs w:val="24"/>
              </w:rPr>
            </w:pPr>
            <w:r>
              <w:rPr>
                <w:rFonts w:hint="eastAsia"/>
                <w:sz w:val="24"/>
                <w:szCs w:val="24"/>
              </w:rPr>
              <w:t>支持DRS动态资源调整功能，管理员根据业务的负载策略和规划，灵活设置CPU、内存、存储资源利用率的监控阈值、持续时间和间隔，实现主机资源利用率自动均衡；支持DPM电源智能管理，通过持续监测CPU、内存利用率，在触发低阈值时自动关闭回收利用率低的宿主机，触发高阈值时自动唤醒处于睡眠状态的宿主机。</w:t>
            </w:r>
          </w:p>
        </w:tc>
      </w:tr>
      <w:tr w14:paraId="2AE5C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24AE1050">
            <w:pPr>
              <w:pStyle w:val="11"/>
              <w:spacing w:line="360" w:lineRule="auto"/>
              <w:jc w:val="center"/>
              <w:rPr>
                <w:rFonts w:hint="eastAsia"/>
                <w:sz w:val="24"/>
                <w:szCs w:val="24"/>
              </w:rPr>
            </w:pPr>
            <w:r>
              <w:rPr>
                <w:rFonts w:hint="eastAsia"/>
                <w:sz w:val="24"/>
                <w:szCs w:val="24"/>
              </w:rPr>
              <w:t>71</w:t>
            </w:r>
          </w:p>
        </w:tc>
        <w:tc>
          <w:tcPr>
            <w:tcW w:w="567" w:type="dxa"/>
          </w:tcPr>
          <w:p w14:paraId="44B49033">
            <w:pPr>
              <w:pStyle w:val="11"/>
              <w:spacing w:line="360" w:lineRule="auto"/>
              <w:jc w:val="center"/>
              <w:rPr>
                <w:rFonts w:hint="eastAsia"/>
                <w:sz w:val="24"/>
                <w:szCs w:val="24"/>
              </w:rPr>
            </w:pPr>
          </w:p>
        </w:tc>
        <w:tc>
          <w:tcPr>
            <w:tcW w:w="7938" w:type="dxa"/>
          </w:tcPr>
          <w:p w14:paraId="5E0CC4C6">
            <w:pPr>
              <w:pStyle w:val="11"/>
              <w:spacing w:line="360" w:lineRule="auto"/>
              <w:rPr>
                <w:rFonts w:hint="eastAsia"/>
                <w:sz w:val="24"/>
                <w:szCs w:val="24"/>
              </w:rPr>
            </w:pPr>
            <w:r>
              <w:rPr>
                <w:rFonts w:hint="eastAsia"/>
                <w:sz w:val="24"/>
                <w:szCs w:val="24"/>
              </w:rPr>
              <w:t>支持虚拟化管理平台主备部署，保证平台管理能力的连续性；当管理平台出现故障时，不影响业务的运行以及HA高可用等能力。</w:t>
            </w:r>
          </w:p>
        </w:tc>
      </w:tr>
      <w:tr w14:paraId="45869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4D2B08AC">
            <w:pPr>
              <w:pStyle w:val="11"/>
              <w:spacing w:line="360" w:lineRule="auto"/>
              <w:jc w:val="center"/>
              <w:rPr>
                <w:rFonts w:hint="eastAsia"/>
                <w:sz w:val="24"/>
                <w:szCs w:val="24"/>
              </w:rPr>
            </w:pPr>
            <w:r>
              <w:rPr>
                <w:rFonts w:hint="eastAsia"/>
                <w:sz w:val="24"/>
                <w:szCs w:val="24"/>
              </w:rPr>
              <w:t>72</w:t>
            </w:r>
          </w:p>
        </w:tc>
        <w:tc>
          <w:tcPr>
            <w:tcW w:w="567" w:type="dxa"/>
          </w:tcPr>
          <w:p w14:paraId="06F8997C">
            <w:pPr>
              <w:pStyle w:val="11"/>
              <w:spacing w:line="360" w:lineRule="auto"/>
              <w:jc w:val="center"/>
              <w:rPr>
                <w:rFonts w:hint="eastAsia"/>
                <w:sz w:val="24"/>
                <w:szCs w:val="24"/>
              </w:rPr>
            </w:pPr>
          </w:p>
        </w:tc>
        <w:tc>
          <w:tcPr>
            <w:tcW w:w="7938" w:type="dxa"/>
          </w:tcPr>
          <w:p w14:paraId="0A24EC36">
            <w:pPr>
              <w:pStyle w:val="11"/>
              <w:spacing w:line="360" w:lineRule="auto"/>
              <w:rPr>
                <w:rFonts w:hint="eastAsia"/>
                <w:sz w:val="24"/>
                <w:szCs w:val="24"/>
              </w:rPr>
            </w:pPr>
            <w:r>
              <w:rPr>
                <w:rFonts w:hint="eastAsia"/>
                <w:sz w:val="24"/>
                <w:szCs w:val="24"/>
              </w:rPr>
              <w:t>管理平台在X86、ARM架构下均支持VMware vSphere虚拟化平台（例如6.0/6.5/6.7/7.0等版本）的纳管，支持监控集群性能、主机性能、虚拟机操作系统及状态、存储池、虚拟磁盘及存储路径、标准虚拟交换机、分布式虚拟交换机、端口组及关联的VLAN和IP网段、镜像及存储路径等信息；支持纳管NSX-T，监控Edge集群、分布式防火墙实例及规则管理、T0逻辑路由器及关联的HA模式和T1逻辑路由器等信息，并抽象为包括私有网络、NAT转换规则在内的VPC网络模型。</w:t>
            </w:r>
          </w:p>
        </w:tc>
      </w:tr>
      <w:tr w14:paraId="598AA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57357BA7">
            <w:pPr>
              <w:pStyle w:val="11"/>
              <w:spacing w:line="360" w:lineRule="auto"/>
              <w:jc w:val="center"/>
              <w:rPr>
                <w:rFonts w:hint="eastAsia"/>
                <w:sz w:val="24"/>
                <w:szCs w:val="24"/>
              </w:rPr>
            </w:pPr>
            <w:r>
              <w:rPr>
                <w:rFonts w:hint="eastAsia"/>
                <w:sz w:val="24"/>
                <w:szCs w:val="24"/>
              </w:rPr>
              <w:t>73</w:t>
            </w:r>
          </w:p>
        </w:tc>
        <w:tc>
          <w:tcPr>
            <w:tcW w:w="567" w:type="dxa"/>
          </w:tcPr>
          <w:p w14:paraId="39D5A6F6">
            <w:pPr>
              <w:pStyle w:val="11"/>
              <w:spacing w:line="360" w:lineRule="auto"/>
              <w:jc w:val="center"/>
              <w:rPr>
                <w:rFonts w:hint="eastAsia"/>
                <w:sz w:val="24"/>
                <w:szCs w:val="24"/>
              </w:rPr>
            </w:pPr>
          </w:p>
        </w:tc>
        <w:tc>
          <w:tcPr>
            <w:tcW w:w="7938" w:type="dxa"/>
          </w:tcPr>
          <w:p w14:paraId="5472F76B">
            <w:pPr>
              <w:pStyle w:val="11"/>
              <w:spacing w:line="360" w:lineRule="auto"/>
              <w:rPr>
                <w:rFonts w:hint="eastAsia"/>
                <w:sz w:val="24"/>
                <w:szCs w:val="24"/>
              </w:rPr>
            </w:pPr>
            <w:r>
              <w:rPr>
                <w:rFonts w:hint="eastAsia"/>
                <w:sz w:val="24"/>
                <w:szCs w:val="24"/>
              </w:rPr>
              <w:t>支持纳管物理裸机到虚拟化管理平台统一管理，包括BMC IP、BMC连接信息、设备管理员、系统管理员、维保时间等资产管理信息，支持对裸机开关机电源管理。管理平台能够监控物理裸机的详细硬件信息，包括硬件温度、硬件功耗、风扇转速、电源功率等；支持一键链接打开物理裸机的BMC带外管理平台，方便转至机器带外管理运维。</w:t>
            </w:r>
          </w:p>
        </w:tc>
      </w:tr>
    </w:tbl>
    <w:p w14:paraId="37EAA89B">
      <w:pPr>
        <w:pStyle w:val="11"/>
        <w:spacing w:line="360" w:lineRule="auto"/>
        <w:rPr>
          <w:rFonts w:hint="eastAsia"/>
          <w:sz w:val="24"/>
          <w:szCs w:val="24"/>
        </w:rPr>
      </w:pPr>
    </w:p>
    <w:p w14:paraId="40531854">
      <w:pPr>
        <w:pStyle w:val="3"/>
        <w:spacing w:line="360" w:lineRule="auto"/>
        <w:rPr>
          <w:rFonts w:hint="eastAsia" w:hAnsi="宋体" w:cs="宋体"/>
          <w:szCs w:val="24"/>
          <w:u w:val="none"/>
        </w:rPr>
      </w:pPr>
      <w:r>
        <w:rPr>
          <w:rFonts w:hint="eastAsia" w:hAnsi="宋体" w:cs="宋体"/>
          <w:szCs w:val="24"/>
          <w:u w:val="none"/>
        </w:rPr>
        <w:t>4.6 面板无线AP（15台）</w:t>
      </w:r>
    </w:p>
    <w:tbl>
      <w:tblPr>
        <w:tblStyle w:val="7"/>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2"/>
        <w:gridCol w:w="567"/>
        <w:gridCol w:w="7938"/>
      </w:tblGrid>
      <w:tr w14:paraId="6A36A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4ED91612">
            <w:pPr>
              <w:pStyle w:val="11"/>
              <w:spacing w:line="360" w:lineRule="auto"/>
              <w:jc w:val="center"/>
              <w:rPr>
                <w:rFonts w:hint="eastAsia"/>
                <w:b/>
                <w:bCs/>
                <w:sz w:val="24"/>
                <w:szCs w:val="24"/>
              </w:rPr>
            </w:pPr>
            <w:r>
              <w:rPr>
                <w:rFonts w:hint="eastAsia"/>
                <w:b/>
                <w:bCs/>
                <w:sz w:val="24"/>
                <w:szCs w:val="24"/>
              </w:rPr>
              <w:t>序号</w:t>
            </w:r>
          </w:p>
        </w:tc>
        <w:tc>
          <w:tcPr>
            <w:tcW w:w="567" w:type="dxa"/>
            <w:vAlign w:val="center"/>
          </w:tcPr>
          <w:p w14:paraId="79309C48">
            <w:pPr>
              <w:pStyle w:val="11"/>
              <w:spacing w:line="360" w:lineRule="auto"/>
              <w:jc w:val="center"/>
              <w:rPr>
                <w:rFonts w:hint="eastAsia"/>
                <w:b/>
                <w:bCs/>
                <w:sz w:val="24"/>
                <w:szCs w:val="24"/>
              </w:rPr>
            </w:pPr>
            <w:r>
              <w:rPr>
                <w:rFonts w:hint="eastAsia"/>
                <w:b/>
                <w:bCs/>
                <w:sz w:val="24"/>
                <w:szCs w:val="24"/>
              </w:rPr>
              <w:t>标记</w:t>
            </w:r>
          </w:p>
        </w:tc>
        <w:tc>
          <w:tcPr>
            <w:tcW w:w="7938" w:type="dxa"/>
            <w:vAlign w:val="center"/>
          </w:tcPr>
          <w:p w14:paraId="58E87E00">
            <w:pPr>
              <w:pStyle w:val="11"/>
              <w:spacing w:line="360" w:lineRule="auto"/>
              <w:jc w:val="center"/>
              <w:rPr>
                <w:rFonts w:hint="eastAsia"/>
                <w:b/>
                <w:bCs/>
                <w:sz w:val="24"/>
                <w:szCs w:val="24"/>
              </w:rPr>
            </w:pPr>
            <w:r>
              <w:rPr>
                <w:rFonts w:hint="eastAsia"/>
                <w:b/>
                <w:bCs/>
                <w:sz w:val="24"/>
                <w:szCs w:val="24"/>
              </w:rPr>
              <w:t>技术指标要求</w:t>
            </w:r>
          </w:p>
        </w:tc>
      </w:tr>
      <w:tr w14:paraId="11649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14:paraId="4E7077D3">
            <w:pPr>
              <w:pStyle w:val="11"/>
              <w:spacing w:line="360" w:lineRule="auto"/>
              <w:jc w:val="center"/>
              <w:rPr>
                <w:rFonts w:hint="eastAsia"/>
                <w:sz w:val="24"/>
                <w:szCs w:val="24"/>
              </w:rPr>
            </w:pPr>
            <w:r>
              <w:rPr>
                <w:rFonts w:hint="eastAsia"/>
                <w:sz w:val="24"/>
                <w:szCs w:val="24"/>
              </w:rPr>
              <w:t>1</w:t>
            </w:r>
          </w:p>
        </w:tc>
        <w:tc>
          <w:tcPr>
            <w:tcW w:w="567" w:type="dxa"/>
          </w:tcPr>
          <w:p w14:paraId="4BB1C9F8">
            <w:pPr>
              <w:pStyle w:val="11"/>
              <w:spacing w:line="360" w:lineRule="auto"/>
              <w:jc w:val="center"/>
              <w:rPr>
                <w:rFonts w:hint="eastAsia"/>
                <w:sz w:val="24"/>
                <w:szCs w:val="24"/>
              </w:rPr>
            </w:pPr>
            <w:r>
              <w:rPr>
                <w:rFonts w:hint="eastAsia"/>
                <w:sz w:val="24"/>
                <w:szCs w:val="24"/>
              </w:rPr>
              <w:t>▲</w:t>
            </w:r>
          </w:p>
        </w:tc>
        <w:tc>
          <w:tcPr>
            <w:tcW w:w="7938" w:type="dxa"/>
          </w:tcPr>
          <w:p w14:paraId="7E9E13A5">
            <w:pPr>
              <w:pStyle w:val="11"/>
              <w:spacing w:line="360" w:lineRule="auto"/>
              <w:rPr>
                <w:rFonts w:hint="eastAsia"/>
                <w:sz w:val="24"/>
                <w:szCs w:val="24"/>
              </w:rPr>
            </w:pPr>
            <w:r>
              <w:rPr>
                <w:rFonts w:hint="eastAsia"/>
                <w:sz w:val="24"/>
                <w:szCs w:val="24"/>
              </w:rPr>
              <w:t>支持802.11ax标准，采用双射频设计，整机空间流≥4条，整机最大接入速率≥2.975Gbps</w:t>
            </w:r>
          </w:p>
        </w:tc>
      </w:tr>
      <w:tr w14:paraId="5A176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14:paraId="5B2829F7">
            <w:pPr>
              <w:pStyle w:val="11"/>
              <w:spacing w:line="360" w:lineRule="auto"/>
              <w:jc w:val="center"/>
              <w:rPr>
                <w:rFonts w:hint="eastAsia"/>
                <w:sz w:val="24"/>
                <w:szCs w:val="24"/>
              </w:rPr>
            </w:pPr>
            <w:r>
              <w:rPr>
                <w:rFonts w:hint="eastAsia"/>
                <w:sz w:val="24"/>
                <w:szCs w:val="24"/>
              </w:rPr>
              <w:t>2</w:t>
            </w:r>
          </w:p>
        </w:tc>
        <w:tc>
          <w:tcPr>
            <w:tcW w:w="567" w:type="dxa"/>
          </w:tcPr>
          <w:p w14:paraId="2EDECD23">
            <w:pPr>
              <w:pStyle w:val="11"/>
              <w:spacing w:line="360" w:lineRule="auto"/>
              <w:jc w:val="center"/>
              <w:rPr>
                <w:rFonts w:hint="eastAsia"/>
                <w:sz w:val="24"/>
                <w:szCs w:val="24"/>
              </w:rPr>
            </w:pPr>
          </w:p>
        </w:tc>
        <w:tc>
          <w:tcPr>
            <w:tcW w:w="7938" w:type="dxa"/>
          </w:tcPr>
          <w:p w14:paraId="34707A7A">
            <w:pPr>
              <w:pStyle w:val="11"/>
              <w:spacing w:line="360" w:lineRule="auto"/>
              <w:rPr>
                <w:rFonts w:hint="eastAsia"/>
                <w:sz w:val="24"/>
                <w:szCs w:val="24"/>
              </w:rPr>
            </w:pPr>
            <w:r>
              <w:rPr>
                <w:rFonts w:hint="eastAsia"/>
                <w:sz w:val="24"/>
                <w:szCs w:val="24"/>
              </w:rPr>
              <w:t>支持嵌入86面板安装方式</w:t>
            </w:r>
          </w:p>
        </w:tc>
      </w:tr>
      <w:tr w14:paraId="75F27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14:paraId="4FE7450B">
            <w:pPr>
              <w:pStyle w:val="11"/>
              <w:spacing w:line="360" w:lineRule="auto"/>
              <w:jc w:val="center"/>
              <w:rPr>
                <w:rFonts w:hint="eastAsia"/>
                <w:sz w:val="24"/>
                <w:szCs w:val="24"/>
              </w:rPr>
            </w:pPr>
            <w:r>
              <w:rPr>
                <w:rFonts w:hint="eastAsia"/>
                <w:sz w:val="24"/>
                <w:szCs w:val="24"/>
              </w:rPr>
              <w:t>3</w:t>
            </w:r>
          </w:p>
        </w:tc>
        <w:tc>
          <w:tcPr>
            <w:tcW w:w="567" w:type="dxa"/>
          </w:tcPr>
          <w:p w14:paraId="765084EB">
            <w:pPr>
              <w:pStyle w:val="11"/>
              <w:spacing w:line="360" w:lineRule="auto"/>
              <w:jc w:val="center"/>
              <w:rPr>
                <w:rFonts w:hint="eastAsia"/>
                <w:sz w:val="24"/>
                <w:szCs w:val="24"/>
              </w:rPr>
            </w:pPr>
          </w:p>
        </w:tc>
        <w:tc>
          <w:tcPr>
            <w:tcW w:w="7938" w:type="dxa"/>
          </w:tcPr>
          <w:p w14:paraId="0A0827FB">
            <w:pPr>
              <w:pStyle w:val="11"/>
              <w:spacing w:line="360" w:lineRule="auto"/>
              <w:rPr>
                <w:rFonts w:hint="eastAsia"/>
                <w:sz w:val="24"/>
                <w:szCs w:val="24"/>
              </w:rPr>
            </w:pPr>
            <w:r>
              <w:rPr>
                <w:rFonts w:hint="eastAsia"/>
                <w:sz w:val="24"/>
                <w:szCs w:val="24"/>
              </w:rPr>
              <w:t>至少支持1个1G以太网口上联，4个1G以太网口下联</w:t>
            </w:r>
          </w:p>
        </w:tc>
      </w:tr>
      <w:tr w14:paraId="67DA3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14:paraId="72E64F68">
            <w:pPr>
              <w:pStyle w:val="11"/>
              <w:spacing w:line="360" w:lineRule="auto"/>
              <w:jc w:val="center"/>
              <w:rPr>
                <w:rFonts w:hint="eastAsia"/>
                <w:sz w:val="24"/>
                <w:szCs w:val="24"/>
              </w:rPr>
            </w:pPr>
            <w:r>
              <w:rPr>
                <w:rFonts w:hint="eastAsia"/>
                <w:sz w:val="24"/>
                <w:szCs w:val="24"/>
              </w:rPr>
              <w:t>4</w:t>
            </w:r>
          </w:p>
        </w:tc>
        <w:tc>
          <w:tcPr>
            <w:tcW w:w="567" w:type="dxa"/>
          </w:tcPr>
          <w:p w14:paraId="08814DC8">
            <w:pPr>
              <w:pStyle w:val="11"/>
              <w:spacing w:line="360" w:lineRule="auto"/>
              <w:jc w:val="center"/>
              <w:rPr>
                <w:rFonts w:hint="eastAsia"/>
                <w:sz w:val="24"/>
                <w:szCs w:val="24"/>
              </w:rPr>
            </w:pPr>
            <w:r>
              <w:rPr>
                <w:rFonts w:hint="eastAsia"/>
                <w:sz w:val="24"/>
                <w:szCs w:val="24"/>
              </w:rPr>
              <w:t>▲</w:t>
            </w:r>
          </w:p>
        </w:tc>
        <w:tc>
          <w:tcPr>
            <w:tcW w:w="7938" w:type="dxa"/>
          </w:tcPr>
          <w:p w14:paraId="6391B504">
            <w:pPr>
              <w:pStyle w:val="11"/>
              <w:spacing w:line="360" w:lineRule="auto"/>
              <w:rPr>
                <w:rFonts w:hint="eastAsia"/>
                <w:sz w:val="24"/>
                <w:szCs w:val="24"/>
              </w:rPr>
            </w:pPr>
            <w:r>
              <w:rPr>
                <w:rFonts w:hint="eastAsia"/>
                <w:sz w:val="24"/>
                <w:szCs w:val="24"/>
              </w:rPr>
              <w:t>整机功耗小于10W，提供官网截图和链接证明。</w:t>
            </w:r>
          </w:p>
        </w:tc>
      </w:tr>
      <w:tr w14:paraId="54423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14:paraId="3AC6FF64">
            <w:pPr>
              <w:pStyle w:val="11"/>
              <w:spacing w:line="360" w:lineRule="auto"/>
              <w:jc w:val="center"/>
              <w:rPr>
                <w:rFonts w:hint="eastAsia"/>
                <w:sz w:val="24"/>
                <w:szCs w:val="24"/>
              </w:rPr>
            </w:pPr>
            <w:r>
              <w:rPr>
                <w:rFonts w:hint="eastAsia"/>
                <w:sz w:val="24"/>
                <w:szCs w:val="24"/>
              </w:rPr>
              <w:t>5</w:t>
            </w:r>
          </w:p>
        </w:tc>
        <w:tc>
          <w:tcPr>
            <w:tcW w:w="567" w:type="dxa"/>
          </w:tcPr>
          <w:p w14:paraId="7F40703F">
            <w:pPr>
              <w:pStyle w:val="11"/>
              <w:spacing w:line="360" w:lineRule="auto"/>
              <w:jc w:val="center"/>
              <w:rPr>
                <w:rFonts w:hint="eastAsia"/>
                <w:sz w:val="24"/>
                <w:szCs w:val="24"/>
              </w:rPr>
            </w:pPr>
          </w:p>
        </w:tc>
        <w:tc>
          <w:tcPr>
            <w:tcW w:w="7938" w:type="dxa"/>
          </w:tcPr>
          <w:p w14:paraId="661F27AE">
            <w:pPr>
              <w:pStyle w:val="11"/>
              <w:spacing w:line="360" w:lineRule="auto"/>
              <w:rPr>
                <w:rFonts w:hint="eastAsia"/>
                <w:sz w:val="24"/>
                <w:szCs w:val="24"/>
              </w:rPr>
            </w:pPr>
            <w:r>
              <w:rPr>
                <w:rFonts w:hint="eastAsia"/>
                <w:sz w:val="24"/>
                <w:szCs w:val="24"/>
              </w:rPr>
              <w:t>为快速建立高度隔离的安全网络，设备应支持实现AP虚拟化功能，实现一台AP虚拟为多台AP，分别受不同AC设备独立管理，互不影响。不同虚拟 AP之间数据隔离，虚拟AP在AC上不占用AP License</w:t>
            </w:r>
          </w:p>
        </w:tc>
      </w:tr>
      <w:tr w14:paraId="02E45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14:paraId="0B13C92F">
            <w:pPr>
              <w:pStyle w:val="11"/>
              <w:spacing w:line="360" w:lineRule="auto"/>
              <w:jc w:val="center"/>
              <w:rPr>
                <w:rFonts w:hint="eastAsia"/>
                <w:sz w:val="24"/>
                <w:szCs w:val="24"/>
              </w:rPr>
            </w:pPr>
            <w:r>
              <w:rPr>
                <w:rFonts w:hint="eastAsia"/>
                <w:sz w:val="24"/>
                <w:szCs w:val="24"/>
              </w:rPr>
              <w:t>6</w:t>
            </w:r>
          </w:p>
        </w:tc>
        <w:tc>
          <w:tcPr>
            <w:tcW w:w="567" w:type="dxa"/>
          </w:tcPr>
          <w:p w14:paraId="1119D4C9">
            <w:pPr>
              <w:pStyle w:val="11"/>
              <w:spacing w:line="360" w:lineRule="auto"/>
              <w:jc w:val="center"/>
              <w:rPr>
                <w:rFonts w:hint="eastAsia"/>
                <w:sz w:val="24"/>
                <w:szCs w:val="24"/>
              </w:rPr>
            </w:pPr>
          </w:p>
        </w:tc>
        <w:tc>
          <w:tcPr>
            <w:tcW w:w="7938" w:type="dxa"/>
          </w:tcPr>
          <w:p w14:paraId="2704EC27">
            <w:pPr>
              <w:pStyle w:val="11"/>
              <w:spacing w:line="360" w:lineRule="auto"/>
              <w:rPr>
                <w:rFonts w:hint="eastAsia"/>
                <w:sz w:val="24"/>
                <w:szCs w:val="24"/>
              </w:rPr>
            </w:pPr>
            <w:r>
              <w:rPr>
                <w:rFonts w:hint="eastAsia"/>
                <w:sz w:val="24"/>
                <w:szCs w:val="24"/>
              </w:rPr>
              <w:t>支持SSID隐藏，每个SSID可配置单独的认证方式、加密机制，VLAN属性。</w:t>
            </w:r>
          </w:p>
        </w:tc>
      </w:tr>
      <w:tr w14:paraId="52917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14:paraId="0C3B43FE">
            <w:pPr>
              <w:pStyle w:val="11"/>
              <w:spacing w:line="360" w:lineRule="auto"/>
              <w:jc w:val="center"/>
              <w:rPr>
                <w:rFonts w:hint="eastAsia"/>
                <w:sz w:val="24"/>
                <w:szCs w:val="24"/>
              </w:rPr>
            </w:pPr>
            <w:r>
              <w:rPr>
                <w:rFonts w:hint="eastAsia"/>
                <w:sz w:val="24"/>
                <w:szCs w:val="24"/>
              </w:rPr>
              <w:t>7</w:t>
            </w:r>
          </w:p>
        </w:tc>
        <w:tc>
          <w:tcPr>
            <w:tcW w:w="567" w:type="dxa"/>
          </w:tcPr>
          <w:p w14:paraId="58AC2EAE">
            <w:pPr>
              <w:pStyle w:val="11"/>
              <w:spacing w:line="360" w:lineRule="auto"/>
              <w:jc w:val="center"/>
              <w:rPr>
                <w:rFonts w:hint="eastAsia"/>
                <w:sz w:val="24"/>
                <w:szCs w:val="24"/>
              </w:rPr>
            </w:pPr>
          </w:p>
        </w:tc>
        <w:tc>
          <w:tcPr>
            <w:tcW w:w="7938" w:type="dxa"/>
          </w:tcPr>
          <w:p w14:paraId="6087BE03">
            <w:pPr>
              <w:pStyle w:val="11"/>
              <w:spacing w:line="360" w:lineRule="auto"/>
              <w:rPr>
                <w:rFonts w:hint="eastAsia"/>
                <w:sz w:val="24"/>
                <w:szCs w:val="24"/>
              </w:rPr>
            </w:pPr>
            <w:r>
              <w:rPr>
                <w:rFonts w:hint="eastAsia"/>
                <w:sz w:val="24"/>
                <w:szCs w:val="24"/>
              </w:rPr>
              <w:t>支持基于SSID、射频卡的用户数限制。</w:t>
            </w:r>
          </w:p>
        </w:tc>
      </w:tr>
      <w:tr w14:paraId="7AC67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14:paraId="30A23288">
            <w:pPr>
              <w:pStyle w:val="11"/>
              <w:spacing w:line="360" w:lineRule="auto"/>
              <w:jc w:val="center"/>
              <w:rPr>
                <w:rFonts w:hint="eastAsia"/>
                <w:sz w:val="24"/>
                <w:szCs w:val="24"/>
              </w:rPr>
            </w:pPr>
            <w:r>
              <w:rPr>
                <w:rFonts w:hint="eastAsia"/>
                <w:sz w:val="24"/>
                <w:szCs w:val="24"/>
              </w:rPr>
              <w:t>8</w:t>
            </w:r>
          </w:p>
        </w:tc>
        <w:tc>
          <w:tcPr>
            <w:tcW w:w="567" w:type="dxa"/>
          </w:tcPr>
          <w:p w14:paraId="59796A1D">
            <w:pPr>
              <w:pStyle w:val="11"/>
              <w:spacing w:line="360" w:lineRule="auto"/>
              <w:jc w:val="center"/>
              <w:rPr>
                <w:rFonts w:hint="eastAsia"/>
                <w:sz w:val="24"/>
                <w:szCs w:val="24"/>
              </w:rPr>
            </w:pPr>
          </w:p>
        </w:tc>
        <w:tc>
          <w:tcPr>
            <w:tcW w:w="7938" w:type="dxa"/>
          </w:tcPr>
          <w:p w14:paraId="21E8CB28">
            <w:pPr>
              <w:pStyle w:val="11"/>
              <w:spacing w:line="360" w:lineRule="auto"/>
              <w:rPr>
                <w:rFonts w:hint="eastAsia"/>
                <w:sz w:val="24"/>
                <w:szCs w:val="24"/>
              </w:rPr>
            </w:pPr>
            <w:r>
              <w:rPr>
                <w:rFonts w:hint="eastAsia"/>
                <w:sz w:val="24"/>
                <w:szCs w:val="24"/>
              </w:rPr>
              <w:t>支持基于终端数或流量的智能负载均衡。</w:t>
            </w:r>
          </w:p>
        </w:tc>
      </w:tr>
      <w:tr w14:paraId="07374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14:paraId="29F2CB03">
            <w:pPr>
              <w:pStyle w:val="11"/>
              <w:spacing w:line="360" w:lineRule="auto"/>
              <w:jc w:val="center"/>
              <w:rPr>
                <w:rFonts w:hint="eastAsia"/>
                <w:sz w:val="24"/>
                <w:szCs w:val="24"/>
              </w:rPr>
            </w:pPr>
            <w:r>
              <w:rPr>
                <w:rFonts w:hint="eastAsia"/>
                <w:sz w:val="24"/>
                <w:szCs w:val="24"/>
              </w:rPr>
              <w:t>9</w:t>
            </w:r>
          </w:p>
        </w:tc>
        <w:tc>
          <w:tcPr>
            <w:tcW w:w="567" w:type="dxa"/>
          </w:tcPr>
          <w:p w14:paraId="6262FF30">
            <w:pPr>
              <w:pStyle w:val="11"/>
              <w:spacing w:line="360" w:lineRule="auto"/>
              <w:jc w:val="center"/>
              <w:rPr>
                <w:rFonts w:hint="eastAsia"/>
                <w:sz w:val="24"/>
                <w:szCs w:val="24"/>
              </w:rPr>
            </w:pPr>
          </w:p>
        </w:tc>
        <w:tc>
          <w:tcPr>
            <w:tcW w:w="7938" w:type="dxa"/>
          </w:tcPr>
          <w:p w14:paraId="0AE4D11F">
            <w:pPr>
              <w:pStyle w:val="11"/>
              <w:spacing w:line="360" w:lineRule="auto"/>
              <w:rPr>
                <w:rFonts w:hint="eastAsia"/>
                <w:sz w:val="24"/>
                <w:szCs w:val="24"/>
              </w:rPr>
            </w:pPr>
            <w:r>
              <w:rPr>
                <w:rFonts w:hint="eastAsia"/>
                <w:sz w:val="24"/>
                <w:szCs w:val="24"/>
              </w:rPr>
              <w:t>支持Fat/Fit模式切换。当工作在Fit（瘦）模式时，可通过AC系列无线控制器切换为Fat模式；当工作在Fat（胖）模式时，可通过本地控制口、Telnet方式切换为Fit模式。</w:t>
            </w:r>
          </w:p>
        </w:tc>
      </w:tr>
      <w:tr w14:paraId="6011D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14:paraId="6FEB24C7">
            <w:pPr>
              <w:pStyle w:val="11"/>
              <w:spacing w:line="360" w:lineRule="auto"/>
              <w:jc w:val="center"/>
              <w:rPr>
                <w:rFonts w:hint="eastAsia"/>
                <w:sz w:val="24"/>
                <w:szCs w:val="24"/>
              </w:rPr>
            </w:pPr>
            <w:r>
              <w:rPr>
                <w:rFonts w:hint="eastAsia"/>
                <w:sz w:val="24"/>
                <w:szCs w:val="24"/>
              </w:rPr>
              <w:t>10</w:t>
            </w:r>
          </w:p>
        </w:tc>
        <w:tc>
          <w:tcPr>
            <w:tcW w:w="567" w:type="dxa"/>
          </w:tcPr>
          <w:p w14:paraId="2AEEC946">
            <w:pPr>
              <w:pStyle w:val="11"/>
              <w:spacing w:line="360" w:lineRule="auto"/>
              <w:jc w:val="center"/>
              <w:rPr>
                <w:rFonts w:hint="eastAsia"/>
                <w:sz w:val="24"/>
                <w:szCs w:val="24"/>
              </w:rPr>
            </w:pPr>
          </w:p>
        </w:tc>
        <w:tc>
          <w:tcPr>
            <w:tcW w:w="7938" w:type="dxa"/>
          </w:tcPr>
          <w:p w14:paraId="25AC5A53">
            <w:pPr>
              <w:pStyle w:val="11"/>
              <w:spacing w:line="360" w:lineRule="auto"/>
              <w:rPr>
                <w:rFonts w:hint="eastAsia"/>
                <w:sz w:val="24"/>
                <w:szCs w:val="24"/>
              </w:rPr>
            </w:pPr>
            <w:r>
              <w:rPr>
                <w:rFonts w:hint="eastAsia"/>
                <w:sz w:val="24"/>
                <w:szCs w:val="24"/>
              </w:rPr>
              <w:t>为保证无线网络安全，支持PSK认证、Web认证、微信认证、二维码访客认证、短信认证、无感知认证等认证方式；支持WEP（64/128位）、WPA（TKIP）、WPA-PSK、WPA2（AES）、WPA3等数据加密方式。</w:t>
            </w:r>
          </w:p>
        </w:tc>
      </w:tr>
      <w:tr w14:paraId="33334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14:paraId="279C2EE5">
            <w:pPr>
              <w:pStyle w:val="11"/>
              <w:spacing w:line="360" w:lineRule="auto"/>
              <w:jc w:val="center"/>
              <w:rPr>
                <w:rFonts w:hint="eastAsia"/>
                <w:sz w:val="24"/>
                <w:szCs w:val="24"/>
              </w:rPr>
            </w:pPr>
            <w:r>
              <w:rPr>
                <w:rFonts w:hint="eastAsia"/>
                <w:sz w:val="24"/>
                <w:szCs w:val="24"/>
              </w:rPr>
              <w:t>11</w:t>
            </w:r>
          </w:p>
        </w:tc>
        <w:tc>
          <w:tcPr>
            <w:tcW w:w="567" w:type="dxa"/>
          </w:tcPr>
          <w:p w14:paraId="2DBFCBAD">
            <w:pPr>
              <w:pStyle w:val="11"/>
              <w:spacing w:line="360" w:lineRule="auto"/>
              <w:jc w:val="center"/>
              <w:rPr>
                <w:rFonts w:hint="eastAsia"/>
                <w:sz w:val="24"/>
                <w:szCs w:val="24"/>
              </w:rPr>
            </w:pPr>
          </w:p>
        </w:tc>
        <w:tc>
          <w:tcPr>
            <w:tcW w:w="7938" w:type="dxa"/>
          </w:tcPr>
          <w:p w14:paraId="31F58670">
            <w:pPr>
              <w:pStyle w:val="11"/>
              <w:spacing w:line="360" w:lineRule="auto"/>
              <w:rPr>
                <w:rFonts w:hint="eastAsia"/>
                <w:sz w:val="24"/>
                <w:szCs w:val="24"/>
              </w:rPr>
            </w:pPr>
            <w:r>
              <w:rPr>
                <w:rFonts w:hint="eastAsia"/>
                <w:sz w:val="24"/>
                <w:szCs w:val="24"/>
              </w:rPr>
              <w:t>支持非法AP检测及反制。支持数据帧过滤功能，支持白名单、静态黑名单、动态黑名单。</w:t>
            </w:r>
          </w:p>
        </w:tc>
      </w:tr>
      <w:tr w14:paraId="4D749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14:paraId="505D96F8">
            <w:pPr>
              <w:pStyle w:val="11"/>
              <w:spacing w:line="360" w:lineRule="auto"/>
              <w:jc w:val="center"/>
              <w:rPr>
                <w:rFonts w:hint="eastAsia"/>
                <w:sz w:val="24"/>
                <w:szCs w:val="24"/>
              </w:rPr>
            </w:pPr>
            <w:r>
              <w:rPr>
                <w:rFonts w:hint="eastAsia"/>
                <w:sz w:val="24"/>
                <w:szCs w:val="24"/>
              </w:rPr>
              <w:t>12</w:t>
            </w:r>
          </w:p>
        </w:tc>
        <w:tc>
          <w:tcPr>
            <w:tcW w:w="567" w:type="dxa"/>
          </w:tcPr>
          <w:p w14:paraId="31757A11">
            <w:pPr>
              <w:pStyle w:val="11"/>
              <w:spacing w:line="360" w:lineRule="auto"/>
              <w:jc w:val="center"/>
              <w:rPr>
                <w:rFonts w:hint="eastAsia"/>
                <w:sz w:val="24"/>
                <w:szCs w:val="24"/>
              </w:rPr>
            </w:pPr>
          </w:p>
        </w:tc>
        <w:tc>
          <w:tcPr>
            <w:tcW w:w="7938" w:type="dxa"/>
          </w:tcPr>
          <w:p w14:paraId="02D8AD14">
            <w:pPr>
              <w:pStyle w:val="11"/>
              <w:spacing w:line="360" w:lineRule="auto"/>
              <w:rPr>
                <w:rFonts w:hint="eastAsia"/>
                <w:sz w:val="24"/>
                <w:szCs w:val="24"/>
              </w:rPr>
            </w:pPr>
            <w:r>
              <w:rPr>
                <w:rFonts w:hint="eastAsia"/>
                <w:sz w:val="24"/>
                <w:szCs w:val="24"/>
              </w:rPr>
              <w:t>支持Fat/Fit模式切换。当工作在Fit（瘦）模式时，可通过AC系列无线控制器切换为Fat模式；当工作在Fat（胖）模式时，可通过本地控制口、Telnet方式切换为Fit模式。</w:t>
            </w:r>
          </w:p>
        </w:tc>
      </w:tr>
      <w:tr w14:paraId="31F81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14:paraId="0CAB97FC">
            <w:pPr>
              <w:pStyle w:val="11"/>
              <w:spacing w:line="360" w:lineRule="auto"/>
              <w:jc w:val="center"/>
              <w:rPr>
                <w:rFonts w:hint="eastAsia"/>
                <w:sz w:val="24"/>
                <w:szCs w:val="24"/>
              </w:rPr>
            </w:pPr>
            <w:r>
              <w:rPr>
                <w:rFonts w:hint="eastAsia"/>
                <w:sz w:val="24"/>
                <w:szCs w:val="24"/>
              </w:rPr>
              <w:t>13</w:t>
            </w:r>
          </w:p>
        </w:tc>
        <w:tc>
          <w:tcPr>
            <w:tcW w:w="567" w:type="dxa"/>
          </w:tcPr>
          <w:p w14:paraId="2DF24D14">
            <w:pPr>
              <w:pStyle w:val="11"/>
              <w:spacing w:line="360" w:lineRule="auto"/>
              <w:jc w:val="center"/>
              <w:rPr>
                <w:rFonts w:hint="eastAsia"/>
                <w:sz w:val="24"/>
                <w:szCs w:val="24"/>
              </w:rPr>
            </w:pPr>
          </w:p>
        </w:tc>
        <w:tc>
          <w:tcPr>
            <w:tcW w:w="7938" w:type="dxa"/>
          </w:tcPr>
          <w:p w14:paraId="4383CA63">
            <w:pPr>
              <w:pStyle w:val="11"/>
              <w:spacing w:line="360" w:lineRule="auto"/>
              <w:rPr>
                <w:rFonts w:hint="eastAsia"/>
                <w:sz w:val="24"/>
                <w:szCs w:val="24"/>
              </w:rPr>
            </w:pPr>
            <w:r>
              <w:rPr>
                <w:rFonts w:hint="eastAsia"/>
                <w:sz w:val="24"/>
                <w:szCs w:val="24"/>
              </w:rPr>
              <w:t>为保证无线网络安全，支持PSK认证、Web认证、微信认证、二维码访客认证、短信认证、无感知认证等认证方式；支持WEP（64/128位）、WPA（TKIP）、WPA-PSK、WPA2（AES）、WPA3等数据加密方式。</w:t>
            </w:r>
          </w:p>
        </w:tc>
      </w:tr>
      <w:tr w14:paraId="34E66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14:paraId="1542D856">
            <w:pPr>
              <w:pStyle w:val="11"/>
              <w:spacing w:line="360" w:lineRule="auto"/>
              <w:jc w:val="center"/>
              <w:rPr>
                <w:rFonts w:hint="eastAsia"/>
                <w:sz w:val="24"/>
                <w:szCs w:val="24"/>
              </w:rPr>
            </w:pPr>
            <w:r>
              <w:rPr>
                <w:rFonts w:hint="eastAsia"/>
                <w:sz w:val="24"/>
                <w:szCs w:val="24"/>
              </w:rPr>
              <w:t>14</w:t>
            </w:r>
          </w:p>
        </w:tc>
        <w:tc>
          <w:tcPr>
            <w:tcW w:w="567" w:type="dxa"/>
          </w:tcPr>
          <w:p w14:paraId="4072293E">
            <w:pPr>
              <w:pStyle w:val="11"/>
              <w:spacing w:line="360" w:lineRule="auto"/>
              <w:jc w:val="center"/>
              <w:rPr>
                <w:rFonts w:hint="eastAsia"/>
                <w:sz w:val="24"/>
                <w:szCs w:val="24"/>
              </w:rPr>
            </w:pPr>
          </w:p>
        </w:tc>
        <w:tc>
          <w:tcPr>
            <w:tcW w:w="7938" w:type="dxa"/>
          </w:tcPr>
          <w:p w14:paraId="76A50CBB">
            <w:pPr>
              <w:pStyle w:val="11"/>
              <w:spacing w:line="360" w:lineRule="auto"/>
              <w:rPr>
                <w:rFonts w:hint="eastAsia"/>
                <w:sz w:val="24"/>
                <w:szCs w:val="24"/>
              </w:rPr>
            </w:pPr>
            <w:r>
              <w:rPr>
                <w:rFonts w:hint="eastAsia"/>
                <w:sz w:val="24"/>
                <w:szCs w:val="24"/>
              </w:rPr>
              <w:t>支持非法AP检测及反制。支持数据帧过滤功能，支持白名单、静态黑名单、动态黑名单。</w:t>
            </w:r>
          </w:p>
        </w:tc>
      </w:tr>
    </w:tbl>
    <w:p w14:paraId="05162D0D">
      <w:pPr>
        <w:spacing w:line="360" w:lineRule="auto"/>
        <w:rPr>
          <w:rFonts w:hint="eastAsia" w:ascii="宋体" w:hAnsi="宋体" w:cs="宋体"/>
          <w:sz w:val="24"/>
        </w:rPr>
      </w:pPr>
    </w:p>
    <w:p w14:paraId="3ECB0B69">
      <w:pPr>
        <w:spacing w:line="360" w:lineRule="auto"/>
        <w:rPr>
          <w:rFonts w:hint="eastAsia" w:ascii="宋体" w:hAnsi="宋体" w:cs="宋体"/>
          <w:sz w:val="24"/>
        </w:rPr>
      </w:pPr>
    </w:p>
    <w:p w14:paraId="0E81A41F">
      <w:pPr>
        <w:pStyle w:val="3"/>
        <w:spacing w:line="360" w:lineRule="auto"/>
        <w:rPr>
          <w:rFonts w:hint="eastAsia" w:hAnsi="宋体" w:cs="宋体"/>
          <w:szCs w:val="24"/>
          <w:u w:val="none"/>
        </w:rPr>
      </w:pPr>
      <w:r>
        <w:rPr>
          <w:rFonts w:hint="eastAsia" w:hAnsi="宋体" w:cs="宋体"/>
          <w:szCs w:val="24"/>
          <w:u w:val="none"/>
        </w:rPr>
        <w:t>4.7 放装无线AP（25台）</w:t>
      </w:r>
    </w:p>
    <w:tbl>
      <w:tblPr>
        <w:tblStyle w:val="7"/>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2"/>
        <w:gridCol w:w="567"/>
        <w:gridCol w:w="7938"/>
      </w:tblGrid>
      <w:tr w14:paraId="137A4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1E81FF19">
            <w:pPr>
              <w:pStyle w:val="11"/>
              <w:spacing w:line="360" w:lineRule="auto"/>
              <w:jc w:val="center"/>
              <w:rPr>
                <w:rFonts w:hint="eastAsia"/>
                <w:b/>
                <w:bCs/>
                <w:sz w:val="24"/>
                <w:szCs w:val="24"/>
              </w:rPr>
            </w:pPr>
            <w:r>
              <w:rPr>
                <w:rFonts w:hint="eastAsia"/>
                <w:b/>
                <w:bCs/>
                <w:sz w:val="24"/>
                <w:szCs w:val="24"/>
              </w:rPr>
              <w:t>序号</w:t>
            </w:r>
          </w:p>
        </w:tc>
        <w:tc>
          <w:tcPr>
            <w:tcW w:w="567" w:type="dxa"/>
            <w:vAlign w:val="center"/>
          </w:tcPr>
          <w:p w14:paraId="7C2420A5">
            <w:pPr>
              <w:pStyle w:val="11"/>
              <w:spacing w:line="360" w:lineRule="auto"/>
              <w:jc w:val="center"/>
              <w:rPr>
                <w:rFonts w:hint="eastAsia"/>
                <w:b/>
                <w:bCs/>
                <w:sz w:val="24"/>
                <w:szCs w:val="24"/>
              </w:rPr>
            </w:pPr>
            <w:r>
              <w:rPr>
                <w:rFonts w:hint="eastAsia"/>
                <w:b/>
                <w:bCs/>
                <w:sz w:val="24"/>
                <w:szCs w:val="24"/>
              </w:rPr>
              <w:t>标记</w:t>
            </w:r>
          </w:p>
        </w:tc>
        <w:tc>
          <w:tcPr>
            <w:tcW w:w="7938" w:type="dxa"/>
            <w:vAlign w:val="center"/>
          </w:tcPr>
          <w:p w14:paraId="11054D7C">
            <w:pPr>
              <w:pStyle w:val="11"/>
              <w:spacing w:line="360" w:lineRule="auto"/>
              <w:jc w:val="center"/>
              <w:rPr>
                <w:rFonts w:hint="eastAsia"/>
                <w:b/>
                <w:bCs/>
                <w:sz w:val="24"/>
                <w:szCs w:val="24"/>
              </w:rPr>
            </w:pPr>
            <w:r>
              <w:rPr>
                <w:rFonts w:hint="eastAsia"/>
                <w:b/>
                <w:bCs/>
                <w:sz w:val="24"/>
                <w:szCs w:val="24"/>
              </w:rPr>
              <w:t>技术指标要求</w:t>
            </w:r>
          </w:p>
        </w:tc>
      </w:tr>
      <w:tr w14:paraId="79691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14:paraId="54BA7D25">
            <w:pPr>
              <w:pStyle w:val="11"/>
              <w:spacing w:line="360" w:lineRule="auto"/>
              <w:jc w:val="center"/>
              <w:rPr>
                <w:rFonts w:hint="eastAsia"/>
                <w:sz w:val="24"/>
                <w:szCs w:val="24"/>
              </w:rPr>
            </w:pPr>
            <w:r>
              <w:rPr>
                <w:rFonts w:hint="eastAsia"/>
                <w:sz w:val="24"/>
                <w:szCs w:val="24"/>
              </w:rPr>
              <w:t>1</w:t>
            </w:r>
          </w:p>
        </w:tc>
        <w:tc>
          <w:tcPr>
            <w:tcW w:w="567" w:type="dxa"/>
          </w:tcPr>
          <w:p w14:paraId="115FC7D7">
            <w:pPr>
              <w:pStyle w:val="11"/>
              <w:spacing w:line="360" w:lineRule="auto"/>
              <w:jc w:val="center"/>
              <w:rPr>
                <w:rFonts w:hint="eastAsia"/>
                <w:sz w:val="24"/>
                <w:szCs w:val="24"/>
              </w:rPr>
            </w:pPr>
            <w:r>
              <w:rPr>
                <w:rFonts w:hint="eastAsia"/>
                <w:sz w:val="24"/>
                <w:szCs w:val="24"/>
              </w:rPr>
              <w:t>▲</w:t>
            </w:r>
          </w:p>
        </w:tc>
        <w:tc>
          <w:tcPr>
            <w:tcW w:w="7938" w:type="dxa"/>
          </w:tcPr>
          <w:p w14:paraId="22823CF4">
            <w:pPr>
              <w:pStyle w:val="11"/>
              <w:spacing w:line="360" w:lineRule="auto"/>
              <w:rPr>
                <w:rFonts w:hint="eastAsia"/>
                <w:sz w:val="24"/>
                <w:szCs w:val="24"/>
              </w:rPr>
            </w:pPr>
            <w:r>
              <w:rPr>
                <w:rFonts w:hint="eastAsia"/>
                <w:sz w:val="24"/>
                <w:szCs w:val="24"/>
              </w:rPr>
              <w:t>支持802.11ax标准；采用双射频设计，一个2.4GHz射频卡，一个5GHz射频卡；整机空间流≥4条</w:t>
            </w:r>
          </w:p>
        </w:tc>
      </w:tr>
      <w:tr w14:paraId="44C4F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14:paraId="4FE99191">
            <w:pPr>
              <w:pStyle w:val="11"/>
              <w:spacing w:line="360" w:lineRule="auto"/>
              <w:jc w:val="center"/>
              <w:rPr>
                <w:rFonts w:hint="eastAsia"/>
                <w:sz w:val="24"/>
                <w:szCs w:val="24"/>
              </w:rPr>
            </w:pPr>
            <w:r>
              <w:rPr>
                <w:rFonts w:hint="eastAsia"/>
                <w:sz w:val="24"/>
                <w:szCs w:val="24"/>
              </w:rPr>
              <w:t>2</w:t>
            </w:r>
          </w:p>
        </w:tc>
        <w:tc>
          <w:tcPr>
            <w:tcW w:w="567" w:type="dxa"/>
          </w:tcPr>
          <w:p w14:paraId="4E8255E5">
            <w:pPr>
              <w:pStyle w:val="11"/>
              <w:spacing w:line="360" w:lineRule="auto"/>
              <w:jc w:val="center"/>
              <w:rPr>
                <w:rFonts w:hint="eastAsia"/>
                <w:sz w:val="24"/>
                <w:szCs w:val="24"/>
              </w:rPr>
            </w:pPr>
          </w:p>
        </w:tc>
        <w:tc>
          <w:tcPr>
            <w:tcW w:w="7938" w:type="dxa"/>
          </w:tcPr>
          <w:p w14:paraId="79261372">
            <w:pPr>
              <w:pStyle w:val="11"/>
              <w:spacing w:line="360" w:lineRule="auto"/>
              <w:rPr>
                <w:rFonts w:hint="eastAsia"/>
                <w:sz w:val="24"/>
                <w:szCs w:val="24"/>
              </w:rPr>
            </w:pPr>
            <w:r>
              <w:rPr>
                <w:rFonts w:hint="eastAsia"/>
                <w:sz w:val="24"/>
                <w:szCs w:val="24"/>
              </w:rPr>
              <w:t>整机最大无线速率≥2.97Gbps</w:t>
            </w:r>
          </w:p>
        </w:tc>
      </w:tr>
      <w:tr w14:paraId="2EB32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14:paraId="52C8DA68">
            <w:pPr>
              <w:pStyle w:val="11"/>
              <w:spacing w:line="360" w:lineRule="auto"/>
              <w:jc w:val="center"/>
              <w:rPr>
                <w:rFonts w:hint="eastAsia"/>
                <w:sz w:val="24"/>
                <w:szCs w:val="24"/>
              </w:rPr>
            </w:pPr>
            <w:r>
              <w:rPr>
                <w:rFonts w:hint="eastAsia"/>
                <w:sz w:val="24"/>
                <w:szCs w:val="24"/>
              </w:rPr>
              <w:t>3</w:t>
            </w:r>
          </w:p>
        </w:tc>
        <w:tc>
          <w:tcPr>
            <w:tcW w:w="567" w:type="dxa"/>
          </w:tcPr>
          <w:p w14:paraId="7E6F9BB3">
            <w:pPr>
              <w:pStyle w:val="11"/>
              <w:spacing w:line="360" w:lineRule="auto"/>
              <w:jc w:val="center"/>
              <w:rPr>
                <w:rFonts w:hint="eastAsia"/>
                <w:sz w:val="24"/>
                <w:szCs w:val="24"/>
              </w:rPr>
            </w:pPr>
          </w:p>
        </w:tc>
        <w:tc>
          <w:tcPr>
            <w:tcW w:w="7938" w:type="dxa"/>
          </w:tcPr>
          <w:p w14:paraId="1AB50CA7">
            <w:pPr>
              <w:pStyle w:val="11"/>
              <w:spacing w:line="360" w:lineRule="auto"/>
              <w:rPr>
                <w:rFonts w:hint="eastAsia"/>
                <w:sz w:val="24"/>
                <w:szCs w:val="24"/>
              </w:rPr>
            </w:pPr>
            <w:r>
              <w:rPr>
                <w:rFonts w:hint="eastAsia"/>
                <w:sz w:val="24"/>
                <w:szCs w:val="24"/>
              </w:rPr>
              <w:t>支持防盗锁孔。</w:t>
            </w:r>
          </w:p>
        </w:tc>
      </w:tr>
      <w:tr w14:paraId="6EDF8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14:paraId="2A22BB8F">
            <w:pPr>
              <w:pStyle w:val="11"/>
              <w:spacing w:line="360" w:lineRule="auto"/>
              <w:jc w:val="center"/>
              <w:rPr>
                <w:rFonts w:hint="eastAsia"/>
                <w:sz w:val="24"/>
                <w:szCs w:val="24"/>
              </w:rPr>
            </w:pPr>
            <w:r>
              <w:rPr>
                <w:rFonts w:hint="eastAsia"/>
                <w:sz w:val="24"/>
                <w:szCs w:val="24"/>
              </w:rPr>
              <w:t>4</w:t>
            </w:r>
          </w:p>
        </w:tc>
        <w:tc>
          <w:tcPr>
            <w:tcW w:w="567" w:type="dxa"/>
          </w:tcPr>
          <w:p w14:paraId="11822E40">
            <w:pPr>
              <w:pStyle w:val="11"/>
              <w:spacing w:line="360" w:lineRule="auto"/>
              <w:jc w:val="center"/>
              <w:rPr>
                <w:rFonts w:hint="eastAsia"/>
                <w:sz w:val="24"/>
                <w:szCs w:val="24"/>
              </w:rPr>
            </w:pPr>
          </w:p>
        </w:tc>
        <w:tc>
          <w:tcPr>
            <w:tcW w:w="7938" w:type="dxa"/>
          </w:tcPr>
          <w:p w14:paraId="4A3503CC">
            <w:pPr>
              <w:pStyle w:val="11"/>
              <w:spacing w:line="360" w:lineRule="auto"/>
              <w:rPr>
                <w:rFonts w:hint="eastAsia"/>
                <w:sz w:val="24"/>
                <w:szCs w:val="24"/>
              </w:rPr>
            </w:pPr>
            <w:r>
              <w:rPr>
                <w:rFonts w:hint="eastAsia"/>
                <w:sz w:val="24"/>
                <w:szCs w:val="24"/>
              </w:rPr>
              <w:t>至少支持1个1G以太网接口、1个2.5G SFP光口</w:t>
            </w:r>
          </w:p>
        </w:tc>
      </w:tr>
      <w:tr w14:paraId="2A4FC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14:paraId="1108666F">
            <w:pPr>
              <w:pStyle w:val="11"/>
              <w:spacing w:line="360" w:lineRule="auto"/>
              <w:jc w:val="center"/>
              <w:rPr>
                <w:rFonts w:hint="eastAsia"/>
                <w:sz w:val="24"/>
                <w:szCs w:val="24"/>
              </w:rPr>
            </w:pPr>
            <w:r>
              <w:rPr>
                <w:rFonts w:hint="eastAsia"/>
                <w:sz w:val="24"/>
                <w:szCs w:val="24"/>
              </w:rPr>
              <w:t>5</w:t>
            </w:r>
          </w:p>
        </w:tc>
        <w:tc>
          <w:tcPr>
            <w:tcW w:w="567" w:type="dxa"/>
          </w:tcPr>
          <w:p w14:paraId="0A4E67B3">
            <w:pPr>
              <w:pStyle w:val="11"/>
              <w:spacing w:line="360" w:lineRule="auto"/>
              <w:jc w:val="center"/>
              <w:rPr>
                <w:rFonts w:hint="eastAsia"/>
                <w:sz w:val="24"/>
                <w:szCs w:val="24"/>
              </w:rPr>
            </w:pPr>
            <w:r>
              <w:rPr>
                <w:rFonts w:hint="eastAsia"/>
                <w:sz w:val="24"/>
                <w:szCs w:val="24"/>
              </w:rPr>
              <w:t>▲</w:t>
            </w:r>
          </w:p>
        </w:tc>
        <w:tc>
          <w:tcPr>
            <w:tcW w:w="7938" w:type="dxa"/>
          </w:tcPr>
          <w:p w14:paraId="7CECFA6B">
            <w:pPr>
              <w:pStyle w:val="11"/>
              <w:spacing w:line="360" w:lineRule="auto"/>
              <w:rPr>
                <w:rFonts w:hint="eastAsia"/>
                <w:sz w:val="24"/>
                <w:szCs w:val="24"/>
              </w:rPr>
            </w:pPr>
            <w:r>
              <w:rPr>
                <w:rFonts w:hint="eastAsia"/>
                <w:sz w:val="24"/>
                <w:szCs w:val="24"/>
              </w:rPr>
              <w:t>由于AP部署在高空环境，难以时常清洁，为保障设备堆积灰尘仍可以正常运行，要求所投无线接入点符合国标GB/T 4208-2017即《外壳防护等级（IP代码）》，至少达到防护等级IP51。提供具有CNAS标志的第三方权威机构出具的检测报告复印件。</w:t>
            </w:r>
          </w:p>
        </w:tc>
      </w:tr>
      <w:tr w14:paraId="1795A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14:paraId="5124A139">
            <w:pPr>
              <w:pStyle w:val="11"/>
              <w:spacing w:line="360" w:lineRule="auto"/>
              <w:jc w:val="center"/>
              <w:rPr>
                <w:rFonts w:hint="eastAsia"/>
                <w:sz w:val="24"/>
                <w:szCs w:val="24"/>
              </w:rPr>
            </w:pPr>
            <w:r>
              <w:rPr>
                <w:rFonts w:hint="eastAsia"/>
                <w:sz w:val="24"/>
                <w:szCs w:val="24"/>
              </w:rPr>
              <w:t>6</w:t>
            </w:r>
          </w:p>
        </w:tc>
        <w:tc>
          <w:tcPr>
            <w:tcW w:w="567" w:type="dxa"/>
          </w:tcPr>
          <w:p w14:paraId="0549E320">
            <w:pPr>
              <w:pStyle w:val="11"/>
              <w:spacing w:line="360" w:lineRule="auto"/>
              <w:jc w:val="center"/>
              <w:rPr>
                <w:rFonts w:hint="eastAsia"/>
                <w:sz w:val="24"/>
                <w:szCs w:val="24"/>
              </w:rPr>
            </w:pPr>
            <w:r>
              <w:rPr>
                <w:rFonts w:hint="eastAsia"/>
                <w:sz w:val="24"/>
                <w:szCs w:val="24"/>
              </w:rPr>
              <w:t>▲</w:t>
            </w:r>
          </w:p>
        </w:tc>
        <w:tc>
          <w:tcPr>
            <w:tcW w:w="7938" w:type="dxa"/>
          </w:tcPr>
          <w:p w14:paraId="7E9AE6D0">
            <w:pPr>
              <w:pStyle w:val="11"/>
              <w:spacing w:line="360" w:lineRule="auto"/>
              <w:rPr>
                <w:rFonts w:hint="eastAsia"/>
                <w:sz w:val="24"/>
                <w:szCs w:val="24"/>
              </w:rPr>
            </w:pPr>
            <w:r>
              <w:rPr>
                <w:rFonts w:hint="eastAsia"/>
                <w:sz w:val="24"/>
                <w:szCs w:val="24"/>
              </w:rPr>
              <w:t>由于AP部署在开放环境中，为保障设备受到外部机械碰撞仍可以保持结构完整、功能完备，要求所投室内无线接入点符合国标GB/T 20138-2006即《电器设备外壳对外界机械碰撞的防护等级（IK代码）》标准，至少达到防护等级IK08。提供第三方权威测试报告（需具备CNAS标志）复印件，及第三方权威机构官方查询结果截图（需体现设备防护等级）和查询链接。</w:t>
            </w:r>
          </w:p>
        </w:tc>
      </w:tr>
      <w:tr w14:paraId="14543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14:paraId="647A97BE">
            <w:pPr>
              <w:pStyle w:val="11"/>
              <w:spacing w:line="360" w:lineRule="auto"/>
              <w:jc w:val="center"/>
              <w:rPr>
                <w:rFonts w:hint="eastAsia"/>
                <w:sz w:val="24"/>
                <w:szCs w:val="24"/>
              </w:rPr>
            </w:pPr>
            <w:r>
              <w:rPr>
                <w:rFonts w:hint="eastAsia"/>
                <w:sz w:val="24"/>
                <w:szCs w:val="24"/>
              </w:rPr>
              <w:t>7</w:t>
            </w:r>
          </w:p>
        </w:tc>
        <w:tc>
          <w:tcPr>
            <w:tcW w:w="567" w:type="dxa"/>
          </w:tcPr>
          <w:p w14:paraId="4E1C307C">
            <w:pPr>
              <w:pStyle w:val="11"/>
              <w:spacing w:line="360" w:lineRule="auto"/>
              <w:jc w:val="center"/>
              <w:rPr>
                <w:rFonts w:hint="eastAsia"/>
                <w:sz w:val="24"/>
                <w:szCs w:val="24"/>
              </w:rPr>
            </w:pPr>
          </w:p>
        </w:tc>
        <w:tc>
          <w:tcPr>
            <w:tcW w:w="7938" w:type="dxa"/>
          </w:tcPr>
          <w:p w14:paraId="2A7CE46F">
            <w:pPr>
              <w:pStyle w:val="11"/>
              <w:spacing w:line="360" w:lineRule="auto"/>
              <w:rPr>
                <w:rFonts w:hint="eastAsia"/>
                <w:sz w:val="24"/>
                <w:szCs w:val="24"/>
              </w:rPr>
            </w:pPr>
            <w:r>
              <w:rPr>
                <w:rFonts w:hint="eastAsia"/>
                <w:sz w:val="24"/>
                <w:szCs w:val="24"/>
              </w:rPr>
              <w:t>支持SSID隐藏，每个SSID可配置单独的认证方式、加密机制，VLAN属性。</w:t>
            </w:r>
          </w:p>
        </w:tc>
      </w:tr>
      <w:tr w14:paraId="75841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14:paraId="7D24C003">
            <w:pPr>
              <w:pStyle w:val="11"/>
              <w:spacing w:line="360" w:lineRule="auto"/>
              <w:jc w:val="center"/>
              <w:rPr>
                <w:rFonts w:hint="eastAsia"/>
                <w:sz w:val="24"/>
                <w:szCs w:val="24"/>
              </w:rPr>
            </w:pPr>
            <w:r>
              <w:rPr>
                <w:rFonts w:hint="eastAsia"/>
                <w:sz w:val="24"/>
                <w:szCs w:val="24"/>
              </w:rPr>
              <w:t>8</w:t>
            </w:r>
          </w:p>
        </w:tc>
        <w:tc>
          <w:tcPr>
            <w:tcW w:w="567" w:type="dxa"/>
          </w:tcPr>
          <w:p w14:paraId="05E71D0B">
            <w:pPr>
              <w:pStyle w:val="11"/>
              <w:spacing w:line="360" w:lineRule="auto"/>
              <w:jc w:val="center"/>
              <w:rPr>
                <w:rFonts w:hint="eastAsia"/>
                <w:sz w:val="24"/>
                <w:szCs w:val="24"/>
              </w:rPr>
            </w:pPr>
          </w:p>
        </w:tc>
        <w:tc>
          <w:tcPr>
            <w:tcW w:w="7938" w:type="dxa"/>
          </w:tcPr>
          <w:p w14:paraId="0E51DC7B">
            <w:pPr>
              <w:pStyle w:val="11"/>
              <w:spacing w:line="360" w:lineRule="auto"/>
              <w:rPr>
                <w:rFonts w:hint="eastAsia"/>
                <w:sz w:val="24"/>
                <w:szCs w:val="24"/>
              </w:rPr>
            </w:pPr>
            <w:r>
              <w:rPr>
                <w:rFonts w:hint="eastAsia"/>
                <w:sz w:val="24"/>
                <w:szCs w:val="24"/>
              </w:rPr>
              <w:t>支持Fat/Fit模式切换。当工作在Fit（瘦）模式时，可通过AC系列无线控制器切换为Fat模式；当工作在Fat（胖）模式时，可通过本地控制口、Telnet方式切换为Fit模式。</w:t>
            </w:r>
          </w:p>
        </w:tc>
      </w:tr>
      <w:tr w14:paraId="370AF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14:paraId="67989B9F">
            <w:pPr>
              <w:pStyle w:val="11"/>
              <w:spacing w:line="360" w:lineRule="auto"/>
              <w:jc w:val="center"/>
              <w:rPr>
                <w:rFonts w:hint="eastAsia"/>
                <w:sz w:val="24"/>
                <w:szCs w:val="24"/>
              </w:rPr>
            </w:pPr>
            <w:r>
              <w:rPr>
                <w:rFonts w:hint="eastAsia"/>
                <w:sz w:val="24"/>
                <w:szCs w:val="24"/>
              </w:rPr>
              <w:t>9</w:t>
            </w:r>
          </w:p>
        </w:tc>
        <w:tc>
          <w:tcPr>
            <w:tcW w:w="567" w:type="dxa"/>
          </w:tcPr>
          <w:p w14:paraId="64971FD1">
            <w:pPr>
              <w:pStyle w:val="11"/>
              <w:spacing w:line="360" w:lineRule="auto"/>
              <w:jc w:val="center"/>
              <w:rPr>
                <w:rFonts w:hint="eastAsia"/>
                <w:sz w:val="24"/>
                <w:szCs w:val="24"/>
              </w:rPr>
            </w:pPr>
          </w:p>
        </w:tc>
        <w:tc>
          <w:tcPr>
            <w:tcW w:w="7938" w:type="dxa"/>
          </w:tcPr>
          <w:p w14:paraId="14AC74D6">
            <w:pPr>
              <w:pStyle w:val="11"/>
              <w:spacing w:line="360" w:lineRule="auto"/>
              <w:rPr>
                <w:rFonts w:hint="eastAsia"/>
                <w:sz w:val="24"/>
                <w:szCs w:val="24"/>
              </w:rPr>
            </w:pPr>
            <w:r>
              <w:rPr>
                <w:rFonts w:hint="eastAsia"/>
                <w:sz w:val="24"/>
                <w:szCs w:val="24"/>
              </w:rPr>
              <w:t>为保证无线网络安全，支持PSK认证、Web认证、微信认证、二维码访客认证、短信认证、无感知认证等认证方式；支持WEP（64/128位）、WPA（TKIP）、WPA-PSK、WPA2（AES）、WPA3等数据加密方式。</w:t>
            </w:r>
          </w:p>
        </w:tc>
      </w:tr>
      <w:tr w14:paraId="17E99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14:paraId="3B81B9E9">
            <w:pPr>
              <w:pStyle w:val="11"/>
              <w:spacing w:line="360" w:lineRule="auto"/>
              <w:jc w:val="center"/>
              <w:rPr>
                <w:rFonts w:hint="eastAsia"/>
                <w:sz w:val="24"/>
                <w:szCs w:val="24"/>
              </w:rPr>
            </w:pPr>
            <w:r>
              <w:rPr>
                <w:rFonts w:hint="eastAsia"/>
                <w:sz w:val="24"/>
                <w:szCs w:val="24"/>
              </w:rPr>
              <w:t>10</w:t>
            </w:r>
          </w:p>
        </w:tc>
        <w:tc>
          <w:tcPr>
            <w:tcW w:w="567" w:type="dxa"/>
          </w:tcPr>
          <w:p w14:paraId="7AC5E5D9">
            <w:pPr>
              <w:pStyle w:val="11"/>
              <w:spacing w:line="360" w:lineRule="auto"/>
              <w:jc w:val="center"/>
              <w:rPr>
                <w:rFonts w:hint="eastAsia"/>
                <w:sz w:val="24"/>
                <w:szCs w:val="24"/>
              </w:rPr>
            </w:pPr>
          </w:p>
        </w:tc>
        <w:tc>
          <w:tcPr>
            <w:tcW w:w="7938" w:type="dxa"/>
          </w:tcPr>
          <w:p w14:paraId="150FBD9B">
            <w:pPr>
              <w:pStyle w:val="11"/>
              <w:spacing w:line="360" w:lineRule="auto"/>
              <w:rPr>
                <w:rFonts w:hint="eastAsia"/>
                <w:sz w:val="24"/>
                <w:szCs w:val="24"/>
              </w:rPr>
            </w:pPr>
            <w:r>
              <w:rPr>
                <w:rFonts w:hint="eastAsia"/>
                <w:sz w:val="24"/>
                <w:szCs w:val="24"/>
              </w:rPr>
              <w:t>支持非法AP检测及反制。支持数据帧过滤功能，支持白名单、静态黑名单、动态黑名单。</w:t>
            </w:r>
          </w:p>
        </w:tc>
      </w:tr>
    </w:tbl>
    <w:p w14:paraId="780DE5E5">
      <w:pPr>
        <w:pStyle w:val="11"/>
        <w:spacing w:line="360" w:lineRule="auto"/>
        <w:rPr>
          <w:rFonts w:hint="eastAsia"/>
          <w:sz w:val="24"/>
          <w:szCs w:val="24"/>
        </w:rPr>
      </w:pPr>
    </w:p>
    <w:p w14:paraId="48397641">
      <w:pPr>
        <w:pStyle w:val="3"/>
        <w:spacing w:line="360" w:lineRule="auto"/>
        <w:rPr>
          <w:rFonts w:hint="eastAsia" w:hAnsi="宋体" w:cs="宋体"/>
          <w:szCs w:val="24"/>
          <w:u w:val="none"/>
        </w:rPr>
      </w:pPr>
      <w:r>
        <w:rPr>
          <w:rFonts w:hint="eastAsia" w:hAnsi="宋体" w:cs="宋体"/>
          <w:szCs w:val="24"/>
          <w:u w:val="none"/>
        </w:rPr>
        <w:t>4.8 24口POE交换机（5台）</w:t>
      </w:r>
    </w:p>
    <w:tbl>
      <w:tblPr>
        <w:tblStyle w:val="7"/>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2"/>
        <w:gridCol w:w="567"/>
        <w:gridCol w:w="7938"/>
      </w:tblGrid>
      <w:tr w14:paraId="03626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5F7A8363">
            <w:pPr>
              <w:pStyle w:val="11"/>
              <w:spacing w:line="360" w:lineRule="auto"/>
              <w:jc w:val="center"/>
              <w:rPr>
                <w:rFonts w:hint="eastAsia"/>
                <w:b/>
                <w:bCs/>
                <w:sz w:val="24"/>
                <w:szCs w:val="24"/>
              </w:rPr>
            </w:pPr>
            <w:r>
              <w:rPr>
                <w:rFonts w:hint="eastAsia"/>
                <w:b/>
                <w:bCs/>
                <w:sz w:val="24"/>
                <w:szCs w:val="24"/>
              </w:rPr>
              <w:t>序号</w:t>
            </w:r>
          </w:p>
        </w:tc>
        <w:tc>
          <w:tcPr>
            <w:tcW w:w="567" w:type="dxa"/>
            <w:vAlign w:val="center"/>
          </w:tcPr>
          <w:p w14:paraId="7A0F5CC1">
            <w:pPr>
              <w:pStyle w:val="11"/>
              <w:spacing w:line="360" w:lineRule="auto"/>
              <w:jc w:val="center"/>
              <w:rPr>
                <w:rFonts w:hint="eastAsia"/>
                <w:b/>
                <w:bCs/>
                <w:sz w:val="24"/>
                <w:szCs w:val="24"/>
              </w:rPr>
            </w:pPr>
            <w:r>
              <w:rPr>
                <w:rFonts w:hint="eastAsia"/>
                <w:b/>
                <w:bCs/>
                <w:sz w:val="24"/>
                <w:szCs w:val="24"/>
              </w:rPr>
              <w:t>标记</w:t>
            </w:r>
          </w:p>
        </w:tc>
        <w:tc>
          <w:tcPr>
            <w:tcW w:w="7938" w:type="dxa"/>
            <w:vAlign w:val="center"/>
          </w:tcPr>
          <w:p w14:paraId="3A66589E">
            <w:pPr>
              <w:pStyle w:val="11"/>
              <w:spacing w:line="360" w:lineRule="auto"/>
              <w:jc w:val="center"/>
              <w:rPr>
                <w:rFonts w:hint="eastAsia"/>
                <w:b/>
                <w:bCs/>
                <w:sz w:val="24"/>
                <w:szCs w:val="24"/>
              </w:rPr>
            </w:pPr>
            <w:r>
              <w:rPr>
                <w:rFonts w:hint="eastAsia"/>
                <w:b/>
                <w:bCs/>
                <w:sz w:val="24"/>
                <w:szCs w:val="24"/>
              </w:rPr>
              <w:t>技术指标要求</w:t>
            </w:r>
          </w:p>
        </w:tc>
      </w:tr>
      <w:tr w14:paraId="5741F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14:paraId="71EF38E7">
            <w:pPr>
              <w:pStyle w:val="11"/>
              <w:spacing w:line="360" w:lineRule="auto"/>
              <w:jc w:val="center"/>
              <w:rPr>
                <w:rFonts w:hint="eastAsia"/>
                <w:sz w:val="24"/>
                <w:szCs w:val="24"/>
              </w:rPr>
            </w:pPr>
            <w:r>
              <w:rPr>
                <w:rFonts w:hint="eastAsia"/>
                <w:sz w:val="24"/>
                <w:szCs w:val="24"/>
              </w:rPr>
              <w:t>1</w:t>
            </w:r>
          </w:p>
        </w:tc>
        <w:tc>
          <w:tcPr>
            <w:tcW w:w="567" w:type="dxa"/>
          </w:tcPr>
          <w:p w14:paraId="0166E7E3">
            <w:pPr>
              <w:pStyle w:val="11"/>
              <w:spacing w:line="360" w:lineRule="auto"/>
              <w:jc w:val="center"/>
              <w:rPr>
                <w:rFonts w:hint="eastAsia"/>
                <w:sz w:val="24"/>
                <w:szCs w:val="24"/>
              </w:rPr>
            </w:pPr>
            <w:r>
              <w:rPr>
                <w:rFonts w:hint="eastAsia"/>
                <w:sz w:val="24"/>
                <w:szCs w:val="24"/>
              </w:rPr>
              <w:t>▲</w:t>
            </w:r>
          </w:p>
        </w:tc>
        <w:tc>
          <w:tcPr>
            <w:tcW w:w="7938" w:type="dxa"/>
          </w:tcPr>
          <w:p w14:paraId="63DAAD94">
            <w:pPr>
              <w:pStyle w:val="11"/>
              <w:spacing w:line="360" w:lineRule="auto"/>
              <w:rPr>
                <w:rFonts w:hint="eastAsia"/>
                <w:sz w:val="24"/>
                <w:szCs w:val="24"/>
              </w:rPr>
            </w:pPr>
            <w:r>
              <w:rPr>
                <w:rFonts w:hint="eastAsia"/>
                <w:sz w:val="24"/>
                <w:szCs w:val="24"/>
              </w:rPr>
              <w:t>交换容量≥336G，包转发率≥51Mpps</w:t>
            </w:r>
          </w:p>
        </w:tc>
      </w:tr>
      <w:tr w14:paraId="7090D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14:paraId="18A8310A">
            <w:pPr>
              <w:pStyle w:val="11"/>
              <w:spacing w:line="360" w:lineRule="auto"/>
              <w:jc w:val="center"/>
              <w:rPr>
                <w:rFonts w:hint="eastAsia"/>
                <w:sz w:val="24"/>
                <w:szCs w:val="24"/>
              </w:rPr>
            </w:pPr>
            <w:r>
              <w:rPr>
                <w:rFonts w:hint="eastAsia"/>
                <w:sz w:val="24"/>
                <w:szCs w:val="24"/>
              </w:rPr>
              <w:t>2</w:t>
            </w:r>
          </w:p>
        </w:tc>
        <w:tc>
          <w:tcPr>
            <w:tcW w:w="567" w:type="dxa"/>
          </w:tcPr>
          <w:p w14:paraId="076DFB51">
            <w:pPr>
              <w:pStyle w:val="11"/>
              <w:spacing w:line="360" w:lineRule="auto"/>
              <w:jc w:val="center"/>
              <w:rPr>
                <w:rFonts w:hint="eastAsia"/>
                <w:sz w:val="24"/>
                <w:szCs w:val="24"/>
              </w:rPr>
            </w:pPr>
          </w:p>
        </w:tc>
        <w:tc>
          <w:tcPr>
            <w:tcW w:w="7938" w:type="dxa"/>
          </w:tcPr>
          <w:p w14:paraId="214F0C1F">
            <w:pPr>
              <w:pStyle w:val="11"/>
              <w:spacing w:line="360" w:lineRule="auto"/>
              <w:rPr>
                <w:rFonts w:hint="eastAsia"/>
                <w:sz w:val="24"/>
                <w:szCs w:val="24"/>
              </w:rPr>
            </w:pPr>
            <w:r>
              <w:rPr>
                <w:rFonts w:hint="eastAsia"/>
                <w:sz w:val="24"/>
                <w:szCs w:val="24"/>
              </w:rPr>
              <w:t>固化10/100/1000M以太网端口≥24个，固化1G SFP光接口≥4个。</w:t>
            </w:r>
          </w:p>
        </w:tc>
      </w:tr>
      <w:tr w14:paraId="5F06A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14:paraId="7F690F2B">
            <w:pPr>
              <w:pStyle w:val="11"/>
              <w:spacing w:line="360" w:lineRule="auto"/>
              <w:jc w:val="center"/>
              <w:rPr>
                <w:rFonts w:hint="eastAsia"/>
                <w:sz w:val="24"/>
                <w:szCs w:val="24"/>
              </w:rPr>
            </w:pPr>
            <w:r>
              <w:rPr>
                <w:rFonts w:hint="eastAsia"/>
                <w:sz w:val="24"/>
                <w:szCs w:val="24"/>
              </w:rPr>
              <w:t>3</w:t>
            </w:r>
          </w:p>
        </w:tc>
        <w:tc>
          <w:tcPr>
            <w:tcW w:w="567" w:type="dxa"/>
          </w:tcPr>
          <w:p w14:paraId="7C77D1F0">
            <w:pPr>
              <w:pStyle w:val="11"/>
              <w:spacing w:line="360" w:lineRule="auto"/>
              <w:jc w:val="center"/>
              <w:rPr>
                <w:rFonts w:hint="eastAsia"/>
                <w:sz w:val="24"/>
                <w:szCs w:val="24"/>
              </w:rPr>
            </w:pPr>
          </w:p>
        </w:tc>
        <w:tc>
          <w:tcPr>
            <w:tcW w:w="7938" w:type="dxa"/>
          </w:tcPr>
          <w:p w14:paraId="1BBDE4FE">
            <w:pPr>
              <w:pStyle w:val="11"/>
              <w:spacing w:line="360" w:lineRule="auto"/>
              <w:rPr>
                <w:rFonts w:hint="eastAsia"/>
                <w:sz w:val="24"/>
                <w:szCs w:val="24"/>
              </w:rPr>
            </w:pPr>
            <w:r>
              <w:rPr>
                <w:rFonts w:hint="eastAsia"/>
                <w:sz w:val="24"/>
                <w:szCs w:val="24"/>
              </w:rPr>
              <w:t>要求所投设备MAC地址≥16K。</w:t>
            </w:r>
          </w:p>
        </w:tc>
      </w:tr>
      <w:tr w14:paraId="69ACC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14:paraId="1C5CE263">
            <w:pPr>
              <w:pStyle w:val="11"/>
              <w:spacing w:line="360" w:lineRule="auto"/>
              <w:jc w:val="center"/>
              <w:rPr>
                <w:rFonts w:hint="eastAsia"/>
                <w:sz w:val="24"/>
                <w:szCs w:val="24"/>
              </w:rPr>
            </w:pPr>
            <w:r>
              <w:rPr>
                <w:rFonts w:hint="eastAsia"/>
                <w:sz w:val="24"/>
                <w:szCs w:val="24"/>
              </w:rPr>
              <w:t>4</w:t>
            </w:r>
          </w:p>
        </w:tc>
        <w:tc>
          <w:tcPr>
            <w:tcW w:w="567" w:type="dxa"/>
          </w:tcPr>
          <w:p w14:paraId="3265BD11">
            <w:pPr>
              <w:pStyle w:val="11"/>
              <w:spacing w:line="360" w:lineRule="auto"/>
              <w:jc w:val="center"/>
              <w:rPr>
                <w:rFonts w:hint="eastAsia"/>
                <w:sz w:val="24"/>
                <w:szCs w:val="24"/>
              </w:rPr>
            </w:pPr>
          </w:p>
        </w:tc>
        <w:tc>
          <w:tcPr>
            <w:tcW w:w="7938" w:type="dxa"/>
          </w:tcPr>
          <w:p w14:paraId="04130B7F">
            <w:pPr>
              <w:pStyle w:val="11"/>
              <w:spacing w:line="360" w:lineRule="auto"/>
              <w:rPr>
                <w:rFonts w:hint="eastAsia"/>
                <w:sz w:val="24"/>
                <w:szCs w:val="24"/>
              </w:rPr>
            </w:pPr>
            <w:r>
              <w:rPr>
                <w:rFonts w:hint="eastAsia"/>
                <w:sz w:val="24"/>
                <w:szCs w:val="24"/>
              </w:rPr>
              <w:t>支持POE和POE+,同时可POE供电端口≥24个，POE最大输出功率≥370W。</w:t>
            </w:r>
          </w:p>
        </w:tc>
      </w:tr>
      <w:tr w14:paraId="0FF98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14:paraId="23EFDA28">
            <w:pPr>
              <w:pStyle w:val="11"/>
              <w:spacing w:line="360" w:lineRule="auto"/>
              <w:jc w:val="center"/>
              <w:rPr>
                <w:rFonts w:hint="eastAsia"/>
                <w:sz w:val="24"/>
                <w:szCs w:val="24"/>
              </w:rPr>
            </w:pPr>
            <w:r>
              <w:rPr>
                <w:rFonts w:hint="eastAsia"/>
                <w:sz w:val="24"/>
                <w:szCs w:val="24"/>
              </w:rPr>
              <w:t>5</w:t>
            </w:r>
          </w:p>
        </w:tc>
        <w:tc>
          <w:tcPr>
            <w:tcW w:w="567" w:type="dxa"/>
          </w:tcPr>
          <w:p w14:paraId="4390ED26">
            <w:pPr>
              <w:pStyle w:val="11"/>
              <w:spacing w:line="360" w:lineRule="auto"/>
              <w:jc w:val="center"/>
              <w:rPr>
                <w:rFonts w:hint="eastAsia"/>
                <w:sz w:val="24"/>
                <w:szCs w:val="24"/>
              </w:rPr>
            </w:pPr>
          </w:p>
        </w:tc>
        <w:tc>
          <w:tcPr>
            <w:tcW w:w="7938" w:type="dxa"/>
          </w:tcPr>
          <w:p w14:paraId="29E6A29F">
            <w:pPr>
              <w:pStyle w:val="11"/>
              <w:spacing w:line="360" w:lineRule="auto"/>
              <w:rPr>
                <w:rFonts w:hint="eastAsia"/>
                <w:sz w:val="24"/>
                <w:szCs w:val="24"/>
              </w:rPr>
            </w:pPr>
            <w:r>
              <w:rPr>
                <w:rFonts w:hint="eastAsia"/>
                <w:sz w:val="24"/>
                <w:szCs w:val="24"/>
              </w:rPr>
              <w:t>要求产品支持热启动不间断供电：产品在外界因素导致设备复位重启，或者设备进行版本升级等情况下，保证对终端设备的持续供电，不影响客户业务正常运转</w:t>
            </w:r>
          </w:p>
        </w:tc>
      </w:tr>
      <w:tr w14:paraId="332B5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14:paraId="72277860">
            <w:pPr>
              <w:pStyle w:val="11"/>
              <w:spacing w:line="360" w:lineRule="auto"/>
              <w:jc w:val="center"/>
              <w:rPr>
                <w:rFonts w:hint="eastAsia"/>
                <w:sz w:val="24"/>
                <w:szCs w:val="24"/>
              </w:rPr>
            </w:pPr>
            <w:r>
              <w:rPr>
                <w:rFonts w:hint="eastAsia"/>
                <w:sz w:val="24"/>
                <w:szCs w:val="24"/>
              </w:rPr>
              <w:t>6</w:t>
            </w:r>
          </w:p>
        </w:tc>
        <w:tc>
          <w:tcPr>
            <w:tcW w:w="567" w:type="dxa"/>
          </w:tcPr>
          <w:p w14:paraId="6F41E558">
            <w:pPr>
              <w:pStyle w:val="11"/>
              <w:spacing w:line="360" w:lineRule="auto"/>
              <w:jc w:val="center"/>
              <w:rPr>
                <w:rFonts w:hint="eastAsia"/>
                <w:sz w:val="24"/>
                <w:szCs w:val="24"/>
              </w:rPr>
            </w:pPr>
            <w:r>
              <w:rPr>
                <w:rFonts w:hint="eastAsia"/>
                <w:sz w:val="24"/>
                <w:szCs w:val="24"/>
              </w:rPr>
              <w:t>▲</w:t>
            </w:r>
          </w:p>
        </w:tc>
        <w:tc>
          <w:tcPr>
            <w:tcW w:w="7938" w:type="dxa"/>
          </w:tcPr>
          <w:p w14:paraId="4E086584">
            <w:pPr>
              <w:pStyle w:val="11"/>
              <w:spacing w:line="360" w:lineRule="auto"/>
              <w:rPr>
                <w:rFonts w:hint="eastAsia"/>
                <w:sz w:val="24"/>
                <w:szCs w:val="24"/>
              </w:rPr>
            </w:pPr>
            <w:r>
              <w:rPr>
                <w:rFonts w:hint="eastAsia"/>
                <w:sz w:val="24"/>
                <w:szCs w:val="24"/>
              </w:rPr>
              <w:t>投标产品面板自带一键查看PoE供电状态功能的按钮，轻按即可查看设备当前的通信状态和供电状态。</w:t>
            </w:r>
          </w:p>
        </w:tc>
      </w:tr>
      <w:tr w14:paraId="682E3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14:paraId="21F131F4">
            <w:pPr>
              <w:pStyle w:val="11"/>
              <w:spacing w:line="360" w:lineRule="auto"/>
              <w:jc w:val="center"/>
              <w:rPr>
                <w:rFonts w:hint="eastAsia"/>
                <w:sz w:val="24"/>
                <w:szCs w:val="24"/>
              </w:rPr>
            </w:pPr>
            <w:r>
              <w:rPr>
                <w:rFonts w:hint="eastAsia"/>
                <w:sz w:val="24"/>
                <w:szCs w:val="24"/>
              </w:rPr>
              <w:t>7</w:t>
            </w:r>
          </w:p>
        </w:tc>
        <w:tc>
          <w:tcPr>
            <w:tcW w:w="567" w:type="dxa"/>
          </w:tcPr>
          <w:p w14:paraId="3D16171C">
            <w:pPr>
              <w:pStyle w:val="11"/>
              <w:spacing w:line="360" w:lineRule="auto"/>
              <w:jc w:val="center"/>
              <w:rPr>
                <w:rFonts w:hint="eastAsia"/>
                <w:sz w:val="24"/>
                <w:szCs w:val="24"/>
              </w:rPr>
            </w:pPr>
          </w:p>
        </w:tc>
        <w:tc>
          <w:tcPr>
            <w:tcW w:w="7938" w:type="dxa"/>
          </w:tcPr>
          <w:p w14:paraId="1381733A">
            <w:pPr>
              <w:pStyle w:val="11"/>
              <w:spacing w:line="360" w:lineRule="auto"/>
              <w:rPr>
                <w:rFonts w:hint="eastAsia"/>
                <w:sz w:val="24"/>
                <w:szCs w:val="24"/>
              </w:rPr>
            </w:pPr>
            <w:r>
              <w:rPr>
                <w:rFonts w:hint="eastAsia"/>
                <w:sz w:val="24"/>
                <w:szCs w:val="24"/>
              </w:rPr>
              <w:t>支持生成树协议STP(IEEE 802.1d)，RSTP(IEEE 802.1w)和MSTP(IEEE 802.1s)，完全保证快速收敛，提高容错能力，保证网络的稳定运行和链路的负载均衡，合理使用网络通道，提供冗余链路利用率。</w:t>
            </w:r>
          </w:p>
        </w:tc>
      </w:tr>
      <w:tr w14:paraId="53F52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14:paraId="508E1168">
            <w:pPr>
              <w:pStyle w:val="11"/>
              <w:spacing w:line="360" w:lineRule="auto"/>
              <w:jc w:val="center"/>
              <w:rPr>
                <w:rFonts w:hint="eastAsia"/>
                <w:sz w:val="24"/>
                <w:szCs w:val="24"/>
              </w:rPr>
            </w:pPr>
            <w:r>
              <w:rPr>
                <w:rFonts w:hint="eastAsia"/>
                <w:sz w:val="24"/>
                <w:szCs w:val="24"/>
              </w:rPr>
              <w:t>8</w:t>
            </w:r>
          </w:p>
        </w:tc>
        <w:tc>
          <w:tcPr>
            <w:tcW w:w="567" w:type="dxa"/>
          </w:tcPr>
          <w:p w14:paraId="753EA7B5">
            <w:pPr>
              <w:pStyle w:val="11"/>
              <w:spacing w:line="360" w:lineRule="auto"/>
              <w:jc w:val="center"/>
              <w:rPr>
                <w:rFonts w:hint="eastAsia"/>
                <w:sz w:val="24"/>
                <w:szCs w:val="24"/>
              </w:rPr>
            </w:pPr>
          </w:p>
        </w:tc>
        <w:tc>
          <w:tcPr>
            <w:tcW w:w="7938" w:type="dxa"/>
          </w:tcPr>
          <w:p w14:paraId="7FB4BE4A">
            <w:pPr>
              <w:pStyle w:val="11"/>
              <w:spacing w:line="360" w:lineRule="auto"/>
              <w:rPr>
                <w:rFonts w:hint="eastAsia"/>
                <w:sz w:val="24"/>
                <w:szCs w:val="24"/>
              </w:rPr>
            </w:pPr>
            <w:r>
              <w:rPr>
                <w:rFonts w:hint="eastAsia"/>
                <w:sz w:val="24"/>
                <w:szCs w:val="24"/>
              </w:rPr>
              <w:t>支持IPV4/IPV6静态路由。</w:t>
            </w:r>
          </w:p>
        </w:tc>
      </w:tr>
      <w:tr w14:paraId="495F5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14:paraId="7DF3A087">
            <w:pPr>
              <w:pStyle w:val="11"/>
              <w:spacing w:line="360" w:lineRule="auto"/>
              <w:jc w:val="center"/>
              <w:rPr>
                <w:rFonts w:hint="eastAsia"/>
                <w:sz w:val="24"/>
                <w:szCs w:val="24"/>
              </w:rPr>
            </w:pPr>
            <w:r>
              <w:rPr>
                <w:rFonts w:hint="eastAsia"/>
                <w:sz w:val="24"/>
                <w:szCs w:val="24"/>
              </w:rPr>
              <w:t>9</w:t>
            </w:r>
          </w:p>
        </w:tc>
        <w:tc>
          <w:tcPr>
            <w:tcW w:w="567" w:type="dxa"/>
          </w:tcPr>
          <w:p w14:paraId="06625BC6">
            <w:pPr>
              <w:pStyle w:val="11"/>
              <w:spacing w:line="360" w:lineRule="auto"/>
              <w:jc w:val="center"/>
              <w:rPr>
                <w:rFonts w:hint="eastAsia"/>
                <w:sz w:val="24"/>
                <w:szCs w:val="24"/>
              </w:rPr>
            </w:pPr>
          </w:p>
        </w:tc>
        <w:tc>
          <w:tcPr>
            <w:tcW w:w="7938" w:type="dxa"/>
          </w:tcPr>
          <w:p w14:paraId="066770CF">
            <w:pPr>
              <w:pStyle w:val="11"/>
              <w:spacing w:line="360" w:lineRule="auto"/>
              <w:rPr>
                <w:rFonts w:hint="eastAsia"/>
                <w:sz w:val="24"/>
                <w:szCs w:val="24"/>
              </w:rPr>
            </w:pPr>
            <w:r>
              <w:rPr>
                <w:rFonts w:hint="eastAsia"/>
                <w:sz w:val="24"/>
                <w:szCs w:val="24"/>
              </w:rPr>
              <w:t>支持特有的CPU保护策略，对发往CPU的数据流，进行流区分和优先级队列分级处理，并根据需要实施带宽限速，充分保护CPU不被非法流量占用、恶意攻击和资源消耗。</w:t>
            </w:r>
          </w:p>
        </w:tc>
      </w:tr>
      <w:tr w14:paraId="3FA9E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14:paraId="69F24107">
            <w:pPr>
              <w:pStyle w:val="11"/>
              <w:spacing w:line="360" w:lineRule="auto"/>
              <w:jc w:val="center"/>
              <w:rPr>
                <w:rFonts w:hint="eastAsia"/>
                <w:sz w:val="24"/>
                <w:szCs w:val="24"/>
              </w:rPr>
            </w:pPr>
            <w:r>
              <w:rPr>
                <w:rFonts w:hint="eastAsia"/>
                <w:sz w:val="24"/>
                <w:szCs w:val="24"/>
              </w:rPr>
              <w:t>10</w:t>
            </w:r>
          </w:p>
        </w:tc>
        <w:tc>
          <w:tcPr>
            <w:tcW w:w="567" w:type="dxa"/>
          </w:tcPr>
          <w:p w14:paraId="0DB5AA20">
            <w:pPr>
              <w:pStyle w:val="11"/>
              <w:spacing w:line="360" w:lineRule="auto"/>
              <w:jc w:val="center"/>
              <w:rPr>
                <w:rFonts w:hint="eastAsia"/>
                <w:sz w:val="24"/>
                <w:szCs w:val="24"/>
              </w:rPr>
            </w:pPr>
          </w:p>
        </w:tc>
        <w:tc>
          <w:tcPr>
            <w:tcW w:w="7938" w:type="dxa"/>
          </w:tcPr>
          <w:p w14:paraId="0D4C356A">
            <w:pPr>
              <w:pStyle w:val="11"/>
              <w:spacing w:line="360" w:lineRule="auto"/>
              <w:rPr>
                <w:rFonts w:hint="eastAsia"/>
                <w:sz w:val="24"/>
                <w:szCs w:val="24"/>
              </w:rPr>
            </w:pPr>
            <w:r>
              <w:rPr>
                <w:rFonts w:hint="eastAsia"/>
                <w:sz w:val="24"/>
                <w:szCs w:val="24"/>
              </w:rPr>
              <w:t>支持基础网络保护策略，限制用户向网络中发送ARP报文、ICMP请求报文、DHCP请求报文的数率，对超过限速阈值的报文进行丢弃处理，能够识别攻击行为，对有攻击行为的用户进行隔离。</w:t>
            </w:r>
          </w:p>
        </w:tc>
      </w:tr>
      <w:tr w14:paraId="681E8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14:paraId="74415557">
            <w:pPr>
              <w:pStyle w:val="11"/>
              <w:spacing w:line="360" w:lineRule="auto"/>
              <w:jc w:val="center"/>
              <w:rPr>
                <w:rFonts w:hint="eastAsia"/>
                <w:sz w:val="24"/>
                <w:szCs w:val="24"/>
              </w:rPr>
            </w:pPr>
            <w:r>
              <w:rPr>
                <w:rFonts w:hint="eastAsia"/>
                <w:sz w:val="24"/>
                <w:szCs w:val="24"/>
              </w:rPr>
              <w:t>11</w:t>
            </w:r>
          </w:p>
        </w:tc>
        <w:tc>
          <w:tcPr>
            <w:tcW w:w="567" w:type="dxa"/>
          </w:tcPr>
          <w:p w14:paraId="0973F17B">
            <w:pPr>
              <w:pStyle w:val="11"/>
              <w:spacing w:line="360" w:lineRule="auto"/>
              <w:jc w:val="center"/>
              <w:rPr>
                <w:rFonts w:hint="eastAsia"/>
                <w:sz w:val="24"/>
                <w:szCs w:val="24"/>
              </w:rPr>
            </w:pPr>
          </w:p>
        </w:tc>
        <w:tc>
          <w:tcPr>
            <w:tcW w:w="7938" w:type="dxa"/>
          </w:tcPr>
          <w:p w14:paraId="4003AD5D">
            <w:pPr>
              <w:pStyle w:val="11"/>
              <w:spacing w:line="360" w:lineRule="auto"/>
              <w:rPr>
                <w:rFonts w:hint="eastAsia"/>
                <w:sz w:val="24"/>
                <w:szCs w:val="24"/>
              </w:rPr>
            </w:pPr>
            <w:r>
              <w:rPr>
                <w:rFonts w:hint="eastAsia"/>
                <w:sz w:val="24"/>
                <w:szCs w:val="24"/>
              </w:rPr>
              <w:t>支持快速链路检测协议，可快速检测链路的通断和光纤链路的单向性，并支持端口下的环路检测功能，防止端口下因私接Hub等设备形成的环路而导致网络故障的现象。</w:t>
            </w:r>
          </w:p>
        </w:tc>
      </w:tr>
      <w:tr w14:paraId="02AEF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14:paraId="77076BB0">
            <w:pPr>
              <w:pStyle w:val="11"/>
              <w:spacing w:line="360" w:lineRule="auto"/>
              <w:jc w:val="center"/>
              <w:rPr>
                <w:rFonts w:hint="eastAsia"/>
                <w:sz w:val="24"/>
                <w:szCs w:val="24"/>
              </w:rPr>
            </w:pPr>
            <w:r>
              <w:rPr>
                <w:rFonts w:hint="eastAsia"/>
                <w:sz w:val="24"/>
                <w:szCs w:val="24"/>
              </w:rPr>
              <w:t>12</w:t>
            </w:r>
          </w:p>
        </w:tc>
        <w:tc>
          <w:tcPr>
            <w:tcW w:w="567" w:type="dxa"/>
          </w:tcPr>
          <w:p w14:paraId="72BB2A88">
            <w:pPr>
              <w:pStyle w:val="11"/>
              <w:spacing w:line="360" w:lineRule="auto"/>
              <w:jc w:val="center"/>
              <w:rPr>
                <w:rFonts w:hint="eastAsia"/>
                <w:sz w:val="24"/>
                <w:szCs w:val="24"/>
              </w:rPr>
            </w:pPr>
          </w:p>
        </w:tc>
        <w:tc>
          <w:tcPr>
            <w:tcW w:w="7938" w:type="dxa"/>
          </w:tcPr>
          <w:p w14:paraId="115B9D51">
            <w:pPr>
              <w:pStyle w:val="11"/>
              <w:spacing w:line="360" w:lineRule="auto"/>
              <w:rPr>
                <w:rFonts w:hint="eastAsia"/>
                <w:sz w:val="24"/>
                <w:szCs w:val="24"/>
              </w:rPr>
            </w:pPr>
            <w:r>
              <w:rPr>
                <w:rFonts w:hint="eastAsia"/>
                <w:sz w:val="24"/>
                <w:szCs w:val="24"/>
              </w:rPr>
              <w:t>设备自带云管理功能，即插即用，可随时查看网络健康度，告警及时推送，有日记事件供回溯。</w:t>
            </w:r>
          </w:p>
        </w:tc>
      </w:tr>
      <w:tr w14:paraId="53E5F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14:paraId="0CDE4F6B">
            <w:pPr>
              <w:pStyle w:val="11"/>
              <w:spacing w:line="360" w:lineRule="auto"/>
              <w:jc w:val="center"/>
              <w:rPr>
                <w:rFonts w:hint="eastAsia"/>
                <w:sz w:val="24"/>
                <w:szCs w:val="24"/>
              </w:rPr>
            </w:pPr>
            <w:r>
              <w:rPr>
                <w:rFonts w:hint="eastAsia"/>
                <w:sz w:val="24"/>
                <w:szCs w:val="24"/>
              </w:rPr>
              <w:t>13</w:t>
            </w:r>
          </w:p>
        </w:tc>
        <w:tc>
          <w:tcPr>
            <w:tcW w:w="567" w:type="dxa"/>
          </w:tcPr>
          <w:p w14:paraId="47996682">
            <w:pPr>
              <w:pStyle w:val="11"/>
              <w:spacing w:line="360" w:lineRule="auto"/>
              <w:jc w:val="center"/>
              <w:rPr>
                <w:rFonts w:hint="eastAsia"/>
                <w:sz w:val="24"/>
                <w:szCs w:val="24"/>
              </w:rPr>
            </w:pPr>
          </w:p>
        </w:tc>
        <w:tc>
          <w:tcPr>
            <w:tcW w:w="7938" w:type="dxa"/>
          </w:tcPr>
          <w:p w14:paraId="62FE6142">
            <w:pPr>
              <w:pStyle w:val="11"/>
              <w:spacing w:line="360" w:lineRule="auto"/>
              <w:rPr>
                <w:rFonts w:hint="eastAsia"/>
                <w:sz w:val="24"/>
                <w:szCs w:val="24"/>
              </w:rPr>
            </w:pPr>
            <w:r>
              <w:rPr>
                <w:rFonts w:hint="eastAsia"/>
                <w:sz w:val="24"/>
                <w:szCs w:val="24"/>
              </w:rPr>
              <w:t>支持特有的CPU保护策略，对发往CPU的数据流，进行流区分和优先级队列分级处理，并根据需要实施带宽限速，充分保护CPU不被非法流量占用、恶意攻击和资源消耗。</w:t>
            </w:r>
          </w:p>
        </w:tc>
      </w:tr>
      <w:tr w14:paraId="650CC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14:paraId="38FF13A9">
            <w:pPr>
              <w:pStyle w:val="11"/>
              <w:spacing w:line="360" w:lineRule="auto"/>
              <w:jc w:val="center"/>
              <w:rPr>
                <w:rFonts w:hint="eastAsia"/>
                <w:sz w:val="24"/>
                <w:szCs w:val="24"/>
              </w:rPr>
            </w:pPr>
            <w:r>
              <w:rPr>
                <w:rFonts w:hint="eastAsia"/>
                <w:sz w:val="24"/>
                <w:szCs w:val="24"/>
              </w:rPr>
              <w:t>14</w:t>
            </w:r>
          </w:p>
        </w:tc>
        <w:tc>
          <w:tcPr>
            <w:tcW w:w="567" w:type="dxa"/>
          </w:tcPr>
          <w:p w14:paraId="2CA1FC55">
            <w:pPr>
              <w:pStyle w:val="11"/>
              <w:spacing w:line="360" w:lineRule="auto"/>
              <w:jc w:val="center"/>
              <w:rPr>
                <w:rFonts w:hint="eastAsia"/>
                <w:sz w:val="24"/>
                <w:szCs w:val="24"/>
              </w:rPr>
            </w:pPr>
          </w:p>
        </w:tc>
        <w:tc>
          <w:tcPr>
            <w:tcW w:w="7938" w:type="dxa"/>
          </w:tcPr>
          <w:p w14:paraId="5D5A1CB9">
            <w:pPr>
              <w:pStyle w:val="11"/>
              <w:spacing w:line="360" w:lineRule="auto"/>
              <w:rPr>
                <w:rFonts w:hint="eastAsia"/>
                <w:sz w:val="24"/>
                <w:szCs w:val="24"/>
              </w:rPr>
            </w:pPr>
            <w:r>
              <w:rPr>
                <w:rFonts w:hint="eastAsia"/>
                <w:sz w:val="24"/>
                <w:szCs w:val="24"/>
              </w:rPr>
              <w:t>支持基础网络保护策略，限制用户向网络中发送ARP报文、ICMP请求报文、DHCP请求报文的数率，对超过限速阈值的报文进行丢弃处理，能够识别攻击行为，对有攻击行为的用户进行隔离。</w:t>
            </w:r>
          </w:p>
        </w:tc>
      </w:tr>
      <w:tr w14:paraId="2C685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14:paraId="36829017">
            <w:pPr>
              <w:pStyle w:val="11"/>
              <w:spacing w:line="360" w:lineRule="auto"/>
              <w:jc w:val="center"/>
              <w:rPr>
                <w:rFonts w:hint="eastAsia"/>
                <w:sz w:val="24"/>
                <w:szCs w:val="24"/>
              </w:rPr>
            </w:pPr>
            <w:r>
              <w:rPr>
                <w:rFonts w:hint="eastAsia"/>
                <w:sz w:val="24"/>
                <w:szCs w:val="24"/>
              </w:rPr>
              <w:t>15</w:t>
            </w:r>
          </w:p>
        </w:tc>
        <w:tc>
          <w:tcPr>
            <w:tcW w:w="567" w:type="dxa"/>
          </w:tcPr>
          <w:p w14:paraId="49DE98F9">
            <w:pPr>
              <w:pStyle w:val="11"/>
              <w:spacing w:line="360" w:lineRule="auto"/>
              <w:jc w:val="center"/>
              <w:rPr>
                <w:rFonts w:hint="eastAsia"/>
                <w:sz w:val="24"/>
                <w:szCs w:val="24"/>
              </w:rPr>
            </w:pPr>
          </w:p>
        </w:tc>
        <w:tc>
          <w:tcPr>
            <w:tcW w:w="7938" w:type="dxa"/>
          </w:tcPr>
          <w:p w14:paraId="7B9F6165">
            <w:pPr>
              <w:pStyle w:val="11"/>
              <w:spacing w:line="360" w:lineRule="auto"/>
              <w:rPr>
                <w:rFonts w:hint="eastAsia"/>
                <w:sz w:val="24"/>
                <w:szCs w:val="24"/>
              </w:rPr>
            </w:pPr>
            <w:r>
              <w:rPr>
                <w:rFonts w:hint="eastAsia"/>
                <w:sz w:val="24"/>
                <w:szCs w:val="24"/>
              </w:rPr>
              <w:t>支持快速链路检测协议，可快速检测链路的通断和光纤链路的单向性，并支持端口下的环路检测功能，防止端口下因私接Hub等设备形成的环路而导致网络故障的现象。</w:t>
            </w:r>
          </w:p>
        </w:tc>
      </w:tr>
      <w:tr w14:paraId="198F4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14:paraId="38F1E002">
            <w:pPr>
              <w:pStyle w:val="11"/>
              <w:spacing w:line="360" w:lineRule="auto"/>
              <w:jc w:val="center"/>
              <w:rPr>
                <w:rFonts w:hint="eastAsia"/>
                <w:sz w:val="24"/>
                <w:szCs w:val="24"/>
              </w:rPr>
            </w:pPr>
            <w:r>
              <w:rPr>
                <w:rFonts w:hint="eastAsia"/>
                <w:sz w:val="24"/>
                <w:szCs w:val="24"/>
              </w:rPr>
              <w:t>16</w:t>
            </w:r>
          </w:p>
        </w:tc>
        <w:tc>
          <w:tcPr>
            <w:tcW w:w="567" w:type="dxa"/>
          </w:tcPr>
          <w:p w14:paraId="322B8465">
            <w:pPr>
              <w:pStyle w:val="11"/>
              <w:spacing w:line="360" w:lineRule="auto"/>
              <w:jc w:val="center"/>
              <w:rPr>
                <w:rFonts w:hint="eastAsia"/>
                <w:sz w:val="24"/>
                <w:szCs w:val="24"/>
              </w:rPr>
            </w:pPr>
          </w:p>
        </w:tc>
        <w:tc>
          <w:tcPr>
            <w:tcW w:w="7938" w:type="dxa"/>
          </w:tcPr>
          <w:p w14:paraId="4A82DE19">
            <w:pPr>
              <w:pStyle w:val="11"/>
              <w:spacing w:line="360" w:lineRule="auto"/>
              <w:rPr>
                <w:rFonts w:hint="eastAsia"/>
                <w:sz w:val="24"/>
                <w:szCs w:val="24"/>
              </w:rPr>
            </w:pPr>
            <w:r>
              <w:rPr>
                <w:rFonts w:hint="eastAsia"/>
                <w:sz w:val="24"/>
                <w:szCs w:val="24"/>
              </w:rPr>
              <w:t>设备自带云管理功能，即插即用，可随时查看网络健康度，告警及时推送，有日记事件供回溯。</w:t>
            </w:r>
          </w:p>
        </w:tc>
      </w:tr>
    </w:tbl>
    <w:p w14:paraId="28060E8E">
      <w:pPr>
        <w:pStyle w:val="11"/>
        <w:spacing w:line="360" w:lineRule="auto"/>
        <w:rPr>
          <w:rFonts w:hint="eastAsia"/>
          <w:sz w:val="24"/>
          <w:szCs w:val="24"/>
        </w:rPr>
      </w:pPr>
    </w:p>
    <w:p w14:paraId="0B691C61">
      <w:pPr>
        <w:pStyle w:val="3"/>
        <w:spacing w:line="360" w:lineRule="auto"/>
        <w:rPr>
          <w:rFonts w:hint="eastAsia" w:hAnsi="宋体" w:cs="宋体"/>
          <w:szCs w:val="24"/>
          <w:u w:val="none"/>
        </w:rPr>
      </w:pPr>
      <w:r>
        <w:rPr>
          <w:rFonts w:hint="eastAsia" w:hAnsi="宋体" w:cs="宋体"/>
          <w:szCs w:val="24"/>
          <w:u w:val="none"/>
        </w:rPr>
        <w:t>4.9 无线控制器（1台）</w:t>
      </w:r>
    </w:p>
    <w:tbl>
      <w:tblPr>
        <w:tblStyle w:val="7"/>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2"/>
        <w:gridCol w:w="567"/>
        <w:gridCol w:w="7938"/>
      </w:tblGrid>
      <w:tr w14:paraId="49D7B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5A7270F4">
            <w:pPr>
              <w:pStyle w:val="11"/>
              <w:spacing w:line="360" w:lineRule="auto"/>
              <w:jc w:val="center"/>
              <w:rPr>
                <w:rFonts w:hint="eastAsia"/>
                <w:b/>
                <w:bCs/>
                <w:sz w:val="24"/>
                <w:szCs w:val="24"/>
              </w:rPr>
            </w:pPr>
            <w:r>
              <w:rPr>
                <w:rFonts w:hint="eastAsia"/>
                <w:b/>
                <w:bCs/>
                <w:sz w:val="24"/>
                <w:szCs w:val="24"/>
              </w:rPr>
              <w:t>序号</w:t>
            </w:r>
          </w:p>
        </w:tc>
        <w:tc>
          <w:tcPr>
            <w:tcW w:w="567" w:type="dxa"/>
            <w:vAlign w:val="center"/>
          </w:tcPr>
          <w:p w14:paraId="736437EC">
            <w:pPr>
              <w:pStyle w:val="11"/>
              <w:spacing w:line="360" w:lineRule="auto"/>
              <w:jc w:val="center"/>
              <w:rPr>
                <w:rFonts w:hint="eastAsia"/>
                <w:b/>
                <w:bCs/>
                <w:sz w:val="24"/>
                <w:szCs w:val="24"/>
              </w:rPr>
            </w:pPr>
            <w:r>
              <w:rPr>
                <w:rFonts w:hint="eastAsia"/>
                <w:b/>
                <w:bCs/>
                <w:sz w:val="24"/>
                <w:szCs w:val="24"/>
              </w:rPr>
              <w:t>标记</w:t>
            </w:r>
          </w:p>
        </w:tc>
        <w:tc>
          <w:tcPr>
            <w:tcW w:w="7938" w:type="dxa"/>
            <w:vAlign w:val="center"/>
          </w:tcPr>
          <w:p w14:paraId="66C25F87">
            <w:pPr>
              <w:pStyle w:val="11"/>
              <w:spacing w:line="360" w:lineRule="auto"/>
              <w:jc w:val="center"/>
              <w:rPr>
                <w:rFonts w:hint="eastAsia"/>
                <w:b/>
                <w:bCs/>
                <w:sz w:val="24"/>
                <w:szCs w:val="24"/>
              </w:rPr>
            </w:pPr>
            <w:r>
              <w:rPr>
                <w:rFonts w:hint="eastAsia"/>
                <w:b/>
                <w:bCs/>
                <w:sz w:val="24"/>
                <w:szCs w:val="24"/>
              </w:rPr>
              <w:t>技术指标要求</w:t>
            </w:r>
          </w:p>
        </w:tc>
      </w:tr>
      <w:tr w14:paraId="05834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14:paraId="735CD78F">
            <w:pPr>
              <w:pStyle w:val="11"/>
              <w:spacing w:line="360" w:lineRule="auto"/>
              <w:jc w:val="center"/>
              <w:rPr>
                <w:rFonts w:hint="eastAsia"/>
                <w:sz w:val="24"/>
                <w:szCs w:val="24"/>
              </w:rPr>
            </w:pPr>
            <w:r>
              <w:rPr>
                <w:rFonts w:hint="eastAsia"/>
                <w:sz w:val="24"/>
                <w:szCs w:val="24"/>
              </w:rPr>
              <w:t>1</w:t>
            </w:r>
          </w:p>
        </w:tc>
        <w:tc>
          <w:tcPr>
            <w:tcW w:w="567" w:type="dxa"/>
          </w:tcPr>
          <w:p w14:paraId="4BC67405">
            <w:pPr>
              <w:pStyle w:val="11"/>
              <w:spacing w:line="360" w:lineRule="auto"/>
              <w:jc w:val="center"/>
              <w:rPr>
                <w:rFonts w:hint="eastAsia"/>
                <w:sz w:val="24"/>
                <w:szCs w:val="24"/>
              </w:rPr>
            </w:pPr>
          </w:p>
        </w:tc>
        <w:tc>
          <w:tcPr>
            <w:tcW w:w="7938" w:type="dxa"/>
          </w:tcPr>
          <w:p w14:paraId="175DD363">
            <w:pPr>
              <w:pStyle w:val="11"/>
              <w:spacing w:line="360" w:lineRule="auto"/>
              <w:rPr>
                <w:rFonts w:hint="eastAsia"/>
                <w:sz w:val="24"/>
                <w:szCs w:val="24"/>
              </w:rPr>
            </w:pPr>
            <w:r>
              <w:rPr>
                <w:rFonts w:hint="eastAsia"/>
                <w:sz w:val="24"/>
                <w:szCs w:val="24"/>
              </w:rPr>
              <w:t>固化千兆电口≥8个，固化千兆光口≥1个。</w:t>
            </w:r>
          </w:p>
        </w:tc>
      </w:tr>
      <w:tr w14:paraId="6A73B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14:paraId="178F7213">
            <w:pPr>
              <w:pStyle w:val="11"/>
              <w:spacing w:line="360" w:lineRule="auto"/>
              <w:jc w:val="center"/>
              <w:rPr>
                <w:rFonts w:hint="eastAsia"/>
                <w:sz w:val="24"/>
                <w:szCs w:val="24"/>
              </w:rPr>
            </w:pPr>
            <w:r>
              <w:rPr>
                <w:rFonts w:hint="eastAsia"/>
                <w:sz w:val="24"/>
                <w:szCs w:val="24"/>
              </w:rPr>
              <w:t>2</w:t>
            </w:r>
          </w:p>
        </w:tc>
        <w:tc>
          <w:tcPr>
            <w:tcW w:w="567" w:type="dxa"/>
          </w:tcPr>
          <w:p w14:paraId="75180AAE">
            <w:pPr>
              <w:pStyle w:val="11"/>
              <w:spacing w:line="360" w:lineRule="auto"/>
              <w:jc w:val="center"/>
              <w:rPr>
                <w:rFonts w:hint="eastAsia"/>
                <w:sz w:val="24"/>
                <w:szCs w:val="24"/>
              </w:rPr>
            </w:pPr>
          </w:p>
        </w:tc>
        <w:tc>
          <w:tcPr>
            <w:tcW w:w="7938" w:type="dxa"/>
          </w:tcPr>
          <w:p w14:paraId="365EB5DD">
            <w:pPr>
              <w:pStyle w:val="11"/>
              <w:spacing w:line="360" w:lineRule="auto"/>
              <w:rPr>
                <w:rFonts w:hint="eastAsia"/>
                <w:sz w:val="24"/>
                <w:szCs w:val="24"/>
              </w:rPr>
            </w:pPr>
            <w:r>
              <w:rPr>
                <w:rFonts w:hint="eastAsia"/>
                <w:sz w:val="24"/>
                <w:szCs w:val="24"/>
              </w:rPr>
              <w:t>保障无线用户的高并发体验，设备固化万兆光口≥1个。</w:t>
            </w:r>
          </w:p>
        </w:tc>
      </w:tr>
      <w:tr w14:paraId="31590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14:paraId="73DF9A50">
            <w:pPr>
              <w:pStyle w:val="11"/>
              <w:spacing w:line="360" w:lineRule="auto"/>
              <w:jc w:val="center"/>
              <w:rPr>
                <w:rFonts w:hint="eastAsia"/>
                <w:sz w:val="24"/>
                <w:szCs w:val="24"/>
              </w:rPr>
            </w:pPr>
            <w:r>
              <w:rPr>
                <w:rFonts w:hint="eastAsia"/>
                <w:sz w:val="24"/>
                <w:szCs w:val="24"/>
              </w:rPr>
              <w:t>3</w:t>
            </w:r>
          </w:p>
        </w:tc>
        <w:tc>
          <w:tcPr>
            <w:tcW w:w="567" w:type="dxa"/>
          </w:tcPr>
          <w:p w14:paraId="642FE1C7">
            <w:pPr>
              <w:pStyle w:val="11"/>
              <w:spacing w:line="360" w:lineRule="auto"/>
              <w:jc w:val="center"/>
              <w:rPr>
                <w:rFonts w:hint="eastAsia"/>
                <w:sz w:val="24"/>
                <w:szCs w:val="24"/>
              </w:rPr>
            </w:pPr>
            <w:r>
              <w:rPr>
                <w:rFonts w:hint="eastAsia"/>
                <w:sz w:val="24"/>
                <w:szCs w:val="24"/>
              </w:rPr>
              <w:t>▲</w:t>
            </w:r>
          </w:p>
        </w:tc>
        <w:tc>
          <w:tcPr>
            <w:tcW w:w="7938" w:type="dxa"/>
          </w:tcPr>
          <w:p w14:paraId="1BF56CBB">
            <w:pPr>
              <w:pStyle w:val="11"/>
              <w:spacing w:line="360" w:lineRule="auto"/>
              <w:rPr>
                <w:rFonts w:hint="eastAsia"/>
                <w:sz w:val="24"/>
                <w:szCs w:val="24"/>
              </w:rPr>
            </w:pPr>
            <w:r>
              <w:rPr>
                <w:rFonts w:hint="eastAsia"/>
                <w:sz w:val="24"/>
                <w:szCs w:val="24"/>
              </w:rPr>
              <w:t>为保障设备受到外部机械碰撞仍可以保持结构完整、功能完备，要求所投无线控制器符合国标GB/T 20138-2006即《电器设备外壳对外界机械碰撞的防护等级（IK代码）》标准，至少达到防护等级IK07，提供第三方权威机构官方查询结果截图（需体现设备防护等级）和查询链接。</w:t>
            </w:r>
          </w:p>
        </w:tc>
      </w:tr>
      <w:tr w14:paraId="230BC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14:paraId="3FB40D52">
            <w:pPr>
              <w:pStyle w:val="11"/>
              <w:spacing w:line="360" w:lineRule="auto"/>
              <w:jc w:val="center"/>
              <w:rPr>
                <w:rFonts w:hint="eastAsia"/>
                <w:sz w:val="24"/>
                <w:szCs w:val="24"/>
              </w:rPr>
            </w:pPr>
            <w:r>
              <w:rPr>
                <w:rFonts w:hint="eastAsia"/>
                <w:sz w:val="24"/>
                <w:szCs w:val="24"/>
              </w:rPr>
              <w:t>4</w:t>
            </w:r>
          </w:p>
        </w:tc>
        <w:tc>
          <w:tcPr>
            <w:tcW w:w="567" w:type="dxa"/>
          </w:tcPr>
          <w:p w14:paraId="796FE2FE">
            <w:pPr>
              <w:pStyle w:val="11"/>
              <w:spacing w:line="360" w:lineRule="auto"/>
              <w:jc w:val="center"/>
              <w:rPr>
                <w:rFonts w:hint="eastAsia"/>
                <w:sz w:val="24"/>
                <w:szCs w:val="24"/>
              </w:rPr>
            </w:pPr>
            <w:r>
              <w:rPr>
                <w:rFonts w:hint="eastAsia"/>
                <w:sz w:val="24"/>
                <w:szCs w:val="24"/>
              </w:rPr>
              <w:t>▲</w:t>
            </w:r>
          </w:p>
        </w:tc>
        <w:tc>
          <w:tcPr>
            <w:tcW w:w="7938" w:type="dxa"/>
          </w:tcPr>
          <w:p w14:paraId="5464332B">
            <w:pPr>
              <w:pStyle w:val="11"/>
              <w:spacing w:line="360" w:lineRule="auto"/>
              <w:rPr>
                <w:rFonts w:hint="eastAsia"/>
                <w:sz w:val="24"/>
                <w:szCs w:val="24"/>
              </w:rPr>
            </w:pPr>
            <w:r>
              <w:rPr>
                <w:rFonts w:hint="eastAsia"/>
                <w:sz w:val="24"/>
                <w:szCs w:val="24"/>
              </w:rPr>
              <w:t>出厂默认AP可管理数≥96个。</w:t>
            </w:r>
          </w:p>
        </w:tc>
      </w:tr>
      <w:tr w14:paraId="3B2C0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14:paraId="16C6D3DA">
            <w:pPr>
              <w:pStyle w:val="11"/>
              <w:spacing w:line="360" w:lineRule="auto"/>
              <w:jc w:val="center"/>
              <w:rPr>
                <w:rFonts w:hint="eastAsia"/>
                <w:sz w:val="24"/>
                <w:szCs w:val="24"/>
              </w:rPr>
            </w:pPr>
            <w:r>
              <w:rPr>
                <w:rFonts w:hint="eastAsia"/>
                <w:sz w:val="24"/>
                <w:szCs w:val="24"/>
              </w:rPr>
              <w:t>5</w:t>
            </w:r>
          </w:p>
        </w:tc>
        <w:tc>
          <w:tcPr>
            <w:tcW w:w="567" w:type="dxa"/>
          </w:tcPr>
          <w:p w14:paraId="64BA2165">
            <w:pPr>
              <w:pStyle w:val="11"/>
              <w:spacing w:line="360" w:lineRule="auto"/>
              <w:jc w:val="center"/>
              <w:rPr>
                <w:rFonts w:hint="eastAsia"/>
                <w:sz w:val="24"/>
                <w:szCs w:val="24"/>
              </w:rPr>
            </w:pPr>
          </w:p>
        </w:tc>
        <w:tc>
          <w:tcPr>
            <w:tcW w:w="7938" w:type="dxa"/>
          </w:tcPr>
          <w:p w14:paraId="539FF94E">
            <w:pPr>
              <w:pStyle w:val="11"/>
              <w:spacing w:line="360" w:lineRule="auto"/>
              <w:rPr>
                <w:rFonts w:hint="eastAsia"/>
                <w:sz w:val="24"/>
                <w:szCs w:val="24"/>
              </w:rPr>
            </w:pPr>
            <w:r>
              <w:rPr>
                <w:rFonts w:hint="eastAsia"/>
                <w:sz w:val="24"/>
                <w:szCs w:val="24"/>
              </w:rPr>
              <w:t>要求设备可配置AP的本地数据转发技术模式，即可根据网络的SSID和用户VLAN的规划，决定数据是否需要全部经过无线AC转发或直接进入有线网络进行本地交换，从而更好的适应未来无线网络更高流量传输的要求。</w:t>
            </w:r>
          </w:p>
        </w:tc>
      </w:tr>
      <w:tr w14:paraId="0CF30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14:paraId="234DA2FC">
            <w:pPr>
              <w:pStyle w:val="11"/>
              <w:spacing w:line="360" w:lineRule="auto"/>
              <w:jc w:val="center"/>
              <w:rPr>
                <w:rFonts w:hint="eastAsia"/>
                <w:sz w:val="24"/>
                <w:szCs w:val="24"/>
              </w:rPr>
            </w:pPr>
            <w:r>
              <w:rPr>
                <w:rFonts w:hint="eastAsia"/>
                <w:sz w:val="24"/>
                <w:szCs w:val="24"/>
              </w:rPr>
              <w:t>6</w:t>
            </w:r>
          </w:p>
        </w:tc>
        <w:tc>
          <w:tcPr>
            <w:tcW w:w="567" w:type="dxa"/>
          </w:tcPr>
          <w:p w14:paraId="74726AA5">
            <w:pPr>
              <w:pStyle w:val="11"/>
              <w:spacing w:line="360" w:lineRule="auto"/>
              <w:jc w:val="center"/>
              <w:rPr>
                <w:rFonts w:hint="eastAsia"/>
                <w:sz w:val="24"/>
                <w:szCs w:val="24"/>
              </w:rPr>
            </w:pPr>
          </w:p>
        </w:tc>
        <w:tc>
          <w:tcPr>
            <w:tcW w:w="7938" w:type="dxa"/>
          </w:tcPr>
          <w:p w14:paraId="6472389F">
            <w:pPr>
              <w:pStyle w:val="11"/>
              <w:spacing w:line="360" w:lineRule="auto"/>
              <w:rPr>
                <w:rFonts w:hint="eastAsia"/>
                <w:sz w:val="24"/>
                <w:szCs w:val="24"/>
              </w:rPr>
            </w:pPr>
            <w:r>
              <w:rPr>
                <w:rFonts w:hint="eastAsia"/>
                <w:sz w:val="24"/>
                <w:szCs w:val="24"/>
              </w:rPr>
              <w:t>支持内置portal认证页面定制，有专业知识的人员可以定义任何页面，做到完全自定义包上传。</w:t>
            </w:r>
          </w:p>
        </w:tc>
      </w:tr>
      <w:tr w14:paraId="3AA88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14:paraId="639AA610">
            <w:pPr>
              <w:pStyle w:val="11"/>
              <w:spacing w:line="360" w:lineRule="auto"/>
              <w:jc w:val="center"/>
              <w:rPr>
                <w:rFonts w:hint="eastAsia"/>
                <w:sz w:val="24"/>
                <w:szCs w:val="24"/>
              </w:rPr>
            </w:pPr>
            <w:r>
              <w:rPr>
                <w:rFonts w:hint="eastAsia"/>
                <w:sz w:val="24"/>
                <w:szCs w:val="24"/>
              </w:rPr>
              <w:t>7</w:t>
            </w:r>
          </w:p>
        </w:tc>
        <w:tc>
          <w:tcPr>
            <w:tcW w:w="567" w:type="dxa"/>
          </w:tcPr>
          <w:p w14:paraId="3EE196CB">
            <w:pPr>
              <w:pStyle w:val="11"/>
              <w:spacing w:line="360" w:lineRule="auto"/>
              <w:jc w:val="center"/>
              <w:rPr>
                <w:rFonts w:hint="eastAsia"/>
                <w:sz w:val="24"/>
                <w:szCs w:val="24"/>
              </w:rPr>
            </w:pPr>
          </w:p>
        </w:tc>
        <w:tc>
          <w:tcPr>
            <w:tcW w:w="7938" w:type="dxa"/>
          </w:tcPr>
          <w:p w14:paraId="6F62C18F">
            <w:pPr>
              <w:pStyle w:val="11"/>
              <w:spacing w:line="360" w:lineRule="auto"/>
              <w:rPr>
                <w:rFonts w:hint="eastAsia"/>
                <w:sz w:val="24"/>
                <w:szCs w:val="24"/>
              </w:rPr>
            </w:pPr>
            <w:r>
              <w:rPr>
                <w:rFonts w:hint="eastAsia"/>
                <w:sz w:val="24"/>
                <w:szCs w:val="24"/>
              </w:rPr>
              <w:t>支持实时频谱防护，可视化射频干扰源对无线局域网的性能的影响。</w:t>
            </w:r>
          </w:p>
        </w:tc>
      </w:tr>
      <w:tr w14:paraId="69EA3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14:paraId="6E42B0AC">
            <w:pPr>
              <w:pStyle w:val="11"/>
              <w:spacing w:line="360" w:lineRule="auto"/>
              <w:jc w:val="center"/>
              <w:rPr>
                <w:rFonts w:hint="eastAsia"/>
                <w:sz w:val="24"/>
                <w:szCs w:val="24"/>
              </w:rPr>
            </w:pPr>
            <w:r>
              <w:rPr>
                <w:rFonts w:hint="eastAsia"/>
                <w:sz w:val="24"/>
                <w:szCs w:val="24"/>
              </w:rPr>
              <w:t>8</w:t>
            </w:r>
          </w:p>
        </w:tc>
        <w:tc>
          <w:tcPr>
            <w:tcW w:w="567" w:type="dxa"/>
          </w:tcPr>
          <w:p w14:paraId="0F80A7EE">
            <w:pPr>
              <w:pStyle w:val="11"/>
              <w:spacing w:line="360" w:lineRule="auto"/>
              <w:jc w:val="center"/>
              <w:rPr>
                <w:rFonts w:hint="eastAsia"/>
                <w:sz w:val="24"/>
                <w:szCs w:val="24"/>
              </w:rPr>
            </w:pPr>
          </w:p>
        </w:tc>
        <w:tc>
          <w:tcPr>
            <w:tcW w:w="7938" w:type="dxa"/>
          </w:tcPr>
          <w:p w14:paraId="55B7093C">
            <w:pPr>
              <w:pStyle w:val="11"/>
              <w:spacing w:line="360" w:lineRule="auto"/>
              <w:rPr>
                <w:rFonts w:hint="eastAsia"/>
                <w:sz w:val="24"/>
                <w:szCs w:val="24"/>
              </w:rPr>
            </w:pPr>
            <w:r>
              <w:rPr>
                <w:rFonts w:hint="eastAsia"/>
                <w:sz w:val="24"/>
                <w:szCs w:val="24"/>
              </w:rPr>
              <w:t>为方便终端在不同网段之间移动办公，无线控制器能够对终端进行MAC/DHCP地址段绑定，实现用户终端的策略随行，IP地址不变、策略不变。</w:t>
            </w:r>
          </w:p>
        </w:tc>
      </w:tr>
      <w:tr w14:paraId="47188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14:paraId="584D68DF">
            <w:pPr>
              <w:pStyle w:val="11"/>
              <w:spacing w:line="360" w:lineRule="auto"/>
              <w:jc w:val="center"/>
              <w:rPr>
                <w:rFonts w:hint="eastAsia"/>
                <w:sz w:val="24"/>
                <w:szCs w:val="24"/>
              </w:rPr>
            </w:pPr>
            <w:r>
              <w:rPr>
                <w:rFonts w:hint="eastAsia"/>
                <w:sz w:val="24"/>
                <w:szCs w:val="24"/>
              </w:rPr>
              <w:t>9</w:t>
            </w:r>
          </w:p>
        </w:tc>
        <w:tc>
          <w:tcPr>
            <w:tcW w:w="567" w:type="dxa"/>
          </w:tcPr>
          <w:p w14:paraId="2CBD291A">
            <w:pPr>
              <w:pStyle w:val="11"/>
              <w:spacing w:line="360" w:lineRule="auto"/>
              <w:jc w:val="center"/>
              <w:rPr>
                <w:rFonts w:hint="eastAsia"/>
                <w:sz w:val="24"/>
                <w:szCs w:val="24"/>
              </w:rPr>
            </w:pPr>
          </w:p>
        </w:tc>
        <w:tc>
          <w:tcPr>
            <w:tcW w:w="7938" w:type="dxa"/>
          </w:tcPr>
          <w:p w14:paraId="6FDE881C">
            <w:pPr>
              <w:pStyle w:val="11"/>
              <w:spacing w:line="360" w:lineRule="auto"/>
              <w:rPr>
                <w:rFonts w:hint="eastAsia"/>
                <w:sz w:val="24"/>
                <w:szCs w:val="24"/>
              </w:rPr>
            </w:pPr>
            <w:r>
              <w:rPr>
                <w:rFonts w:hint="eastAsia"/>
                <w:sz w:val="24"/>
                <w:szCs w:val="24"/>
              </w:rPr>
              <w:t>支持短信认证、固定账号认证、访客二维码、微信认证多种方式认证页面合一，由用户选择自己想要的认证方式进行认证上网；支持中移动portal2.0认证。</w:t>
            </w:r>
          </w:p>
        </w:tc>
      </w:tr>
      <w:tr w14:paraId="52240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14:paraId="12F8E874">
            <w:pPr>
              <w:pStyle w:val="11"/>
              <w:spacing w:line="360" w:lineRule="auto"/>
              <w:jc w:val="center"/>
              <w:rPr>
                <w:rFonts w:hint="eastAsia"/>
                <w:sz w:val="24"/>
                <w:szCs w:val="24"/>
              </w:rPr>
            </w:pPr>
            <w:r>
              <w:rPr>
                <w:rFonts w:hint="eastAsia"/>
                <w:sz w:val="24"/>
                <w:szCs w:val="24"/>
              </w:rPr>
              <w:t>10</w:t>
            </w:r>
          </w:p>
        </w:tc>
        <w:tc>
          <w:tcPr>
            <w:tcW w:w="567" w:type="dxa"/>
          </w:tcPr>
          <w:p w14:paraId="71FA6C86">
            <w:pPr>
              <w:pStyle w:val="11"/>
              <w:spacing w:line="360" w:lineRule="auto"/>
              <w:jc w:val="center"/>
              <w:rPr>
                <w:rFonts w:hint="eastAsia"/>
                <w:sz w:val="24"/>
                <w:szCs w:val="24"/>
              </w:rPr>
            </w:pPr>
          </w:p>
        </w:tc>
        <w:tc>
          <w:tcPr>
            <w:tcW w:w="7938" w:type="dxa"/>
          </w:tcPr>
          <w:p w14:paraId="2F224E56">
            <w:pPr>
              <w:pStyle w:val="11"/>
              <w:spacing w:line="360" w:lineRule="auto"/>
              <w:rPr>
                <w:rFonts w:hint="eastAsia"/>
                <w:sz w:val="24"/>
                <w:szCs w:val="24"/>
              </w:rPr>
            </w:pPr>
            <w:r>
              <w:rPr>
                <w:rFonts w:hint="eastAsia"/>
                <w:sz w:val="24"/>
                <w:szCs w:val="24"/>
              </w:rPr>
              <w:t>支持MAC认证、WEB认证、802.1X认证、WAPI认证 ，认证后能实现IP、MAC、WLAN等元素的绑定信息，保证只有合法的用户才能进入网络</w:t>
            </w:r>
          </w:p>
        </w:tc>
      </w:tr>
      <w:tr w14:paraId="782EC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14:paraId="4AC3B7E8">
            <w:pPr>
              <w:pStyle w:val="11"/>
              <w:spacing w:line="360" w:lineRule="auto"/>
              <w:jc w:val="center"/>
              <w:rPr>
                <w:rFonts w:hint="eastAsia"/>
                <w:sz w:val="24"/>
                <w:szCs w:val="24"/>
              </w:rPr>
            </w:pPr>
            <w:r>
              <w:rPr>
                <w:rFonts w:hint="eastAsia"/>
                <w:sz w:val="24"/>
                <w:szCs w:val="24"/>
              </w:rPr>
              <w:t>11</w:t>
            </w:r>
          </w:p>
        </w:tc>
        <w:tc>
          <w:tcPr>
            <w:tcW w:w="567" w:type="dxa"/>
          </w:tcPr>
          <w:p w14:paraId="51732303">
            <w:pPr>
              <w:pStyle w:val="11"/>
              <w:spacing w:line="360" w:lineRule="auto"/>
              <w:jc w:val="center"/>
              <w:rPr>
                <w:rFonts w:hint="eastAsia"/>
                <w:sz w:val="24"/>
                <w:szCs w:val="24"/>
              </w:rPr>
            </w:pPr>
          </w:p>
        </w:tc>
        <w:tc>
          <w:tcPr>
            <w:tcW w:w="7938" w:type="dxa"/>
          </w:tcPr>
          <w:p w14:paraId="4912FADD">
            <w:pPr>
              <w:pStyle w:val="11"/>
              <w:spacing w:line="360" w:lineRule="auto"/>
              <w:rPr>
                <w:rFonts w:hint="eastAsia"/>
                <w:sz w:val="24"/>
                <w:szCs w:val="24"/>
              </w:rPr>
            </w:pPr>
            <w:r>
              <w:rPr>
                <w:rFonts w:hint="eastAsia"/>
                <w:sz w:val="24"/>
                <w:szCs w:val="24"/>
              </w:rPr>
              <w:t>支持对非法无线接入点进行探测，并对非法AP进行屏蔽。</w:t>
            </w:r>
          </w:p>
        </w:tc>
      </w:tr>
      <w:tr w14:paraId="5C47C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14:paraId="34F34BF9">
            <w:pPr>
              <w:pStyle w:val="11"/>
              <w:spacing w:line="360" w:lineRule="auto"/>
              <w:jc w:val="center"/>
              <w:rPr>
                <w:rFonts w:hint="eastAsia"/>
                <w:sz w:val="24"/>
                <w:szCs w:val="24"/>
              </w:rPr>
            </w:pPr>
            <w:r>
              <w:rPr>
                <w:rFonts w:hint="eastAsia"/>
                <w:sz w:val="24"/>
                <w:szCs w:val="24"/>
              </w:rPr>
              <w:t>12</w:t>
            </w:r>
          </w:p>
        </w:tc>
        <w:tc>
          <w:tcPr>
            <w:tcW w:w="567" w:type="dxa"/>
          </w:tcPr>
          <w:p w14:paraId="74B656B6">
            <w:pPr>
              <w:pStyle w:val="11"/>
              <w:spacing w:line="360" w:lineRule="auto"/>
              <w:jc w:val="center"/>
              <w:rPr>
                <w:rFonts w:hint="eastAsia"/>
                <w:sz w:val="24"/>
                <w:szCs w:val="24"/>
              </w:rPr>
            </w:pPr>
          </w:p>
        </w:tc>
        <w:tc>
          <w:tcPr>
            <w:tcW w:w="7938" w:type="dxa"/>
          </w:tcPr>
          <w:p w14:paraId="12297A5B">
            <w:pPr>
              <w:pStyle w:val="11"/>
              <w:spacing w:line="360" w:lineRule="auto"/>
              <w:rPr>
                <w:rFonts w:hint="eastAsia"/>
                <w:sz w:val="24"/>
                <w:szCs w:val="24"/>
              </w:rPr>
            </w:pPr>
            <w:r>
              <w:rPr>
                <w:rFonts w:hint="eastAsia"/>
                <w:sz w:val="24"/>
                <w:szCs w:val="24"/>
              </w:rPr>
              <w:t>避免网络非法设备接入，无线控制器能够对终端进行审批管控，无线控制器具有审批终端接入功能。</w:t>
            </w:r>
          </w:p>
        </w:tc>
      </w:tr>
      <w:tr w14:paraId="5CD49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14:paraId="47BCB78A">
            <w:pPr>
              <w:pStyle w:val="11"/>
              <w:spacing w:line="360" w:lineRule="auto"/>
              <w:jc w:val="center"/>
              <w:rPr>
                <w:rFonts w:hint="eastAsia"/>
                <w:sz w:val="24"/>
                <w:szCs w:val="24"/>
              </w:rPr>
            </w:pPr>
            <w:r>
              <w:rPr>
                <w:rFonts w:hint="eastAsia"/>
                <w:sz w:val="24"/>
                <w:szCs w:val="24"/>
              </w:rPr>
              <w:t>13</w:t>
            </w:r>
          </w:p>
        </w:tc>
        <w:tc>
          <w:tcPr>
            <w:tcW w:w="567" w:type="dxa"/>
          </w:tcPr>
          <w:p w14:paraId="2DDA0A04">
            <w:pPr>
              <w:pStyle w:val="11"/>
              <w:spacing w:line="360" w:lineRule="auto"/>
              <w:jc w:val="center"/>
              <w:rPr>
                <w:rFonts w:hint="eastAsia"/>
                <w:sz w:val="24"/>
                <w:szCs w:val="24"/>
              </w:rPr>
            </w:pPr>
          </w:p>
        </w:tc>
        <w:tc>
          <w:tcPr>
            <w:tcW w:w="7938" w:type="dxa"/>
          </w:tcPr>
          <w:p w14:paraId="20BF0FF9">
            <w:pPr>
              <w:pStyle w:val="11"/>
              <w:spacing w:line="360" w:lineRule="auto"/>
              <w:rPr>
                <w:rFonts w:hint="eastAsia"/>
                <w:sz w:val="24"/>
                <w:szCs w:val="24"/>
              </w:rPr>
            </w:pPr>
            <w:r>
              <w:rPr>
                <w:rFonts w:hint="eastAsia"/>
                <w:sz w:val="24"/>
                <w:szCs w:val="24"/>
              </w:rPr>
              <w:t>为方便终端在不同网段之间移动办公，无线控制器能够对终端进行MAC/DHCP地址段绑定，实现用户终端的策略随行，IP地址不变、策略不变。</w:t>
            </w:r>
          </w:p>
        </w:tc>
      </w:tr>
      <w:tr w14:paraId="71833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14:paraId="63024586">
            <w:pPr>
              <w:pStyle w:val="11"/>
              <w:spacing w:line="360" w:lineRule="auto"/>
              <w:jc w:val="center"/>
              <w:rPr>
                <w:rFonts w:hint="eastAsia"/>
                <w:sz w:val="24"/>
                <w:szCs w:val="24"/>
              </w:rPr>
            </w:pPr>
            <w:r>
              <w:rPr>
                <w:rFonts w:hint="eastAsia"/>
                <w:sz w:val="24"/>
                <w:szCs w:val="24"/>
              </w:rPr>
              <w:t>14</w:t>
            </w:r>
          </w:p>
        </w:tc>
        <w:tc>
          <w:tcPr>
            <w:tcW w:w="567" w:type="dxa"/>
          </w:tcPr>
          <w:p w14:paraId="6931FFAB">
            <w:pPr>
              <w:pStyle w:val="11"/>
              <w:spacing w:line="360" w:lineRule="auto"/>
              <w:jc w:val="center"/>
              <w:rPr>
                <w:rFonts w:hint="eastAsia"/>
                <w:sz w:val="24"/>
                <w:szCs w:val="24"/>
              </w:rPr>
            </w:pPr>
          </w:p>
        </w:tc>
        <w:tc>
          <w:tcPr>
            <w:tcW w:w="7938" w:type="dxa"/>
          </w:tcPr>
          <w:p w14:paraId="3E2A22BB">
            <w:pPr>
              <w:pStyle w:val="11"/>
              <w:spacing w:line="360" w:lineRule="auto"/>
              <w:rPr>
                <w:rFonts w:hint="eastAsia"/>
                <w:sz w:val="24"/>
                <w:szCs w:val="24"/>
              </w:rPr>
            </w:pPr>
            <w:r>
              <w:rPr>
                <w:rFonts w:hint="eastAsia"/>
                <w:sz w:val="24"/>
                <w:szCs w:val="24"/>
              </w:rPr>
              <w:t>支持短信认证、固定账号认证、访客二维码、微信认证多种方式认证页面合一，由用户选择自己想要的认证方式进行认证上网；支持中移动portal2.0认证。</w:t>
            </w:r>
          </w:p>
        </w:tc>
      </w:tr>
      <w:tr w14:paraId="20206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14:paraId="50FEC19A">
            <w:pPr>
              <w:pStyle w:val="11"/>
              <w:spacing w:line="360" w:lineRule="auto"/>
              <w:jc w:val="center"/>
              <w:rPr>
                <w:rFonts w:hint="eastAsia"/>
                <w:sz w:val="24"/>
                <w:szCs w:val="24"/>
              </w:rPr>
            </w:pPr>
            <w:r>
              <w:rPr>
                <w:rFonts w:hint="eastAsia"/>
                <w:sz w:val="24"/>
                <w:szCs w:val="24"/>
              </w:rPr>
              <w:t>15</w:t>
            </w:r>
          </w:p>
        </w:tc>
        <w:tc>
          <w:tcPr>
            <w:tcW w:w="567" w:type="dxa"/>
          </w:tcPr>
          <w:p w14:paraId="58561C2B">
            <w:pPr>
              <w:pStyle w:val="11"/>
              <w:spacing w:line="360" w:lineRule="auto"/>
              <w:jc w:val="center"/>
              <w:rPr>
                <w:rFonts w:hint="eastAsia"/>
                <w:sz w:val="24"/>
                <w:szCs w:val="24"/>
              </w:rPr>
            </w:pPr>
          </w:p>
        </w:tc>
        <w:tc>
          <w:tcPr>
            <w:tcW w:w="7938" w:type="dxa"/>
          </w:tcPr>
          <w:p w14:paraId="7A8374AF">
            <w:pPr>
              <w:pStyle w:val="11"/>
              <w:spacing w:line="360" w:lineRule="auto"/>
              <w:rPr>
                <w:rFonts w:hint="eastAsia"/>
                <w:sz w:val="24"/>
                <w:szCs w:val="24"/>
              </w:rPr>
            </w:pPr>
            <w:r>
              <w:rPr>
                <w:rFonts w:hint="eastAsia"/>
                <w:sz w:val="24"/>
                <w:szCs w:val="24"/>
              </w:rPr>
              <w:t>支持MAC认证、WEB认证、802.1X认证、WAPI认证 ，认证后能实现IP、MAC、WLAN等元素的绑定信息，保证只有合法的用户才能进入网络</w:t>
            </w:r>
          </w:p>
        </w:tc>
      </w:tr>
      <w:tr w14:paraId="0984D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14:paraId="151C28A5">
            <w:pPr>
              <w:pStyle w:val="11"/>
              <w:spacing w:line="360" w:lineRule="auto"/>
              <w:jc w:val="center"/>
              <w:rPr>
                <w:rFonts w:hint="eastAsia"/>
                <w:sz w:val="24"/>
                <w:szCs w:val="24"/>
              </w:rPr>
            </w:pPr>
            <w:r>
              <w:rPr>
                <w:rFonts w:hint="eastAsia"/>
                <w:sz w:val="24"/>
                <w:szCs w:val="24"/>
              </w:rPr>
              <w:t>16</w:t>
            </w:r>
          </w:p>
        </w:tc>
        <w:tc>
          <w:tcPr>
            <w:tcW w:w="567" w:type="dxa"/>
          </w:tcPr>
          <w:p w14:paraId="74500945">
            <w:pPr>
              <w:pStyle w:val="11"/>
              <w:spacing w:line="360" w:lineRule="auto"/>
              <w:jc w:val="center"/>
              <w:rPr>
                <w:rFonts w:hint="eastAsia"/>
                <w:sz w:val="24"/>
                <w:szCs w:val="24"/>
              </w:rPr>
            </w:pPr>
          </w:p>
        </w:tc>
        <w:tc>
          <w:tcPr>
            <w:tcW w:w="7938" w:type="dxa"/>
          </w:tcPr>
          <w:p w14:paraId="3D809946">
            <w:pPr>
              <w:pStyle w:val="11"/>
              <w:spacing w:line="360" w:lineRule="auto"/>
              <w:rPr>
                <w:rFonts w:hint="eastAsia"/>
                <w:sz w:val="24"/>
                <w:szCs w:val="24"/>
              </w:rPr>
            </w:pPr>
            <w:r>
              <w:rPr>
                <w:rFonts w:hint="eastAsia"/>
                <w:sz w:val="24"/>
                <w:szCs w:val="24"/>
              </w:rPr>
              <w:t>支持对非法无线接入点进行探测，并对非法AP进行屏蔽。</w:t>
            </w:r>
          </w:p>
        </w:tc>
      </w:tr>
      <w:tr w14:paraId="32BBA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14:paraId="48AB844B">
            <w:pPr>
              <w:pStyle w:val="11"/>
              <w:spacing w:line="360" w:lineRule="auto"/>
              <w:jc w:val="center"/>
              <w:rPr>
                <w:rFonts w:hint="eastAsia"/>
                <w:sz w:val="24"/>
                <w:szCs w:val="24"/>
              </w:rPr>
            </w:pPr>
            <w:r>
              <w:rPr>
                <w:rFonts w:hint="eastAsia"/>
                <w:sz w:val="24"/>
                <w:szCs w:val="24"/>
              </w:rPr>
              <w:t>17</w:t>
            </w:r>
          </w:p>
        </w:tc>
        <w:tc>
          <w:tcPr>
            <w:tcW w:w="567" w:type="dxa"/>
          </w:tcPr>
          <w:p w14:paraId="76FF12BA">
            <w:pPr>
              <w:pStyle w:val="11"/>
              <w:spacing w:line="360" w:lineRule="auto"/>
              <w:jc w:val="center"/>
              <w:rPr>
                <w:rFonts w:hint="eastAsia"/>
                <w:sz w:val="24"/>
                <w:szCs w:val="24"/>
              </w:rPr>
            </w:pPr>
          </w:p>
        </w:tc>
        <w:tc>
          <w:tcPr>
            <w:tcW w:w="7938" w:type="dxa"/>
          </w:tcPr>
          <w:p w14:paraId="327E4F79">
            <w:pPr>
              <w:pStyle w:val="11"/>
              <w:spacing w:line="360" w:lineRule="auto"/>
              <w:rPr>
                <w:rFonts w:hint="eastAsia"/>
                <w:sz w:val="24"/>
                <w:szCs w:val="24"/>
              </w:rPr>
            </w:pPr>
            <w:r>
              <w:rPr>
                <w:rFonts w:hint="eastAsia"/>
                <w:sz w:val="24"/>
                <w:szCs w:val="24"/>
              </w:rPr>
              <w:t>避免网络非法设备接入，无线控制器能够对终端进行审批管控，无线控制器具有审批终端接入功能。</w:t>
            </w:r>
          </w:p>
        </w:tc>
      </w:tr>
    </w:tbl>
    <w:p w14:paraId="655B97B6">
      <w:pPr>
        <w:pStyle w:val="11"/>
        <w:spacing w:line="360" w:lineRule="auto"/>
        <w:rPr>
          <w:rFonts w:hint="eastAsia"/>
          <w:sz w:val="24"/>
          <w:szCs w:val="24"/>
        </w:rPr>
      </w:pPr>
    </w:p>
    <w:p w14:paraId="05D8054D">
      <w:pPr>
        <w:pStyle w:val="3"/>
        <w:spacing w:line="360" w:lineRule="auto"/>
        <w:rPr>
          <w:rFonts w:hint="eastAsia" w:hAnsi="宋体" w:cs="宋体"/>
          <w:szCs w:val="24"/>
          <w:u w:val="none"/>
        </w:rPr>
      </w:pPr>
      <w:r>
        <w:rPr>
          <w:rFonts w:hint="eastAsia" w:hAnsi="宋体" w:cs="宋体"/>
          <w:szCs w:val="24"/>
          <w:u w:val="none"/>
        </w:rPr>
        <w:t>4.10 千兆单模模块（10个）</w:t>
      </w:r>
    </w:p>
    <w:tbl>
      <w:tblPr>
        <w:tblStyle w:val="7"/>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2"/>
        <w:gridCol w:w="567"/>
        <w:gridCol w:w="7938"/>
      </w:tblGrid>
      <w:tr w14:paraId="2F74D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4B5008D4">
            <w:pPr>
              <w:pStyle w:val="11"/>
              <w:spacing w:line="360" w:lineRule="auto"/>
              <w:jc w:val="center"/>
              <w:rPr>
                <w:rFonts w:hint="eastAsia"/>
                <w:b/>
                <w:bCs/>
                <w:sz w:val="24"/>
                <w:szCs w:val="24"/>
              </w:rPr>
            </w:pPr>
            <w:r>
              <w:rPr>
                <w:rFonts w:hint="eastAsia"/>
                <w:b/>
                <w:bCs/>
                <w:sz w:val="24"/>
                <w:szCs w:val="24"/>
              </w:rPr>
              <w:t>序号</w:t>
            </w:r>
          </w:p>
        </w:tc>
        <w:tc>
          <w:tcPr>
            <w:tcW w:w="567" w:type="dxa"/>
            <w:vAlign w:val="center"/>
          </w:tcPr>
          <w:p w14:paraId="586F8D26">
            <w:pPr>
              <w:pStyle w:val="11"/>
              <w:spacing w:line="360" w:lineRule="auto"/>
              <w:jc w:val="center"/>
              <w:rPr>
                <w:rFonts w:hint="eastAsia"/>
                <w:b/>
                <w:bCs/>
                <w:sz w:val="24"/>
                <w:szCs w:val="24"/>
              </w:rPr>
            </w:pPr>
            <w:r>
              <w:rPr>
                <w:rFonts w:hint="eastAsia"/>
                <w:b/>
                <w:bCs/>
                <w:sz w:val="24"/>
                <w:szCs w:val="24"/>
              </w:rPr>
              <w:t>标记</w:t>
            </w:r>
          </w:p>
        </w:tc>
        <w:tc>
          <w:tcPr>
            <w:tcW w:w="7938" w:type="dxa"/>
            <w:vAlign w:val="center"/>
          </w:tcPr>
          <w:p w14:paraId="4A86C65E">
            <w:pPr>
              <w:pStyle w:val="11"/>
              <w:spacing w:line="360" w:lineRule="auto"/>
              <w:jc w:val="center"/>
              <w:rPr>
                <w:rFonts w:hint="eastAsia"/>
                <w:b/>
                <w:bCs/>
                <w:sz w:val="24"/>
                <w:szCs w:val="24"/>
              </w:rPr>
            </w:pPr>
            <w:r>
              <w:rPr>
                <w:rFonts w:hint="eastAsia"/>
                <w:b/>
                <w:bCs/>
                <w:sz w:val="24"/>
                <w:szCs w:val="24"/>
              </w:rPr>
              <w:t>技术指标要求</w:t>
            </w:r>
          </w:p>
        </w:tc>
      </w:tr>
      <w:tr w14:paraId="62DF3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14:paraId="314146E9">
            <w:pPr>
              <w:pStyle w:val="11"/>
              <w:spacing w:line="360" w:lineRule="auto"/>
              <w:jc w:val="center"/>
              <w:rPr>
                <w:rFonts w:hint="eastAsia"/>
                <w:sz w:val="24"/>
                <w:szCs w:val="24"/>
              </w:rPr>
            </w:pPr>
            <w:r>
              <w:rPr>
                <w:rFonts w:hint="eastAsia"/>
                <w:sz w:val="24"/>
                <w:szCs w:val="24"/>
              </w:rPr>
              <w:t>1</w:t>
            </w:r>
          </w:p>
        </w:tc>
        <w:tc>
          <w:tcPr>
            <w:tcW w:w="567" w:type="dxa"/>
          </w:tcPr>
          <w:p w14:paraId="304A2F7D">
            <w:pPr>
              <w:pStyle w:val="11"/>
              <w:spacing w:line="360" w:lineRule="auto"/>
              <w:jc w:val="center"/>
              <w:rPr>
                <w:rFonts w:hint="eastAsia"/>
                <w:sz w:val="24"/>
                <w:szCs w:val="24"/>
              </w:rPr>
            </w:pPr>
          </w:p>
        </w:tc>
        <w:tc>
          <w:tcPr>
            <w:tcW w:w="7938" w:type="dxa"/>
          </w:tcPr>
          <w:p w14:paraId="290C95E5">
            <w:pPr>
              <w:pStyle w:val="11"/>
              <w:spacing w:line="360" w:lineRule="auto"/>
              <w:rPr>
                <w:rFonts w:hint="eastAsia"/>
                <w:sz w:val="24"/>
                <w:szCs w:val="24"/>
              </w:rPr>
            </w:pPr>
            <w:r>
              <w:rPr>
                <w:rFonts w:hint="eastAsia"/>
                <w:sz w:val="24"/>
                <w:szCs w:val="24"/>
              </w:rPr>
              <w:t>配置千兆单模模块 1000BASE-LX mini GBIC转换模块（1310nm），10km。</w:t>
            </w:r>
          </w:p>
        </w:tc>
      </w:tr>
    </w:tbl>
    <w:p w14:paraId="27588FEA">
      <w:pPr>
        <w:pStyle w:val="11"/>
        <w:spacing w:line="360" w:lineRule="auto"/>
        <w:rPr>
          <w:rFonts w:hint="eastAsia"/>
          <w:sz w:val="24"/>
          <w:szCs w:val="24"/>
        </w:rPr>
      </w:pPr>
    </w:p>
    <w:p w14:paraId="0B95C32D">
      <w:pPr>
        <w:pStyle w:val="3"/>
        <w:spacing w:line="360" w:lineRule="auto"/>
        <w:rPr>
          <w:rFonts w:hint="eastAsia" w:hAnsi="宋体" w:cs="宋体"/>
          <w:szCs w:val="24"/>
          <w:u w:val="none"/>
        </w:rPr>
      </w:pPr>
      <w:bookmarkStart w:id="1" w:name="OLE_LINK1"/>
      <w:bookmarkStart w:id="2" w:name="_Hlk192077528"/>
      <w:r>
        <w:rPr>
          <w:rFonts w:hint="eastAsia" w:hAnsi="宋体" w:cs="宋体"/>
          <w:szCs w:val="24"/>
          <w:u w:val="none"/>
        </w:rPr>
        <w:t>4.11 交换扩容（交换机）（2台）</w:t>
      </w:r>
    </w:p>
    <w:tbl>
      <w:tblPr>
        <w:tblStyle w:val="7"/>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2"/>
        <w:gridCol w:w="567"/>
        <w:gridCol w:w="7938"/>
      </w:tblGrid>
      <w:tr w14:paraId="29E53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0B6D4D8C">
            <w:pPr>
              <w:pStyle w:val="11"/>
              <w:spacing w:line="360" w:lineRule="auto"/>
              <w:jc w:val="center"/>
              <w:rPr>
                <w:rFonts w:hint="eastAsia"/>
                <w:b/>
                <w:bCs/>
                <w:sz w:val="24"/>
                <w:szCs w:val="24"/>
              </w:rPr>
            </w:pPr>
            <w:r>
              <w:rPr>
                <w:rFonts w:hint="eastAsia"/>
                <w:b/>
                <w:bCs/>
                <w:sz w:val="24"/>
                <w:szCs w:val="24"/>
              </w:rPr>
              <w:t>序号</w:t>
            </w:r>
          </w:p>
        </w:tc>
        <w:tc>
          <w:tcPr>
            <w:tcW w:w="567" w:type="dxa"/>
            <w:vAlign w:val="center"/>
          </w:tcPr>
          <w:p w14:paraId="7B44B02C">
            <w:pPr>
              <w:pStyle w:val="11"/>
              <w:spacing w:line="360" w:lineRule="auto"/>
              <w:jc w:val="center"/>
              <w:rPr>
                <w:rFonts w:hint="eastAsia"/>
                <w:b/>
                <w:bCs/>
                <w:sz w:val="24"/>
                <w:szCs w:val="24"/>
              </w:rPr>
            </w:pPr>
            <w:r>
              <w:rPr>
                <w:rFonts w:hint="eastAsia"/>
                <w:b/>
                <w:bCs/>
                <w:sz w:val="24"/>
                <w:szCs w:val="24"/>
              </w:rPr>
              <w:t>标记</w:t>
            </w:r>
          </w:p>
        </w:tc>
        <w:tc>
          <w:tcPr>
            <w:tcW w:w="7938" w:type="dxa"/>
            <w:vAlign w:val="center"/>
          </w:tcPr>
          <w:p w14:paraId="152790A8">
            <w:pPr>
              <w:pStyle w:val="11"/>
              <w:spacing w:line="360" w:lineRule="auto"/>
              <w:jc w:val="center"/>
              <w:rPr>
                <w:rFonts w:hint="eastAsia"/>
                <w:b/>
                <w:bCs/>
                <w:sz w:val="24"/>
                <w:szCs w:val="24"/>
              </w:rPr>
            </w:pPr>
            <w:r>
              <w:rPr>
                <w:rFonts w:hint="eastAsia"/>
                <w:b/>
                <w:bCs/>
                <w:sz w:val="24"/>
                <w:szCs w:val="24"/>
              </w:rPr>
              <w:t>技术指标要求</w:t>
            </w:r>
          </w:p>
        </w:tc>
      </w:tr>
      <w:tr w14:paraId="30BBD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14:paraId="5A4EA834">
            <w:pPr>
              <w:pStyle w:val="11"/>
              <w:spacing w:line="360" w:lineRule="auto"/>
              <w:jc w:val="center"/>
              <w:rPr>
                <w:rFonts w:hint="eastAsia"/>
                <w:sz w:val="24"/>
                <w:szCs w:val="24"/>
              </w:rPr>
            </w:pPr>
            <w:r>
              <w:rPr>
                <w:rFonts w:hint="eastAsia"/>
                <w:sz w:val="24"/>
                <w:szCs w:val="24"/>
              </w:rPr>
              <w:t>1</w:t>
            </w:r>
          </w:p>
        </w:tc>
        <w:tc>
          <w:tcPr>
            <w:tcW w:w="567" w:type="dxa"/>
          </w:tcPr>
          <w:p w14:paraId="1697CB74">
            <w:pPr>
              <w:pStyle w:val="11"/>
              <w:spacing w:line="360" w:lineRule="auto"/>
              <w:jc w:val="center"/>
              <w:rPr>
                <w:rFonts w:hint="eastAsia"/>
                <w:sz w:val="24"/>
                <w:szCs w:val="24"/>
              </w:rPr>
            </w:pPr>
            <w:r>
              <w:rPr>
                <w:rFonts w:hint="eastAsia"/>
                <w:sz w:val="24"/>
                <w:szCs w:val="24"/>
              </w:rPr>
              <w:t>▲</w:t>
            </w:r>
          </w:p>
        </w:tc>
        <w:tc>
          <w:tcPr>
            <w:tcW w:w="7938" w:type="dxa"/>
          </w:tcPr>
          <w:p w14:paraId="5864DE95">
            <w:pPr>
              <w:pStyle w:val="11"/>
              <w:spacing w:line="360" w:lineRule="auto"/>
              <w:rPr>
                <w:rFonts w:hint="eastAsia"/>
                <w:sz w:val="24"/>
                <w:szCs w:val="24"/>
              </w:rPr>
            </w:pPr>
            <w:r>
              <w:rPr>
                <w:rFonts w:hint="eastAsia"/>
                <w:sz w:val="24"/>
                <w:szCs w:val="24"/>
              </w:rPr>
              <w:t>交换容量≥672Gbps</w:t>
            </w:r>
          </w:p>
        </w:tc>
      </w:tr>
      <w:tr w14:paraId="7D5D9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14:paraId="306F2663">
            <w:pPr>
              <w:pStyle w:val="11"/>
              <w:spacing w:line="360" w:lineRule="auto"/>
              <w:jc w:val="center"/>
              <w:rPr>
                <w:rFonts w:hint="eastAsia"/>
                <w:sz w:val="24"/>
                <w:szCs w:val="24"/>
              </w:rPr>
            </w:pPr>
            <w:r>
              <w:rPr>
                <w:rFonts w:hint="eastAsia"/>
                <w:sz w:val="24"/>
                <w:szCs w:val="24"/>
              </w:rPr>
              <w:t>2</w:t>
            </w:r>
          </w:p>
        </w:tc>
        <w:tc>
          <w:tcPr>
            <w:tcW w:w="567" w:type="dxa"/>
          </w:tcPr>
          <w:p w14:paraId="33207DA8">
            <w:pPr>
              <w:pStyle w:val="11"/>
              <w:spacing w:line="360" w:lineRule="auto"/>
              <w:jc w:val="center"/>
              <w:rPr>
                <w:rFonts w:hint="eastAsia"/>
                <w:sz w:val="24"/>
                <w:szCs w:val="24"/>
              </w:rPr>
            </w:pPr>
            <w:r>
              <w:rPr>
                <w:rFonts w:hint="eastAsia"/>
                <w:sz w:val="24"/>
                <w:szCs w:val="24"/>
              </w:rPr>
              <w:t>▲</w:t>
            </w:r>
          </w:p>
        </w:tc>
        <w:tc>
          <w:tcPr>
            <w:tcW w:w="7938" w:type="dxa"/>
          </w:tcPr>
          <w:p w14:paraId="008159C5">
            <w:pPr>
              <w:pStyle w:val="11"/>
              <w:spacing w:line="360" w:lineRule="auto"/>
              <w:rPr>
                <w:rFonts w:hint="eastAsia"/>
                <w:sz w:val="24"/>
                <w:szCs w:val="24"/>
              </w:rPr>
            </w:pPr>
            <w:r>
              <w:rPr>
                <w:rFonts w:hint="eastAsia"/>
                <w:sz w:val="24"/>
                <w:szCs w:val="24"/>
              </w:rPr>
              <w:t>转发性能≥166Mpps</w:t>
            </w:r>
          </w:p>
        </w:tc>
      </w:tr>
      <w:tr w14:paraId="746EE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14:paraId="0A4A0039">
            <w:pPr>
              <w:pStyle w:val="11"/>
              <w:spacing w:line="360" w:lineRule="auto"/>
              <w:jc w:val="center"/>
              <w:rPr>
                <w:rFonts w:hint="eastAsia"/>
                <w:sz w:val="24"/>
                <w:szCs w:val="24"/>
              </w:rPr>
            </w:pPr>
            <w:r>
              <w:rPr>
                <w:rFonts w:hint="eastAsia"/>
                <w:sz w:val="24"/>
                <w:szCs w:val="24"/>
              </w:rPr>
              <w:t>3</w:t>
            </w:r>
          </w:p>
        </w:tc>
        <w:tc>
          <w:tcPr>
            <w:tcW w:w="567" w:type="dxa"/>
          </w:tcPr>
          <w:p w14:paraId="53F742AD">
            <w:pPr>
              <w:pStyle w:val="11"/>
              <w:spacing w:line="360" w:lineRule="auto"/>
              <w:jc w:val="center"/>
              <w:rPr>
                <w:rFonts w:hint="eastAsia"/>
                <w:sz w:val="24"/>
                <w:szCs w:val="24"/>
              </w:rPr>
            </w:pPr>
          </w:p>
        </w:tc>
        <w:tc>
          <w:tcPr>
            <w:tcW w:w="7938" w:type="dxa"/>
          </w:tcPr>
          <w:p w14:paraId="4FC5DAFC">
            <w:pPr>
              <w:pStyle w:val="11"/>
              <w:spacing w:line="360" w:lineRule="auto"/>
              <w:rPr>
                <w:rFonts w:hint="eastAsia"/>
                <w:sz w:val="24"/>
                <w:szCs w:val="24"/>
              </w:rPr>
            </w:pPr>
            <w:r>
              <w:rPr>
                <w:rFonts w:hint="eastAsia"/>
                <w:sz w:val="24"/>
                <w:szCs w:val="24"/>
              </w:rPr>
              <w:t>固化10/100/1000M以太网端口≥48个，固化1G SFP光接口≥4个</w:t>
            </w:r>
          </w:p>
        </w:tc>
      </w:tr>
      <w:tr w14:paraId="5CC65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14:paraId="5D35F6AF">
            <w:pPr>
              <w:pStyle w:val="11"/>
              <w:spacing w:line="360" w:lineRule="auto"/>
              <w:jc w:val="center"/>
              <w:rPr>
                <w:rFonts w:hint="eastAsia"/>
                <w:sz w:val="24"/>
                <w:szCs w:val="24"/>
              </w:rPr>
            </w:pPr>
            <w:r>
              <w:rPr>
                <w:rFonts w:hint="eastAsia"/>
                <w:sz w:val="24"/>
                <w:szCs w:val="24"/>
              </w:rPr>
              <w:t>4</w:t>
            </w:r>
          </w:p>
        </w:tc>
        <w:tc>
          <w:tcPr>
            <w:tcW w:w="567" w:type="dxa"/>
          </w:tcPr>
          <w:p w14:paraId="7A457635">
            <w:pPr>
              <w:pStyle w:val="11"/>
              <w:spacing w:line="360" w:lineRule="auto"/>
              <w:jc w:val="center"/>
              <w:rPr>
                <w:rFonts w:hint="eastAsia"/>
                <w:sz w:val="24"/>
                <w:szCs w:val="24"/>
              </w:rPr>
            </w:pPr>
          </w:p>
        </w:tc>
        <w:tc>
          <w:tcPr>
            <w:tcW w:w="7938" w:type="dxa"/>
          </w:tcPr>
          <w:p w14:paraId="55D4B8E7">
            <w:pPr>
              <w:pStyle w:val="11"/>
              <w:spacing w:line="360" w:lineRule="auto"/>
              <w:rPr>
                <w:rFonts w:hint="eastAsia"/>
                <w:sz w:val="24"/>
                <w:szCs w:val="24"/>
              </w:rPr>
            </w:pPr>
            <w:r>
              <w:rPr>
                <w:rFonts w:hint="eastAsia"/>
                <w:sz w:val="24"/>
                <w:szCs w:val="24"/>
              </w:rPr>
              <w:t>要求所投设备MAC地址≥16K。</w:t>
            </w:r>
          </w:p>
        </w:tc>
      </w:tr>
      <w:tr w14:paraId="3F44F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14:paraId="3F9B0F64">
            <w:pPr>
              <w:pStyle w:val="11"/>
              <w:spacing w:line="360" w:lineRule="auto"/>
              <w:jc w:val="center"/>
              <w:rPr>
                <w:rFonts w:hint="eastAsia"/>
                <w:sz w:val="24"/>
                <w:szCs w:val="24"/>
              </w:rPr>
            </w:pPr>
            <w:r>
              <w:rPr>
                <w:rFonts w:hint="eastAsia"/>
                <w:sz w:val="24"/>
                <w:szCs w:val="24"/>
              </w:rPr>
              <w:t>5</w:t>
            </w:r>
          </w:p>
        </w:tc>
        <w:tc>
          <w:tcPr>
            <w:tcW w:w="567" w:type="dxa"/>
          </w:tcPr>
          <w:p w14:paraId="3AAA37A2">
            <w:pPr>
              <w:pStyle w:val="11"/>
              <w:spacing w:line="360" w:lineRule="auto"/>
              <w:jc w:val="center"/>
              <w:rPr>
                <w:rFonts w:hint="eastAsia"/>
                <w:sz w:val="24"/>
                <w:szCs w:val="24"/>
              </w:rPr>
            </w:pPr>
            <w:r>
              <w:rPr>
                <w:rFonts w:hint="eastAsia"/>
                <w:sz w:val="24"/>
                <w:szCs w:val="24"/>
              </w:rPr>
              <w:t>▲</w:t>
            </w:r>
          </w:p>
        </w:tc>
        <w:tc>
          <w:tcPr>
            <w:tcW w:w="7938" w:type="dxa"/>
          </w:tcPr>
          <w:p w14:paraId="2F25268E">
            <w:pPr>
              <w:pStyle w:val="11"/>
              <w:spacing w:line="360" w:lineRule="auto"/>
              <w:rPr>
                <w:rFonts w:hint="eastAsia"/>
                <w:sz w:val="24"/>
                <w:szCs w:val="24"/>
              </w:rPr>
            </w:pPr>
            <w:r>
              <w:rPr>
                <w:rFonts w:hint="eastAsia"/>
                <w:sz w:val="24"/>
                <w:szCs w:val="24"/>
              </w:rPr>
              <w:t>要求所投产品端口的线-接地端子浪涌抗扰度≥10KV，线-线浪涌抗扰度≥0.5KV，（即具备共模10KV，差模0.5KV的防雷能力），投标时提供具有CMA或CNAS认证章的第三方权威机构检验报告证明。</w:t>
            </w:r>
          </w:p>
        </w:tc>
      </w:tr>
      <w:tr w14:paraId="08467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14:paraId="5359F1FE">
            <w:pPr>
              <w:pStyle w:val="11"/>
              <w:spacing w:line="360" w:lineRule="auto"/>
              <w:jc w:val="center"/>
              <w:rPr>
                <w:rFonts w:hint="eastAsia"/>
                <w:sz w:val="24"/>
                <w:szCs w:val="24"/>
              </w:rPr>
            </w:pPr>
            <w:r>
              <w:rPr>
                <w:rFonts w:hint="eastAsia"/>
                <w:sz w:val="24"/>
                <w:szCs w:val="24"/>
              </w:rPr>
              <w:t>6</w:t>
            </w:r>
          </w:p>
        </w:tc>
        <w:tc>
          <w:tcPr>
            <w:tcW w:w="567" w:type="dxa"/>
          </w:tcPr>
          <w:p w14:paraId="3CA57B75">
            <w:pPr>
              <w:pStyle w:val="11"/>
              <w:spacing w:line="360" w:lineRule="auto"/>
              <w:jc w:val="center"/>
              <w:rPr>
                <w:rFonts w:hint="eastAsia"/>
                <w:sz w:val="24"/>
                <w:szCs w:val="24"/>
              </w:rPr>
            </w:pPr>
          </w:p>
        </w:tc>
        <w:tc>
          <w:tcPr>
            <w:tcW w:w="7938" w:type="dxa"/>
          </w:tcPr>
          <w:p w14:paraId="337E1DB5">
            <w:pPr>
              <w:pStyle w:val="11"/>
              <w:spacing w:line="360" w:lineRule="auto"/>
              <w:rPr>
                <w:rFonts w:hint="eastAsia"/>
                <w:sz w:val="24"/>
                <w:szCs w:val="24"/>
              </w:rPr>
            </w:pPr>
            <w:r>
              <w:rPr>
                <w:rFonts w:hint="eastAsia"/>
                <w:sz w:val="24"/>
                <w:szCs w:val="24"/>
              </w:rPr>
              <w:t>支持静态路由、RIP/RIPng、OSPFv2/OSPFv3等三层路由协议</w:t>
            </w:r>
          </w:p>
        </w:tc>
      </w:tr>
      <w:tr w14:paraId="6987C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14:paraId="12A862EE">
            <w:pPr>
              <w:pStyle w:val="11"/>
              <w:spacing w:line="360" w:lineRule="auto"/>
              <w:jc w:val="center"/>
              <w:rPr>
                <w:rFonts w:hint="eastAsia"/>
                <w:sz w:val="24"/>
                <w:szCs w:val="24"/>
              </w:rPr>
            </w:pPr>
            <w:r>
              <w:rPr>
                <w:rFonts w:hint="eastAsia"/>
                <w:sz w:val="24"/>
                <w:szCs w:val="24"/>
              </w:rPr>
              <w:t>7</w:t>
            </w:r>
          </w:p>
        </w:tc>
        <w:tc>
          <w:tcPr>
            <w:tcW w:w="567" w:type="dxa"/>
          </w:tcPr>
          <w:p w14:paraId="60E803C6">
            <w:pPr>
              <w:pStyle w:val="11"/>
              <w:spacing w:line="360" w:lineRule="auto"/>
              <w:jc w:val="center"/>
              <w:rPr>
                <w:rFonts w:hint="eastAsia"/>
                <w:sz w:val="24"/>
                <w:szCs w:val="24"/>
              </w:rPr>
            </w:pPr>
          </w:p>
        </w:tc>
        <w:tc>
          <w:tcPr>
            <w:tcW w:w="7938" w:type="dxa"/>
          </w:tcPr>
          <w:p w14:paraId="3FE5AF6D">
            <w:pPr>
              <w:pStyle w:val="11"/>
              <w:spacing w:line="360" w:lineRule="auto"/>
              <w:rPr>
                <w:rFonts w:hint="eastAsia"/>
                <w:sz w:val="24"/>
                <w:szCs w:val="24"/>
              </w:rPr>
            </w:pPr>
            <w:r>
              <w:rPr>
                <w:rFonts w:hint="eastAsia"/>
                <w:sz w:val="24"/>
                <w:szCs w:val="24"/>
              </w:rPr>
              <w:t>支持专门针对CPU保护机制功能，可将送CPU的报文，如ARP报文的速率进行限制，使CPU的使用率降低到10%以内，保障CPU安全；</w:t>
            </w:r>
          </w:p>
        </w:tc>
      </w:tr>
      <w:tr w14:paraId="226BD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14:paraId="18521354">
            <w:pPr>
              <w:pStyle w:val="11"/>
              <w:spacing w:line="360" w:lineRule="auto"/>
              <w:jc w:val="center"/>
              <w:rPr>
                <w:rFonts w:hint="eastAsia"/>
                <w:sz w:val="24"/>
                <w:szCs w:val="24"/>
              </w:rPr>
            </w:pPr>
            <w:r>
              <w:rPr>
                <w:rFonts w:hint="eastAsia"/>
                <w:sz w:val="24"/>
                <w:szCs w:val="24"/>
              </w:rPr>
              <w:t>8</w:t>
            </w:r>
          </w:p>
        </w:tc>
        <w:tc>
          <w:tcPr>
            <w:tcW w:w="567" w:type="dxa"/>
          </w:tcPr>
          <w:p w14:paraId="1FBC35F0">
            <w:pPr>
              <w:pStyle w:val="11"/>
              <w:spacing w:line="360" w:lineRule="auto"/>
              <w:jc w:val="center"/>
              <w:rPr>
                <w:rFonts w:hint="eastAsia"/>
                <w:sz w:val="24"/>
                <w:szCs w:val="24"/>
              </w:rPr>
            </w:pPr>
            <w:r>
              <w:rPr>
                <w:rFonts w:hint="eastAsia"/>
                <w:sz w:val="24"/>
                <w:szCs w:val="24"/>
              </w:rPr>
              <w:t>▲</w:t>
            </w:r>
          </w:p>
        </w:tc>
        <w:tc>
          <w:tcPr>
            <w:tcW w:w="7938" w:type="dxa"/>
          </w:tcPr>
          <w:p w14:paraId="126E096A">
            <w:pPr>
              <w:pStyle w:val="11"/>
              <w:spacing w:line="360" w:lineRule="auto"/>
              <w:rPr>
                <w:rFonts w:hint="eastAsia"/>
                <w:sz w:val="24"/>
                <w:szCs w:val="24"/>
              </w:rPr>
            </w:pPr>
            <w:r>
              <w:rPr>
                <w:rFonts w:hint="eastAsia"/>
                <w:sz w:val="24"/>
                <w:szCs w:val="24"/>
              </w:rPr>
              <w:t>支持专门基础网络保护机制，能够限制用户向网络中发送数据包的速率，对有攻击行为的用户进行隔离，保证设备和整网的安全稳定运行，提供具有 CMA或 CNAS认证章的第三方权威机构检验报告证明。</w:t>
            </w:r>
          </w:p>
        </w:tc>
      </w:tr>
      <w:tr w14:paraId="4451B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14:paraId="1E274DF2">
            <w:pPr>
              <w:pStyle w:val="11"/>
              <w:spacing w:line="360" w:lineRule="auto"/>
              <w:jc w:val="center"/>
              <w:rPr>
                <w:rFonts w:hint="eastAsia"/>
                <w:sz w:val="24"/>
                <w:szCs w:val="24"/>
              </w:rPr>
            </w:pPr>
            <w:r>
              <w:rPr>
                <w:rFonts w:hint="eastAsia"/>
                <w:sz w:val="24"/>
                <w:szCs w:val="24"/>
              </w:rPr>
              <w:t>9</w:t>
            </w:r>
          </w:p>
        </w:tc>
        <w:tc>
          <w:tcPr>
            <w:tcW w:w="567" w:type="dxa"/>
          </w:tcPr>
          <w:p w14:paraId="64E6066B">
            <w:pPr>
              <w:pStyle w:val="11"/>
              <w:spacing w:line="360" w:lineRule="auto"/>
              <w:jc w:val="center"/>
              <w:rPr>
                <w:rFonts w:hint="eastAsia"/>
                <w:sz w:val="24"/>
                <w:szCs w:val="24"/>
              </w:rPr>
            </w:pPr>
          </w:p>
        </w:tc>
        <w:tc>
          <w:tcPr>
            <w:tcW w:w="7938" w:type="dxa"/>
          </w:tcPr>
          <w:p w14:paraId="679117FA">
            <w:pPr>
              <w:pStyle w:val="11"/>
              <w:spacing w:line="360" w:lineRule="auto"/>
              <w:rPr>
                <w:rFonts w:hint="eastAsia"/>
                <w:sz w:val="24"/>
                <w:szCs w:val="24"/>
              </w:rPr>
            </w:pPr>
            <w:r>
              <w:rPr>
                <w:rFonts w:hint="eastAsia"/>
                <w:sz w:val="24"/>
                <w:szCs w:val="24"/>
              </w:rPr>
              <w:t>支持sFlow网络监测技术</w:t>
            </w:r>
          </w:p>
        </w:tc>
      </w:tr>
      <w:tr w14:paraId="47616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14:paraId="0E89292C">
            <w:pPr>
              <w:pStyle w:val="11"/>
              <w:spacing w:line="360" w:lineRule="auto"/>
              <w:jc w:val="center"/>
              <w:rPr>
                <w:rFonts w:hint="eastAsia"/>
                <w:sz w:val="24"/>
                <w:szCs w:val="24"/>
              </w:rPr>
            </w:pPr>
            <w:r>
              <w:rPr>
                <w:rFonts w:hint="eastAsia"/>
                <w:sz w:val="24"/>
                <w:szCs w:val="24"/>
              </w:rPr>
              <w:t>10</w:t>
            </w:r>
          </w:p>
        </w:tc>
        <w:tc>
          <w:tcPr>
            <w:tcW w:w="567" w:type="dxa"/>
          </w:tcPr>
          <w:p w14:paraId="3EFD22D3">
            <w:pPr>
              <w:pStyle w:val="11"/>
              <w:spacing w:line="360" w:lineRule="auto"/>
              <w:jc w:val="center"/>
              <w:rPr>
                <w:rFonts w:hint="eastAsia"/>
                <w:sz w:val="24"/>
                <w:szCs w:val="24"/>
              </w:rPr>
            </w:pPr>
          </w:p>
        </w:tc>
        <w:tc>
          <w:tcPr>
            <w:tcW w:w="7938" w:type="dxa"/>
          </w:tcPr>
          <w:p w14:paraId="102DC814">
            <w:pPr>
              <w:pStyle w:val="11"/>
              <w:spacing w:line="360" w:lineRule="auto"/>
              <w:rPr>
                <w:rFonts w:hint="eastAsia"/>
                <w:sz w:val="24"/>
                <w:szCs w:val="24"/>
              </w:rPr>
            </w:pPr>
            <w:r>
              <w:rPr>
                <w:rFonts w:hint="eastAsia"/>
                <w:sz w:val="24"/>
                <w:szCs w:val="24"/>
              </w:rPr>
              <w:t>支持虚拟化功能，可将多台物理设备虚拟化为一台逻辑设备统一管理，并且链路故障的收敛时间≤30ms</w:t>
            </w:r>
          </w:p>
        </w:tc>
      </w:tr>
      <w:tr w14:paraId="3E7CE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14:paraId="7FFC58FF">
            <w:pPr>
              <w:pStyle w:val="11"/>
              <w:spacing w:line="360" w:lineRule="auto"/>
              <w:jc w:val="center"/>
              <w:rPr>
                <w:rFonts w:hint="eastAsia"/>
                <w:sz w:val="24"/>
                <w:szCs w:val="24"/>
              </w:rPr>
            </w:pPr>
            <w:r>
              <w:rPr>
                <w:rFonts w:hint="eastAsia"/>
                <w:sz w:val="24"/>
                <w:szCs w:val="24"/>
              </w:rPr>
              <w:t>11</w:t>
            </w:r>
          </w:p>
        </w:tc>
        <w:tc>
          <w:tcPr>
            <w:tcW w:w="567" w:type="dxa"/>
          </w:tcPr>
          <w:p w14:paraId="0EEF3BE1">
            <w:pPr>
              <w:pStyle w:val="11"/>
              <w:spacing w:line="360" w:lineRule="auto"/>
              <w:jc w:val="center"/>
              <w:rPr>
                <w:rFonts w:hint="eastAsia"/>
                <w:sz w:val="24"/>
                <w:szCs w:val="24"/>
              </w:rPr>
            </w:pPr>
          </w:p>
        </w:tc>
        <w:tc>
          <w:tcPr>
            <w:tcW w:w="7938" w:type="dxa"/>
          </w:tcPr>
          <w:p w14:paraId="0AD8E95A">
            <w:pPr>
              <w:pStyle w:val="11"/>
              <w:spacing w:line="360" w:lineRule="auto"/>
              <w:rPr>
                <w:rFonts w:hint="eastAsia"/>
                <w:sz w:val="24"/>
                <w:szCs w:val="24"/>
              </w:rPr>
            </w:pPr>
            <w:r>
              <w:rPr>
                <w:rFonts w:hint="eastAsia"/>
                <w:sz w:val="24"/>
                <w:szCs w:val="24"/>
              </w:rPr>
              <w:t>支持ITU-TG.8032国际公有环网协议ERPS，并且链路故障的收敛时间≤50ms</w:t>
            </w:r>
          </w:p>
        </w:tc>
      </w:tr>
      <w:tr w14:paraId="11712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14:paraId="58CB0AF8">
            <w:pPr>
              <w:pStyle w:val="11"/>
              <w:spacing w:line="360" w:lineRule="auto"/>
              <w:jc w:val="center"/>
              <w:rPr>
                <w:rFonts w:hint="eastAsia"/>
                <w:sz w:val="24"/>
                <w:szCs w:val="24"/>
              </w:rPr>
            </w:pPr>
            <w:r>
              <w:rPr>
                <w:rFonts w:hint="eastAsia"/>
                <w:sz w:val="24"/>
                <w:szCs w:val="24"/>
              </w:rPr>
              <w:t>12</w:t>
            </w:r>
          </w:p>
        </w:tc>
        <w:tc>
          <w:tcPr>
            <w:tcW w:w="567" w:type="dxa"/>
          </w:tcPr>
          <w:p w14:paraId="0070BFA3">
            <w:pPr>
              <w:pStyle w:val="11"/>
              <w:spacing w:line="360" w:lineRule="auto"/>
              <w:jc w:val="center"/>
              <w:rPr>
                <w:rFonts w:hint="eastAsia"/>
                <w:sz w:val="24"/>
                <w:szCs w:val="24"/>
              </w:rPr>
            </w:pPr>
          </w:p>
        </w:tc>
        <w:tc>
          <w:tcPr>
            <w:tcW w:w="7938" w:type="dxa"/>
          </w:tcPr>
          <w:p w14:paraId="00748724">
            <w:pPr>
              <w:pStyle w:val="11"/>
              <w:spacing w:line="360" w:lineRule="auto"/>
              <w:rPr>
                <w:rFonts w:hint="eastAsia"/>
                <w:sz w:val="24"/>
                <w:szCs w:val="24"/>
              </w:rPr>
            </w:pPr>
            <w:r>
              <w:rPr>
                <w:rFonts w:hint="eastAsia"/>
                <w:sz w:val="24"/>
                <w:szCs w:val="24"/>
              </w:rPr>
              <w:t>符合国家低碳环保等政策要求，支持IEEE 802.3az标准的EEE节能技术</w:t>
            </w:r>
          </w:p>
        </w:tc>
      </w:tr>
      <w:tr w14:paraId="4B706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14:paraId="3D3FB251">
            <w:pPr>
              <w:pStyle w:val="11"/>
              <w:spacing w:line="360" w:lineRule="auto"/>
              <w:jc w:val="center"/>
              <w:rPr>
                <w:rFonts w:hint="eastAsia"/>
                <w:sz w:val="24"/>
                <w:szCs w:val="24"/>
              </w:rPr>
            </w:pPr>
            <w:r>
              <w:rPr>
                <w:rFonts w:hint="eastAsia"/>
                <w:sz w:val="24"/>
                <w:szCs w:val="24"/>
              </w:rPr>
              <w:t>13</w:t>
            </w:r>
          </w:p>
        </w:tc>
        <w:tc>
          <w:tcPr>
            <w:tcW w:w="567" w:type="dxa"/>
          </w:tcPr>
          <w:p w14:paraId="4FA8A487">
            <w:pPr>
              <w:pStyle w:val="11"/>
              <w:spacing w:line="360" w:lineRule="auto"/>
              <w:jc w:val="center"/>
              <w:rPr>
                <w:rFonts w:hint="eastAsia"/>
                <w:sz w:val="24"/>
                <w:szCs w:val="24"/>
              </w:rPr>
            </w:pPr>
          </w:p>
        </w:tc>
        <w:tc>
          <w:tcPr>
            <w:tcW w:w="7938" w:type="dxa"/>
          </w:tcPr>
          <w:p w14:paraId="13BCC223">
            <w:pPr>
              <w:pStyle w:val="11"/>
              <w:spacing w:line="360" w:lineRule="auto"/>
              <w:rPr>
                <w:rFonts w:hint="eastAsia"/>
                <w:sz w:val="24"/>
                <w:szCs w:val="24"/>
              </w:rPr>
            </w:pPr>
            <w:r>
              <w:rPr>
                <w:rFonts w:hint="eastAsia"/>
                <w:sz w:val="24"/>
                <w:szCs w:val="24"/>
              </w:rPr>
              <w:t>设备自带云管理功能，支持一键设备发现，并在线生成交付验收报告；支持一键全网巡检操作，随时随地掌握网络健康状况，并自动生成巡检报告；支持短信认证、微信认证、web认证，支持认证页面自定义；支持一键升级、定时升级网络中的网络设备；支持分级分权功能，实现分布区域，统一管理等</w:t>
            </w:r>
          </w:p>
        </w:tc>
      </w:tr>
      <w:tr w14:paraId="29445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14:paraId="32F36579">
            <w:pPr>
              <w:pStyle w:val="11"/>
              <w:spacing w:line="360" w:lineRule="auto"/>
              <w:jc w:val="center"/>
              <w:rPr>
                <w:rFonts w:hint="eastAsia"/>
                <w:sz w:val="24"/>
                <w:szCs w:val="24"/>
              </w:rPr>
            </w:pPr>
            <w:r>
              <w:rPr>
                <w:rFonts w:hint="eastAsia"/>
                <w:sz w:val="24"/>
                <w:szCs w:val="24"/>
              </w:rPr>
              <w:t>14</w:t>
            </w:r>
          </w:p>
        </w:tc>
        <w:tc>
          <w:tcPr>
            <w:tcW w:w="567" w:type="dxa"/>
          </w:tcPr>
          <w:p w14:paraId="3E88AC59">
            <w:pPr>
              <w:pStyle w:val="11"/>
              <w:spacing w:line="360" w:lineRule="auto"/>
              <w:jc w:val="center"/>
              <w:rPr>
                <w:rFonts w:hint="eastAsia"/>
                <w:sz w:val="24"/>
                <w:szCs w:val="24"/>
              </w:rPr>
            </w:pPr>
          </w:p>
        </w:tc>
        <w:tc>
          <w:tcPr>
            <w:tcW w:w="7938" w:type="dxa"/>
          </w:tcPr>
          <w:p w14:paraId="1C48A08F">
            <w:pPr>
              <w:pStyle w:val="11"/>
              <w:spacing w:line="360" w:lineRule="auto"/>
              <w:rPr>
                <w:rFonts w:hint="eastAsia"/>
                <w:sz w:val="24"/>
                <w:szCs w:val="24"/>
              </w:rPr>
            </w:pPr>
            <w:r>
              <w:rPr>
                <w:rFonts w:hint="eastAsia"/>
                <w:sz w:val="24"/>
                <w:szCs w:val="24"/>
              </w:rPr>
              <w:t>支持SNMP、CLI(Telnet/Console)、RMON、SSH、Syslog、NTP/SNTP、FTP、TFTP、Web</w:t>
            </w:r>
          </w:p>
        </w:tc>
      </w:tr>
      <w:tr w14:paraId="47112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14:paraId="3E321A5E">
            <w:pPr>
              <w:pStyle w:val="11"/>
              <w:spacing w:line="360" w:lineRule="auto"/>
              <w:jc w:val="center"/>
              <w:rPr>
                <w:rFonts w:hint="eastAsia"/>
                <w:sz w:val="24"/>
                <w:szCs w:val="24"/>
              </w:rPr>
            </w:pPr>
            <w:r>
              <w:rPr>
                <w:rFonts w:hint="eastAsia"/>
                <w:sz w:val="24"/>
                <w:szCs w:val="24"/>
              </w:rPr>
              <w:t>15</w:t>
            </w:r>
          </w:p>
        </w:tc>
        <w:tc>
          <w:tcPr>
            <w:tcW w:w="567" w:type="dxa"/>
          </w:tcPr>
          <w:p w14:paraId="232A6908">
            <w:pPr>
              <w:pStyle w:val="11"/>
              <w:spacing w:line="360" w:lineRule="auto"/>
              <w:jc w:val="center"/>
              <w:rPr>
                <w:rFonts w:hint="eastAsia"/>
                <w:sz w:val="24"/>
                <w:szCs w:val="24"/>
              </w:rPr>
            </w:pPr>
            <w:r>
              <w:rPr>
                <w:rFonts w:hint="eastAsia"/>
                <w:sz w:val="24"/>
                <w:szCs w:val="24"/>
              </w:rPr>
              <w:t>▲</w:t>
            </w:r>
          </w:p>
        </w:tc>
        <w:tc>
          <w:tcPr>
            <w:tcW w:w="7938" w:type="dxa"/>
          </w:tcPr>
          <w:p w14:paraId="2D0C2C6D">
            <w:pPr>
              <w:pStyle w:val="11"/>
              <w:spacing w:line="360" w:lineRule="auto"/>
              <w:rPr>
                <w:rFonts w:hint="eastAsia"/>
                <w:sz w:val="24"/>
                <w:szCs w:val="24"/>
              </w:rPr>
            </w:pPr>
            <w:r>
              <w:rPr>
                <w:rFonts w:hint="eastAsia"/>
                <w:sz w:val="24"/>
                <w:szCs w:val="24"/>
              </w:rPr>
              <w:t>提供工信部设备进网许可证。</w:t>
            </w:r>
          </w:p>
        </w:tc>
      </w:tr>
      <w:tr w14:paraId="40A69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14:paraId="781B4099">
            <w:pPr>
              <w:pStyle w:val="11"/>
              <w:spacing w:line="360" w:lineRule="auto"/>
              <w:jc w:val="center"/>
              <w:rPr>
                <w:rFonts w:hint="eastAsia"/>
                <w:sz w:val="24"/>
                <w:szCs w:val="24"/>
              </w:rPr>
            </w:pPr>
            <w:r>
              <w:rPr>
                <w:rFonts w:hint="eastAsia"/>
                <w:sz w:val="24"/>
                <w:szCs w:val="24"/>
              </w:rPr>
              <w:t>16</w:t>
            </w:r>
          </w:p>
        </w:tc>
        <w:tc>
          <w:tcPr>
            <w:tcW w:w="567" w:type="dxa"/>
          </w:tcPr>
          <w:p w14:paraId="488A2DEF">
            <w:pPr>
              <w:pStyle w:val="11"/>
              <w:spacing w:line="360" w:lineRule="auto"/>
              <w:jc w:val="center"/>
              <w:rPr>
                <w:rFonts w:hint="eastAsia"/>
                <w:sz w:val="24"/>
                <w:szCs w:val="24"/>
              </w:rPr>
            </w:pPr>
            <w:r>
              <w:rPr>
                <w:rFonts w:hint="eastAsia"/>
                <w:sz w:val="24"/>
                <w:szCs w:val="24"/>
              </w:rPr>
              <w:t>▲</w:t>
            </w:r>
          </w:p>
        </w:tc>
        <w:tc>
          <w:tcPr>
            <w:tcW w:w="7938" w:type="dxa"/>
          </w:tcPr>
          <w:p w14:paraId="78110981">
            <w:pPr>
              <w:pStyle w:val="11"/>
              <w:spacing w:line="360" w:lineRule="auto"/>
              <w:rPr>
                <w:rFonts w:hint="eastAsia"/>
                <w:sz w:val="24"/>
                <w:szCs w:val="24"/>
              </w:rPr>
            </w:pPr>
            <w:r>
              <w:rPr>
                <w:rFonts w:hint="eastAsia"/>
                <w:sz w:val="24"/>
                <w:szCs w:val="24"/>
              </w:rPr>
              <w:t>为保证IPv6的可部署性和应用性，交换机具备IPv6 Ready Phase2认证证书，投标产品型号与获证产品型号一致，提供权威机构的检测证书以及权威机构官网证书查询链接和截图。</w:t>
            </w:r>
          </w:p>
        </w:tc>
      </w:tr>
      <w:tr w14:paraId="181DE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14:paraId="522F32D2">
            <w:pPr>
              <w:pStyle w:val="11"/>
              <w:spacing w:line="360" w:lineRule="auto"/>
              <w:jc w:val="center"/>
              <w:rPr>
                <w:rFonts w:hint="eastAsia"/>
                <w:sz w:val="24"/>
                <w:szCs w:val="24"/>
              </w:rPr>
            </w:pPr>
            <w:r>
              <w:rPr>
                <w:rFonts w:hint="eastAsia"/>
                <w:sz w:val="24"/>
                <w:szCs w:val="24"/>
              </w:rPr>
              <w:t>17</w:t>
            </w:r>
          </w:p>
        </w:tc>
        <w:tc>
          <w:tcPr>
            <w:tcW w:w="567" w:type="dxa"/>
          </w:tcPr>
          <w:p w14:paraId="77BD8DBC">
            <w:pPr>
              <w:pStyle w:val="11"/>
              <w:spacing w:line="360" w:lineRule="auto"/>
              <w:jc w:val="center"/>
              <w:rPr>
                <w:rFonts w:hint="eastAsia"/>
                <w:sz w:val="24"/>
                <w:szCs w:val="24"/>
              </w:rPr>
            </w:pPr>
          </w:p>
        </w:tc>
        <w:tc>
          <w:tcPr>
            <w:tcW w:w="7938" w:type="dxa"/>
          </w:tcPr>
          <w:p w14:paraId="3DF35145">
            <w:pPr>
              <w:pStyle w:val="11"/>
              <w:spacing w:line="360" w:lineRule="auto"/>
              <w:rPr>
                <w:rFonts w:hint="eastAsia"/>
                <w:sz w:val="24"/>
                <w:szCs w:val="24"/>
              </w:rPr>
            </w:pPr>
            <w:r>
              <w:rPr>
                <w:rFonts w:hint="eastAsia"/>
                <w:sz w:val="24"/>
                <w:szCs w:val="24"/>
              </w:rPr>
              <w:t>配置2个1000BASE-SX转换模块（850nm），500m。</w:t>
            </w:r>
          </w:p>
          <w:p w14:paraId="3A81942A">
            <w:pPr>
              <w:pStyle w:val="11"/>
              <w:spacing w:line="360" w:lineRule="auto"/>
              <w:rPr>
                <w:rFonts w:hint="eastAsia"/>
                <w:sz w:val="24"/>
                <w:szCs w:val="24"/>
              </w:rPr>
            </w:pPr>
            <w:r>
              <w:rPr>
                <w:rFonts w:hint="eastAsia"/>
                <w:sz w:val="24"/>
                <w:szCs w:val="24"/>
              </w:rPr>
              <w:t>配置2个千兆单模模块 1000BASE-LX mini GBIC转换模块（1310nm），10km。</w:t>
            </w:r>
          </w:p>
        </w:tc>
      </w:tr>
    </w:tbl>
    <w:p w14:paraId="4F840A3E">
      <w:pPr>
        <w:pStyle w:val="11"/>
        <w:spacing w:line="360" w:lineRule="auto"/>
        <w:rPr>
          <w:rFonts w:hint="eastAsia"/>
          <w:sz w:val="24"/>
          <w:szCs w:val="24"/>
        </w:rPr>
      </w:pPr>
    </w:p>
    <w:bookmarkEnd w:id="1"/>
    <w:p w14:paraId="1789D6C6">
      <w:pPr>
        <w:pStyle w:val="3"/>
        <w:spacing w:line="360" w:lineRule="auto"/>
        <w:rPr>
          <w:rFonts w:hint="eastAsia" w:hAnsi="宋体" w:cs="宋体"/>
          <w:szCs w:val="24"/>
          <w:u w:val="none"/>
        </w:rPr>
      </w:pPr>
      <w:r>
        <w:rPr>
          <w:rFonts w:hint="eastAsia" w:hAnsi="宋体" w:cs="宋体"/>
          <w:szCs w:val="24"/>
          <w:u w:val="none"/>
        </w:rPr>
        <w:t>4.12 PDA（9台）</w:t>
      </w:r>
    </w:p>
    <w:tbl>
      <w:tblPr>
        <w:tblStyle w:val="7"/>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2"/>
        <w:gridCol w:w="567"/>
        <w:gridCol w:w="7938"/>
      </w:tblGrid>
      <w:tr w14:paraId="2456E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1E013323">
            <w:pPr>
              <w:pStyle w:val="11"/>
              <w:spacing w:line="360" w:lineRule="auto"/>
              <w:jc w:val="center"/>
              <w:rPr>
                <w:rFonts w:hint="eastAsia"/>
                <w:b/>
                <w:bCs/>
                <w:sz w:val="24"/>
                <w:szCs w:val="24"/>
              </w:rPr>
            </w:pPr>
            <w:r>
              <w:rPr>
                <w:rFonts w:hint="eastAsia"/>
                <w:b/>
                <w:bCs/>
                <w:sz w:val="24"/>
                <w:szCs w:val="24"/>
              </w:rPr>
              <w:t>序号</w:t>
            </w:r>
          </w:p>
        </w:tc>
        <w:tc>
          <w:tcPr>
            <w:tcW w:w="567" w:type="dxa"/>
            <w:vAlign w:val="center"/>
          </w:tcPr>
          <w:p w14:paraId="2F138AF3">
            <w:pPr>
              <w:pStyle w:val="11"/>
              <w:spacing w:line="360" w:lineRule="auto"/>
              <w:jc w:val="center"/>
              <w:rPr>
                <w:rFonts w:hint="eastAsia"/>
                <w:b/>
                <w:bCs/>
                <w:sz w:val="24"/>
                <w:szCs w:val="24"/>
              </w:rPr>
            </w:pPr>
            <w:r>
              <w:rPr>
                <w:rFonts w:hint="eastAsia"/>
                <w:b/>
                <w:bCs/>
                <w:sz w:val="24"/>
                <w:szCs w:val="24"/>
              </w:rPr>
              <w:t>标记</w:t>
            </w:r>
          </w:p>
        </w:tc>
        <w:tc>
          <w:tcPr>
            <w:tcW w:w="7938" w:type="dxa"/>
            <w:vAlign w:val="center"/>
          </w:tcPr>
          <w:p w14:paraId="1BC65FD3">
            <w:pPr>
              <w:pStyle w:val="11"/>
              <w:spacing w:line="360" w:lineRule="auto"/>
              <w:jc w:val="center"/>
              <w:rPr>
                <w:rFonts w:hint="eastAsia"/>
                <w:b/>
                <w:bCs/>
                <w:sz w:val="24"/>
                <w:szCs w:val="24"/>
              </w:rPr>
            </w:pPr>
            <w:r>
              <w:rPr>
                <w:rFonts w:hint="eastAsia"/>
                <w:b/>
                <w:bCs/>
                <w:sz w:val="24"/>
                <w:szCs w:val="24"/>
              </w:rPr>
              <w:t>技术指标要求</w:t>
            </w:r>
          </w:p>
        </w:tc>
      </w:tr>
      <w:tr w14:paraId="0BDC9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14:paraId="3546219D">
            <w:pPr>
              <w:pStyle w:val="11"/>
              <w:spacing w:line="360" w:lineRule="auto"/>
              <w:jc w:val="center"/>
              <w:rPr>
                <w:rFonts w:hint="eastAsia"/>
                <w:sz w:val="24"/>
                <w:szCs w:val="24"/>
              </w:rPr>
            </w:pPr>
            <w:r>
              <w:rPr>
                <w:rFonts w:hint="eastAsia"/>
                <w:sz w:val="24"/>
                <w:szCs w:val="24"/>
              </w:rPr>
              <w:t>1</w:t>
            </w:r>
          </w:p>
        </w:tc>
        <w:tc>
          <w:tcPr>
            <w:tcW w:w="567" w:type="dxa"/>
          </w:tcPr>
          <w:p w14:paraId="5E845927">
            <w:pPr>
              <w:pStyle w:val="11"/>
              <w:spacing w:line="360" w:lineRule="auto"/>
              <w:jc w:val="center"/>
              <w:rPr>
                <w:rFonts w:hint="eastAsia"/>
                <w:sz w:val="24"/>
                <w:szCs w:val="24"/>
              </w:rPr>
            </w:pPr>
          </w:p>
        </w:tc>
        <w:tc>
          <w:tcPr>
            <w:tcW w:w="7938" w:type="dxa"/>
          </w:tcPr>
          <w:p w14:paraId="165D1432">
            <w:pPr>
              <w:pStyle w:val="11"/>
              <w:spacing w:line="360" w:lineRule="auto"/>
              <w:rPr>
                <w:rFonts w:hint="eastAsia"/>
                <w:sz w:val="24"/>
                <w:szCs w:val="24"/>
              </w:rPr>
            </w:pPr>
            <w:r>
              <w:rPr>
                <w:rFonts w:hint="eastAsia"/>
                <w:sz w:val="24"/>
                <w:szCs w:val="24"/>
              </w:rPr>
              <w:t xml:space="preserve">CPU：八核处理器 ≥2.6GHz  </w:t>
            </w:r>
          </w:p>
        </w:tc>
      </w:tr>
      <w:tr w14:paraId="6E4AE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14:paraId="27F25434">
            <w:pPr>
              <w:pStyle w:val="11"/>
              <w:spacing w:line="360" w:lineRule="auto"/>
              <w:jc w:val="center"/>
              <w:rPr>
                <w:rFonts w:hint="eastAsia"/>
                <w:sz w:val="24"/>
                <w:szCs w:val="24"/>
              </w:rPr>
            </w:pPr>
            <w:r>
              <w:rPr>
                <w:rFonts w:hint="eastAsia"/>
                <w:sz w:val="24"/>
                <w:szCs w:val="24"/>
              </w:rPr>
              <w:t>2</w:t>
            </w:r>
          </w:p>
        </w:tc>
        <w:tc>
          <w:tcPr>
            <w:tcW w:w="567" w:type="dxa"/>
          </w:tcPr>
          <w:p w14:paraId="16951254">
            <w:pPr>
              <w:pStyle w:val="11"/>
              <w:spacing w:line="360" w:lineRule="auto"/>
              <w:jc w:val="center"/>
              <w:rPr>
                <w:rFonts w:hint="eastAsia"/>
                <w:sz w:val="24"/>
                <w:szCs w:val="24"/>
              </w:rPr>
            </w:pPr>
          </w:p>
        </w:tc>
        <w:tc>
          <w:tcPr>
            <w:tcW w:w="7938" w:type="dxa"/>
          </w:tcPr>
          <w:p w14:paraId="6FECE645">
            <w:pPr>
              <w:pStyle w:val="11"/>
              <w:spacing w:line="360" w:lineRule="auto"/>
              <w:rPr>
                <w:rFonts w:hint="eastAsia"/>
                <w:sz w:val="24"/>
                <w:szCs w:val="24"/>
              </w:rPr>
            </w:pPr>
            <w:r>
              <w:rPr>
                <w:rFonts w:hint="eastAsia"/>
                <w:sz w:val="24"/>
                <w:szCs w:val="24"/>
              </w:rPr>
              <w:t xml:space="preserve">内存：≥8G RAM  存储：≥128GB ROM </w:t>
            </w:r>
          </w:p>
        </w:tc>
      </w:tr>
      <w:tr w14:paraId="72458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14:paraId="4AE872C6">
            <w:pPr>
              <w:pStyle w:val="11"/>
              <w:spacing w:line="360" w:lineRule="auto"/>
              <w:jc w:val="center"/>
              <w:rPr>
                <w:rFonts w:hint="eastAsia"/>
                <w:sz w:val="24"/>
                <w:szCs w:val="24"/>
              </w:rPr>
            </w:pPr>
            <w:r>
              <w:rPr>
                <w:rFonts w:hint="eastAsia"/>
                <w:sz w:val="24"/>
                <w:szCs w:val="24"/>
              </w:rPr>
              <w:t>3</w:t>
            </w:r>
          </w:p>
        </w:tc>
        <w:tc>
          <w:tcPr>
            <w:tcW w:w="567" w:type="dxa"/>
          </w:tcPr>
          <w:p w14:paraId="528800DA">
            <w:pPr>
              <w:pStyle w:val="11"/>
              <w:spacing w:line="360" w:lineRule="auto"/>
              <w:jc w:val="center"/>
              <w:rPr>
                <w:rFonts w:hint="eastAsia"/>
                <w:sz w:val="24"/>
                <w:szCs w:val="24"/>
              </w:rPr>
            </w:pPr>
          </w:p>
        </w:tc>
        <w:tc>
          <w:tcPr>
            <w:tcW w:w="7938" w:type="dxa"/>
          </w:tcPr>
          <w:p w14:paraId="46958CC0">
            <w:pPr>
              <w:pStyle w:val="11"/>
              <w:spacing w:line="360" w:lineRule="auto"/>
              <w:rPr>
                <w:rFonts w:hint="eastAsia"/>
                <w:sz w:val="24"/>
                <w:szCs w:val="24"/>
              </w:rPr>
            </w:pPr>
            <w:r>
              <w:rPr>
                <w:rFonts w:hint="eastAsia"/>
                <w:sz w:val="24"/>
                <w:szCs w:val="24"/>
              </w:rPr>
              <w:t>屏幕：≥5.72 英寸彩色屏幕，1080*2160分辨率；电容式触控，支持湿手或戴手套输入</w:t>
            </w:r>
          </w:p>
        </w:tc>
      </w:tr>
      <w:tr w14:paraId="59C08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14:paraId="717D40AD">
            <w:pPr>
              <w:pStyle w:val="11"/>
              <w:spacing w:line="360" w:lineRule="auto"/>
              <w:jc w:val="center"/>
              <w:rPr>
                <w:rFonts w:hint="eastAsia"/>
                <w:sz w:val="24"/>
                <w:szCs w:val="24"/>
              </w:rPr>
            </w:pPr>
            <w:r>
              <w:rPr>
                <w:rFonts w:hint="eastAsia"/>
                <w:sz w:val="24"/>
                <w:szCs w:val="24"/>
              </w:rPr>
              <w:t>4</w:t>
            </w:r>
          </w:p>
        </w:tc>
        <w:tc>
          <w:tcPr>
            <w:tcW w:w="567" w:type="dxa"/>
          </w:tcPr>
          <w:p w14:paraId="6D2721A9">
            <w:pPr>
              <w:pStyle w:val="11"/>
              <w:spacing w:line="360" w:lineRule="auto"/>
              <w:jc w:val="center"/>
              <w:rPr>
                <w:rFonts w:hint="eastAsia"/>
                <w:sz w:val="24"/>
                <w:szCs w:val="24"/>
              </w:rPr>
            </w:pPr>
          </w:p>
        </w:tc>
        <w:tc>
          <w:tcPr>
            <w:tcW w:w="7938" w:type="dxa"/>
          </w:tcPr>
          <w:p w14:paraId="11433121">
            <w:pPr>
              <w:pStyle w:val="11"/>
              <w:spacing w:line="360" w:lineRule="auto"/>
              <w:rPr>
                <w:rFonts w:hint="eastAsia"/>
                <w:sz w:val="24"/>
                <w:szCs w:val="24"/>
              </w:rPr>
            </w:pPr>
            <w:r>
              <w:rPr>
                <w:rFonts w:hint="eastAsia"/>
                <w:sz w:val="24"/>
                <w:szCs w:val="24"/>
              </w:rPr>
              <w:t>操作系统：≥Android 14</w:t>
            </w:r>
          </w:p>
        </w:tc>
      </w:tr>
      <w:tr w14:paraId="27B70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14:paraId="49D3EFCB">
            <w:pPr>
              <w:pStyle w:val="11"/>
              <w:spacing w:line="360" w:lineRule="auto"/>
              <w:jc w:val="center"/>
              <w:rPr>
                <w:rFonts w:hint="eastAsia"/>
                <w:sz w:val="24"/>
                <w:szCs w:val="24"/>
              </w:rPr>
            </w:pPr>
            <w:r>
              <w:rPr>
                <w:rFonts w:hint="eastAsia"/>
                <w:sz w:val="24"/>
                <w:szCs w:val="24"/>
              </w:rPr>
              <w:t>5</w:t>
            </w:r>
          </w:p>
        </w:tc>
        <w:tc>
          <w:tcPr>
            <w:tcW w:w="567" w:type="dxa"/>
          </w:tcPr>
          <w:p w14:paraId="62A32B51">
            <w:pPr>
              <w:pStyle w:val="11"/>
              <w:spacing w:line="360" w:lineRule="auto"/>
              <w:jc w:val="center"/>
              <w:rPr>
                <w:rFonts w:hint="eastAsia"/>
                <w:sz w:val="24"/>
                <w:szCs w:val="24"/>
              </w:rPr>
            </w:pPr>
          </w:p>
        </w:tc>
        <w:tc>
          <w:tcPr>
            <w:tcW w:w="7938" w:type="dxa"/>
          </w:tcPr>
          <w:p w14:paraId="28C1A3D6">
            <w:pPr>
              <w:pStyle w:val="11"/>
              <w:spacing w:line="360" w:lineRule="auto"/>
              <w:rPr>
                <w:rFonts w:hint="eastAsia"/>
                <w:sz w:val="24"/>
                <w:szCs w:val="24"/>
              </w:rPr>
            </w:pPr>
            <w:r>
              <w:rPr>
                <w:rFonts w:hint="eastAsia"/>
                <w:color w:val="000000" w:themeColor="text1"/>
                <w:sz w:val="24"/>
                <w:szCs w:val="24"/>
                <w14:textFill>
                  <w14:solidFill>
                    <w14:schemeClr w14:val="tx1"/>
                  </w14:solidFill>
                </w14:textFill>
              </w:rPr>
              <w:t>电池：可拆卸锂离子智能电池，容量≥4500mAh。支持正常使用时间：≥10小时，待机时间：≥250小时。</w:t>
            </w:r>
          </w:p>
        </w:tc>
      </w:tr>
      <w:tr w14:paraId="51EBF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14:paraId="32BA3939">
            <w:pPr>
              <w:pStyle w:val="11"/>
              <w:spacing w:line="360" w:lineRule="auto"/>
              <w:jc w:val="center"/>
              <w:rPr>
                <w:rFonts w:hint="eastAsia"/>
                <w:sz w:val="24"/>
                <w:szCs w:val="24"/>
              </w:rPr>
            </w:pPr>
            <w:r>
              <w:rPr>
                <w:rFonts w:hint="eastAsia"/>
                <w:sz w:val="24"/>
                <w:szCs w:val="24"/>
              </w:rPr>
              <w:t>6</w:t>
            </w:r>
          </w:p>
        </w:tc>
        <w:tc>
          <w:tcPr>
            <w:tcW w:w="567" w:type="dxa"/>
          </w:tcPr>
          <w:p w14:paraId="2D320D69">
            <w:pPr>
              <w:pStyle w:val="11"/>
              <w:spacing w:line="360" w:lineRule="auto"/>
              <w:jc w:val="center"/>
              <w:rPr>
                <w:rFonts w:hint="eastAsia"/>
                <w:sz w:val="24"/>
                <w:szCs w:val="24"/>
              </w:rPr>
            </w:pPr>
          </w:p>
        </w:tc>
        <w:tc>
          <w:tcPr>
            <w:tcW w:w="7938" w:type="dxa"/>
          </w:tcPr>
          <w:p w14:paraId="7439367B">
            <w:pPr>
              <w:pStyle w:val="11"/>
              <w:spacing w:line="360" w:lineRule="auto"/>
              <w:rPr>
                <w:rFonts w:hint="eastAsia"/>
                <w:sz w:val="24"/>
                <w:szCs w:val="24"/>
              </w:rPr>
            </w:pPr>
            <w:r>
              <w:rPr>
                <w:rFonts w:hint="eastAsia"/>
                <w:color w:val="000000" w:themeColor="text1"/>
                <w:sz w:val="24"/>
                <w:szCs w:val="24"/>
                <w14:textFill>
                  <w14:solidFill>
                    <w14:schemeClr w14:val="tx1"/>
                  </w14:solidFill>
                </w14:textFill>
              </w:rPr>
              <w:t>通讯接口：Type-C, 支持OTG，支持快充</w:t>
            </w:r>
          </w:p>
        </w:tc>
      </w:tr>
      <w:tr w14:paraId="405FF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14:paraId="64365A8F">
            <w:pPr>
              <w:pStyle w:val="11"/>
              <w:spacing w:line="360" w:lineRule="auto"/>
              <w:jc w:val="center"/>
              <w:rPr>
                <w:rFonts w:hint="eastAsia"/>
                <w:sz w:val="24"/>
                <w:szCs w:val="24"/>
              </w:rPr>
            </w:pPr>
            <w:r>
              <w:rPr>
                <w:rFonts w:hint="eastAsia"/>
                <w:sz w:val="24"/>
                <w:szCs w:val="24"/>
              </w:rPr>
              <w:t>7</w:t>
            </w:r>
          </w:p>
        </w:tc>
        <w:tc>
          <w:tcPr>
            <w:tcW w:w="567" w:type="dxa"/>
          </w:tcPr>
          <w:p w14:paraId="143D1417">
            <w:pPr>
              <w:pStyle w:val="11"/>
              <w:spacing w:line="360" w:lineRule="auto"/>
              <w:jc w:val="center"/>
              <w:rPr>
                <w:rFonts w:hint="eastAsia"/>
                <w:sz w:val="24"/>
                <w:szCs w:val="24"/>
              </w:rPr>
            </w:pPr>
          </w:p>
        </w:tc>
        <w:tc>
          <w:tcPr>
            <w:tcW w:w="7938" w:type="dxa"/>
          </w:tcPr>
          <w:p w14:paraId="06387EAA">
            <w:pPr>
              <w:pStyle w:val="11"/>
              <w:spacing w:line="360" w:lineRule="auto"/>
              <w:rPr>
                <w:rFonts w:hint="eastAsia"/>
                <w:sz w:val="24"/>
                <w:szCs w:val="24"/>
              </w:rPr>
            </w:pPr>
            <w:r>
              <w:rPr>
                <w:rFonts w:hint="eastAsia"/>
                <w:sz w:val="24"/>
                <w:szCs w:val="24"/>
              </w:rPr>
              <w:t>摄像头：前置摄像头500万像素；后置摄像头1300万像素；支持自动对焦；后置摄像头闪光灯</w:t>
            </w:r>
          </w:p>
        </w:tc>
      </w:tr>
      <w:tr w14:paraId="30210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14:paraId="3DA3E3B8">
            <w:pPr>
              <w:pStyle w:val="11"/>
              <w:spacing w:line="360" w:lineRule="auto"/>
              <w:jc w:val="center"/>
              <w:rPr>
                <w:rFonts w:hint="eastAsia"/>
                <w:sz w:val="24"/>
                <w:szCs w:val="24"/>
              </w:rPr>
            </w:pPr>
            <w:r>
              <w:rPr>
                <w:rFonts w:hint="eastAsia"/>
                <w:sz w:val="24"/>
                <w:szCs w:val="24"/>
              </w:rPr>
              <w:t>8</w:t>
            </w:r>
          </w:p>
        </w:tc>
        <w:tc>
          <w:tcPr>
            <w:tcW w:w="567" w:type="dxa"/>
          </w:tcPr>
          <w:p w14:paraId="5363CD21">
            <w:pPr>
              <w:pStyle w:val="11"/>
              <w:spacing w:line="360" w:lineRule="auto"/>
              <w:jc w:val="center"/>
              <w:rPr>
                <w:rFonts w:hint="eastAsia"/>
                <w:sz w:val="24"/>
                <w:szCs w:val="24"/>
              </w:rPr>
            </w:pPr>
          </w:p>
        </w:tc>
        <w:tc>
          <w:tcPr>
            <w:tcW w:w="7938" w:type="dxa"/>
          </w:tcPr>
          <w:p w14:paraId="36C1492D">
            <w:pPr>
              <w:pStyle w:val="11"/>
              <w:spacing w:line="360" w:lineRule="auto"/>
              <w:rPr>
                <w:rFonts w:hint="eastAsia"/>
                <w:sz w:val="24"/>
                <w:szCs w:val="24"/>
              </w:rPr>
            </w:pPr>
            <w:r>
              <w:rPr>
                <w:rFonts w:hint="eastAsia"/>
                <w:sz w:val="24"/>
                <w:szCs w:val="24"/>
              </w:rPr>
              <w:t>2个SIM卡槽，1个Micro SD卡槽(最大支持</w:t>
            </w:r>
            <w:r>
              <w:rPr>
                <w:rFonts w:hint="eastAsia"/>
                <w:color w:val="000000" w:themeColor="text1"/>
                <w:sz w:val="24"/>
                <w:szCs w:val="24"/>
                <w14:textFill>
                  <w14:solidFill>
                    <w14:schemeClr w14:val="tx1"/>
                  </w14:solidFill>
                </w14:textFill>
              </w:rPr>
              <w:t>≥</w:t>
            </w:r>
            <w:r>
              <w:rPr>
                <w:rFonts w:hint="eastAsia"/>
                <w:sz w:val="24"/>
                <w:szCs w:val="24"/>
              </w:rPr>
              <w:t>256GB)</w:t>
            </w:r>
          </w:p>
        </w:tc>
      </w:tr>
      <w:tr w14:paraId="001D4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14:paraId="7D8418FB">
            <w:pPr>
              <w:pStyle w:val="11"/>
              <w:spacing w:line="360" w:lineRule="auto"/>
              <w:jc w:val="center"/>
              <w:rPr>
                <w:rFonts w:hint="eastAsia"/>
                <w:sz w:val="24"/>
                <w:szCs w:val="24"/>
              </w:rPr>
            </w:pPr>
            <w:r>
              <w:rPr>
                <w:rFonts w:hint="eastAsia"/>
                <w:sz w:val="24"/>
                <w:szCs w:val="24"/>
              </w:rPr>
              <w:t>9</w:t>
            </w:r>
          </w:p>
        </w:tc>
        <w:tc>
          <w:tcPr>
            <w:tcW w:w="567" w:type="dxa"/>
          </w:tcPr>
          <w:p w14:paraId="4FBF5F80">
            <w:pPr>
              <w:pStyle w:val="11"/>
              <w:spacing w:line="360" w:lineRule="auto"/>
              <w:jc w:val="center"/>
              <w:rPr>
                <w:rFonts w:hint="eastAsia"/>
                <w:sz w:val="24"/>
                <w:szCs w:val="24"/>
              </w:rPr>
            </w:pPr>
          </w:p>
        </w:tc>
        <w:tc>
          <w:tcPr>
            <w:tcW w:w="7938" w:type="dxa"/>
          </w:tcPr>
          <w:p w14:paraId="7BBF9753">
            <w:pPr>
              <w:pStyle w:val="11"/>
              <w:spacing w:line="360" w:lineRule="auto"/>
              <w:rPr>
                <w:rFonts w:hint="eastAsia"/>
                <w:sz w:val="24"/>
                <w:szCs w:val="24"/>
              </w:rPr>
            </w:pPr>
            <w:r>
              <w:rPr>
                <w:rFonts w:hint="eastAsia"/>
                <w:sz w:val="24"/>
                <w:szCs w:val="24"/>
              </w:rPr>
              <w:t>条码引擎：支持一维、二维码扫描。可自定义扫描按键，支持连续扫描，支持扫描屏幕码，支持多条码准心模式</w:t>
            </w:r>
          </w:p>
        </w:tc>
      </w:tr>
      <w:tr w14:paraId="2CD03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14:paraId="7E035DD6">
            <w:pPr>
              <w:pStyle w:val="11"/>
              <w:spacing w:line="360" w:lineRule="auto"/>
              <w:jc w:val="center"/>
              <w:rPr>
                <w:rFonts w:hint="eastAsia"/>
                <w:sz w:val="24"/>
                <w:szCs w:val="24"/>
              </w:rPr>
            </w:pPr>
            <w:r>
              <w:rPr>
                <w:rFonts w:hint="eastAsia"/>
                <w:sz w:val="24"/>
                <w:szCs w:val="24"/>
              </w:rPr>
              <w:t>10</w:t>
            </w:r>
          </w:p>
        </w:tc>
        <w:tc>
          <w:tcPr>
            <w:tcW w:w="567" w:type="dxa"/>
          </w:tcPr>
          <w:p w14:paraId="6233CC7C">
            <w:pPr>
              <w:pStyle w:val="11"/>
              <w:spacing w:line="360" w:lineRule="auto"/>
              <w:jc w:val="center"/>
              <w:rPr>
                <w:rFonts w:hint="eastAsia"/>
                <w:sz w:val="24"/>
                <w:szCs w:val="24"/>
              </w:rPr>
            </w:pPr>
          </w:p>
        </w:tc>
        <w:tc>
          <w:tcPr>
            <w:tcW w:w="7938" w:type="dxa"/>
          </w:tcPr>
          <w:p w14:paraId="78388EEE">
            <w:pPr>
              <w:pStyle w:val="11"/>
              <w:spacing w:line="360" w:lineRule="auto"/>
              <w:rPr>
                <w:rFonts w:hint="eastAsia"/>
                <w:sz w:val="24"/>
                <w:szCs w:val="24"/>
              </w:rPr>
            </w:pPr>
            <w:r>
              <w:rPr>
                <w:rFonts w:hint="eastAsia"/>
                <w:sz w:val="24"/>
                <w:szCs w:val="24"/>
              </w:rPr>
              <w:t>无线局域网：支持双频 2.4G 及5G频段，支持 WIFI协议：IEE802.11a/b/g/n/ac/ax 支持IEEE 802.11 d/e/h/i/j/k/r/v/w，支持快速漫游，支持wifi6协议</w:t>
            </w:r>
          </w:p>
        </w:tc>
      </w:tr>
      <w:tr w14:paraId="7E8F5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14:paraId="49FA8633">
            <w:pPr>
              <w:pStyle w:val="11"/>
              <w:spacing w:line="360" w:lineRule="auto"/>
              <w:jc w:val="center"/>
              <w:rPr>
                <w:rFonts w:hint="eastAsia"/>
                <w:sz w:val="24"/>
                <w:szCs w:val="24"/>
              </w:rPr>
            </w:pPr>
            <w:r>
              <w:rPr>
                <w:rFonts w:hint="eastAsia"/>
                <w:sz w:val="24"/>
                <w:szCs w:val="24"/>
              </w:rPr>
              <w:t>11</w:t>
            </w:r>
          </w:p>
        </w:tc>
        <w:tc>
          <w:tcPr>
            <w:tcW w:w="567" w:type="dxa"/>
          </w:tcPr>
          <w:p w14:paraId="2AFB34FC">
            <w:pPr>
              <w:pStyle w:val="11"/>
              <w:spacing w:line="360" w:lineRule="auto"/>
              <w:jc w:val="center"/>
              <w:rPr>
                <w:rFonts w:hint="eastAsia"/>
                <w:sz w:val="24"/>
                <w:szCs w:val="24"/>
              </w:rPr>
            </w:pPr>
          </w:p>
        </w:tc>
        <w:tc>
          <w:tcPr>
            <w:tcW w:w="7938" w:type="dxa"/>
          </w:tcPr>
          <w:p w14:paraId="022C74F4">
            <w:pPr>
              <w:pStyle w:val="11"/>
              <w:spacing w:line="360" w:lineRule="auto"/>
              <w:rPr>
                <w:rFonts w:hint="eastAsia"/>
                <w:sz w:val="24"/>
                <w:szCs w:val="24"/>
              </w:rPr>
            </w:pPr>
            <w:r>
              <w:rPr>
                <w:rFonts w:hint="eastAsia"/>
                <w:sz w:val="24"/>
                <w:szCs w:val="24"/>
              </w:rPr>
              <w:t>网络：双卡5G全网通；支持电信、广电、移动、联通运营商；支持5G及4G的物联网卡</w:t>
            </w:r>
          </w:p>
        </w:tc>
      </w:tr>
    </w:tbl>
    <w:p w14:paraId="5C8090C1">
      <w:pPr>
        <w:spacing w:line="360" w:lineRule="auto"/>
        <w:rPr>
          <w:rFonts w:hint="eastAsia" w:ascii="宋体" w:hAnsi="宋体" w:cs="宋体"/>
          <w:sz w:val="24"/>
        </w:rPr>
      </w:pPr>
    </w:p>
    <w:p w14:paraId="4B3E2FE1">
      <w:pPr>
        <w:pStyle w:val="3"/>
        <w:spacing w:line="360" w:lineRule="auto"/>
        <w:rPr>
          <w:rFonts w:hint="eastAsia" w:hAnsi="宋体" w:cs="宋体"/>
          <w:szCs w:val="24"/>
          <w:u w:val="none"/>
        </w:rPr>
      </w:pPr>
      <w:r>
        <w:rPr>
          <w:rFonts w:hint="eastAsia" w:hAnsi="宋体" w:cs="宋体"/>
          <w:szCs w:val="24"/>
          <w:u w:val="none"/>
        </w:rPr>
        <w:t>4.13 平板电脑（9台）</w:t>
      </w:r>
    </w:p>
    <w:tbl>
      <w:tblPr>
        <w:tblStyle w:val="7"/>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2"/>
        <w:gridCol w:w="567"/>
        <w:gridCol w:w="7938"/>
      </w:tblGrid>
      <w:tr w14:paraId="16BC7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2BBF9691">
            <w:pPr>
              <w:pStyle w:val="11"/>
              <w:spacing w:line="360" w:lineRule="auto"/>
              <w:jc w:val="center"/>
              <w:rPr>
                <w:rFonts w:hint="eastAsia"/>
                <w:b/>
                <w:bCs/>
                <w:sz w:val="24"/>
                <w:szCs w:val="24"/>
              </w:rPr>
            </w:pPr>
            <w:r>
              <w:rPr>
                <w:rFonts w:hint="eastAsia"/>
                <w:b/>
                <w:bCs/>
                <w:sz w:val="24"/>
                <w:szCs w:val="24"/>
              </w:rPr>
              <w:t>序号</w:t>
            </w:r>
          </w:p>
        </w:tc>
        <w:tc>
          <w:tcPr>
            <w:tcW w:w="567" w:type="dxa"/>
            <w:vAlign w:val="center"/>
          </w:tcPr>
          <w:p w14:paraId="70000B9E">
            <w:pPr>
              <w:pStyle w:val="11"/>
              <w:spacing w:line="360" w:lineRule="auto"/>
              <w:jc w:val="center"/>
              <w:rPr>
                <w:rFonts w:hint="eastAsia"/>
                <w:b/>
                <w:bCs/>
                <w:sz w:val="24"/>
                <w:szCs w:val="24"/>
              </w:rPr>
            </w:pPr>
            <w:r>
              <w:rPr>
                <w:rFonts w:hint="eastAsia"/>
                <w:b/>
                <w:bCs/>
                <w:sz w:val="24"/>
                <w:szCs w:val="24"/>
              </w:rPr>
              <w:t>标记</w:t>
            </w:r>
          </w:p>
        </w:tc>
        <w:tc>
          <w:tcPr>
            <w:tcW w:w="7938" w:type="dxa"/>
            <w:vAlign w:val="center"/>
          </w:tcPr>
          <w:p w14:paraId="4CCAAF86">
            <w:pPr>
              <w:pStyle w:val="11"/>
              <w:spacing w:line="360" w:lineRule="auto"/>
              <w:jc w:val="center"/>
              <w:rPr>
                <w:rFonts w:hint="eastAsia"/>
                <w:b/>
                <w:bCs/>
                <w:sz w:val="24"/>
                <w:szCs w:val="24"/>
              </w:rPr>
            </w:pPr>
            <w:r>
              <w:rPr>
                <w:rFonts w:hint="eastAsia"/>
                <w:b/>
                <w:bCs/>
                <w:sz w:val="24"/>
                <w:szCs w:val="24"/>
              </w:rPr>
              <w:t>技术指标要求</w:t>
            </w:r>
          </w:p>
        </w:tc>
      </w:tr>
      <w:tr w14:paraId="4B40B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14:paraId="5809A544">
            <w:pPr>
              <w:pStyle w:val="11"/>
              <w:spacing w:line="360" w:lineRule="auto"/>
              <w:jc w:val="center"/>
              <w:rPr>
                <w:rFonts w:hint="eastAsia"/>
                <w:sz w:val="24"/>
                <w:szCs w:val="24"/>
              </w:rPr>
            </w:pPr>
            <w:r>
              <w:rPr>
                <w:rFonts w:hint="eastAsia"/>
                <w:sz w:val="24"/>
                <w:szCs w:val="24"/>
              </w:rPr>
              <w:t>1</w:t>
            </w:r>
          </w:p>
        </w:tc>
        <w:tc>
          <w:tcPr>
            <w:tcW w:w="567" w:type="dxa"/>
          </w:tcPr>
          <w:p w14:paraId="0515F64D">
            <w:pPr>
              <w:pStyle w:val="11"/>
              <w:spacing w:line="360" w:lineRule="auto"/>
              <w:jc w:val="center"/>
              <w:rPr>
                <w:rFonts w:hint="eastAsia"/>
                <w:sz w:val="24"/>
                <w:szCs w:val="24"/>
              </w:rPr>
            </w:pPr>
          </w:p>
        </w:tc>
        <w:tc>
          <w:tcPr>
            <w:tcW w:w="7938" w:type="dxa"/>
          </w:tcPr>
          <w:p w14:paraId="36969E39">
            <w:pPr>
              <w:pStyle w:val="11"/>
              <w:spacing w:line="360" w:lineRule="auto"/>
              <w:rPr>
                <w:rFonts w:hint="eastAsia"/>
                <w:sz w:val="24"/>
                <w:szCs w:val="24"/>
              </w:rPr>
            </w:pPr>
            <w:r>
              <w:rPr>
                <w:rFonts w:hint="eastAsia"/>
                <w:sz w:val="24"/>
                <w:szCs w:val="24"/>
              </w:rPr>
              <w:t>处理器：性能不低于第三代骁龙8s</w:t>
            </w:r>
          </w:p>
        </w:tc>
      </w:tr>
      <w:tr w14:paraId="52E3F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14:paraId="0CD2CF20">
            <w:pPr>
              <w:pStyle w:val="11"/>
              <w:spacing w:line="360" w:lineRule="auto"/>
              <w:jc w:val="center"/>
              <w:rPr>
                <w:rFonts w:hint="eastAsia"/>
                <w:sz w:val="24"/>
                <w:szCs w:val="24"/>
              </w:rPr>
            </w:pPr>
            <w:r>
              <w:rPr>
                <w:rFonts w:hint="eastAsia"/>
                <w:sz w:val="24"/>
                <w:szCs w:val="24"/>
              </w:rPr>
              <w:t>2</w:t>
            </w:r>
          </w:p>
        </w:tc>
        <w:tc>
          <w:tcPr>
            <w:tcW w:w="567" w:type="dxa"/>
          </w:tcPr>
          <w:p w14:paraId="0E60B45A">
            <w:pPr>
              <w:pStyle w:val="11"/>
              <w:spacing w:line="360" w:lineRule="auto"/>
              <w:jc w:val="center"/>
              <w:rPr>
                <w:rFonts w:hint="eastAsia"/>
                <w:sz w:val="24"/>
                <w:szCs w:val="24"/>
              </w:rPr>
            </w:pPr>
          </w:p>
        </w:tc>
        <w:tc>
          <w:tcPr>
            <w:tcW w:w="7938" w:type="dxa"/>
          </w:tcPr>
          <w:p w14:paraId="2EF39D3D">
            <w:pPr>
              <w:pStyle w:val="11"/>
              <w:spacing w:line="360" w:lineRule="auto"/>
              <w:rPr>
                <w:rFonts w:hint="eastAsia"/>
                <w:sz w:val="24"/>
                <w:szCs w:val="24"/>
              </w:rPr>
            </w:pPr>
            <w:r>
              <w:rPr>
                <w:rFonts w:hint="eastAsia"/>
                <w:sz w:val="24"/>
                <w:szCs w:val="24"/>
              </w:rPr>
              <w:t>OLED屏幕，分辨率≥2.8K（2880*1800）</w:t>
            </w:r>
          </w:p>
        </w:tc>
      </w:tr>
      <w:tr w14:paraId="4FEA1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14:paraId="0F946C32">
            <w:pPr>
              <w:pStyle w:val="11"/>
              <w:spacing w:line="360" w:lineRule="auto"/>
              <w:jc w:val="center"/>
              <w:rPr>
                <w:rFonts w:hint="eastAsia"/>
                <w:sz w:val="24"/>
                <w:szCs w:val="24"/>
              </w:rPr>
            </w:pPr>
            <w:r>
              <w:rPr>
                <w:rFonts w:hint="eastAsia"/>
                <w:sz w:val="24"/>
                <w:szCs w:val="24"/>
              </w:rPr>
              <w:t>3</w:t>
            </w:r>
          </w:p>
        </w:tc>
        <w:tc>
          <w:tcPr>
            <w:tcW w:w="567" w:type="dxa"/>
          </w:tcPr>
          <w:p w14:paraId="4C0768FE">
            <w:pPr>
              <w:pStyle w:val="11"/>
              <w:spacing w:line="360" w:lineRule="auto"/>
              <w:jc w:val="center"/>
              <w:rPr>
                <w:rFonts w:hint="eastAsia"/>
                <w:sz w:val="24"/>
                <w:szCs w:val="24"/>
              </w:rPr>
            </w:pPr>
          </w:p>
        </w:tc>
        <w:tc>
          <w:tcPr>
            <w:tcW w:w="7938" w:type="dxa"/>
          </w:tcPr>
          <w:p w14:paraId="5353C644">
            <w:pPr>
              <w:pStyle w:val="11"/>
              <w:spacing w:line="360" w:lineRule="auto"/>
              <w:rPr>
                <w:rFonts w:hint="eastAsia"/>
                <w:sz w:val="24"/>
                <w:szCs w:val="24"/>
              </w:rPr>
            </w:pPr>
            <w:r>
              <w:rPr>
                <w:rFonts w:hint="eastAsia"/>
                <w:sz w:val="24"/>
                <w:szCs w:val="24"/>
              </w:rPr>
              <w:t>存储容量≥128GB</w:t>
            </w:r>
          </w:p>
        </w:tc>
      </w:tr>
      <w:tr w14:paraId="78CF7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14:paraId="61AB133B">
            <w:pPr>
              <w:pStyle w:val="11"/>
              <w:spacing w:line="360" w:lineRule="auto"/>
              <w:jc w:val="center"/>
              <w:rPr>
                <w:rFonts w:hint="eastAsia"/>
                <w:sz w:val="24"/>
                <w:szCs w:val="24"/>
              </w:rPr>
            </w:pPr>
            <w:r>
              <w:rPr>
                <w:rFonts w:hint="eastAsia"/>
                <w:sz w:val="24"/>
                <w:szCs w:val="24"/>
              </w:rPr>
              <w:t>4</w:t>
            </w:r>
          </w:p>
        </w:tc>
        <w:tc>
          <w:tcPr>
            <w:tcW w:w="567" w:type="dxa"/>
          </w:tcPr>
          <w:p w14:paraId="7B0DA4B5">
            <w:pPr>
              <w:pStyle w:val="11"/>
              <w:spacing w:line="360" w:lineRule="auto"/>
              <w:jc w:val="center"/>
              <w:rPr>
                <w:rFonts w:hint="eastAsia"/>
                <w:sz w:val="24"/>
                <w:szCs w:val="24"/>
              </w:rPr>
            </w:pPr>
          </w:p>
        </w:tc>
        <w:tc>
          <w:tcPr>
            <w:tcW w:w="7938" w:type="dxa"/>
          </w:tcPr>
          <w:p w14:paraId="5574B1A2">
            <w:pPr>
              <w:pStyle w:val="11"/>
              <w:spacing w:line="360" w:lineRule="auto"/>
              <w:rPr>
                <w:rFonts w:hint="eastAsia"/>
                <w:sz w:val="24"/>
                <w:szCs w:val="24"/>
              </w:rPr>
            </w:pPr>
            <w:r>
              <w:rPr>
                <w:rFonts w:hint="eastAsia"/>
                <w:sz w:val="24"/>
                <w:szCs w:val="24"/>
              </w:rPr>
              <w:t>运行内存≥6GB</w:t>
            </w:r>
          </w:p>
        </w:tc>
      </w:tr>
      <w:tr w14:paraId="4C3F3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14:paraId="4995E6A0">
            <w:pPr>
              <w:pStyle w:val="11"/>
              <w:spacing w:line="360" w:lineRule="auto"/>
              <w:jc w:val="center"/>
              <w:rPr>
                <w:rFonts w:hint="eastAsia"/>
                <w:sz w:val="24"/>
                <w:szCs w:val="24"/>
              </w:rPr>
            </w:pPr>
            <w:r>
              <w:rPr>
                <w:rFonts w:hint="eastAsia"/>
                <w:sz w:val="24"/>
                <w:szCs w:val="24"/>
              </w:rPr>
              <w:t>5</w:t>
            </w:r>
          </w:p>
        </w:tc>
        <w:tc>
          <w:tcPr>
            <w:tcW w:w="567" w:type="dxa"/>
          </w:tcPr>
          <w:p w14:paraId="16BD7141">
            <w:pPr>
              <w:pStyle w:val="11"/>
              <w:spacing w:line="360" w:lineRule="auto"/>
              <w:jc w:val="center"/>
              <w:rPr>
                <w:rFonts w:hint="eastAsia"/>
                <w:sz w:val="24"/>
                <w:szCs w:val="24"/>
              </w:rPr>
            </w:pPr>
          </w:p>
        </w:tc>
        <w:tc>
          <w:tcPr>
            <w:tcW w:w="7938" w:type="dxa"/>
          </w:tcPr>
          <w:p w14:paraId="7CAE7804">
            <w:pPr>
              <w:pStyle w:val="11"/>
              <w:spacing w:line="360" w:lineRule="auto"/>
              <w:rPr>
                <w:rFonts w:hint="eastAsia"/>
                <w:sz w:val="24"/>
                <w:szCs w:val="24"/>
              </w:rPr>
            </w:pPr>
            <w:r>
              <w:rPr>
                <w:rFonts w:hint="eastAsia"/>
                <w:sz w:val="24"/>
                <w:szCs w:val="24"/>
              </w:rPr>
              <w:t>≥12英寸；厚度≤7mm，重量≤650g</w:t>
            </w:r>
          </w:p>
        </w:tc>
      </w:tr>
      <w:tr w14:paraId="1512B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14:paraId="2FCE06DD">
            <w:pPr>
              <w:pStyle w:val="11"/>
              <w:spacing w:line="360" w:lineRule="auto"/>
              <w:jc w:val="center"/>
              <w:rPr>
                <w:rFonts w:hint="eastAsia"/>
                <w:sz w:val="24"/>
                <w:szCs w:val="24"/>
              </w:rPr>
            </w:pPr>
            <w:r>
              <w:rPr>
                <w:rFonts w:hint="eastAsia"/>
                <w:sz w:val="24"/>
                <w:szCs w:val="24"/>
              </w:rPr>
              <w:t>6</w:t>
            </w:r>
          </w:p>
        </w:tc>
        <w:tc>
          <w:tcPr>
            <w:tcW w:w="567" w:type="dxa"/>
          </w:tcPr>
          <w:p w14:paraId="0DEA2980">
            <w:pPr>
              <w:pStyle w:val="11"/>
              <w:spacing w:line="360" w:lineRule="auto"/>
              <w:jc w:val="center"/>
              <w:rPr>
                <w:rFonts w:hint="eastAsia"/>
                <w:sz w:val="24"/>
                <w:szCs w:val="24"/>
              </w:rPr>
            </w:pPr>
          </w:p>
        </w:tc>
        <w:tc>
          <w:tcPr>
            <w:tcW w:w="7938" w:type="dxa"/>
          </w:tcPr>
          <w:p w14:paraId="6B46C57A">
            <w:pPr>
              <w:pStyle w:val="11"/>
              <w:spacing w:line="360" w:lineRule="auto"/>
              <w:rPr>
                <w:rFonts w:hint="eastAsia"/>
                <w:sz w:val="24"/>
                <w:szCs w:val="24"/>
              </w:rPr>
            </w:pPr>
            <w:r>
              <w:rPr>
                <w:rFonts w:hint="eastAsia"/>
                <w:sz w:val="24"/>
                <w:szCs w:val="24"/>
              </w:rPr>
              <w:t>前置摄像头像素≥500万，后置摄像头像素≥1300万</w:t>
            </w:r>
          </w:p>
        </w:tc>
      </w:tr>
      <w:tr w14:paraId="3E892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14:paraId="0A531381">
            <w:pPr>
              <w:pStyle w:val="11"/>
              <w:spacing w:line="360" w:lineRule="auto"/>
              <w:jc w:val="center"/>
              <w:rPr>
                <w:rFonts w:hint="eastAsia"/>
                <w:sz w:val="24"/>
                <w:szCs w:val="24"/>
              </w:rPr>
            </w:pPr>
            <w:r>
              <w:rPr>
                <w:rFonts w:hint="eastAsia"/>
                <w:sz w:val="24"/>
                <w:szCs w:val="24"/>
              </w:rPr>
              <w:t>7</w:t>
            </w:r>
          </w:p>
        </w:tc>
        <w:tc>
          <w:tcPr>
            <w:tcW w:w="567" w:type="dxa"/>
          </w:tcPr>
          <w:p w14:paraId="301FEA2C">
            <w:pPr>
              <w:pStyle w:val="11"/>
              <w:spacing w:line="360" w:lineRule="auto"/>
              <w:jc w:val="center"/>
              <w:rPr>
                <w:rFonts w:hint="eastAsia"/>
                <w:sz w:val="24"/>
                <w:szCs w:val="24"/>
              </w:rPr>
            </w:pPr>
          </w:p>
        </w:tc>
        <w:tc>
          <w:tcPr>
            <w:tcW w:w="7938" w:type="dxa"/>
          </w:tcPr>
          <w:p w14:paraId="53675733">
            <w:pPr>
              <w:pStyle w:val="11"/>
              <w:spacing w:line="360" w:lineRule="auto"/>
              <w:rPr>
                <w:rFonts w:hint="eastAsia"/>
                <w:sz w:val="24"/>
                <w:szCs w:val="24"/>
              </w:rPr>
            </w:pPr>
            <w:r>
              <w:rPr>
                <w:rFonts w:hint="eastAsia"/>
                <w:sz w:val="24"/>
                <w:szCs w:val="24"/>
              </w:rPr>
              <w:t>电池容量≥5000mAh，确保设备在正常使用情况下（如持续运行医疗软件、查看病历、进行视频通话等），续航时间≥8 小时；支持快速充电技术（支持最大充电功率≥30W）</w:t>
            </w:r>
          </w:p>
        </w:tc>
      </w:tr>
      <w:tr w14:paraId="51034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14:paraId="2EEC424F">
            <w:pPr>
              <w:pStyle w:val="11"/>
              <w:spacing w:line="360" w:lineRule="auto"/>
              <w:jc w:val="center"/>
              <w:rPr>
                <w:rFonts w:hint="eastAsia"/>
                <w:sz w:val="24"/>
                <w:szCs w:val="24"/>
              </w:rPr>
            </w:pPr>
            <w:r>
              <w:rPr>
                <w:rFonts w:hint="eastAsia"/>
                <w:sz w:val="24"/>
                <w:szCs w:val="24"/>
              </w:rPr>
              <w:t>8</w:t>
            </w:r>
          </w:p>
        </w:tc>
        <w:tc>
          <w:tcPr>
            <w:tcW w:w="567" w:type="dxa"/>
          </w:tcPr>
          <w:p w14:paraId="38B8A944">
            <w:pPr>
              <w:pStyle w:val="11"/>
              <w:spacing w:line="360" w:lineRule="auto"/>
              <w:jc w:val="center"/>
              <w:rPr>
                <w:rFonts w:hint="eastAsia"/>
                <w:sz w:val="24"/>
                <w:szCs w:val="24"/>
              </w:rPr>
            </w:pPr>
          </w:p>
        </w:tc>
        <w:tc>
          <w:tcPr>
            <w:tcW w:w="7938" w:type="dxa"/>
          </w:tcPr>
          <w:p w14:paraId="1F426401">
            <w:pPr>
              <w:pStyle w:val="11"/>
              <w:spacing w:line="360" w:lineRule="auto"/>
              <w:rPr>
                <w:rFonts w:hint="eastAsia"/>
                <w:sz w:val="24"/>
                <w:szCs w:val="24"/>
              </w:rPr>
            </w:pPr>
            <w:r>
              <w:rPr>
                <w:rFonts w:hint="eastAsia"/>
                <w:sz w:val="24"/>
                <w:szCs w:val="24"/>
              </w:rPr>
              <w:t>配备多功能Type-C接口 支持USB3.0以上标准</w:t>
            </w:r>
          </w:p>
        </w:tc>
      </w:tr>
      <w:bookmarkEnd w:id="2"/>
    </w:tbl>
    <w:p w14:paraId="06B10CDA">
      <w:pPr>
        <w:spacing w:line="360" w:lineRule="auto"/>
        <w:rPr>
          <w:rFonts w:hint="eastAsia" w:ascii="宋体" w:hAnsi="宋体" w:cs="宋体"/>
          <w:sz w:val="24"/>
        </w:rPr>
      </w:pPr>
    </w:p>
    <w:p w14:paraId="5146C217">
      <w:pPr>
        <w:pStyle w:val="2"/>
        <w:spacing w:line="360" w:lineRule="auto"/>
        <w:jc w:val="both"/>
        <w:rPr>
          <w:rFonts w:hint="eastAsia" w:ascii="宋体" w:hAnsi="宋体" w:eastAsia="宋体" w:cs="宋体"/>
          <w:sz w:val="24"/>
          <w:szCs w:val="24"/>
        </w:rPr>
      </w:pPr>
      <w:r>
        <w:rPr>
          <w:rFonts w:hint="eastAsia" w:ascii="宋体" w:hAnsi="宋体" w:eastAsia="宋体" w:cs="宋体"/>
          <w:sz w:val="24"/>
          <w:szCs w:val="24"/>
        </w:rPr>
        <w:t>5、系统集成要求</w:t>
      </w:r>
    </w:p>
    <w:p w14:paraId="2290BD5B">
      <w:pPr>
        <w:pStyle w:val="10"/>
        <w:numPr>
          <w:ilvl w:val="0"/>
          <w:numId w:val="1"/>
        </w:numPr>
        <w:ind w:firstLineChars="0"/>
        <w:rPr>
          <w:rFonts w:hint="eastAsia" w:ascii="宋体" w:hAnsi="宋体" w:cs="宋体"/>
        </w:rPr>
      </w:pPr>
      <w:r>
        <w:rPr>
          <w:rFonts w:hint="eastAsia" w:ascii="宋体" w:hAnsi="宋体" w:cs="宋体"/>
        </w:rPr>
        <w:t>设备安装：所有设备在标书中所规定的地点和环境下，实现正常运行，并达到标书要求的性能和产品技术规格中的性能。</w:t>
      </w:r>
    </w:p>
    <w:p w14:paraId="25BD0D19">
      <w:pPr>
        <w:pStyle w:val="10"/>
        <w:numPr>
          <w:ilvl w:val="0"/>
          <w:numId w:val="1"/>
        </w:numPr>
        <w:ind w:firstLineChars="0"/>
        <w:rPr>
          <w:rFonts w:hint="eastAsia" w:ascii="宋体" w:hAnsi="宋体" w:cs="宋体"/>
        </w:rPr>
      </w:pPr>
      <w:r>
        <w:rPr>
          <w:rFonts w:hint="eastAsia" w:ascii="宋体" w:hAnsi="宋体" w:cs="宋体"/>
        </w:rPr>
        <w:t>现有软硬件扩容：需提供详细的扩容方案，并保证在实施过程中能够与现有服务器、交换机等软硬件良好集成，割接切换过程不影响医院业务正常运行。</w:t>
      </w:r>
    </w:p>
    <w:p w14:paraId="60AC4508">
      <w:pPr>
        <w:pStyle w:val="10"/>
        <w:numPr>
          <w:ilvl w:val="0"/>
          <w:numId w:val="1"/>
        </w:numPr>
        <w:ind w:firstLineChars="0"/>
        <w:rPr>
          <w:rFonts w:hint="eastAsia" w:ascii="宋体" w:hAnsi="宋体" w:cs="宋体"/>
        </w:rPr>
      </w:pPr>
      <w:r>
        <w:rPr>
          <w:rFonts w:hint="eastAsia" w:ascii="宋体" w:hAnsi="宋体" w:cs="宋体"/>
        </w:rPr>
        <w:t>无线网等综合布线：需完成约50个信息点综合布线工作，包括电缆、两端模块、底盒、面板、调试等，不另外收取材料或人工费用。</w:t>
      </w:r>
    </w:p>
    <w:p w14:paraId="4BE132A6">
      <w:pPr>
        <w:pStyle w:val="10"/>
        <w:numPr>
          <w:ilvl w:val="0"/>
          <w:numId w:val="1"/>
        </w:numPr>
        <w:ind w:firstLineChars="0"/>
        <w:rPr>
          <w:rFonts w:hint="eastAsia" w:ascii="宋体" w:hAnsi="宋体" w:cs="宋体"/>
        </w:rPr>
      </w:pPr>
      <w:r>
        <w:rPr>
          <w:rFonts w:hint="eastAsia" w:ascii="宋体" w:hAnsi="宋体" w:cs="宋体"/>
        </w:rPr>
        <w:t>设备调试：配套设备的连接测试，构成相应的硬件平台、软件平台和网络平台。</w:t>
      </w:r>
    </w:p>
    <w:p w14:paraId="1960F5FB">
      <w:pPr>
        <w:pStyle w:val="2"/>
        <w:spacing w:line="360" w:lineRule="auto"/>
        <w:jc w:val="both"/>
        <w:rPr>
          <w:rFonts w:hint="eastAsia" w:ascii="宋体" w:hAnsi="宋体" w:eastAsia="宋体" w:cs="宋体"/>
          <w:sz w:val="24"/>
          <w:szCs w:val="24"/>
        </w:rPr>
      </w:pPr>
      <w:r>
        <w:rPr>
          <w:rFonts w:hint="eastAsia" w:ascii="宋体" w:hAnsi="宋体" w:eastAsia="宋体" w:cs="宋体"/>
          <w:sz w:val="24"/>
          <w:szCs w:val="24"/>
        </w:rPr>
        <w:t>6、软件系统集成和对接要求</w:t>
      </w:r>
    </w:p>
    <w:p w14:paraId="37C95256">
      <w:pPr>
        <w:pStyle w:val="10"/>
        <w:rPr>
          <w:rFonts w:hint="eastAsia" w:ascii="宋体" w:hAnsi="宋体" w:cs="宋体"/>
        </w:rPr>
      </w:pPr>
      <w:r>
        <w:rPr>
          <w:rFonts w:hint="eastAsia" w:ascii="宋体" w:hAnsi="宋体" w:cs="宋体"/>
        </w:rPr>
        <w:t>本次升级和新建的各信息系统与医院已建设的系统需实现高适配性对接，包括免账号登录，即不需要在各个不同系统之间反复登录，功能菜单嵌入/植入：即能够合理安排两个系统的功能菜单，在需要时能够通过原系统打开现有系统的相应功能；无感切换界面：在日常工作中，可根据业务流程正常依次操作功能，不需要打开不同窗口并反复切换窗口操作。数据集成：两个系统间的关联数据应自动带入、自动填写，不需要医护人员重复录入。</w:t>
      </w:r>
    </w:p>
    <w:p w14:paraId="416870E7">
      <w:pPr>
        <w:pStyle w:val="10"/>
        <w:rPr>
          <w:rFonts w:hint="eastAsia" w:ascii="宋体" w:hAnsi="宋体" w:cs="宋体"/>
        </w:rPr>
      </w:pPr>
      <w:r>
        <w:rPr>
          <w:rFonts w:hint="eastAsia" w:ascii="宋体" w:hAnsi="宋体" w:cs="宋体"/>
        </w:rPr>
        <w:t>各分子系统与现有系统的集成对接要求如下：</w:t>
      </w:r>
    </w:p>
    <w:p w14:paraId="5EC02894">
      <w:pPr>
        <w:pStyle w:val="10"/>
        <w:numPr>
          <w:ilvl w:val="0"/>
          <w:numId w:val="2"/>
        </w:numPr>
        <w:ind w:firstLineChars="0"/>
        <w:rPr>
          <w:rFonts w:hint="eastAsia" w:ascii="宋体" w:hAnsi="宋体" w:cs="宋体"/>
        </w:rPr>
      </w:pPr>
      <w:r>
        <w:rPr>
          <w:rFonts w:hint="eastAsia" w:ascii="宋体" w:hAnsi="宋体" w:cs="宋体"/>
        </w:rPr>
        <w:t>支持并实现抗菌药物管理与HIS系统高适配性对接(免账号登录、功能菜单植入、无感切换界面、数据集成等)</w:t>
      </w:r>
    </w:p>
    <w:p w14:paraId="0CE1ADBB">
      <w:pPr>
        <w:pStyle w:val="10"/>
        <w:numPr>
          <w:ilvl w:val="0"/>
          <w:numId w:val="2"/>
        </w:numPr>
        <w:ind w:firstLineChars="0"/>
        <w:rPr>
          <w:rFonts w:hint="eastAsia" w:ascii="宋体" w:hAnsi="宋体" w:cs="宋体"/>
        </w:rPr>
      </w:pPr>
      <w:r>
        <w:rPr>
          <w:rFonts w:hint="eastAsia" w:ascii="宋体" w:hAnsi="宋体" w:cs="宋体"/>
        </w:rPr>
        <w:t>支持并实现危急值管理与HIS系统高适配性对接(免账号登录、功能菜单植入、无感切换界面、数据集成等)</w:t>
      </w:r>
    </w:p>
    <w:p w14:paraId="48D28AFE">
      <w:pPr>
        <w:pStyle w:val="10"/>
        <w:numPr>
          <w:ilvl w:val="0"/>
          <w:numId w:val="2"/>
        </w:numPr>
        <w:ind w:firstLineChars="0"/>
        <w:rPr>
          <w:rFonts w:hint="eastAsia" w:ascii="宋体" w:hAnsi="宋体" w:cs="宋体"/>
        </w:rPr>
      </w:pPr>
      <w:r>
        <w:rPr>
          <w:rFonts w:hint="eastAsia" w:ascii="宋体" w:hAnsi="宋体" w:cs="宋体"/>
        </w:rPr>
        <w:t>支持并实现电子病历质控、病历日常管理与HIS系统高适配性对接(免账号登录、功能菜单植入、无感切换界面、数据集成等)</w:t>
      </w:r>
    </w:p>
    <w:p w14:paraId="502B049E">
      <w:pPr>
        <w:pStyle w:val="10"/>
        <w:numPr>
          <w:ilvl w:val="0"/>
          <w:numId w:val="2"/>
        </w:numPr>
        <w:ind w:firstLineChars="0"/>
        <w:rPr>
          <w:rFonts w:hint="eastAsia" w:ascii="宋体" w:hAnsi="宋体" w:cs="宋体"/>
        </w:rPr>
      </w:pPr>
      <w:r>
        <w:rPr>
          <w:rFonts w:hint="eastAsia" w:ascii="宋体" w:hAnsi="宋体" w:cs="宋体"/>
        </w:rPr>
        <w:t>支持移动医生、移动护理系统与HIS系统、电子病历系统、LIS系统、PACS系统高适配性对接（数据集成）</w:t>
      </w:r>
    </w:p>
    <w:p w14:paraId="1D5D1324">
      <w:pPr>
        <w:pStyle w:val="10"/>
        <w:numPr>
          <w:ilvl w:val="0"/>
          <w:numId w:val="2"/>
        </w:numPr>
        <w:ind w:firstLineChars="0"/>
        <w:rPr>
          <w:rFonts w:hint="eastAsia" w:ascii="宋体" w:hAnsi="宋体" w:cs="宋体"/>
        </w:rPr>
      </w:pPr>
      <w:r>
        <w:rPr>
          <w:rFonts w:hint="eastAsia" w:ascii="宋体" w:hAnsi="宋体" w:cs="宋体"/>
        </w:rPr>
        <w:t>支持一体化护理管理与HIS系统高适配性对接（数据集成）</w:t>
      </w:r>
    </w:p>
    <w:p w14:paraId="16B41B94">
      <w:pPr>
        <w:pStyle w:val="10"/>
        <w:numPr>
          <w:ilvl w:val="0"/>
          <w:numId w:val="2"/>
        </w:numPr>
        <w:ind w:firstLineChars="0"/>
        <w:rPr>
          <w:rFonts w:hint="eastAsia" w:ascii="宋体" w:hAnsi="宋体" w:cs="宋体"/>
        </w:rPr>
      </w:pPr>
      <w:r>
        <w:rPr>
          <w:rFonts w:hint="eastAsia" w:ascii="宋体" w:hAnsi="宋体" w:cs="宋体"/>
        </w:rPr>
        <w:t>支持合理用药监测与HIS系统高适配性对接(免账号登录、悬浮警示灯、悬浮药品说明书等)</w:t>
      </w:r>
    </w:p>
    <w:p w14:paraId="1692CBE5">
      <w:pPr>
        <w:pStyle w:val="10"/>
        <w:numPr>
          <w:ilvl w:val="0"/>
          <w:numId w:val="2"/>
        </w:numPr>
        <w:ind w:firstLineChars="0"/>
        <w:rPr>
          <w:rFonts w:hint="eastAsia" w:ascii="宋体" w:hAnsi="宋体" w:cs="宋体"/>
        </w:rPr>
      </w:pPr>
      <w:r>
        <w:rPr>
          <w:rFonts w:hint="eastAsia" w:ascii="宋体" w:hAnsi="宋体" w:cs="宋体"/>
        </w:rPr>
        <w:t>支持临床药学(处方点评)与HIS系统高适配性对接（数据集成）</w:t>
      </w:r>
    </w:p>
    <w:p w14:paraId="18A4BC7A">
      <w:pPr>
        <w:pStyle w:val="10"/>
        <w:numPr>
          <w:ilvl w:val="0"/>
          <w:numId w:val="2"/>
        </w:numPr>
        <w:ind w:firstLineChars="0"/>
        <w:rPr>
          <w:rFonts w:hint="eastAsia" w:ascii="宋体" w:hAnsi="宋体" w:cs="宋体"/>
        </w:rPr>
      </w:pPr>
      <w:r>
        <w:rPr>
          <w:rFonts w:hint="eastAsia" w:ascii="宋体" w:hAnsi="宋体" w:cs="宋体"/>
        </w:rPr>
        <w:t>支持实时审方与HIS系统高适配性对接（数据集成）</w:t>
      </w:r>
    </w:p>
    <w:p w14:paraId="02DF5536">
      <w:pPr>
        <w:pStyle w:val="2"/>
        <w:spacing w:line="360" w:lineRule="auto"/>
        <w:jc w:val="both"/>
        <w:rPr>
          <w:rFonts w:hint="eastAsia" w:ascii="宋体" w:hAnsi="宋体" w:eastAsia="宋体" w:cs="宋体"/>
          <w:sz w:val="24"/>
          <w:szCs w:val="24"/>
        </w:rPr>
      </w:pPr>
      <w:bookmarkStart w:id="3" w:name="_Toc10263"/>
      <w:r>
        <w:rPr>
          <w:rFonts w:hint="eastAsia" w:ascii="宋体" w:hAnsi="宋体" w:eastAsia="宋体" w:cs="宋体"/>
          <w:sz w:val="24"/>
          <w:szCs w:val="24"/>
        </w:rPr>
        <w:t>7、项目实施及培训要求</w:t>
      </w:r>
      <w:bookmarkEnd w:id="3"/>
    </w:p>
    <w:p w14:paraId="4CD4B7A2">
      <w:pPr>
        <w:pStyle w:val="3"/>
        <w:spacing w:line="360" w:lineRule="auto"/>
        <w:rPr>
          <w:rFonts w:hint="eastAsia" w:hAnsi="宋体" w:cs="宋体"/>
          <w:szCs w:val="24"/>
          <w:u w:val="none"/>
        </w:rPr>
      </w:pPr>
      <w:bookmarkStart w:id="4" w:name="_Toc30347"/>
      <w:r>
        <w:rPr>
          <w:rFonts w:hint="eastAsia" w:hAnsi="宋体" w:cs="宋体"/>
          <w:szCs w:val="24"/>
          <w:u w:val="none"/>
        </w:rPr>
        <w:t>7.1 项目实施要求</w:t>
      </w:r>
      <w:bookmarkEnd w:id="4"/>
    </w:p>
    <w:p w14:paraId="1795927B">
      <w:pPr>
        <w:pStyle w:val="10"/>
        <w:rPr>
          <w:rFonts w:hint="eastAsia" w:ascii="宋体" w:hAnsi="宋体" w:cs="宋体"/>
        </w:rPr>
      </w:pPr>
      <w:r>
        <w:rPr>
          <w:rFonts w:hint="eastAsia" w:ascii="宋体" w:hAnsi="宋体" w:cs="宋体"/>
        </w:rPr>
        <w:t>投标人需在投标文件中标明工期及实施计划、进度。</w:t>
      </w:r>
    </w:p>
    <w:p w14:paraId="60212DE2">
      <w:pPr>
        <w:pStyle w:val="10"/>
        <w:rPr>
          <w:rFonts w:hint="eastAsia" w:ascii="宋体" w:hAnsi="宋体" w:cs="宋体"/>
        </w:rPr>
      </w:pPr>
      <w:r>
        <w:rPr>
          <w:rFonts w:hint="eastAsia" w:ascii="宋体" w:hAnsi="宋体" w:cs="宋体"/>
        </w:rPr>
        <w:t>投标人需针对本项目成立实施项目组，明确项目经理及其他具体人员组成和分工。</w:t>
      </w:r>
    </w:p>
    <w:p w14:paraId="73EA0F97">
      <w:pPr>
        <w:pStyle w:val="10"/>
        <w:rPr>
          <w:rFonts w:hint="eastAsia" w:ascii="宋体" w:hAnsi="宋体" w:cs="宋体"/>
        </w:rPr>
      </w:pPr>
      <w:r>
        <w:rPr>
          <w:rFonts w:hint="eastAsia" w:ascii="宋体" w:hAnsi="宋体" w:cs="宋体"/>
        </w:rPr>
        <w:t>投标人需提供项目保障措施方案，需包含组织保障措施、质量保证措施、系统建设过程保证措施、安全保障措施。</w:t>
      </w:r>
    </w:p>
    <w:p w14:paraId="7565018C">
      <w:pPr>
        <w:pStyle w:val="3"/>
        <w:spacing w:line="360" w:lineRule="auto"/>
        <w:rPr>
          <w:rFonts w:hint="eastAsia" w:hAnsi="宋体" w:cs="宋体"/>
          <w:szCs w:val="24"/>
          <w:u w:val="none"/>
        </w:rPr>
      </w:pPr>
      <w:bookmarkStart w:id="5" w:name="_Toc27833"/>
      <w:r>
        <w:rPr>
          <w:rFonts w:hint="eastAsia" w:hAnsi="宋体" w:cs="宋体"/>
          <w:szCs w:val="24"/>
          <w:u w:val="none"/>
        </w:rPr>
        <w:t>7.2 项目培训要求</w:t>
      </w:r>
      <w:bookmarkEnd w:id="5"/>
    </w:p>
    <w:p w14:paraId="3EF95511">
      <w:pPr>
        <w:pStyle w:val="10"/>
        <w:rPr>
          <w:rFonts w:hint="eastAsia" w:ascii="宋体" w:hAnsi="宋体" w:cs="宋体"/>
        </w:rPr>
      </w:pPr>
      <w:r>
        <w:rPr>
          <w:rFonts w:hint="eastAsia" w:ascii="宋体" w:hAnsi="宋体" w:cs="宋体"/>
        </w:rPr>
        <w:t>提供项目培训方案，需包含培训范围、培训目的、培训方式、培训管理制度、培训对象和培训内容以及培训计划。所有的培训费用必须计入投标总价。</w:t>
      </w:r>
    </w:p>
    <w:p w14:paraId="7E4134BB">
      <w:pPr>
        <w:pStyle w:val="2"/>
        <w:spacing w:line="360" w:lineRule="auto"/>
        <w:jc w:val="both"/>
        <w:rPr>
          <w:rFonts w:hint="eastAsia" w:ascii="宋体" w:hAnsi="宋体" w:eastAsia="宋体" w:cs="宋体"/>
          <w:sz w:val="24"/>
          <w:szCs w:val="24"/>
        </w:rPr>
      </w:pPr>
      <w:bookmarkStart w:id="6" w:name="_Toc6048"/>
      <w:r>
        <w:rPr>
          <w:rFonts w:hint="eastAsia" w:ascii="宋体" w:hAnsi="宋体" w:eastAsia="宋体" w:cs="宋体"/>
          <w:sz w:val="24"/>
          <w:szCs w:val="24"/>
        </w:rPr>
        <w:t>7.3 售后服务要求</w:t>
      </w:r>
      <w:bookmarkEnd w:id="6"/>
    </w:p>
    <w:p w14:paraId="2690D5AF">
      <w:pPr>
        <w:pStyle w:val="10"/>
        <w:rPr>
          <w:rFonts w:hint="eastAsia" w:ascii="宋体" w:hAnsi="宋体" w:cs="宋体"/>
        </w:rPr>
      </w:pPr>
      <w:r>
        <w:rPr>
          <w:rFonts w:hint="eastAsia" w:ascii="宋体" w:hAnsi="宋体" w:cs="宋体"/>
        </w:rPr>
        <w:t>自项目验收合格之日起，对项目整体提供1年免费保修及技术支持服务。</w:t>
      </w:r>
    </w:p>
    <w:p w14:paraId="1D6255D8">
      <w:pPr>
        <w:pStyle w:val="10"/>
        <w:rPr>
          <w:rFonts w:hint="eastAsia" w:ascii="宋体" w:hAnsi="宋体" w:cs="宋体"/>
        </w:rPr>
      </w:pPr>
      <w:r>
        <w:rPr>
          <w:rFonts w:hint="eastAsia" w:ascii="宋体" w:hAnsi="宋体" w:cs="宋体"/>
        </w:rPr>
        <w:t>在系统的服务期内，投标人应确保系统的正常使用。在接到用户服务要求后应立即做出回应，并在承诺的服务时间内实施服务。提供7×24小时的技术技术支持，1小时内响应，对远程无法解决的问题4小时内到达现场，24小时内解决故障。</w:t>
      </w:r>
    </w:p>
    <w:p w14:paraId="26C3709E">
      <w:r>
        <w:rPr>
          <w:rFonts w:hint="eastAsia" w:ascii="宋体" w:hAnsi="宋体" w:cs="宋体"/>
        </w:rPr>
        <w:t>热线电话服务提供技术咨询、故障诊断、故障排除以及现场支持工作，并对客户投诉做出相应处理。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1"/>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C404E8"/>
    <w:multiLevelType w:val="multilevel"/>
    <w:tmpl w:val="5CC404E8"/>
    <w:lvl w:ilvl="0" w:tentative="0">
      <w:start w:val="1"/>
      <w:numFmt w:val="bullet"/>
      <w:lvlText w:val=""/>
      <w:lvlJc w:val="left"/>
      <w:pPr>
        <w:ind w:left="920" w:hanging="440"/>
      </w:pPr>
      <w:rPr>
        <w:rFonts w:hint="default" w:ascii="Wingdings" w:hAnsi="Wingdings"/>
      </w:rPr>
    </w:lvl>
    <w:lvl w:ilvl="1" w:tentative="0">
      <w:start w:val="1"/>
      <w:numFmt w:val="bullet"/>
      <w:lvlText w:val=""/>
      <w:lvlJc w:val="left"/>
      <w:pPr>
        <w:ind w:left="1360" w:hanging="440"/>
      </w:pPr>
      <w:rPr>
        <w:rFonts w:hint="default" w:ascii="Wingdings" w:hAnsi="Wingdings"/>
      </w:rPr>
    </w:lvl>
    <w:lvl w:ilvl="2" w:tentative="0">
      <w:start w:val="1"/>
      <w:numFmt w:val="bullet"/>
      <w:lvlText w:val=""/>
      <w:lvlJc w:val="left"/>
      <w:pPr>
        <w:ind w:left="1800" w:hanging="440"/>
      </w:pPr>
      <w:rPr>
        <w:rFonts w:hint="default" w:ascii="Wingdings" w:hAnsi="Wingdings"/>
      </w:rPr>
    </w:lvl>
    <w:lvl w:ilvl="3" w:tentative="0">
      <w:start w:val="1"/>
      <w:numFmt w:val="bullet"/>
      <w:lvlText w:val=""/>
      <w:lvlJc w:val="left"/>
      <w:pPr>
        <w:ind w:left="2240" w:hanging="440"/>
      </w:pPr>
      <w:rPr>
        <w:rFonts w:hint="default" w:ascii="Wingdings" w:hAnsi="Wingdings"/>
      </w:rPr>
    </w:lvl>
    <w:lvl w:ilvl="4" w:tentative="0">
      <w:start w:val="1"/>
      <w:numFmt w:val="bullet"/>
      <w:lvlText w:val=""/>
      <w:lvlJc w:val="left"/>
      <w:pPr>
        <w:ind w:left="2680" w:hanging="440"/>
      </w:pPr>
      <w:rPr>
        <w:rFonts w:hint="default" w:ascii="Wingdings" w:hAnsi="Wingdings"/>
      </w:rPr>
    </w:lvl>
    <w:lvl w:ilvl="5" w:tentative="0">
      <w:start w:val="1"/>
      <w:numFmt w:val="bullet"/>
      <w:lvlText w:val=""/>
      <w:lvlJc w:val="left"/>
      <w:pPr>
        <w:ind w:left="3120" w:hanging="440"/>
      </w:pPr>
      <w:rPr>
        <w:rFonts w:hint="default" w:ascii="Wingdings" w:hAnsi="Wingdings"/>
      </w:rPr>
    </w:lvl>
    <w:lvl w:ilvl="6" w:tentative="0">
      <w:start w:val="1"/>
      <w:numFmt w:val="bullet"/>
      <w:lvlText w:val=""/>
      <w:lvlJc w:val="left"/>
      <w:pPr>
        <w:ind w:left="3560" w:hanging="440"/>
      </w:pPr>
      <w:rPr>
        <w:rFonts w:hint="default" w:ascii="Wingdings" w:hAnsi="Wingdings"/>
      </w:rPr>
    </w:lvl>
    <w:lvl w:ilvl="7" w:tentative="0">
      <w:start w:val="1"/>
      <w:numFmt w:val="bullet"/>
      <w:lvlText w:val=""/>
      <w:lvlJc w:val="left"/>
      <w:pPr>
        <w:ind w:left="4000" w:hanging="440"/>
      </w:pPr>
      <w:rPr>
        <w:rFonts w:hint="default" w:ascii="Wingdings" w:hAnsi="Wingdings"/>
      </w:rPr>
    </w:lvl>
    <w:lvl w:ilvl="8" w:tentative="0">
      <w:start w:val="1"/>
      <w:numFmt w:val="bullet"/>
      <w:lvlText w:val=""/>
      <w:lvlJc w:val="left"/>
      <w:pPr>
        <w:ind w:left="4440" w:hanging="440"/>
      </w:pPr>
      <w:rPr>
        <w:rFonts w:hint="default" w:ascii="Wingdings" w:hAnsi="Wingdings"/>
      </w:rPr>
    </w:lvl>
  </w:abstractNum>
  <w:abstractNum w:abstractNumId="1">
    <w:nsid w:val="735F4234"/>
    <w:multiLevelType w:val="multilevel"/>
    <w:tmpl w:val="735F4234"/>
    <w:lvl w:ilvl="0" w:tentative="0">
      <w:start w:val="1"/>
      <w:numFmt w:val="decimal"/>
      <w:lvlText w:val="(%1)"/>
      <w:lvlJc w:val="left"/>
      <w:pPr>
        <w:ind w:left="920" w:hanging="440"/>
      </w:pPr>
      <w:rPr>
        <w:rFonts w:hint="default"/>
      </w:r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6E1790"/>
    <w:rsid w:val="206E17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3">
    <w:name w:val="heading 3"/>
    <w:basedOn w:val="1"/>
    <w:next w:val="1"/>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character" w:default="1" w:styleId="8">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0"/>
    <w:pPr>
      <w:tabs>
        <w:tab w:val="left" w:pos="567"/>
      </w:tabs>
      <w:spacing w:before="120" w:line="22" w:lineRule="atLeast"/>
    </w:pPr>
    <w:rPr>
      <w:rFonts w:ascii="宋体" w:hAnsi="宋体"/>
      <w:sz w:val="24"/>
    </w:rPr>
  </w:style>
  <w:style w:type="paragraph" w:styleId="5">
    <w:name w:val="Title"/>
    <w:basedOn w:val="1"/>
    <w:qFormat/>
    <w:uiPriority w:val="0"/>
    <w:pPr>
      <w:jc w:val="center"/>
      <w:outlineLvl w:val="0"/>
    </w:pPr>
    <w:rPr>
      <w:b/>
      <w:sz w:val="32"/>
      <w:szCs w:val="20"/>
    </w:rPr>
  </w:style>
  <w:style w:type="table" w:styleId="7">
    <w:name w:val="Table Grid"/>
    <w:basedOn w:val="6"/>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列表段落1"/>
    <w:basedOn w:val="1"/>
    <w:qFormat/>
    <w:uiPriority w:val="34"/>
    <w:pPr>
      <w:ind w:firstLine="420" w:firstLineChars="200"/>
    </w:pPr>
    <w:rPr>
      <w:rFonts w:ascii="Calibri" w:hAnsi="Calibri"/>
      <w:szCs w:val="22"/>
    </w:rPr>
  </w:style>
  <w:style w:type="paragraph" w:customStyle="1" w:styleId="10">
    <w:name w:val="01.方案正文"/>
    <w:basedOn w:val="1"/>
    <w:qFormat/>
    <w:uiPriority w:val="0"/>
    <w:pPr>
      <w:spacing w:before="120" w:beforeLines="50" w:line="360" w:lineRule="auto"/>
      <w:ind w:firstLine="480" w:firstLineChars="200"/>
      <w:jc w:val="left"/>
    </w:pPr>
    <w:rPr>
      <w:rFonts w:ascii="仿宋" w:hAnsi="仿宋"/>
      <w:sz w:val="24"/>
    </w:rPr>
  </w:style>
  <w:style w:type="paragraph" w:customStyle="1" w:styleId="11">
    <w:name w:val="ZB-表格正文"/>
    <w:basedOn w:val="1"/>
    <w:qFormat/>
    <w:uiPriority w:val="0"/>
    <w:pPr>
      <w:jc w:val="left"/>
    </w:pPr>
    <w:rPr>
      <w:rFonts w:ascii="宋体" w:hAnsi="宋体" w:cs="宋体"/>
      <w:kern w:val="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43</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2025-04-14T08:14:00Z</dcterms:created>
  <dc:creator>Desperado</dc:creator>
  <cp:lastModifiedBy>Desperado</cp:lastModifiedBy>
  <dcterms:modified xsi:type="dcterms:W3CDTF">2025-04-14T08:15:06Z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96CFBBF6BDDB481AB1F216C637E6FCA0_11</vt:lpwstr>
  </property>
  <property fmtid="{D5CDD505-2E9C-101B-9397-08002B2CF9AE}" pid="4" name="KSOTemplateDocerSaveRecord">
    <vt:lpwstr>eyJoZGlkIjoiZDE4OTk5ZDlhMzUyYmRkY2IwZWNjYmIyMGQ4YjIwMmUiLCJ1c2VySWQiOiIyNzA1NTg4NTgifQ==</vt:lpwstr>
  </property>
</Properties>
</file>