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5C0F4">
      <w:pPr>
        <w:tabs>
          <w:tab w:val="left" w:pos="3240"/>
          <w:tab w:val="left" w:pos="3420"/>
        </w:tabs>
        <w:spacing w:line="360" w:lineRule="auto"/>
        <w:jc w:val="center"/>
        <w:rPr>
          <w:rFonts w:hint="eastAsia"/>
          <w:sz w:val="16"/>
          <w:szCs w:val="16"/>
          <w:lang w:val="en-US" w:eastAsia="zh-CN"/>
        </w:rPr>
      </w:pPr>
      <w:bookmarkStart w:id="0" w:name="_Toc35393789"/>
      <w:bookmarkStart w:id="1" w:name="_Toc28359001"/>
      <w:r>
        <w:rPr>
          <w:rFonts w:hint="eastAsia" w:ascii="宋体" w:hAnsi="宋体" w:cs="宋体"/>
          <w:b/>
          <w:bCs/>
          <w:kern w:val="44"/>
          <w:sz w:val="32"/>
          <w:szCs w:val="32"/>
          <w:lang w:val="en-US" w:eastAsia="zh-CN" w:bidi="ar-SA"/>
        </w:rPr>
        <w:t>提前下达2025年促进教育事业均衡发展转移支付综合奖补-教育网机房托管费公开</w:t>
      </w:r>
      <w:r>
        <w:rPr>
          <w:rFonts w:hint="eastAsia" w:ascii="宋体" w:hAnsi="宋体" w:eastAsia="宋体" w:cs="宋体"/>
          <w:b/>
          <w:bCs/>
          <w:kern w:val="44"/>
          <w:sz w:val="32"/>
          <w:szCs w:val="32"/>
          <w:lang w:val="en-US" w:eastAsia="zh-CN" w:bidi="ar-SA"/>
        </w:rPr>
        <w:t>招标公告</w:t>
      </w:r>
      <w:bookmarkEnd w:id="0"/>
      <w:bookmarkEnd w:id="1"/>
    </w:p>
    <w:p w14:paraId="4B3405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14:paraId="07DAA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u w:val="single"/>
          <w:lang w:val="en-US" w:eastAsia="zh-CN"/>
        </w:rPr>
        <w:t>提前下达2025年促进教育事业均衡发展转移支付综合奖补-教育网机房托管费</w:t>
      </w:r>
      <w:r>
        <w:rPr>
          <w:rFonts w:hint="eastAsia" w:asciiTheme="minorEastAsia" w:hAnsiTheme="minorEastAsia" w:eastAsiaTheme="minorEastAsia" w:cstheme="minorEastAsia"/>
          <w:sz w:val="24"/>
          <w:szCs w:val="24"/>
        </w:rPr>
        <w:t>招标项目的潜在投标人应在</w:t>
      </w:r>
      <w:r>
        <w:rPr>
          <w:rFonts w:hint="eastAsia" w:asciiTheme="minorEastAsia" w:hAnsiTheme="minorEastAsia" w:eastAsiaTheme="minorEastAsia" w:cstheme="minorEastAsia"/>
          <w:sz w:val="24"/>
          <w:szCs w:val="24"/>
          <w:highlight w:val="none"/>
          <w:u w:val="single"/>
          <w:lang w:val="en-US" w:eastAsia="zh-CN"/>
        </w:rPr>
        <w:t>北京市政府采购电子交易平台</w:t>
      </w:r>
      <w:r>
        <w:rPr>
          <w:rFonts w:hint="eastAsia" w:asciiTheme="minorEastAsia" w:hAnsiTheme="minorEastAsia" w:eastAsiaTheme="minorEastAsia" w:cstheme="minorEastAsia"/>
          <w:sz w:val="24"/>
          <w:szCs w:val="24"/>
        </w:rPr>
        <w:t>获取招标文件，并于</w:t>
      </w:r>
      <w:r>
        <w:rPr>
          <w:rFonts w:hint="eastAsia" w:asciiTheme="minorEastAsia" w:hAnsiTheme="minorEastAsia" w:eastAsiaTheme="minorEastAsia" w:cstheme="minorEastAsia"/>
          <w:sz w:val="24"/>
          <w:szCs w:val="24"/>
          <w:highlight w:val="none"/>
          <w:u w:val="single"/>
          <w:lang w:val="en-US" w:eastAsia="zh-CN"/>
        </w:rPr>
        <w:t>2025年06月11日09点00分</w:t>
      </w:r>
      <w:r>
        <w:rPr>
          <w:rFonts w:hint="eastAsia" w:asciiTheme="minorEastAsia" w:hAnsiTheme="minorEastAsia" w:eastAsiaTheme="minorEastAsia" w:cstheme="minorEastAsia"/>
          <w:bCs/>
          <w:sz w:val="24"/>
          <w:szCs w:val="24"/>
          <w:highlight w:val="none"/>
          <w:u w:val="single"/>
        </w:rPr>
        <w:t>（</w:t>
      </w:r>
      <w:r>
        <w:rPr>
          <w:rFonts w:hint="eastAsia" w:asciiTheme="minorEastAsia" w:hAnsiTheme="minorEastAsia" w:eastAsiaTheme="minorEastAsia" w:cstheme="minorEastAsia"/>
          <w:bCs/>
          <w:sz w:val="24"/>
          <w:szCs w:val="24"/>
          <w:u w:val="single"/>
        </w:rPr>
        <w:t>北京时间）</w:t>
      </w:r>
      <w:r>
        <w:rPr>
          <w:rFonts w:hint="eastAsia" w:asciiTheme="minorEastAsia" w:hAnsiTheme="minorEastAsia" w:eastAsiaTheme="minorEastAsia" w:cstheme="minorEastAsia"/>
          <w:bCs/>
          <w:sz w:val="24"/>
          <w:szCs w:val="24"/>
        </w:rPr>
        <w:t>前递交投标文件</w:t>
      </w:r>
      <w:r>
        <w:rPr>
          <w:rFonts w:hint="eastAsia" w:asciiTheme="minorEastAsia" w:hAnsiTheme="minorEastAsia" w:eastAsiaTheme="minorEastAsia" w:cstheme="minorEastAsia"/>
          <w:sz w:val="24"/>
          <w:szCs w:val="24"/>
        </w:rPr>
        <w:t>。</w:t>
      </w:r>
    </w:p>
    <w:p w14:paraId="00588A3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2" w:name="_Toc35393621"/>
      <w:bookmarkStart w:id="3" w:name="_Toc28359002"/>
      <w:bookmarkStart w:id="4" w:name="_Toc35393790"/>
      <w:bookmarkStart w:id="5" w:name="_Toc28359079"/>
      <w:bookmarkStart w:id="6" w:name="_Hlk24379207"/>
      <w:r>
        <w:rPr>
          <w:rFonts w:hint="eastAsia" w:asciiTheme="minorEastAsia" w:hAnsiTheme="minorEastAsia" w:eastAsiaTheme="minorEastAsia" w:cstheme="minorEastAsia"/>
          <w:b/>
          <w:bCs/>
          <w:sz w:val="24"/>
          <w:szCs w:val="24"/>
        </w:rPr>
        <w:t>一、项目基本情况</w:t>
      </w:r>
      <w:bookmarkEnd w:id="2"/>
      <w:bookmarkEnd w:id="3"/>
      <w:bookmarkEnd w:id="4"/>
      <w:bookmarkEnd w:id="5"/>
    </w:p>
    <w:p w14:paraId="36162E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项目编号：11011625210200012818-XM001</w:t>
      </w:r>
    </w:p>
    <w:p w14:paraId="2EACF37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lang w:eastAsia="zh-CN"/>
        </w:rPr>
        <w:t>提前下达2025年促进教育事业均衡发展转移支付综合奖补-教育网机房托管费</w:t>
      </w:r>
    </w:p>
    <w:bookmarkEnd w:id="6"/>
    <w:p w14:paraId="7BEC8C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预算金额：128.928</w:t>
      </w:r>
      <w:r>
        <w:rPr>
          <w:rFonts w:hint="eastAsia" w:asciiTheme="minorEastAsia" w:hAnsiTheme="minorEastAsia" w:eastAsiaTheme="minorEastAsia" w:cstheme="minorEastAsia"/>
          <w:kern w:val="0"/>
          <w:sz w:val="24"/>
          <w:szCs w:val="24"/>
          <w:lang w:val="en-US" w:eastAsia="zh-CN"/>
        </w:rPr>
        <w:t>万元</w:t>
      </w:r>
    </w:p>
    <w:p w14:paraId="4F6AA2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最高限价：128.928</w:t>
      </w:r>
      <w:r>
        <w:rPr>
          <w:rFonts w:hint="eastAsia" w:asciiTheme="minorEastAsia" w:hAnsiTheme="minorEastAsia" w:eastAsiaTheme="minorEastAsia" w:cstheme="minorEastAsia"/>
          <w:kern w:val="0"/>
          <w:sz w:val="24"/>
          <w:szCs w:val="24"/>
          <w:lang w:val="en-US" w:eastAsia="zh-CN"/>
        </w:rPr>
        <w:t>万元</w:t>
      </w:r>
    </w:p>
    <w:p w14:paraId="42E601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采购需求：具体要求详见招标文件第五章。</w:t>
      </w:r>
    </w:p>
    <w:p w14:paraId="6C9D2E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合同履行期限：本项目服务期为一年。本项目在完成第一年服务后，双方可商定服务延续，每年单独签订合同，总周期不超过三年。供应商在上一年度提供的服务满足采购方需求，经采购方内部审批通过后，可续签下一年服务合同。 </w:t>
      </w:r>
    </w:p>
    <w:p w14:paraId="757E2D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本项目是否接受联合体投标：□是 ■否。</w:t>
      </w:r>
    </w:p>
    <w:p w14:paraId="21DA23B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7" w:name="_Toc28359080"/>
      <w:bookmarkStart w:id="8" w:name="_Toc28359003"/>
      <w:bookmarkStart w:id="9" w:name="_Toc35393622"/>
      <w:bookmarkStart w:id="10" w:name="_Toc35393791"/>
      <w:r>
        <w:rPr>
          <w:rFonts w:hint="eastAsia" w:asciiTheme="minorEastAsia" w:hAnsiTheme="minorEastAsia" w:eastAsiaTheme="minorEastAsia" w:cstheme="minorEastAsia"/>
          <w:b/>
          <w:bCs/>
          <w:sz w:val="24"/>
          <w:szCs w:val="24"/>
        </w:rPr>
        <w:t>二、申请人的资格要求：</w:t>
      </w:r>
      <w:bookmarkEnd w:id="7"/>
      <w:bookmarkEnd w:id="8"/>
      <w:bookmarkEnd w:id="9"/>
      <w:bookmarkEnd w:id="10"/>
    </w:p>
    <w:p w14:paraId="6E71BFE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bookmarkStart w:id="11" w:name="_Toc28359081"/>
      <w:bookmarkStart w:id="12" w:name="_Toc28359004"/>
      <w:r>
        <w:rPr>
          <w:rFonts w:hint="eastAsia"/>
          <w:sz w:val="24"/>
          <w:szCs w:val="24"/>
          <w:lang w:eastAsia="zh-CN"/>
        </w:rPr>
        <w:t>1.满足《中华人民共和国政府采购法》第二十二条规定；</w:t>
      </w:r>
    </w:p>
    <w:p w14:paraId="5DB6C762">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2.落实政府采购政策需满足的资格要求：</w:t>
      </w:r>
    </w:p>
    <w:p w14:paraId="128CC0E3">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sz w:val="24"/>
          <w:szCs w:val="24"/>
          <w:lang w:eastAsia="zh-CN"/>
        </w:rPr>
      </w:pPr>
      <w:bookmarkStart w:id="13" w:name="_Toc3197"/>
      <w:r>
        <w:rPr>
          <w:rFonts w:hint="eastAsia"/>
          <w:sz w:val="24"/>
          <w:szCs w:val="24"/>
          <w:lang w:eastAsia="zh-CN"/>
        </w:rPr>
        <w:t>2.1  中小企业政策</w:t>
      </w:r>
      <w:bookmarkEnd w:id="13"/>
    </w:p>
    <w:p w14:paraId="0B171EEA">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highlight w:val="none"/>
          <w:lang w:eastAsia="zh-CN"/>
        </w:rPr>
        <w:t>■</w:t>
      </w:r>
      <w:r>
        <w:rPr>
          <w:rFonts w:hint="eastAsia"/>
          <w:sz w:val="24"/>
          <w:szCs w:val="24"/>
          <w:lang w:eastAsia="zh-CN"/>
        </w:rPr>
        <w:t>本项目</w:t>
      </w:r>
      <w:r>
        <w:rPr>
          <w:rFonts w:hint="eastAsia"/>
          <w:sz w:val="24"/>
          <w:szCs w:val="24"/>
          <w:highlight w:val="none"/>
          <w:lang w:eastAsia="zh-CN"/>
        </w:rPr>
        <w:t>不专门面向中小企业</w:t>
      </w:r>
      <w:r>
        <w:rPr>
          <w:rFonts w:hint="eastAsia"/>
          <w:sz w:val="24"/>
          <w:szCs w:val="24"/>
          <w:lang w:eastAsia="zh-CN"/>
        </w:rPr>
        <w:t>预留采购份额。</w:t>
      </w:r>
    </w:p>
    <w:p w14:paraId="7E7625D5">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口</w:t>
      </w:r>
      <w:r>
        <w:rPr>
          <w:rFonts w:hint="eastAsia"/>
          <w:sz w:val="24"/>
          <w:szCs w:val="24"/>
          <w:highlight w:val="none"/>
          <w:lang w:eastAsia="zh-CN"/>
        </w:rPr>
        <w:t xml:space="preserve">本项目专门面向  </w:t>
      </w:r>
      <w:r>
        <w:rPr>
          <w:rFonts w:hint="eastAsia"/>
          <w:sz w:val="24"/>
          <w:szCs w:val="24"/>
          <w:lang w:eastAsia="zh-CN"/>
        </w:rPr>
        <w:t>口</w:t>
      </w:r>
      <w:r>
        <w:rPr>
          <w:rFonts w:hint="eastAsia"/>
          <w:sz w:val="24"/>
          <w:szCs w:val="24"/>
          <w:highlight w:val="none"/>
          <w:lang w:eastAsia="zh-CN"/>
        </w:rPr>
        <w:t xml:space="preserve">中小 </w:t>
      </w:r>
      <w:r>
        <w:rPr>
          <w:rFonts w:hint="eastAsia"/>
          <w:sz w:val="24"/>
          <w:szCs w:val="24"/>
          <w:lang w:eastAsia="zh-CN"/>
        </w:rPr>
        <w:t>口小微企业  采购。即：提供的货物全部由符合政策要求的中小/小微企业制造、服务全部由符合政策要求的中小/小微企业承接。</w:t>
      </w:r>
    </w:p>
    <w:p w14:paraId="46512ADD">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口本项目预留部分采购项目预算专门面向中小企业采购。对于预留份额，提供的货物由符合政策要求的中小企业制造、服务由符合政策要求的中小企业承接。预留份额通过以下措施进行：</w:t>
      </w:r>
      <w:r>
        <w:rPr>
          <w:rFonts w:hint="eastAsia"/>
          <w:sz w:val="24"/>
          <w:szCs w:val="24"/>
          <w:u w:val="single"/>
          <w:lang w:eastAsia="zh-CN"/>
        </w:rPr>
        <w:t>/</w:t>
      </w:r>
      <w:r>
        <w:rPr>
          <w:rFonts w:hint="eastAsia"/>
          <w:sz w:val="24"/>
          <w:szCs w:val="24"/>
          <w:lang w:eastAsia="zh-CN"/>
        </w:rPr>
        <w:t>。</w:t>
      </w:r>
    </w:p>
    <w:p w14:paraId="1D536BE9">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2.2 其它落实政府采购政策的资格要求（如有）：</w:t>
      </w:r>
      <w:r>
        <w:rPr>
          <w:rFonts w:hint="eastAsia"/>
          <w:sz w:val="24"/>
          <w:szCs w:val="24"/>
          <w:u w:val="single"/>
          <w:lang w:eastAsia="zh-CN"/>
        </w:rPr>
        <w:t>/</w:t>
      </w:r>
      <w:r>
        <w:rPr>
          <w:rFonts w:hint="eastAsia"/>
          <w:sz w:val="24"/>
          <w:szCs w:val="24"/>
          <w:lang w:eastAsia="zh-CN"/>
        </w:rPr>
        <w:t>。</w:t>
      </w:r>
    </w:p>
    <w:p w14:paraId="5E05CBEA">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3.本项目的特定资格要求：</w:t>
      </w:r>
    </w:p>
    <w:p w14:paraId="1B449AC6">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sz w:val="24"/>
          <w:szCs w:val="24"/>
          <w:lang w:eastAsia="zh-CN"/>
        </w:rPr>
      </w:pPr>
      <w:bookmarkStart w:id="14" w:name="_Toc19369"/>
      <w:r>
        <w:rPr>
          <w:rFonts w:hint="eastAsia"/>
          <w:sz w:val="24"/>
          <w:szCs w:val="24"/>
          <w:lang w:eastAsia="zh-CN"/>
        </w:rPr>
        <w:t>3.1 本项目是否属于政府购买服务：</w:t>
      </w:r>
      <w:bookmarkEnd w:id="14"/>
    </w:p>
    <w:p w14:paraId="0444F20A">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■否</w:t>
      </w:r>
    </w:p>
    <w:p w14:paraId="2D2D82E9">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口是，公益一类事业单位、使用事业编制且由财政拨款保障的群团组织，不得作为承接主体；</w:t>
      </w:r>
    </w:p>
    <w:p w14:paraId="053C5B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bookmarkStart w:id="15" w:name="_Toc17338"/>
      <w:r>
        <w:rPr>
          <w:rFonts w:hint="eastAsia"/>
          <w:sz w:val="24"/>
          <w:szCs w:val="24"/>
          <w:lang w:eastAsia="zh-CN"/>
        </w:rPr>
        <w:t>3.2 其他特定资格要求：</w:t>
      </w:r>
      <w:bookmarkEnd w:id="15"/>
      <w:r>
        <w:rPr>
          <w:rFonts w:hint="eastAsia" w:asciiTheme="minorEastAsia" w:hAnsiTheme="minorEastAsia" w:eastAsiaTheme="minorEastAsia" w:cstheme="minorEastAsia"/>
          <w:spacing w:val="2"/>
          <w:sz w:val="24"/>
          <w:szCs w:val="24"/>
          <w:highlight w:val="none"/>
          <w:u w:val="single"/>
          <w:lang w:val="en-US" w:eastAsia="zh-CN"/>
        </w:rPr>
        <w:t xml:space="preserve">  / </w:t>
      </w:r>
      <w:r>
        <w:rPr>
          <w:rFonts w:hint="eastAsia" w:asciiTheme="minorEastAsia" w:hAnsiTheme="minorEastAsia" w:eastAsiaTheme="minorEastAsia" w:cstheme="minorEastAsia"/>
          <w:spacing w:val="2"/>
          <w:sz w:val="24"/>
          <w:szCs w:val="24"/>
          <w:highlight w:val="none"/>
          <w:u w:val="none"/>
          <w:lang w:val="en-US" w:eastAsia="zh-CN"/>
        </w:rPr>
        <w:t>。</w:t>
      </w:r>
    </w:p>
    <w:p w14:paraId="53FED29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16" w:name="_Toc35393623"/>
      <w:bookmarkStart w:id="17" w:name="_Toc35393792"/>
      <w:r>
        <w:rPr>
          <w:rFonts w:hint="eastAsia" w:asciiTheme="minorEastAsia" w:hAnsiTheme="minorEastAsia" w:eastAsiaTheme="minorEastAsia" w:cstheme="minorEastAsia"/>
          <w:b/>
          <w:bCs/>
          <w:sz w:val="24"/>
          <w:szCs w:val="24"/>
        </w:rPr>
        <w:t>三、获取招标文件</w:t>
      </w:r>
      <w:bookmarkEnd w:id="11"/>
      <w:bookmarkEnd w:id="12"/>
      <w:bookmarkEnd w:id="16"/>
      <w:bookmarkEnd w:id="17"/>
    </w:p>
    <w:p w14:paraId="1DDACDD6">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1.时间：</w:t>
      </w:r>
      <w:r>
        <w:rPr>
          <w:rFonts w:hint="eastAsia"/>
          <w:sz w:val="24"/>
          <w:szCs w:val="24"/>
          <w:highlight w:val="none"/>
          <w:u w:val="single"/>
          <w:lang w:eastAsia="zh-CN"/>
        </w:rPr>
        <w:t>202</w:t>
      </w:r>
      <w:r>
        <w:rPr>
          <w:rFonts w:hint="eastAsia"/>
          <w:sz w:val="24"/>
          <w:szCs w:val="24"/>
          <w:highlight w:val="none"/>
          <w:u w:val="single"/>
          <w:lang w:val="en-US" w:eastAsia="zh-CN"/>
        </w:rPr>
        <w:t>5</w:t>
      </w:r>
      <w:r>
        <w:rPr>
          <w:rFonts w:hint="eastAsia"/>
          <w:sz w:val="24"/>
          <w:szCs w:val="24"/>
          <w:highlight w:val="none"/>
          <w:lang w:eastAsia="zh-CN"/>
        </w:rPr>
        <w:t>年</w:t>
      </w:r>
      <w:r>
        <w:rPr>
          <w:rFonts w:hint="eastAsia"/>
          <w:sz w:val="24"/>
          <w:szCs w:val="24"/>
          <w:highlight w:val="none"/>
          <w:u w:val="single"/>
          <w:lang w:val="en-US" w:eastAsia="zh-CN"/>
        </w:rPr>
        <w:t>05</w:t>
      </w:r>
      <w:r>
        <w:rPr>
          <w:rFonts w:hint="eastAsia"/>
          <w:sz w:val="24"/>
          <w:szCs w:val="24"/>
          <w:highlight w:val="none"/>
          <w:lang w:eastAsia="zh-CN"/>
        </w:rPr>
        <w:t>月</w:t>
      </w:r>
      <w:r>
        <w:rPr>
          <w:rFonts w:hint="eastAsia"/>
          <w:sz w:val="24"/>
          <w:szCs w:val="24"/>
          <w:highlight w:val="none"/>
          <w:u w:val="single"/>
          <w:lang w:val="en-US" w:eastAsia="zh-CN"/>
        </w:rPr>
        <w:t>22</w:t>
      </w:r>
      <w:r>
        <w:rPr>
          <w:rFonts w:hint="eastAsia"/>
          <w:sz w:val="24"/>
          <w:szCs w:val="24"/>
          <w:highlight w:val="none"/>
          <w:lang w:eastAsia="zh-CN"/>
        </w:rPr>
        <w:t>日至</w:t>
      </w:r>
      <w:r>
        <w:rPr>
          <w:rFonts w:hint="eastAsia"/>
          <w:sz w:val="24"/>
          <w:szCs w:val="24"/>
          <w:highlight w:val="none"/>
          <w:u w:val="single"/>
          <w:lang w:eastAsia="zh-CN"/>
        </w:rPr>
        <w:t>202</w:t>
      </w:r>
      <w:r>
        <w:rPr>
          <w:rFonts w:hint="eastAsia"/>
          <w:sz w:val="24"/>
          <w:szCs w:val="24"/>
          <w:highlight w:val="none"/>
          <w:u w:val="single"/>
          <w:lang w:val="en-US" w:eastAsia="zh-CN"/>
        </w:rPr>
        <w:t>5</w:t>
      </w:r>
      <w:r>
        <w:rPr>
          <w:rFonts w:hint="eastAsia"/>
          <w:sz w:val="24"/>
          <w:szCs w:val="24"/>
          <w:highlight w:val="none"/>
          <w:lang w:eastAsia="zh-CN"/>
        </w:rPr>
        <w:t>年</w:t>
      </w:r>
      <w:r>
        <w:rPr>
          <w:rFonts w:hint="eastAsia"/>
          <w:sz w:val="24"/>
          <w:szCs w:val="24"/>
          <w:highlight w:val="none"/>
          <w:u w:val="single"/>
          <w:lang w:val="en-US" w:eastAsia="zh-CN"/>
        </w:rPr>
        <w:t>05</w:t>
      </w:r>
      <w:r>
        <w:rPr>
          <w:rFonts w:hint="eastAsia"/>
          <w:sz w:val="24"/>
          <w:szCs w:val="24"/>
          <w:highlight w:val="none"/>
          <w:lang w:eastAsia="zh-CN"/>
        </w:rPr>
        <w:t>月</w:t>
      </w:r>
      <w:r>
        <w:rPr>
          <w:rFonts w:hint="eastAsia"/>
          <w:sz w:val="24"/>
          <w:szCs w:val="24"/>
          <w:highlight w:val="none"/>
          <w:u w:val="single"/>
          <w:lang w:val="en-US" w:eastAsia="zh-CN"/>
        </w:rPr>
        <w:t>28</w:t>
      </w:r>
      <w:r>
        <w:rPr>
          <w:rFonts w:hint="eastAsia"/>
          <w:sz w:val="24"/>
          <w:szCs w:val="24"/>
          <w:highlight w:val="none"/>
          <w:lang w:eastAsia="zh-CN"/>
        </w:rPr>
        <w:t>日</w:t>
      </w:r>
      <w:r>
        <w:rPr>
          <w:rFonts w:hint="eastAsia"/>
          <w:sz w:val="24"/>
          <w:szCs w:val="24"/>
          <w:lang w:eastAsia="zh-CN"/>
        </w:rPr>
        <w:t>，每天上午</w:t>
      </w:r>
      <w:r>
        <w:rPr>
          <w:rFonts w:hint="eastAsia"/>
          <w:sz w:val="24"/>
          <w:szCs w:val="24"/>
          <w:u w:val="single"/>
          <w:lang w:eastAsia="zh-CN"/>
        </w:rPr>
        <w:t>09:30</w:t>
      </w:r>
      <w:r>
        <w:rPr>
          <w:rFonts w:hint="eastAsia"/>
          <w:sz w:val="24"/>
          <w:szCs w:val="24"/>
          <w:lang w:eastAsia="zh-CN"/>
        </w:rPr>
        <w:t>至</w:t>
      </w:r>
      <w:r>
        <w:rPr>
          <w:rFonts w:hint="eastAsia"/>
          <w:sz w:val="24"/>
          <w:szCs w:val="24"/>
          <w:u w:val="single"/>
          <w:lang w:eastAsia="zh-CN"/>
        </w:rPr>
        <w:t>11:30</w:t>
      </w:r>
      <w:r>
        <w:rPr>
          <w:rFonts w:hint="eastAsia"/>
          <w:sz w:val="24"/>
          <w:szCs w:val="24"/>
          <w:lang w:eastAsia="zh-CN"/>
        </w:rPr>
        <w:t>，下午</w:t>
      </w:r>
      <w:r>
        <w:rPr>
          <w:rFonts w:hint="eastAsia"/>
          <w:sz w:val="24"/>
          <w:szCs w:val="24"/>
          <w:u w:val="single"/>
          <w:lang w:eastAsia="zh-CN"/>
        </w:rPr>
        <w:t>13:30</w:t>
      </w:r>
      <w:r>
        <w:rPr>
          <w:rFonts w:hint="eastAsia"/>
          <w:sz w:val="24"/>
          <w:szCs w:val="24"/>
          <w:lang w:eastAsia="zh-CN"/>
        </w:rPr>
        <w:t>至</w:t>
      </w:r>
      <w:r>
        <w:rPr>
          <w:rFonts w:hint="eastAsia"/>
          <w:sz w:val="24"/>
          <w:szCs w:val="24"/>
          <w:u w:val="single"/>
          <w:lang w:eastAsia="zh-CN"/>
        </w:rPr>
        <w:t>15:30</w:t>
      </w:r>
      <w:r>
        <w:rPr>
          <w:rFonts w:hint="eastAsia"/>
          <w:sz w:val="24"/>
          <w:szCs w:val="24"/>
          <w:lang w:eastAsia="zh-CN"/>
        </w:rPr>
        <w:t>（北京时间，法定节假日除外）。</w:t>
      </w:r>
    </w:p>
    <w:p w14:paraId="34D9BE60">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sz w:val="24"/>
          <w:szCs w:val="24"/>
          <w:lang w:eastAsia="zh-CN"/>
        </w:rPr>
      </w:pPr>
      <w:bookmarkStart w:id="18" w:name="_Toc2165"/>
      <w:r>
        <w:rPr>
          <w:rFonts w:hint="eastAsia"/>
          <w:sz w:val="24"/>
          <w:szCs w:val="24"/>
          <w:lang w:eastAsia="zh-CN"/>
        </w:rPr>
        <w:t>2.地点：北京市政府采购电子交易平台</w:t>
      </w:r>
      <w:bookmarkEnd w:id="18"/>
    </w:p>
    <w:p w14:paraId="2244BA0B">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3.方式：</w:t>
      </w:r>
      <w:r>
        <w:rPr>
          <w:rFonts w:hint="eastAsia"/>
          <w:sz w:val="24"/>
          <w:szCs w:val="21"/>
        </w:rPr>
        <w:t>供应商使用CA数字证书或电子营业执照登录北京市政府采购电子交易平台（http://zbcg-bjzc.zhongcy.com/bjczj-portal-site/index.html#/home）获取电子版招标文件。</w:t>
      </w:r>
    </w:p>
    <w:p w14:paraId="310A6FCB">
      <w:pPr>
        <w:pStyle w:val="21"/>
        <w:keepNext w:val="0"/>
        <w:keepLines w:val="0"/>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bookmarkStart w:id="19" w:name="_Toc31387"/>
      <w:r>
        <w:rPr>
          <w:rFonts w:hint="eastAsia"/>
          <w:sz w:val="24"/>
          <w:szCs w:val="24"/>
          <w:lang w:eastAsia="zh-CN"/>
        </w:rPr>
        <w:t>4.售价：0元。</w:t>
      </w:r>
      <w:bookmarkEnd w:id="19"/>
    </w:p>
    <w:p w14:paraId="2B6B5E2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20" w:name="_Toc28359005"/>
      <w:bookmarkStart w:id="21" w:name="_Toc28359082"/>
      <w:bookmarkStart w:id="22" w:name="_Toc35393624"/>
      <w:bookmarkStart w:id="23" w:name="_Toc35393793"/>
      <w:r>
        <w:rPr>
          <w:rFonts w:hint="eastAsia" w:asciiTheme="minorEastAsia" w:hAnsiTheme="minorEastAsia" w:eastAsiaTheme="minorEastAsia" w:cstheme="minorEastAsia"/>
          <w:b/>
          <w:bCs/>
          <w:sz w:val="24"/>
          <w:szCs w:val="24"/>
        </w:rPr>
        <w:t>四、提交投标文件</w:t>
      </w:r>
      <w:bookmarkEnd w:id="20"/>
      <w:bookmarkEnd w:id="21"/>
      <w:r>
        <w:rPr>
          <w:rFonts w:hint="eastAsia" w:asciiTheme="minorEastAsia" w:hAnsiTheme="minorEastAsia" w:eastAsiaTheme="minorEastAsia" w:cstheme="minorEastAsia"/>
          <w:b/>
          <w:bCs/>
          <w:sz w:val="24"/>
          <w:szCs w:val="24"/>
        </w:rPr>
        <w:t>截止时间、开标时间和地点</w:t>
      </w:r>
      <w:bookmarkEnd w:id="22"/>
      <w:bookmarkEnd w:id="23"/>
    </w:p>
    <w:p w14:paraId="26F19E63">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投标截止时间、开标时间：</w:t>
      </w:r>
      <w:r>
        <w:rPr>
          <w:rFonts w:hint="eastAsia"/>
          <w:sz w:val="24"/>
          <w:szCs w:val="24"/>
          <w:highlight w:val="none"/>
          <w:u w:val="single"/>
          <w:lang w:eastAsia="zh-CN"/>
        </w:rPr>
        <w:t>202</w:t>
      </w:r>
      <w:r>
        <w:rPr>
          <w:rFonts w:hint="eastAsia"/>
          <w:sz w:val="24"/>
          <w:szCs w:val="24"/>
          <w:highlight w:val="none"/>
          <w:u w:val="single"/>
          <w:lang w:val="en-US" w:eastAsia="zh-CN"/>
        </w:rPr>
        <w:t>5</w:t>
      </w:r>
      <w:r>
        <w:rPr>
          <w:rFonts w:hint="eastAsia"/>
          <w:sz w:val="24"/>
          <w:szCs w:val="24"/>
          <w:highlight w:val="none"/>
          <w:lang w:eastAsia="zh-CN"/>
        </w:rPr>
        <w:t>年</w:t>
      </w:r>
      <w:r>
        <w:rPr>
          <w:rFonts w:hint="eastAsia"/>
          <w:sz w:val="24"/>
          <w:szCs w:val="24"/>
          <w:highlight w:val="none"/>
          <w:u w:val="single"/>
          <w:lang w:val="en-US" w:eastAsia="zh-CN"/>
        </w:rPr>
        <w:t>06</w:t>
      </w:r>
      <w:r>
        <w:rPr>
          <w:rFonts w:hint="eastAsia"/>
          <w:sz w:val="24"/>
          <w:szCs w:val="24"/>
          <w:highlight w:val="none"/>
          <w:lang w:eastAsia="zh-CN"/>
        </w:rPr>
        <w:t>月</w:t>
      </w:r>
      <w:r>
        <w:rPr>
          <w:rFonts w:hint="eastAsia"/>
          <w:sz w:val="24"/>
          <w:szCs w:val="24"/>
          <w:highlight w:val="none"/>
          <w:u w:val="single"/>
          <w:lang w:val="en-US" w:eastAsia="zh-CN"/>
        </w:rPr>
        <w:t>11</w:t>
      </w:r>
      <w:r>
        <w:rPr>
          <w:rFonts w:hint="eastAsia"/>
          <w:sz w:val="24"/>
          <w:szCs w:val="24"/>
          <w:highlight w:val="none"/>
          <w:lang w:eastAsia="zh-CN"/>
        </w:rPr>
        <w:t>日</w:t>
      </w:r>
      <w:r>
        <w:rPr>
          <w:rFonts w:hint="eastAsia"/>
          <w:sz w:val="24"/>
          <w:szCs w:val="24"/>
          <w:highlight w:val="none"/>
          <w:u w:val="single"/>
          <w:lang w:val="en-US" w:eastAsia="zh-CN"/>
        </w:rPr>
        <w:t>09</w:t>
      </w:r>
      <w:r>
        <w:rPr>
          <w:rFonts w:hint="eastAsia"/>
          <w:sz w:val="24"/>
          <w:szCs w:val="24"/>
          <w:highlight w:val="none"/>
          <w:lang w:eastAsia="zh-CN"/>
        </w:rPr>
        <w:t>点</w:t>
      </w:r>
      <w:r>
        <w:rPr>
          <w:rFonts w:hint="eastAsia"/>
          <w:sz w:val="24"/>
          <w:szCs w:val="24"/>
          <w:highlight w:val="none"/>
          <w:u w:val="single"/>
          <w:lang w:val="en-US" w:eastAsia="zh-CN"/>
        </w:rPr>
        <w:t>00</w:t>
      </w:r>
      <w:r>
        <w:rPr>
          <w:rFonts w:hint="eastAsia"/>
          <w:sz w:val="24"/>
          <w:szCs w:val="24"/>
          <w:highlight w:val="none"/>
          <w:lang w:eastAsia="zh-CN"/>
        </w:rPr>
        <w:t>分</w:t>
      </w:r>
      <w:r>
        <w:rPr>
          <w:rFonts w:hint="eastAsia"/>
          <w:sz w:val="24"/>
          <w:szCs w:val="24"/>
          <w:lang w:eastAsia="zh-CN"/>
        </w:rPr>
        <w:t>（北京时间）。</w:t>
      </w:r>
    </w:p>
    <w:p w14:paraId="7AF05B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sz w:val="24"/>
          <w:szCs w:val="24"/>
          <w:lang w:eastAsia="zh-CN"/>
        </w:rPr>
        <w:t>地点：</w:t>
      </w:r>
      <w:r>
        <w:rPr>
          <w:rFonts w:hint="eastAsia"/>
          <w:sz w:val="24"/>
          <w:szCs w:val="24"/>
          <w:u w:val="single"/>
          <w:lang w:eastAsia="zh-CN"/>
        </w:rPr>
        <w:t>本项目采用远程电子开标方式，由投标人自行对电子投标文件进行解密或供应商在开标地点使用CA认证证书登录北京市政府采购电子交易平台进行电子开标</w:t>
      </w:r>
      <w:r>
        <w:rPr>
          <w:rFonts w:hint="eastAsia" w:asciiTheme="minorEastAsia" w:hAnsiTheme="minorEastAsia" w:eastAsiaTheme="minorEastAsia" w:cstheme="minorEastAsia"/>
          <w:kern w:val="0"/>
          <w:sz w:val="24"/>
          <w:szCs w:val="24"/>
        </w:rPr>
        <w:t>。</w:t>
      </w:r>
    </w:p>
    <w:p w14:paraId="5975B9BF">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24" w:name="_Toc28359007"/>
      <w:bookmarkStart w:id="25" w:name="_Toc35393794"/>
      <w:bookmarkStart w:id="26" w:name="_Toc35393625"/>
      <w:bookmarkStart w:id="27" w:name="_Toc28359084"/>
      <w:r>
        <w:rPr>
          <w:rFonts w:hint="eastAsia" w:asciiTheme="minorEastAsia" w:hAnsiTheme="minorEastAsia" w:eastAsiaTheme="minorEastAsia" w:cstheme="minorEastAsia"/>
          <w:b/>
          <w:bCs/>
          <w:sz w:val="24"/>
          <w:szCs w:val="24"/>
        </w:rPr>
        <w:t>五、公告期限</w:t>
      </w:r>
      <w:bookmarkEnd w:id="24"/>
      <w:bookmarkEnd w:id="25"/>
      <w:bookmarkEnd w:id="26"/>
      <w:bookmarkEnd w:id="27"/>
    </w:p>
    <w:p w14:paraId="0944C3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自本公告发布之日起5个工作日。</w:t>
      </w:r>
    </w:p>
    <w:p w14:paraId="79487DF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28" w:name="_Toc35393626"/>
      <w:bookmarkStart w:id="29" w:name="_Toc35393795"/>
      <w:r>
        <w:rPr>
          <w:rFonts w:hint="eastAsia" w:asciiTheme="minorEastAsia" w:hAnsiTheme="minorEastAsia" w:eastAsiaTheme="minorEastAsia" w:cstheme="minorEastAsia"/>
          <w:b/>
          <w:bCs/>
          <w:sz w:val="24"/>
          <w:szCs w:val="24"/>
        </w:rPr>
        <w:t>六、其他补充事宜</w:t>
      </w:r>
      <w:bookmarkEnd w:id="28"/>
      <w:bookmarkEnd w:id="29"/>
    </w:p>
    <w:p w14:paraId="6045B7DE">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sz w:val="24"/>
          <w:szCs w:val="24"/>
          <w:lang w:eastAsia="zh-CN"/>
        </w:rPr>
      </w:pPr>
      <w:bookmarkStart w:id="30" w:name="_Toc28342"/>
      <w:r>
        <w:rPr>
          <w:rFonts w:hint="eastAsia"/>
          <w:sz w:val="24"/>
          <w:szCs w:val="24"/>
          <w:lang w:eastAsia="zh-CN"/>
        </w:rPr>
        <w:t>1.本项目需要落实的政府采购政策：</w:t>
      </w:r>
      <w:r>
        <w:rPr>
          <w:rFonts w:hint="eastAsia"/>
          <w:sz w:val="24"/>
          <w:szCs w:val="24"/>
          <w:u w:val="single"/>
          <w:lang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sz w:val="24"/>
          <w:szCs w:val="24"/>
          <w:lang w:eastAsia="zh-CN"/>
        </w:rPr>
        <w:t>。</w:t>
      </w:r>
      <w:bookmarkEnd w:id="30"/>
    </w:p>
    <w:p w14:paraId="758FEA0E">
      <w:pPr>
        <w:pStyle w:val="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sz w:val="24"/>
          <w:szCs w:val="24"/>
          <w:lang w:eastAsia="zh-CN"/>
        </w:rPr>
      </w:pPr>
      <w:r>
        <w:rPr>
          <w:rFonts w:hint="eastAsia"/>
          <w:sz w:val="24"/>
          <w:szCs w:val="24"/>
          <w:lang w:eastAsia="zh-CN"/>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62C9073">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CA数字证书服务热线010-58511086</w:t>
      </w:r>
    </w:p>
    <w:p w14:paraId="6899BE31">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电子营业执照服务热线400-699-7000</w:t>
      </w:r>
    </w:p>
    <w:p w14:paraId="14727A3E">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技术支持服务热线010-86483801</w:t>
      </w:r>
    </w:p>
    <w:p w14:paraId="198F7A63">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2.1 办理CA数字证书或电子营业执照</w:t>
      </w:r>
    </w:p>
    <w:p w14:paraId="251E438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供应商登录北京市政府采购电子交易平台查阅“用户指南”—“操作指南”—“市场主体CA办理操作流程指引”/“电子营业执照使用指南”，按照程序要求办理。</w:t>
      </w:r>
    </w:p>
    <w:p w14:paraId="4966B469">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2.2 注册</w:t>
      </w:r>
    </w:p>
    <w:p w14:paraId="01AD993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供应商登录北京市政府采购电子交易平台“用户指南”—“操作指南”—“市场主体注册入库操作流程指引”进行自助注册绑定。</w:t>
      </w:r>
    </w:p>
    <w:p w14:paraId="65B7C2BD">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2.3 驱动、客户端下载</w:t>
      </w:r>
    </w:p>
    <w:p w14:paraId="4FB9C9E7">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供应商登录北京市政府采购电子交易平台“用户指南”—“工具下载”—“招标采购系统文件驱动安装包”下载相关驱动。</w:t>
      </w:r>
    </w:p>
    <w:p w14:paraId="106A8A8E">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供应商登录北京市政府采购电子交易平台“用户指南”—“工具下载”—“投标文件编制工具”下载相关客户端。</w:t>
      </w:r>
    </w:p>
    <w:p w14:paraId="14B67DA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2.4 获取电子招标文件</w:t>
      </w:r>
    </w:p>
    <w:p w14:paraId="115DC1F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供应商使用CA数字证书或电子营业执照登录北京市政府采购电子交易平台获取电子招标文件。</w:t>
      </w:r>
    </w:p>
    <w:p w14:paraId="61A4610F">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采购包下载招标文件电子版。未在规定期限内按上述操作获取文件的采购包，供应商无法提交相应包的电子投标文件。</w:t>
      </w:r>
    </w:p>
    <w:p w14:paraId="2E535971">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2.5 编制电子投标文件</w:t>
      </w:r>
    </w:p>
    <w:p w14:paraId="5AF4045A">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4841C0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2.6 提交电子投标文件</w:t>
      </w:r>
    </w:p>
    <w:p w14:paraId="12F06F22">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供应商应于投标截止时间前在北京市政府采购电子交易平台提交电子投标文件，上传电子投标文件过程中请保持与互联网的连接畅通。</w:t>
      </w:r>
    </w:p>
    <w:p w14:paraId="2DBBF6FD">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2.7 电子开标</w:t>
      </w:r>
    </w:p>
    <w:p w14:paraId="7C9A5C66">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sz w:val="24"/>
          <w:szCs w:val="24"/>
          <w:lang w:eastAsia="zh-CN"/>
        </w:rPr>
        <w:t>供应商在开标地点使用CA数字证书或电子营业执照登录北京市政府采购电子交易平台进行电子开标。</w:t>
      </w:r>
    </w:p>
    <w:p w14:paraId="6D0DFDD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31" w:name="_Toc28359008"/>
      <w:bookmarkStart w:id="32" w:name="_Toc35393627"/>
      <w:bookmarkStart w:id="33" w:name="_Toc35393796"/>
      <w:bookmarkStart w:id="34" w:name="_Toc28359085"/>
      <w:r>
        <w:rPr>
          <w:rFonts w:hint="eastAsia" w:asciiTheme="minorEastAsia" w:hAnsiTheme="minorEastAsia" w:eastAsiaTheme="minorEastAsia" w:cstheme="minorEastAsia"/>
          <w:b/>
          <w:bCs/>
          <w:sz w:val="24"/>
          <w:szCs w:val="24"/>
        </w:rPr>
        <w:t>七、对本次招标提出询问，请按以下方式联系。</w:t>
      </w:r>
      <w:bookmarkEnd w:id="31"/>
      <w:bookmarkEnd w:id="32"/>
      <w:bookmarkEnd w:id="33"/>
      <w:bookmarkEnd w:id="34"/>
    </w:p>
    <w:p w14:paraId="1053CEC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10A7603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北京市怀柔区电化教育管理中心</w:t>
      </w:r>
    </w:p>
    <w:p w14:paraId="4E974D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北京市怀柔区湖光南街2号</w:t>
      </w:r>
    </w:p>
    <w:p w14:paraId="1C82F6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bookmarkStart w:id="39" w:name="_GoBack"/>
      <w:bookmarkEnd w:id="39"/>
      <w:bookmarkStart w:id="35" w:name="_Toc28359009"/>
      <w:bookmarkStart w:id="36" w:name="_Toc28359086"/>
      <w:r>
        <w:rPr>
          <w:rFonts w:hint="eastAsia" w:asciiTheme="minorEastAsia" w:hAnsiTheme="minorEastAsia" w:eastAsiaTheme="minorEastAsia" w:cstheme="minorEastAsia"/>
          <w:sz w:val="24"/>
          <w:szCs w:val="24"/>
          <w:u w:val="single"/>
        </w:rPr>
        <w:t>郭老师 010-69626474</w:t>
      </w:r>
      <w:r>
        <w:rPr>
          <w:rFonts w:hint="eastAsia" w:asciiTheme="minorEastAsia" w:hAnsiTheme="minorEastAsia" w:eastAsiaTheme="minorEastAsia" w:cstheme="minorEastAsia"/>
          <w:sz w:val="24"/>
          <w:szCs w:val="24"/>
        </w:rPr>
        <w:t xml:space="preserve"> </w:t>
      </w:r>
    </w:p>
    <w:p w14:paraId="127D735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2.采购代理机构信息（如有）</w:t>
      </w:r>
      <w:bookmarkEnd w:id="35"/>
      <w:bookmarkEnd w:id="36"/>
    </w:p>
    <w:p w14:paraId="24199B8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lang w:eastAsia="zh-CN"/>
        </w:rPr>
        <w:t>汇信（北京）工程管理有限公司</w:t>
      </w:r>
    </w:p>
    <w:p w14:paraId="0E2F76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北京市经济开发区亦庄云时代B2座-18层</w:t>
      </w:r>
    </w:p>
    <w:p w14:paraId="255617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联系方式：</w:t>
      </w:r>
      <w:bookmarkStart w:id="37" w:name="_Toc28359010"/>
      <w:bookmarkStart w:id="38" w:name="_Toc28359087"/>
      <w:r>
        <w:rPr>
          <w:rFonts w:hint="eastAsia" w:asciiTheme="minorEastAsia" w:hAnsiTheme="minorEastAsia" w:eastAsiaTheme="minorEastAsia" w:cstheme="minorEastAsia"/>
          <w:sz w:val="24"/>
          <w:szCs w:val="24"/>
          <w:u w:val="single"/>
        </w:rPr>
        <w:t>赵晓明、程远卫010-53387002</w:t>
      </w:r>
      <w:r>
        <w:rPr>
          <w:rFonts w:hint="eastAsia" w:asciiTheme="minorEastAsia" w:hAnsiTheme="minorEastAsia" w:eastAsiaTheme="minorEastAsia" w:cstheme="minorEastAsia"/>
          <w:sz w:val="24"/>
          <w:szCs w:val="24"/>
          <w:u w:val="single"/>
          <w:lang w:val="en-US" w:eastAsia="zh-CN"/>
        </w:rPr>
        <w:t xml:space="preserve"> 15010277537</w:t>
      </w:r>
    </w:p>
    <w:p w14:paraId="6FF22B3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bookmarkEnd w:id="37"/>
      <w:bookmarkEnd w:id="38"/>
    </w:p>
    <w:p w14:paraId="048DD7D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u w:val="single"/>
        </w:rPr>
        <w:t>赵晓明、程远卫</w:t>
      </w:r>
    </w:p>
    <w:p w14:paraId="664A463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sz w:val="20"/>
          <w:szCs w:val="20"/>
          <w:lang w:val="en-US"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010-53387002</w:t>
      </w:r>
      <w:r>
        <w:rPr>
          <w:rFonts w:hint="eastAsia" w:asciiTheme="minorEastAsia" w:hAnsiTheme="minorEastAsia" w:eastAsiaTheme="minorEastAsia" w:cstheme="minorEastAsia"/>
          <w:sz w:val="24"/>
          <w:szCs w:val="24"/>
          <w:u w:val="single"/>
          <w:lang w:val="en-US" w:eastAsia="zh-CN"/>
        </w:rPr>
        <w:t xml:space="preserve">  15010277537</w:t>
      </w:r>
    </w:p>
    <w:sectPr>
      <w:footerReference r:id="rId3" w:type="default"/>
      <w:pgSz w:w="11906" w:h="16838"/>
      <w:pgMar w:top="1304" w:right="1304" w:bottom="1304" w:left="130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32F4979A">
        <w:pPr>
          <w:pStyle w:val="15"/>
          <w:jc w:val="center"/>
        </w:pPr>
        <w:r>
          <w:fldChar w:fldCharType="begin"/>
        </w:r>
        <w:r>
          <w:instrText xml:space="preserve">PAGE   \* MERGEFORMAT</w:instrText>
        </w:r>
        <w:r>
          <w:fldChar w:fldCharType="separate"/>
        </w:r>
        <w:r>
          <w:rPr>
            <w:lang w:val="zh-CN"/>
          </w:rPr>
          <w:t>1</w:t>
        </w:r>
        <w:r>
          <w:fldChar w:fldCharType="end"/>
        </w:r>
      </w:p>
    </w:sdtContent>
  </w:sdt>
  <w:p w14:paraId="7B4E8568">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YzMwNjZkMTNjYTZhYjJiZWYzOTUyNGEwODAxYz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43F44BC"/>
    <w:rsid w:val="05AA39E0"/>
    <w:rsid w:val="0A5D3B7D"/>
    <w:rsid w:val="1605573D"/>
    <w:rsid w:val="1908515C"/>
    <w:rsid w:val="213C22E6"/>
    <w:rsid w:val="217C6D52"/>
    <w:rsid w:val="25875AFA"/>
    <w:rsid w:val="2DF44CC4"/>
    <w:rsid w:val="2F365BF1"/>
    <w:rsid w:val="34833825"/>
    <w:rsid w:val="3CF015B2"/>
    <w:rsid w:val="42230C3B"/>
    <w:rsid w:val="42404B25"/>
    <w:rsid w:val="4FC51894"/>
    <w:rsid w:val="503066A3"/>
    <w:rsid w:val="53FC269A"/>
    <w:rsid w:val="54D8587E"/>
    <w:rsid w:val="5EE742D9"/>
    <w:rsid w:val="65E23BDA"/>
    <w:rsid w:val="66B71DB0"/>
    <w:rsid w:val="67B4776F"/>
    <w:rsid w:val="6CE8644B"/>
    <w:rsid w:val="6EB96F54"/>
    <w:rsid w:val="70B61047"/>
    <w:rsid w:val="73AB295D"/>
    <w:rsid w:val="756530A4"/>
    <w:rsid w:val="75880263"/>
    <w:rsid w:val="7F6E0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9"/>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480" w:lineRule="exact"/>
      <w:ind w:left="420" w:leftChars="200" w:firstLine="420" w:firstLineChars="200"/>
    </w:pPr>
    <w:rPr>
      <w:szCs w:val="20"/>
    </w:rPr>
  </w:style>
  <w:style w:type="paragraph" w:styleId="3">
    <w:name w:val="Body Text Indent"/>
    <w:basedOn w:val="1"/>
    <w:autoRedefine/>
    <w:qFormat/>
    <w:uiPriority w:val="0"/>
    <w:pPr>
      <w:spacing w:line="360" w:lineRule="auto"/>
      <w:ind w:firstLine="570"/>
    </w:pPr>
    <w:rPr>
      <w:sz w:val="24"/>
    </w:rPr>
  </w:style>
  <w:style w:type="paragraph" w:styleId="6">
    <w:name w:val="Normal Indent"/>
    <w:basedOn w:val="1"/>
    <w:qFormat/>
    <w:uiPriority w:val="99"/>
    <w:pPr>
      <w:ind w:firstLine="420"/>
    </w:pPr>
    <w:rPr>
      <w:rFonts w:ascii="宋体"/>
      <w:sz w:val="24"/>
      <w:szCs w:val="20"/>
    </w:rPr>
  </w:style>
  <w:style w:type="paragraph" w:styleId="7">
    <w:name w:val="annotation text"/>
    <w:basedOn w:val="1"/>
    <w:link w:val="31"/>
    <w:autoRedefine/>
    <w:semiHidden/>
    <w:unhideWhenUsed/>
    <w:qFormat/>
    <w:uiPriority w:val="99"/>
    <w:pPr>
      <w:jc w:val="left"/>
    </w:pPr>
  </w:style>
  <w:style w:type="paragraph" w:styleId="8">
    <w:name w:val="Body Text"/>
    <w:basedOn w:val="1"/>
    <w:next w:val="9"/>
    <w:qFormat/>
    <w:uiPriority w:val="0"/>
    <w:pPr>
      <w:tabs>
        <w:tab w:val="left" w:pos="567"/>
      </w:tabs>
      <w:spacing w:before="120" w:line="22" w:lineRule="atLeast"/>
    </w:pPr>
    <w:rPr>
      <w:rFonts w:ascii="宋体" w:hAnsi="宋体"/>
      <w:sz w:val="24"/>
    </w:rPr>
  </w:style>
  <w:style w:type="paragraph" w:styleId="9">
    <w:name w:val="Body Text 2"/>
    <w:basedOn w:val="1"/>
    <w:link w:val="35"/>
    <w:autoRedefine/>
    <w:qFormat/>
    <w:uiPriority w:val="0"/>
    <w:pPr>
      <w:spacing w:after="120" w:line="480" w:lineRule="auto"/>
    </w:p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2"/>
    <w:autoRedefine/>
    <w:qFormat/>
    <w:uiPriority w:val="0"/>
    <w:rPr>
      <w:rFonts w:ascii="宋体" w:hAnsi="Courier New" w:eastAsiaTheme="minorEastAsia" w:cstheme="minorBidi"/>
      <w:szCs w:val="22"/>
    </w:rPr>
  </w:style>
  <w:style w:type="paragraph" w:styleId="12">
    <w:name w:val="Date"/>
    <w:basedOn w:val="1"/>
    <w:next w:val="1"/>
    <w:link w:val="33"/>
    <w:autoRedefine/>
    <w:qFormat/>
    <w:uiPriority w:val="0"/>
    <w:pPr>
      <w:adjustRightInd w:val="0"/>
      <w:spacing w:line="360" w:lineRule="atLeast"/>
      <w:textAlignment w:val="baseline"/>
    </w:pPr>
    <w:rPr>
      <w:rFonts w:ascii="宋体" w:cs="宋体"/>
      <w:kern w:val="0"/>
      <w:sz w:val="24"/>
      <w:szCs w:val="24"/>
    </w:rPr>
  </w:style>
  <w:style w:type="paragraph" w:styleId="13">
    <w:name w:val="Body Text Indent 2"/>
    <w:basedOn w:val="1"/>
    <w:autoRedefine/>
    <w:qFormat/>
    <w:uiPriority w:val="0"/>
    <w:pPr>
      <w:ind w:firstLine="480" w:firstLineChars="200"/>
    </w:pPr>
    <w:rPr>
      <w:rFonts w:ascii="仿宋_GB2312" w:eastAsia="仿宋_GB2312"/>
      <w:sz w:val="24"/>
    </w:rPr>
  </w:style>
  <w:style w:type="paragraph" w:styleId="14">
    <w:name w:val="Balloon Text"/>
    <w:basedOn w:val="1"/>
    <w:link w:val="34"/>
    <w:autoRedefine/>
    <w:semiHidden/>
    <w:unhideWhenUsed/>
    <w:qFormat/>
    <w:uiPriority w:val="99"/>
    <w:rPr>
      <w:sz w:val="18"/>
      <w:szCs w:val="18"/>
    </w:rPr>
  </w:style>
  <w:style w:type="paragraph" w:styleId="15">
    <w:name w:val="footer"/>
    <w:basedOn w:val="1"/>
    <w:link w:val="28"/>
    <w:autoRedefine/>
    <w:unhideWhenUsed/>
    <w:qFormat/>
    <w:uiPriority w:val="99"/>
    <w:pPr>
      <w:tabs>
        <w:tab w:val="center" w:pos="4153"/>
        <w:tab w:val="right" w:pos="8306"/>
      </w:tabs>
      <w:snapToGrid w:val="0"/>
      <w:jc w:val="left"/>
    </w:pPr>
    <w:rPr>
      <w:sz w:val="18"/>
      <w:szCs w:val="18"/>
    </w:rPr>
  </w:style>
  <w:style w:type="paragraph" w:styleId="16">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8">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autoRedefine/>
    <w:semiHidden/>
    <w:unhideWhenUsed/>
    <w:qFormat/>
    <w:uiPriority w:val="99"/>
    <w:rPr>
      <w:b/>
      <w:bCs/>
    </w:rPr>
  </w:style>
  <w:style w:type="paragraph" w:styleId="21">
    <w:name w:val="Body Text First Indent"/>
    <w:basedOn w:val="8"/>
    <w:next w:val="2"/>
    <w:qFormat/>
    <w:uiPriority w:val="99"/>
    <w:pPr>
      <w:spacing w:before="0" w:after="120" w:line="240" w:lineRule="auto"/>
      <w:ind w:firstLine="420" w:firstLineChars="100"/>
    </w:pPr>
    <w:rPr>
      <w:sz w:val="21"/>
    </w:rPr>
  </w:style>
  <w:style w:type="table" w:styleId="23">
    <w:name w:val="Table Grid"/>
    <w:basedOn w:val="22"/>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autoRedefine/>
    <w:unhideWhenUsed/>
    <w:qFormat/>
    <w:uiPriority w:val="99"/>
    <w:rPr>
      <w:color w:val="0000FF"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页眉 Char"/>
    <w:basedOn w:val="24"/>
    <w:link w:val="16"/>
    <w:autoRedefine/>
    <w:qFormat/>
    <w:uiPriority w:val="99"/>
    <w:rPr>
      <w:sz w:val="18"/>
      <w:szCs w:val="18"/>
    </w:rPr>
  </w:style>
  <w:style w:type="character" w:customStyle="1" w:styleId="28">
    <w:name w:val="页脚 Char"/>
    <w:basedOn w:val="24"/>
    <w:link w:val="15"/>
    <w:autoRedefine/>
    <w:qFormat/>
    <w:uiPriority w:val="99"/>
    <w:rPr>
      <w:sz w:val="18"/>
      <w:szCs w:val="18"/>
    </w:rPr>
  </w:style>
  <w:style w:type="character" w:customStyle="1" w:styleId="29">
    <w:name w:val="标题 1 Char"/>
    <w:basedOn w:val="24"/>
    <w:link w:val="4"/>
    <w:autoRedefine/>
    <w:qFormat/>
    <w:uiPriority w:val="9"/>
    <w:rPr>
      <w:rFonts w:ascii="Times New Roman" w:hAnsi="Times New Roman" w:eastAsia="宋体" w:cs="Times New Roman"/>
      <w:b/>
      <w:bCs/>
      <w:kern w:val="44"/>
      <w:sz w:val="44"/>
      <w:szCs w:val="44"/>
    </w:rPr>
  </w:style>
  <w:style w:type="character" w:customStyle="1" w:styleId="30">
    <w:name w:val="标题 2 Char"/>
    <w:basedOn w:val="24"/>
    <w:link w:val="5"/>
    <w:autoRedefine/>
    <w:qFormat/>
    <w:uiPriority w:val="0"/>
    <w:rPr>
      <w:rFonts w:ascii="Arial" w:hAnsi="Arial" w:eastAsia="黑体" w:cs="Arial"/>
      <w:b/>
      <w:bCs/>
      <w:sz w:val="32"/>
      <w:szCs w:val="32"/>
    </w:rPr>
  </w:style>
  <w:style w:type="character" w:customStyle="1" w:styleId="31">
    <w:name w:val="批注文字 Char"/>
    <w:basedOn w:val="24"/>
    <w:link w:val="7"/>
    <w:autoRedefine/>
    <w:semiHidden/>
    <w:qFormat/>
    <w:uiPriority w:val="99"/>
    <w:rPr>
      <w:rFonts w:ascii="Times New Roman" w:hAnsi="Times New Roman" w:eastAsia="宋体" w:cs="Times New Roman"/>
      <w:szCs w:val="21"/>
    </w:rPr>
  </w:style>
  <w:style w:type="character" w:customStyle="1" w:styleId="32">
    <w:name w:val="纯文本 Char"/>
    <w:basedOn w:val="24"/>
    <w:link w:val="11"/>
    <w:autoRedefine/>
    <w:qFormat/>
    <w:uiPriority w:val="0"/>
    <w:rPr>
      <w:rFonts w:ascii="宋体" w:hAnsi="Courier New"/>
    </w:rPr>
  </w:style>
  <w:style w:type="character" w:customStyle="1" w:styleId="33">
    <w:name w:val="日期 Char"/>
    <w:basedOn w:val="24"/>
    <w:link w:val="12"/>
    <w:autoRedefine/>
    <w:qFormat/>
    <w:uiPriority w:val="0"/>
    <w:rPr>
      <w:rFonts w:ascii="宋体" w:hAnsi="Times New Roman" w:eastAsia="宋体" w:cs="宋体"/>
      <w:kern w:val="0"/>
      <w:sz w:val="24"/>
      <w:szCs w:val="24"/>
    </w:rPr>
  </w:style>
  <w:style w:type="character" w:customStyle="1" w:styleId="34">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5">
    <w:name w:val="正文文本 2 Char"/>
    <w:basedOn w:val="24"/>
    <w:link w:val="9"/>
    <w:autoRedefine/>
    <w:qFormat/>
    <w:uiPriority w:val="0"/>
    <w:rPr>
      <w:rFonts w:ascii="Times New Roman" w:hAnsi="Times New Roman" w:eastAsia="宋体" w:cs="Times New Roman"/>
      <w:szCs w:val="21"/>
    </w:rPr>
  </w:style>
  <w:style w:type="character" w:customStyle="1" w:styleId="36">
    <w:name w:val="批注主题 Char"/>
    <w:basedOn w:val="31"/>
    <w:link w:val="20"/>
    <w:autoRedefine/>
    <w:semiHidden/>
    <w:qFormat/>
    <w:uiPriority w:val="99"/>
    <w:rPr>
      <w:rFonts w:ascii="Times New Roman" w:hAnsi="Times New Roman" w:eastAsia="宋体" w:cs="Times New Roman"/>
      <w:b/>
      <w:bCs/>
      <w:szCs w:val="21"/>
    </w:rPr>
  </w:style>
  <w:style w:type="character" w:customStyle="1" w:styleId="37">
    <w:name w:val="纯文本 字符"/>
    <w:basedOn w:val="24"/>
    <w:autoRedefine/>
    <w:semiHidden/>
    <w:qFormat/>
    <w:uiPriority w:val="99"/>
    <w:rPr>
      <w:rFonts w:hAnsi="Courier New" w:cs="Courier New" w:asciiTheme="minorEastAsia"/>
      <w:szCs w:val="21"/>
    </w:rPr>
  </w:style>
  <w:style w:type="paragraph" w:styleId="38">
    <w:name w:val="List Paragraph"/>
    <w:basedOn w:val="1"/>
    <w:autoRedefine/>
    <w:qFormat/>
    <w:uiPriority w:val="34"/>
    <w:pPr>
      <w:ind w:firstLine="420" w:firstLineChars="200"/>
    </w:pPr>
  </w:style>
  <w:style w:type="paragraph" w:customStyle="1" w:styleId="39">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Heading"/>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4"/>
    <w:autoRedefine/>
    <w:qFormat/>
    <w:uiPriority w:val="0"/>
  </w:style>
  <w:style w:type="paragraph" w:customStyle="1" w:styleId="43">
    <w:name w:val="Table Text"/>
    <w:basedOn w:val="1"/>
    <w:autoRedefine/>
    <w:semiHidden/>
    <w:qFormat/>
    <w:uiPriority w:val="0"/>
    <w:rPr>
      <w:rFonts w:ascii="宋体" w:hAnsi="宋体" w:eastAsia="宋体" w:cs="宋体"/>
      <w:sz w:val="24"/>
      <w:szCs w:val="24"/>
      <w:lang w:val="en-US" w:eastAsia="en-US" w:bidi="ar-SA"/>
    </w:rPr>
  </w:style>
  <w:style w:type="table" w:customStyle="1" w:styleId="44">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1922</Words>
  <Characters>2204</Characters>
  <Lines>57</Lines>
  <Paragraphs>16</Paragraphs>
  <TotalTime>0</TotalTime>
  <ScaleCrop>false</ScaleCrop>
  <LinksUpToDate>false</LinksUpToDate>
  <CharactersWithSpaces>2236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Administrator</cp:lastModifiedBy>
  <cp:lastPrinted>2020-03-23T07:37:00Z</cp:lastPrinted>
  <dcterms:modified xsi:type="dcterms:W3CDTF">2025-05-21T01:31:55Z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BB875D9A84664A3DB76914805C25BF89_13</vt:lpwstr>
  </property>
  <property fmtid="{D5CDD505-2E9C-101B-9397-08002B2CF9AE}" pid="4" name="KSOTemplateDocerSaveRecord">
    <vt:lpwstr>eyJoZGlkIjoiMTE4MDc3NDM4OGQ3NTY2MGE2OTU5YTUxNmJlYWRmNjkiLCJ1c2VySWQiOiIxMjE3MjkxMzE2In0=</vt:lpwstr>
  </property>
</Properties>
</file>