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76EF9">
      <w:pPr>
        <w:pStyle w:val="2"/>
        <w:tabs>
          <w:tab w:val="left" w:pos="0"/>
        </w:tabs>
        <w:autoSpaceDE w:val="0"/>
        <w:autoSpaceDN w:val="0"/>
        <w:adjustRightInd w:val="0"/>
        <w:spacing w:before="0" w:after="0" w:line="360" w:lineRule="auto"/>
        <w:jc w:val="center"/>
        <w:rPr>
          <w:rFonts w:hint="eastAsia" w:ascii="宋体" w:hAnsi="宋体"/>
          <w:color w:val="auto"/>
          <w:sz w:val="32"/>
          <w:szCs w:val="28"/>
          <w:highlight w:val="none"/>
          <w:lang w:eastAsia="zh-CN"/>
        </w:rPr>
      </w:pPr>
      <w:bookmarkStart w:id="0" w:name="_Toc35393797"/>
      <w:bookmarkStart w:id="1" w:name="_Toc28359011"/>
      <w:r>
        <w:rPr>
          <w:rFonts w:hint="eastAsia" w:ascii="宋体" w:hAnsi="宋体"/>
          <w:color w:val="auto"/>
          <w:sz w:val="32"/>
          <w:szCs w:val="28"/>
          <w:highlight w:val="none"/>
          <w:lang w:eastAsia="zh-CN"/>
        </w:rPr>
        <w:t>2025年度人防工程渗漏水治理和人防设备维护维修项目</w:t>
      </w:r>
    </w:p>
    <w:p w14:paraId="6ACC684B">
      <w:pPr>
        <w:pStyle w:val="2"/>
        <w:tabs>
          <w:tab w:val="left" w:pos="0"/>
        </w:tabs>
        <w:autoSpaceDE w:val="0"/>
        <w:autoSpaceDN w:val="0"/>
        <w:adjustRightInd w:val="0"/>
        <w:spacing w:before="0" w:after="0" w:line="360" w:lineRule="auto"/>
        <w:jc w:val="center"/>
        <w:rPr>
          <w:rFonts w:ascii="宋体" w:hAnsi="宋体"/>
          <w:color w:val="auto"/>
          <w:sz w:val="32"/>
          <w:szCs w:val="28"/>
          <w:highlight w:val="none"/>
        </w:rPr>
      </w:pPr>
      <w:r>
        <w:rPr>
          <w:rFonts w:hint="eastAsia" w:ascii="宋体" w:hAnsi="宋体"/>
          <w:color w:val="auto"/>
          <w:sz w:val="32"/>
          <w:szCs w:val="28"/>
          <w:highlight w:val="none"/>
        </w:rPr>
        <w:t>竞争性磋商公告</w:t>
      </w:r>
      <w:bookmarkEnd w:id="0"/>
      <w:bookmarkEnd w:id="1"/>
    </w:p>
    <w:p w14:paraId="35885FB0">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401CB8DB">
      <w:pPr>
        <w:pBdr>
          <w:top w:val="single" w:color="auto" w:sz="4" w:space="1"/>
          <w:left w:val="single" w:color="auto" w:sz="4" w:space="4"/>
          <w:bottom w:val="single" w:color="auto" w:sz="4" w:space="1"/>
          <w:right w:val="single" w:color="auto" w:sz="4" w:space="4"/>
        </w:pBdr>
        <w:spacing w:line="276" w:lineRule="auto"/>
        <w:ind w:firstLine="440" w:firstLineChars="200"/>
        <w:rPr>
          <w:rFonts w:ascii="宋体" w:hAnsi="宋体"/>
          <w:color w:val="auto"/>
          <w:sz w:val="24"/>
          <w:szCs w:val="24"/>
          <w:highlight w:val="none"/>
        </w:rPr>
      </w:pPr>
      <w:r>
        <w:rPr>
          <w:rFonts w:hint="eastAsia" w:ascii="宋体" w:hAnsi="宋体"/>
          <w:color w:val="auto"/>
          <w:sz w:val="22"/>
          <w:szCs w:val="24"/>
          <w:highlight w:val="none"/>
          <w:u w:val="single"/>
          <w:lang w:eastAsia="zh-CN"/>
        </w:rPr>
        <w:t>2025年度人防工程渗漏水治理和人防设备维护维修项目</w:t>
      </w:r>
      <w:r>
        <w:rPr>
          <w:rFonts w:hint="eastAsia" w:ascii="宋体" w:hAnsi="宋体"/>
          <w:color w:val="auto"/>
          <w:sz w:val="22"/>
          <w:szCs w:val="24"/>
          <w:highlight w:val="none"/>
        </w:rPr>
        <w:t>的潜在供应商应在</w:t>
      </w:r>
      <w:r>
        <w:rPr>
          <w:rFonts w:hint="eastAsia" w:ascii="宋体" w:hAnsi="宋体"/>
          <w:color w:val="auto"/>
          <w:sz w:val="22"/>
          <w:szCs w:val="24"/>
          <w:highlight w:val="none"/>
          <w:u w:val="single"/>
        </w:rPr>
        <w:t>北京市政府采购电子交易平台</w:t>
      </w:r>
      <w:r>
        <w:rPr>
          <w:rFonts w:hint="eastAsia" w:ascii="宋体" w:hAnsi="宋体"/>
          <w:bCs/>
          <w:color w:val="auto"/>
          <w:sz w:val="22"/>
          <w:szCs w:val="24"/>
          <w:highlight w:val="none"/>
          <w:u w:val="single"/>
        </w:rPr>
        <w:t>（</w:t>
      </w:r>
      <w:r>
        <w:rPr>
          <w:color w:val="auto"/>
          <w:highlight w:val="none"/>
        </w:rPr>
        <w:fldChar w:fldCharType="begin"/>
      </w:r>
      <w:r>
        <w:rPr>
          <w:color w:val="auto"/>
          <w:highlight w:val="none"/>
        </w:rPr>
        <w:instrText xml:space="preserve"> HYPERLINK "http://zbcg-bjzc.zhongcy.com/bjczj-portal-site/index.html" \l "/home）获取采购文件，并于2023年10月" </w:instrText>
      </w:r>
      <w:r>
        <w:rPr>
          <w:color w:val="auto"/>
          <w:highlight w:val="none"/>
        </w:rPr>
        <w:fldChar w:fldCharType="separate"/>
      </w:r>
      <w:r>
        <w:rPr>
          <w:rStyle w:val="13"/>
          <w:rFonts w:hint="eastAsia" w:ascii="宋体" w:hAnsi="宋体"/>
          <w:bCs/>
          <w:color w:val="auto"/>
          <w:sz w:val="22"/>
          <w:szCs w:val="24"/>
          <w:highlight w:val="none"/>
        </w:rPr>
        <w:t>http://zbcg-bjzc.zhongcy.com/bjczj-portal-site/index.html#/home）获取采购文件，并于</w:t>
      </w:r>
      <w:r>
        <w:rPr>
          <w:rStyle w:val="13"/>
          <w:rFonts w:ascii="宋体" w:hAnsi="宋体"/>
          <w:bCs/>
          <w:color w:val="auto"/>
          <w:sz w:val="22"/>
          <w:szCs w:val="24"/>
          <w:highlight w:val="none"/>
        </w:rPr>
        <w:t>202</w:t>
      </w:r>
      <w:r>
        <w:rPr>
          <w:rStyle w:val="13"/>
          <w:rFonts w:hint="eastAsia" w:ascii="宋体" w:hAnsi="宋体"/>
          <w:bCs/>
          <w:color w:val="auto"/>
          <w:sz w:val="22"/>
          <w:szCs w:val="24"/>
          <w:highlight w:val="none"/>
          <w:lang w:val="en-US" w:eastAsia="zh-CN"/>
        </w:rPr>
        <w:t>5</w:t>
      </w:r>
      <w:r>
        <w:rPr>
          <w:rStyle w:val="13"/>
          <w:rFonts w:hint="eastAsia" w:ascii="宋体" w:hAnsi="宋体"/>
          <w:bCs/>
          <w:color w:val="auto"/>
          <w:sz w:val="22"/>
          <w:szCs w:val="24"/>
          <w:highlight w:val="none"/>
        </w:rPr>
        <w:t>年</w:t>
      </w:r>
      <w:r>
        <w:rPr>
          <w:rStyle w:val="13"/>
          <w:rFonts w:hint="eastAsia" w:ascii="宋体" w:hAnsi="宋体"/>
          <w:bCs/>
          <w:color w:val="auto"/>
          <w:sz w:val="22"/>
          <w:szCs w:val="24"/>
          <w:highlight w:val="none"/>
          <w:lang w:val="en-US" w:eastAsia="zh-CN"/>
        </w:rPr>
        <w:t>6</w:t>
      </w:r>
      <w:r>
        <w:rPr>
          <w:rStyle w:val="13"/>
          <w:rFonts w:hint="eastAsia" w:ascii="宋体" w:hAnsi="宋体"/>
          <w:bCs/>
          <w:color w:val="auto"/>
          <w:sz w:val="22"/>
          <w:szCs w:val="24"/>
          <w:highlight w:val="none"/>
        </w:rPr>
        <w:t>月</w:t>
      </w:r>
      <w:r>
        <w:rPr>
          <w:rStyle w:val="13"/>
          <w:rFonts w:hint="eastAsia" w:ascii="宋体" w:hAnsi="宋体"/>
          <w:bCs/>
          <w:color w:val="auto"/>
          <w:sz w:val="22"/>
          <w:szCs w:val="24"/>
          <w:highlight w:val="none"/>
        </w:rPr>
        <w:fldChar w:fldCharType="end"/>
      </w:r>
      <w:r>
        <w:rPr>
          <w:rFonts w:hint="eastAsia" w:ascii="宋体" w:hAnsi="宋体"/>
          <w:bCs/>
          <w:color w:val="auto"/>
          <w:sz w:val="22"/>
          <w:szCs w:val="24"/>
          <w:highlight w:val="none"/>
          <w:u w:val="single"/>
          <w:lang w:val="en-US" w:eastAsia="zh-CN"/>
        </w:rPr>
        <w:t>6</w:t>
      </w:r>
      <w:r>
        <w:rPr>
          <w:rFonts w:hint="eastAsia" w:ascii="宋体" w:hAnsi="宋体"/>
          <w:bCs/>
          <w:color w:val="auto"/>
          <w:sz w:val="22"/>
          <w:szCs w:val="24"/>
          <w:highlight w:val="none"/>
          <w:u w:val="single"/>
        </w:rPr>
        <w:t>日09点</w:t>
      </w:r>
      <w:r>
        <w:rPr>
          <w:rFonts w:ascii="宋体" w:hAnsi="宋体"/>
          <w:bCs/>
          <w:color w:val="auto"/>
          <w:sz w:val="22"/>
          <w:szCs w:val="24"/>
          <w:highlight w:val="none"/>
          <w:u w:val="single"/>
        </w:rPr>
        <w:t>30</w:t>
      </w:r>
      <w:r>
        <w:rPr>
          <w:rFonts w:hint="eastAsia" w:ascii="宋体" w:hAnsi="宋体"/>
          <w:bCs/>
          <w:color w:val="auto"/>
          <w:sz w:val="22"/>
          <w:szCs w:val="24"/>
          <w:highlight w:val="none"/>
          <w:u w:val="single"/>
        </w:rPr>
        <w:t>分</w:t>
      </w:r>
      <w:r>
        <w:rPr>
          <w:rFonts w:hint="eastAsia" w:ascii="宋体" w:hAnsi="宋体"/>
          <w:bCs/>
          <w:color w:val="auto"/>
          <w:sz w:val="22"/>
          <w:szCs w:val="24"/>
          <w:highlight w:val="none"/>
        </w:rPr>
        <w:t>（北京时间）前提交响应</w:t>
      </w:r>
      <w:r>
        <w:rPr>
          <w:rFonts w:ascii="宋体" w:hAnsi="宋体"/>
          <w:bCs/>
          <w:color w:val="auto"/>
          <w:sz w:val="22"/>
          <w:szCs w:val="24"/>
          <w:highlight w:val="none"/>
        </w:rPr>
        <w:t>文件</w:t>
      </w:r>
      <w:r>
        <w:rPr>
          <w:rFonts w:hint="eastAsia" w:ascii="宋体" w:hAnsi="宋体"/>
          <w:color w:val="auto"/>
          <w:sz w:val="22"/>
          <w:szCs w:val="24"/>
          <w:highlight w:val="none"/>
        </w:rPr>
        <w:t>。</w:t>
      </w:r>
    </w:p>
    <w:p w14:paraId="473B0277">
      <w:pPr>
        <w:pStyle w:val="3"/>
        <w:spacing w:before="140" w:after="140" w:line="240" w:lineRule="auto"/>
        <w:rPr>
          <w:rFonts w:ascii="宋体" w:hAnsi="宋体" w:eastAsia="宋体" w:cs="宋体"/>
          <w:b w:val="0"/>
          <w:color w:val="auto"/>
          <w:sz w:val="24"/>
          <w:szCs w:val="24"/>
          <w:highlight w:val="none"/>
        </w:rPr>
      </w:pPr>
      <w:bookmarkStart w:id="2" w:name="_Toc35393798"/>
      <w:bookmarkStart w:id="3" w:name="_Toc28359012"/>
      <w:bookmarkStart w:id="4" w:name="_Toc35393629"/>
      <w:bookmarkStart w:id="5" w:name="_Toc28359089"/>
      <w:r>
        <w:rPr>
          <w:rFonts w:hint="eastAsia" w:ascii="宋体" w:hAnsi="宋体" w:eastAsia="宋体" w:cs="宋体"/>
          <w:b w:val="0"/>
          <w:color w:val="auto"/>
          <w:sz w:val="24"/>
          <w:szCs w:val="24"/>
          <w:highlight w:val="none"/>
        </w:rPr>
        <w:t>一、项目基本情况</w:t>
      </w:r>
      <w:bookmarkEnd w:id="2"/>
      <w:bookmarkEnd w:id="3"/>
      <w:bookmarkEnd w:id="4"/>
      <w:bookmarkEnd w:id="5"/>
    </w:p>
    <w:p w14:paraId="7A056A3C">
      <w:pPr>
        <w:spacing w:line="276"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"http://219.232.204.193:8080/frontend/plan/project_detail.html?projectUuid=7d9c241b-c534-45fb-957b-dccc252cd093&amp;viewMode=accept" </w:instrText>
      </w:r>
      <w:r>
        <w:rPr>
          <w:rFonts w:hint="eastAsia" w:ascii="宋体" w:hAnsi="宋体"/>
          <w:color w:val="auto"/>
          <w:sz w:val="24"/>
          <w:szCs w:val="24"/>
          <w:highlight w:val="none"/>
          <w:lang w:eastAsia="zh-CN"/>
        </w:rPr>
        <w:fldChar w:fldCharType="separate"/>
      </w:r>
      <w:r>
        <w:rPr>
          <w:rFonts w:hint="eastAsia" w:ascii="宋体" w:hAnsi="宋体"/>
          <w:color w:val="auto"/>
          <w:sz w:val="24"/>
          <w:szCs w:val="24"/>
          <w:highlight w:val="none"/>
          <w:lang w:eastAsia="zh-CN"/>
        </w:rPr>
        <w:t>11011125210200023686-XM001</w:t>
      </w:r>
      <w:r>
        <w:rPr>
          <w:rFonts w:hint="eastAsia" w:ascii="宋体" w:hAnsi="宋体"/>
          <w:color w:val="auto"/>
          <w:sz w:val="24"/>
          <w:szCs w:val="24"/>
          <w:highlight w:val="none"/>
          <w:lang w:eastAsia="zh-CN"/>
        </w:rPr>
        <w:fldChar w:fldCharType="end"/>
      </w:r>
    </w:p>
    <w:p w14:paraId="7F9F5B4A">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2025年度人防工程渗漏水治理和人防设备维护维修项目</w:t>
      </w:r>
    </w:p>
    <w:p w14:paraId="0BEC0F7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采购方式：□竞争性谈判√竞争性磋商 □询价</w:t>
      </w:r>
    </w:p>
    <w:p w14:paraId="1EE14CED">
      <w:pPr>
        <w:spacing w:line="276"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170.9956331万元</w:t>
      </w:r>
    </w:p>
    <w:p w14:paraId="659E0539">
      <w:pPr>
        <w:spacing w:line="276" w:lineRule="auto"/>
        <w:ind w:firstLine="480" w:firstLineChars="200"/>
        <w:rPr>
          <w:color w:val="auto"/>
          <w:sz w:val="24"/>
          <w:highlight w:val="none"/>
        </w:rPr>
      </w:pPr>
      <w:bookmarkStart w:id="6" w:name="_Hlk114412972"/>
      <w:r>
        <w:rPr>
          <w:rFonts w:hint="eastAsia" w:ascii="宋体" w:hAnsi="宋体"/>
          <w:color w:val="auto"/>
          <w:sz w:val="24"/>
          <w:szCs w:val="24"/>
          <w:highlight w:val="none"/>
          <w:lang w:val="en-US" w:eastAsia="zh-CN"/>
        </w:rPr>
        <w:t>最高限价（如有）：170.626616万</w:t>
      </w:r>
      <w:r>
        <w:rPr>
          <w:rFonts w:hint="eastAsia"/>
          <w:color w:val="auto"/>
          <w:sz w:val="24"/>
          <w:highlight w:val="none"/>
        </w:rPr>
        <w:t>元</w:t>
      </w:r>
    </w:p>
    <w:bookmarkEnd w:id="6"/>
    <w:p w14:paraId="7238918D">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采购需求：</w:t>
      </w:r>
      <w:r>
        <w:rPr>
          <w:rFonts w:hint="eastAsia" w:ascii="宋体" w:hAnsi="宋体"/>
          <w:color w:val="auto"/>
          <w:sz w:val="24"/>
          <w:szCs w:val="24"/>
          <w:highlight w:val="none"/>
          <w:lang w:eastAsia="zh-CN"/>
        </w:rPr>
        <w:t>维修内容主要是对原香漫谷、新里程、乐活家园、花都苑等10个小区人防工程进行渗漏水治理，对锈蚀严重的人防防护设备、通风设备、给排水设备维护维修。具体内容详见工程量清单及图纸。</w:t>
      </w:r>
    </w:p>
    <w:p w14:paraId="7B193B89">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合同履行期限：</w:t>
      </w:r>
      <w:r>
        <w:rPr>
          <w:rFonts w:hint="eastAsia" w:ascii="宋体" w:hAnsi="宋体"/>
          <w:sz w:val="24"/>
          <w:highlight w:val="none"/>
          <w:lang w:val="en-US" w:eastAsia="zh-CN"/>
        </w:rPr>
        <w:t>100</w:t>
      </w:r>
      <w:r>
        <w:rPr>
          <w:rFonts w:hint="eastAsia" w:ascii="宋体" w:hAnsi="宋体"/>
          <w:sz w:val="24"/>
          <w:highlight w:val="none"/>
        </w:rPr>
        <w:t>日历</w:t>
      </w:r>
      <w:r>
        <w:rPr>
          <w:rFonts w:hint="eastAsia" w:ascii="宋体" w:hAnsi="宋体"/>
          <w:sz w:val="24"/>
          <w:highlight w:val="none"/>
          <w:lang w:val="en-US" w:eastAsia="zh-CN"/>
        </w:rPr>
        <w:t>天。</w:t>
      </w:r>
    </w:p>
    <w:p w14:paraId="5914B25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i/>
          <w:color w:val="auto"/>
          <w:sz w:val="24"/>
          <w:szCs w:val="24"/>
          <w:highlight w:val="none"/>
        </w:rPr>
        <w:t>是</w:t>
      </w:r>
      <w:r>
        <w:rPr>
          <w:rFonts w:ascii="宋体" w:hAnsi="宋体"/>
          <w:i/>
          <w:color w:val="auto"/>
          <w:sz w:val="24"/>
          <w:szCs w:val="24"/>
          <w:highlight w:val="none"/>
        </w:rPr>
        <w:t>/否</w:t>
      </w:r>
      <w:r>
        <w:rPr>
          <w:rFonts w:hint="eastAsia" w:ascii="宋体" w:hAnsi="宋体"/>
          <w:color w:val="auto"/>
          <w:sz w:val="24"/>
          <w:szCs w:val="24"/>
          <w:highlight w:val="none"/>
        </w:rPr>
        <w:t>）接受联合体：否。</w:t>
      </w:r>
    </w:p>
    <w:p w14:paraId="7CD9707C">
      <w:pPr>
        <w:pStyle w:val="3"/>
        <w:spacing w:before="140" w:after="140" w:line="240" w:lineRule="auto"/>
        <w:rPr>
          <w:rFonts w:ascii="宋体" w:hAnsi="宋体" w:eastAsia="宋体" w:cs="宋体"/>
          <w:b w:val="0"/>
          <w:color w:val="auto"/>
          <w:sz w:val="24"/>
          <w:szCs w:val="24"/>
          <w:highlight w:val="none"/>
        </w:rPr>
      </w:pPr>
      <w:bookmarkStart w:id="7" w:name="_Toc28359090"/>
      <w:bookmarkStart w:id="8" w:name="_Toc35393799"/>
      <w:bookmarkStart w:id="9" w:name="_Toc35393630"/>
      <w:bookmarkStart w:id="10" w:name="_Toc28359013"/>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4E63DC5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17C1308B">
      <w:pPr>
        <w:spacing w:line="276" w:lineRule="auto"/>
        <w:ind w:firstLine="480" w:firstLineChars="200"/>
        <w:rPr>
          <w:rFonts w:ascii="宋体" w:hAnsi="宋体"/>
          <w:color w:val="auto"/>
          <w:sz w:val="24"/>
          <w:szCs w:val="24"/>
          <w:highlight w:val="none"/>
        </w:rPr>
      </w:pPr>
      <w:bookmarkStart w:id="11" w:name="_Toc28359091"/>
      <w:bookmarkStart w:id="12" w:name="_Toc28359014"/>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p>
    <w:p w14:paraId="51CD66B8">
      <w:pPr>
        <w:pStyle w:val="5"/>
        <w:spacing w:before="9" w:line="201" w:lineRule="auto"/>
        <w:ind w:left="6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  中小企业政策</w:t>
      </w:r>
    </w:p>
    <w:p w14:paraId="781127E8">
      <w:pPr>
        <w:pStyle w:val="5"/>
        <w:spacing w:before="179" w:line="200" w:lineRule="auto"/>
        <w:ind w:left="5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2"/>
          <w:sz w:val="24"/>
          <w:szCs w:val="24"/>
          <w:highlight w:val="none"/>
          <w:lang w:eastAsia="zh-CN"/>
        </w:rPr>
        <w:t>本项目不专门面向中小企业预留采购份额。</w:t>
      </w:r>
    </w:p>
    <w:p w14:paraId="2AD44757">
      <w:pPr>
        <w:pStyle w:val="5"/>
        <w:spacing w:before="177" w:line="252" w:lineRule="auto"/>
        <w:ind w:left="118" w:right="60" w:firstLine="4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 xml:space="preserve">本项目专门面向   </w:t>
      </w: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 xml:space="preserve">中小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小微企业   采购。即：提供的货物全部由符合政策要</w:t>
      </w:r>
      <w:r>
        <w:rPr>
          <w:rFonts w:hint="eastAsia" w:ascii="宋体" w:hAnsi="宋体" w:eastAsia="宋体" w:cs="宋体"/>
          <w:color w:val="auto"/>
          <w:spacing w:val="1"/>
          <w:sz w:val="24"/>
          <w:szCs w:val="24"/>
          <w:highlight w:val="none"/>
          <w:lang w:eastAsia="zh-CN"/>
        </w:rPr>
        <w:t>求的中小/小微企业制造、服务全部由符合政策</w:t>
      </w:r>
      <w:r>
        <w:rPr>
          <w:rFonts w:hint="eastAsia" w:ascii="宋体" w:hAnsi="宋体" w:eastAsia="宋体" w:cs="宋体"/>
          <w:color w:val="auto"/>
          <w:sz w:val="24"/>
          <w:szCs w:val="24"/>
          <w:highlight w:val="none"/>
          <w:lang w:eastAsia="zh-CN"/>
        </w:rPr>
        <w:t>要求的中小/小微企业承接。</w:t>
      </w:r>
    </w:p>
    <w:p w14:paraId="1EA13D38">
      <w:pPr>
        <w:pStyle w:val="5"/>
        <w:spacing w:before="179" w:line="252" w:lineRule="auto"/>
        <w:ind w:left="121" w:right="60" w:firstLine="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0"/>
          <w:szCs w:val="20"/>
          <w:highlight w:val="none"/>
          <w:lang w:eastAsia="zh-CN"/>
        </w:rPr>
        <w:t>□</w:t>
      </w:r>
      <w:r>
        <w:rPr>
          <w:rFonts w:hint="eastAsia" w:ascii="宋体" w:hAnsi="宋体" w:eastAsia="宋体" w:cs="宋体"/>
          <w:color w:val="auto"/>
          <w:spacing w:val="1"/>
          <w:sz w:val="24"/>
          <w:szCs w:val="24"/>
          <w:highlight w:val="none"/>
          <w:lang w:eastAsia="zh-CN"/>
        </w:rPr>
        <w:t>本项目预留部分采购项目预算专门面向中小企业采购</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。对于预留份额，提供的货</w:t>
      </w:r>
      <w:r>
        <w:rPr>
          <w:rFonts w:hint="eastAsia" w:ascii="宋体" w:hAnsi="宋体" w:eastAsia="宋体" w:cs="宋体"/>
          <w:color w:val="auto"/>
          <w:spacing w:val="-2"/>
          <w:sz w:val="24"/>
          <w:szCs w:val="24"/>
          <w:highlight w:val="none"/>
          <w:lang w:eastAsia="zh-CN"/>
        </w:rPr>
        <w:t>物由符合政策要求的中小企业制造、服务由符合政策要求的中小企业承接。预留份额通</w:t>
      </w:r>
      <w:r>
        <w:rPr>
          <w:rFonts w:hint="eastAsia" w:ascii="宋体" w:hAnsi="宋体" w:eastAsia="宋体" w:cs="宋体"/>
          <w:color w:val="auto"/>
          <w:spacing w:val="-1"/>
          <w:sz w:val="24"/>
          <w:szCs w:val="24"/>
          <w:highlight w:val="none"/>
          <w:lang w:eastAsia="zh-CN"/>
        </w:rPr>
        <w:t>过以下措施进行：</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w:t>
      </w:r>
    </w:p>
    <w:p w14:paraId="26DB3049">
      <w:pPr>
        <w:spacing w:line="276" w:lineRule="auto"/>
        <w:ind w:firstLine="726" w:firstLineChars="300"/>
        <w:rPr>
          <w:rFonts w:ascii="宋体" w:hAnsi="宋体"/>
          <w:color w:val="auto"/>
          <w:sz w:val="24"/>
          <w:szCs w:val="24"/>
          <w:highlight w:val="none"/>
        </w:rPr>
      </w:pPr>
      <w:r>
        <w:rPr>
          <w:rFonts w:hint="eastAsia" w:ascii="宋体" w:hAnsi="宋体" w:eastAsia="宋体" w:cs="宋体"/>
          <w:color w:val="auto"/>
          <w:spacing w:val="1"/>
          <w:sz w:val="24"/>
          <w:szCs w:val="24"/>
          <w:highlight w:val="none"/>
          <w:lang w:eastAsia="zh-CN"/>
        </w:rPr>
        <w:t>2.2</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其它落实政府采购政策的资格要求（如有</w:t>
      </w:r>
      <w:r>
        <w:rPr>
          <w:rFonts w:hint="eastAsia" w:ascii="宋体" w:hAnsi="宋体" w:eastAsia="宋体" w:cs="宋体"/>
          <w:color w:val="auto"/>
          <w:spacing w:val="-60"/>
          <w:sz w:val="24"/>
          <w:szCs w:val="24"/>
          <w:highlight w:val="none"/>
          <w:lang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eastAsia="宋体"/>
          <w:color w:val="auto"/>
          <w:sz w:val="24"/>
          <w:highlight w:val="none"/>
          <w:u w:val="single"/>
          <w:lang w:eastAsia="zh-CN"/>
        </w:rPr>
        <w:t>。</w:t>
      </w:r>
    </w:p>
    <w:p w14:paraId="7BF69AF6">
      <w:pPr>
        <w:numPr>
          <w:ilvl w:val="0"/>
          <w:numId w:val="1"/>
        </w:numPr>
        <w:tabs>
          <w:tab w:val="left" w:pos="900"/>
          <w:tab w:val="left" w:pos="1134"/>
          <w:tab w:val="left" w:pos="1589"/>
          <w:tab w:val="left" w:pos="5521"/>
          <w:tab w:val="clear" w:pos="312"/>
        </w:tabs>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olor w:val="auto"/>
          <w:sz w:val="24"/>
          <w:szCs w:val="24"/>
          <w:highlight w:val="none"/>
        </w:rPr>
        <w:t>本项目的特定资格要求：</w:t>
      </w:r>
      <w:bookmarkStart w:id="13" w:name="_Hlk114234097"/>
      <w:bookmarkStart w:id="14" w:name="_Toc35393800"/>
      <w:bookmarkStart w:id="15" w:name="_Toc35393631"/>
    </w:p>
    <w:p w14:paraId="3C7067D3">
      <w:pPr>
        <w:numPr>
          <w:ilvl w:val="0"/>
          <w:numId w:val="0"/>
        </w:numPr>
        <w:tabs>
          <w:tab w:val="left" w:pos="900"/>
          <w:tab w:val="left" w:pos="1134"/>
          <w:tab w:val="left" w:pos="1589"/>
          <w:tab w:val="left" w:pos="5521"/>
        </w:tabs>
        <w:spacing w:line="360" w:lineRule="auto"/>
        <w:ind w:firstLine="696" w:firstLineChars="300"/>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szCs w:val="24"/>
          <w:highlight w:val="none"/>
          <w:lang w:eastAsia="zh-CN"/>
        </w:rPr>
        <w:t>3.1  本项目是否属于政府购买服务：</w:t>
      </w:r>
    </w:p>
    <w:p w14:paraId="20A039DD">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p w14:paraId="0CA15865">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□是，公益一类事业单位、使用事业编制且由财政拨款保障的群团组织，不得作为承接主体；</w:t>
      </w:r>
    </w:p>
    <w:p w14:paraId="4593565C">
      <w:pPr>
        <w:tabs>
          <w:tab w:val="left" w:pos="900"/>
          <w:tab w:val="left" w:pos="1134"/>
          <w:tab w:val="left" w:pos="1589"/>
          <w:tab w:val="left" w:pos="5521"/>
        </w:tabs>
        <w:spacing w:line="360" w:lineRule="auto"/>
        <w:ind w:firstLine="638" w:firstLineChars="26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其他特定资格要求：</w:t>
      </w:r>
    </w:p>
    <w:p w14:paraId="7119723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1)单位负责人为同一人或者存在直接控股、管理关系的不同供应商，不得参加同一合同项下的采购活动；</w:t>
      </w:r>
    </w:p>
    <w:p w14:paraId="70D1EDF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65CDD00C">
      <w:pPr>
        <w:spacing w:line="360" w:lineRule="auto"/>
        <w:ind w:firstLine="480" w:firstLineChars="200"/>
        <w:rPr>
          <w:sz w:val="24"/>
          <w:u w:val="single"/>
        </w:rPr>
      </w:pPr>
      <w:r>
        <w:rPr>
          <w:rFonts w:hint="eastAsia" w:ascii="宋体" w:hAnsi="宋体" w:eastAsia="宋体" w:cs="宋体"/>
          <w:color w:val="auto"/>
          <w:sz w:val="24"/>
          <w:highlight w:val="none"/>
          <w:u w:val="single"/>
          <w:lang w:eastAsia="en-US"/>
        </w:rPr>
        <w:t>3</w:t>
      </w:r>
      <w:r>
        <w:rPr>
          <w:rFonts w:hint="eastAsia" w:ascii="宋体" w:hAnsi="宋体" w:eastAsia="宋体" w:cs="宋体"/>
          <w:color w:val="auto"/>
          <w:sz w:val="24"/>
          <w:highlight w:val="none"/>
          <w:u w:val="single"/>
        </w:rPr>
        <w:t>)</w:t>
      </w:r>
      <w:r>
        <w:rPr>
          <w:rFonts w:hint="eastAsia"/>
          <w:sz w:val="24"/>
          <w:u w:val="single"/>
        </w:rPr>
        <w:t>供应商需具备建设行政主管部门核发的建筑工程施工总承包叁级（含）以上资质、具有有效的安全生产许可证。</w:t>
      </w:r>
    </w:p>
    <w:p w14:paraId="6026F62D">
      <w:pPr>
        <w:keepNext w:val="0"/>
        <w:keepLines w:val="0"/>
        <w:widowControl w:val="0"/>
        <w:suppressLineNumbers w:val="0"/>
        <w:spacing w:before="0" w:beforeAutospacing="0" w:after="0" w:afterAutospacing="0"/>
        <w:ind w:left="0" w:right="0" w:firstLine="480" w:firstLineChars="200"/>
        <w:jc w:val="both"/>
        <w:rPr>
          <w:rFonts w:ascii="宋体" w:hAnsi="宋体"/>
          <w:color w:val="auto"/>
          <w:sz w:val="24"/>
          <w:szCs w:val="24"/>
          <w:highlight w:val="yellow"/>
          <w:u w:val="single"/>
        </w:rPr>
      </w:pPr>
      <w:bookmarkStart w:id="45" w:name="_GoBack"/>
      <w:bookmarkEnd w:id="45"/>
      <w:r>
        <w:rPr>
          <w:rFonts w:hint="eastAsia"/>
          <w:sz w:val="24"/>
          <w:u w:val="single"/>
        </w:rPr>
        <w:t>4</w:t>
      </w:r>
      <w:r>
        <w:rPr>
          <w:rFonts w:hint="eastAsia" w:ascii="宋体" w:hAnsi="宋体" w:eastAsia="宋体" w:cs="宋体"/>
          <w:kern w:val="2"/>
          <w:sz w:val="24"/>
          <w:szCs w:val="24"/>
          <w:u w:val="single"/>
          <w:lang w:val="en-US" w:eastAsia="zh-CN" w:bidi="ar"/>
        </w:rPr>
        <w:t>）供应商拟派项目经理须具备建筑工程专业二级（含）以上的注册建造师执业资格，具备有效的安全生产考核合格证书（</w:t>
      </w:r>
      <w:r>
        <w:rPr>
          <w:rFonts w:hint="default" w:ascii="Times New Roman" w:hAnsi="Times New Roman" w:eastAsia="宋体" w:cs="Times New Roman"/>
          <w:kern w:val="2"/>
          <w:sz w:val="24"/>
          <w:szCs w:val="24"/>
          <w:u w:val="single"/>
          <w:lang w:val="en-US" w:eastAsia="zh-CN" w:bidi="ar"/>
        </w:rPr>
        <w:t>B</w:t>
      </w:r>
      <w:r>
        <w:rPr>
          <w:rFonts w:hint="eastAsia" w:ascii="宋体" w:hAnsi="宋体" w:eastAsia="宋体" w:cs="宋体"/>
          <w:kern w:val="2"/>
          <w:sz w:val="24"/>
          <w:szCs w:val="24"/>
          <w:u w:val="single"/>
          <w:lang w:val="en-US" w:eastAsia="zh-CN" w:bidi="ar"/>
        </w:rPr>
        <w:t>本</w:t>
      </w:r>
      <w:r>
        <w:rPr>
          <w:rFonts w:hint="eastAsia"/>
          <w:sz w:val="24"/>
          <w:u w:val="single"/>
        </w:rPr>
        <w:t>）。</w:t>
      </w:r>
    </w:p>
    <w:bookmarkEnd w:id="13"/>
    <w:p w14:paraId="7A06AF44">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1"/>
      <w:bookmarkEnd w:id="12"/>
      <w:bookmarkEnd w:id="14"/>
      <w:bookmarkEnd w:id="15"/>
    </w:p>
    <w:p w14:paraId="599F9B6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r>
        <w:rPr>
          <w:rFonts w:hint="eastAsia"/>
          <w:color w:val="auto"/>
          <w:sz w:val="24"/>
          <w:highlight w:val="none"/>
          <w:lang w:bidi="ar"/>
        </w:rPr>
        <w:t>，每天上午9：30至11:30，下午</w:t>
      </w:r>
      <w:bookmarkStart w:id="16" w:name="_Hlk114234333"/>
      <w:r>
        <w:rPr>
          <w:rFonts w:hint="eastAsia"/>
          <w:color w:val="auto"/>
          <w:sz w:val="24"/>
          <w:highlight w:val="none"/>
          <w:lang w:bidi="ar"/>
        </w:rPr>
        <w:t>13:30至16：</w:t>
      </w:r>
      <w:r>
        <w:rPr>
          <w:color w:val="auto"/>
          <w:sz w:val="24"/>
          <w:highlight w:val="none"/>
          <w:lang w:bidi="ar"/>
        </w:rPr>
        <w:t>0</w:t>
      </w:r>
      <w:r>
        <w:rPr>
          <w:rFonts w:hint="eastAsia"/>
          <w:color w:val="auto"/>
          <w:sz w:val="24"/>
          <w:highlight w:val="none"/>
          <w:lang w:bidi="ar"/>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14ABC5E7">
      <w:pPr>
        <w:spacing w:line="276"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地点：北京市政府采购电子交易平台 </w:t>
      </w:r>
    </w:p>
    <w:p w14:paraId="2DF188D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持CA数字认证证书登录北京市政府采购电子交易平台（http://zbcg-bjzc.zhongcy.com/bjczj-portal-site/index.html#/home）获取电子版竞争性磋商文件。按照“办事指南”中的用户注册操作手册进行用户注册、浏览器设置和CA证书绑定（北京市政府采购电子交易平台技术支持服务热线010-86483801），并通过北京市政府采购电子交易平台进行项目网上下载竞争性磋商文件。如投标人未办理CA证书，请按照北京市政府采购网首页“办事指南”进行办理。 </w:t>
      </w:r>
      <w:r>
        <w:rPr>
          <w:rFonts w:ascii="宋体" w:hAnsi="宋体" w:cs="宋体"/>
          <w:color w:val="auto"/>
          <w:sz w:val="24"/>
          <w:szCs w:val="24"/>
          <w:highlight w:val="none"/>
        </w:rPr>
        <w:t xml:space="preserve">     </w:t>
      </w:r>
    </w:p>
    <w:p w14:paraId="1CCF987D">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售价：0元/本</w:t>
      </w:r>
    </w:p>
    <w:p w14:paraId="6092526F">
      <w:pPr>
        <w:pStyle w:val="3"/>
        <w:spacing w:before="140" w:after="140" w:line="240" w:lineRule="auto"/>
        <w:rPr>
          <w:rFonts w:ascii="宋体" w:hAnsi="宋体" w:eastAsia="宋体" w:cs="宋体"/>
          <w:b w:val="0"/>
          <w:color w:val="auto"/>
          <w:sz w:val="24"/>
          <w:szCs w:val="24"/>
          <w:highlight w:val="none"/>
        </w:rPr>
      </w:pPr>
      <w:bookmarkStart w:id="17" w:name="_Toc28359015"/>
      <w:bookmarkStart w:id="18" w:name="_Toc35393632"/>
      <w:bookmarkStart w:id="19" w:name="_Toc28359092"/>
      <w:bookmarkStart w:id="20" w:name="_Toc35393801"/>
      <w:r>
        <w:rPr>
          <w:rFonts w:hint="eastAsia" w:ascii="宋体" w:hAnsi="宋体" w:eastAsia="宋体" w:cs="宋体"/>
          <w:b w:val="0"/>
          <w:color w:val="auto"/>
          <w:sz w:val="24"/>
          <w:szCs w:val="24"/>
          <w:highlight w:val="none"/>
        </w:rPr>
        <w:t>四、响应文件提交</w:t>
      </w:r>
      <w:bookmarkEnd w:id="17"/>
      <w:bookmarkEnd w:id="18"/>
      <w:bookmarkEnd w:id="19"/>
      <w:bookmarkEnd w:id="20"/>
    </w:p>
    <w:p w14:paraId="1B6D42D7">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日</w:t>
      </w:r>
      <w:r>
        <w:rPr>
          <w:rFonts w:hint="eastAsia"/>
          <w:color w:val="auto"/>
          <w:sz w:val="24"/>
          <w:highlight w:val="none"/>
          <w:u w:val="single"/>
          <w:lang w:bidi="ar"/>
        </w:rPr>
        <w:t>09点</w:t>
      </w:r>
      <w:r>
        <w:rPr>
          <w:color w:val="auto"/>
          <w:sz w:val="24"/>
          <w:highlight w:val="none"/>
          <w:u w:val="single"/>
          <w:lang w:bidi="ar"/>
        </w:rPr>
        <w:t>30</w:t>
      </w:r>
      <w:r>
        <w:rPr>
          <w:rFonts w:hint="eastAsia"/>
          <w:color w:val="auto"/>
          <w:sz w:val="24"/>
          <w:highlight w:val="none"/>
          <w:u w:val="single"/>
          <w:lang w:bidi="ar"/>
        </w:rPr>
        <w:t>分</w:t>
      </w:r>
      <w:r>
        <w:rPr>
          <w:bCs/>
          <w:color w:val="auto"/>
          <w:sz w:val="24"/>
          <w:highlight w:val="none"/>
          <w:u w:val="single"/>
          <w:lang w:bidi="ar"/>
        </w:rPr>
        <w:t>（北京时间）</w:t>
      </w:r>
    </w:p>
    <w:p w14:paraId="3DE155C8">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0233E42">
      <w:pPr>
        <w:pStyle w:val="3"/>
        <w:spacing w:before="140" w:after="140" w:line="240" w:lineRule="auto"/>
        <w:rPr>
          <w:rFonts w:ascii="宋体" w:hAnsi="宋体" w:eastAsia="宋体" w:cs="宋体"/>
          <w:b w:val="0"/>
          <w:color w:val="auto"/>
          <w:sz w:val="24"/>
          <w:szCs w:val="24"/>
          <w:highlight w:val="none"/>
        </w:rPr>
      </w:pPr>
      <w:bookmarkStart w:id="21" w:name="_Toc28359016"/>
      <w:bookmarkStart w:id="22" w:name="_Toc35393633"/>
      <w:bookmarkStart w:id="23" w:name="_Toc35393802"/>
      <w:bookmarkStart w:id="24" w:name="_Toc28359093"/>
      <w:r>
        <w:rPr>
          <w:rFonts w:hint="eastAsia" w:ascii="宋体" w:hAnsi="宋体" w:eastAsia="宋体" w:cs="宋体"/>
          <w:b w:val="0"/>
          <w:color w:val="auto"/>
          <w:sz w:val="24"/>
          <w:szCs w:val="24"/>
          <w:highlight w:val="none"/>
        </w:rPr>
        <w:t>五、开启</w:t>
      </w:r>
      <w:bookmarkEnd w:id="21"/>
      <w:bookmarkEnd w:id="22"/>
      <w:bookmarkEnd w:id="23"/>
      <w:bookmarkEnd w:id="24"/>
    </w:p>
    <w:p w14:paraId="43634D34">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日</w:t>
      </w:r>
      <w:r>
        <w:rPr>
          <w:rFonts w:hint="eastAsia"/>
          <w:color w:val="auto"/>
          <w:sz w:val="24"/>
          <w:highlight w:val="none"/>
          <w:u w:val="single"/>
          <w:lang w:bidi="ar"/>
        </w:rPr>
        <w:t>09点</w:t>
      </w:r>
      <w:r>
        <w:rPr>
          <w:color w:val="auto"/>
          <w:sz w:val="24"/>
          <w:highlight w:val="none"/>
          <w:u w:val="single"/>
          <w:lang w:bidi="ar"/>
        </w:rPr>
        <w:t>30</w:t>
      </w:r>
      <w:r>
        <w:rPr>
          <w:rFonts w:hint="eastAsia"/>
          <w:color w:val="auto"/>
          <w:sz w:val="24"/>
          <w:highlight w:val="none"/>
          <w:u w:val="single"/>
          <w:lang w:bidi="ar"/>
        </w:rPr>
        <w:t>分</w:t>
      </w:r>
      <w:r>
        <w:rPr>
          <w:bCs/>
          <w:color w:val="auto"/>
          <w:sz w:val="24"/>
          <w:highlight w:val="none"/>
          <w:u w:val="single"/>
          <w:lang w:bidi="ar"/>
        </w:rPr>
        <w:t>（北京时间）</w:t>
      </w:r>
    </w:p>
    <w:p w14:paraId="459085A5">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BAC7964">
      <w:pPr>
        <w:pStyle w:val="3"/>
        <w:spacing w:before="140" w:after="140" w:line="240" w:lineRule="auto"/>
        <w:rPr>
          <w:rFonts w:ascii="宋体" w:hAnsi="宋体" w:eastAsia="宋体" w:cs="宋体"/>
          <w:b w:val="0"/>
          <w:color w:val="auto"/>
          <w:sz w:val="24"/>
          <w:szCs w:val="24"/>
          <w:highlight w:val="none"/>
        </w:rPr>
      </w:pPr>
      <w:bookmarkStart w:id="25" w:name="_Toc28359017"/>
      <w:bookmarkStart w:id="26" w:name="_Toc35393634"/>
      <w:bookmarkStart w:id="27" w:name="_Toc28359094"/>
      <w:bookmarkStart w:id="28" w:name="_Toc35393803"/>
      <w:r>
        <w:rPr>
          <w:rFonts w:hint="eastAsia" w:ascii="宋体" w:hAnsi="宋体" w:eastAsia="宋体" w:cs="宋体"/>
          <w:b w:val="0"/>
          <w:color w:val="auto"/>
          <w:sz w:val="24"/>
          <w:szCs w:val="24"/>
          <w:highlight w:val="none"/>
        </w:rPr>
        <w:t>六、公告期限</w:t>
      </w:r>
      <w:bookmarkEnd w:id="25"/>
      <w:bookmarkEnd w:id="26"/>
      <w:bookmarkEnd w:id="27"/>
      <w:bookmarkEnd w:id="28"/>
    </w:p>
    <w:p w14:paraId="51AABD2A">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42C29B32">
      <w:pPr>
        <w:pStyle w:val="3"/>
        <w:spacing w:before="140" w:after="140" w:line="240" w:lineRule="auto"/>
        <w:rPr>
          <w:rFonts w:ascii="宋体" w:hAnsi="宋体" w:eastAsia="宋体" w:cs="宋体"/>
          <w:b w:val="0"/>
          <w:color w:val="auto"/>
          <w:sz w:val="24"/>
          <w:szCs w:val="24"/>
          <w:highlight w:val="none"/>
        </w:rPr>
      </w:pPr>
      <w:bookmarkStart w:id="29" w:name="_Toc35393635"/>
      <w:bookmarkStart w:id="30" w:name="_Toc35393804"/>
      <w:r>
        <w:rPr>
          <w:rFonts w:hint="eastAsia" w:ascii="宋体" w:hAnsi="宋体" w:eastAsia="宋体" w:cs="宋体"/>
          <w:b w:val="0"/>
          <w:color w:val="auto"/>
          <w:sz w:val="24"/>
          <w:szCs w:val="24"/>
          <w:highlight w:val="none"/>
        </w:rPr>
        <w:t>七、其他补充事宜</w:t>
      </w:r>
      <w:bookmarkEnd w:id="29"/>
      <w:bookmarkEnd w:id="30"/>
    </w:p>
    <w:p w14:paraId="518A971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bookmarkStart w:id="31" w:name="_Hlk97719059"/>
      <w:r>
        <w:rPr>
          <w:rFonts w:hint="eastAsia" w:ascii="宋体" w:hAnsi="宋体"/>
          <w:color w:val="auto"/>
          <w:sz w:val="24"/>
          <w:szCs w:val="24"/>
          <w:highlight w:val="none"/>
        </w:rPr>
        <w:t>采购方式：竞争性磋商</w:t>
      </w:r>
    </w:p>
    <w:p w14:paraId="474A2ED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2、评分方法及标准：综合评分法</w:t>
      </w:r>
    </w:p>
    <w:p w14:paraId="13E57B1A">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3、项目中小企业划型：依据工信部联企业【2011】300号文件，本项目所属行业划分为 建筑业。</w:t>
      </w:r>
    </w:p>
    <w:bookmarkEnd w:id="31"/>
    <w:p w14:paraId="310FDC38">
      <w:pPr>
        <w:spacing w:line="276" w:lineRule="auto"/>
        <w:ind w:firstLine="480" w:firstLineChars="200"/>
        <w:rPr>
          <w:rFonts w:hint="eastAsia" w:ascii="宋体" w:hAnsi="宋体"/>
          <w:color w:val="auto"/>
          <w:sz w:val="24"/>
          <w:szCs w:val="24"/>
          <w:highlight w:val="none"/>
        </w:rPr>
      </w:pPr>
      <w:bookmarkStart w:id="32" w:name="_Hlk114234488"/>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、选择该采购方式的原因：</w:t>
      </w:r>
      <w:r>
        <w:rPr>
          <w:rFonts w:hint="eastAsia" w:ascii="宋体" w:hAnsi="宋体"/>
          <w:color w:val="auto"/>
          <w:sz w:val="24"/>
          <w:szCs w:val="24"/>
          <w:highlight w:val="none"/>
          <w:lang w:val="en-US" w:eastAsia="zh-CN"/>
        </w:rPr>
        <w:t>房财采购核[2025]128 号</w:t>
      </w:r>
    </w:p>
    <w:p w14:paraId="0707CDC6">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意向公开时间：202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p>
    <w:p w14:paraId="29373263">
      <w:pPr>
        <w:spacing w:line="276"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5、投标保证金的形式：银行转账或电子保函</w:t>
      </w:r>
    </w:p>
    <w:p w14:paraId="1554759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、项目中小企业划型：依据工信部联企业【2011】300号文件，本项目所属行业划分为 建筑业。</w:t>
      </w:r>
    </w:p>
    <w:p w14:paraId="2878F24F">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、质疑方式、联系人及电话：</w:t>
      </w:r>
      <w:r>
        <w:rPr>
          <w:rFonts w:hint="eastAsia" w:ascii="宋体" w:hAnsi="宋体"/>
          <w:color w:val="auto"/>
          <w:sz w:val="24"/>
          <w:szCs w:val="24"/>
          <w:highlight w:val="none"/>
          <w:lang w:val="en-US" w:eastAsia="zh-CN"/>
        </w:rPr>
        <w:t>赵莎莎</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电话：1</w:t>
      </w:r>
      <w:r>
        <w:rPr>
          <w:rFonts w:hint="eastAsia" w:ascii="宋体" w:hAnsi="宋体"/>
          <w:color w:val="auto"/>
          <w:sz w:val="24"/>
          <w:szCs w:val="24"/>
          <w:highlight w:val="none"/>
          <w:lang w:val="en-US" w:eastAsia="zh-CN"/>
        </w:rPr>
        <w:t>3811128604</w:t>
      </w:r>
      <w:r>
        <w:rPr>
          <w:rFonts w:hint="eastAsia" w:ascii="宋体" w:hAnsi="宋体"/>
          <w:color w:val="auto"/>
          <w:sz w:val="24"/>
          <w:szCs w:val="24"/>
          <w:highlight w:val="none"/>
        </w:rPr>
        <w:t>；</w:t>
      </w:r>
    </w:p>
    <w:p w14:paraId="0C74F9BE">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投标供应商认为磋商文件、招标过程、成交结果使自己的权益受到损害，可以在知道或者应知其权益受到损害之日起7个工作日内，以书面形式向采购人、采购代理机构提出质疑。</w:t>
      </w:r>
    </w:p>
    <w:p w14:paraId="6BCDDBC8">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投诉处理方式：按照政府采购质疑和投诉办法（财政部94号令）要求，向北京市房山区财政局政府采购办公室提起投诉；</w:t>
      </w:r>
    </w:p>
    <w:p w14:paraId="46042BF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、公告发布媒体：《中国政府采购网》、《北京市政府采购网》等媒介上对外公开发布，未经采购人、采购代理机构准许的任何转载，采购人及采购代理机构不做任何解答及承担任何法律责任。</w:t>
      </w:r>
    </w:p>
    <w:p w14:paraId="77C440D4">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、政府采购政策：</w:t>
      </w:r>
    </w:p>
    <w:p w14:paraId="2646839D">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（1）《政府采购促进中小企业发展管理办法》（财库【2020】46号）；</w:t>
      </w:r>
    </w:p>
    <w:p w14:paraId="275F85D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（2）《财政部关于开展政府采购信用担保试点工作方案》（财库【2011】124号）；</w:t>
      </w:r>
    </w:p>
    <w:p w14:paraId="2DDA9F92">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（3）《财政部、司法部关于政府采购支持监狱企业发展有关问题的通知》（财库【2014】68号）；</w:t>
      </w:r>
    </w:p>
    <w:p w14:paraId="0562201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（4）《财政部关于在政府采购活动中查询及使用信用记录有关问题的通知》（财库【2016】125号）；</w:t>
      </w:r>
    </w:p>
    <w:p w14:paraId="139D03BF">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（5）《三部门联合发布关于促进残疾人就业政府采购政策的通知》（财库【2017】141号）。</w:t>
      </w:r>
    </w:p>
    <w:bookmarkEnd w:id="32"/>
    <w:p w14:paraId="3B66F6BA">
      <w:pPr>
        <w:pStyle w:val="3"/>
        <w:spacing w:before="140" w:after="140" w:line="240" w:lineRule="auto"/>
        <w:rPr>
          <w:rFonts w:ascii="宋体" w:hAnsi="宋体" w:eastAsia="宋体" w:cs="宋体"/>
          <w:b w:val="0"/>
          <w:color w:val="auto"/>
          <w:sz w:val="24"/>
          <w:szCs w:val="24"/>
          <w:highlight w:val="none"/>
        </w:rPr>
      </w:pPr>
      <w:bookmarkStart w:id="33" w:name="_Toc28359095"/>
      <w:bookmarkStart w:id="34" w:name="_Toc28359018"/>
      <w:bookmarkStart w:id="35" w:name="_Toc35393636"/>
      <w:bookmarkStart w:id="36" w:name="_Toc35393805"/>
      <w:r>
        <w:rPr>
          <w:rFonts w:hint="eastAsia" w:ascii="宋体" w:hAnsi="宋体" w:eastAsia="宋体" w:cs="宋体"/>
          <w:b w:val="0"/>
          <w:color w:val="auto"/>
          <w:sz w:val="24"/>
          <w:szCs w:val="24"/>
          <w:highlight w:val="none"/>
        </w:rPr>
        <w:t>八、凡对本次采购提出询问，请按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33"/>
      <w:bookmarkEnd w:id="34"/>
      <w:bookmarkEnd w:id="35"/>
      <w:bookmarkEnd w:id="36"/>
    </w:p>
    <w:p w14:paraId="7787B286">
      <w:pPr>
        <w:pStyle w:val="3"/>
        <w:spacing w:before="140" w:after="140" w:line="240" w:lineRule="auto"/>
        <w:ind w:firstLine="720" w:firstLineChars="300"/>
        <w:rPr>
          <w:rFonts w:ascii="宋体" w:hAnsi="宋体" w:eastAsia="宋体" w:cs="宋体"/>
          <w:b w:val="0"/>
          <w:color w:val="auto"/>
          <w:sz w:val="24"/>
          <w:szCs w:val="24"/>
          <w:highlight w:val="none"/>
        </w:rPr>
      </w:pPr>
      <w:bookmarkStart w:id="37" w:name="_Toc28359096"/>
      <w:bookmarkStart w:id="38" w:name="_Toc35393806"/>
      <w:bookmarkStart w:id="39" w:name="_Toc28359019"/>
      <w:bookmarkStart w:id="40" w:name="_Toc35393637"/>
      <w:r>
        <w:rPr>
          <w:rFonts w:hint="eastAsia" w:ascii="宋体" w:hAnsi="宋体" w:eastAsia="宋体" w:cs="宋体"/>
          <w:b w:val="0"/>
          <w:color w:val="auto"/>
          <w:sz w:val="24"/>
          <w:szCs w:val="24"/>
          <w:highlight w:val="none"/>
        </w:rPr>
        <w:t>1.采购人信息</w:t>
      </w:r>
      <w:bookmarkEnd w:id="37"/>
      <w:bookmarkEnd w:id="38"/>
      <w:bookmarkEnd w:id="39"/>
      <w:bookmarkEnd w:id="40"/>
    </w:p>
    <w:p w14:paraId="24D8B7BD">
      <w:pPr>
        <w:spacing w:line="360" w:lineRule="auto"/>
        <w:ind w:left="1079" w:leftChars="371" w:hanging="300" w:hangingChars="125"/>
        <w:jc w:val="left"/>
        <w:rPr>
          <w:color w:val="auto"/>
          <w:sz w:val="24"/>
          <w:highlight w:val="none"/>
        </w:rPr>
      </w:pPr>
      <w:bookmarkStart w:id="41" w:name="_Toc28359009"/>
      <w:bookmarkStart w:id="42" w:name="_Toc28359086"/>
      <w:r>
        <w:rPr>
          <w:color w:val="auto"/>
          <w:sz w:val="24"/>
          <w:highlight w:val="none"/>
        </w:rPr>
        <w:t>名    称：</w:t>
      </w:r>
      <w:r>
        <w:rPr>
          <w:rFonts w:hint="eastAsia"/>
          <w:color w:val="auto"/>
          <w:sz w:val="24"/>
          <w:highlight w:val="none"/>
          <w:u w:val="single"/>
        </w:rPr>
        <w:t>北京市房山区国防动员办公室</w:t>
      </w:r>
    </w:p>
    <w:p w14:paraId="7A3E6D5B">
      <w:pPr>
        <w:spacing w:line="360" w:lineRule="auto"/>
        <w:ind w:left="1079" w:leftChars="371" w:hanging="300" w:hangingChars="125"/>
        <w:jc w:val="left"/>
        <w:rPr>
          <w:color w:val="auto"/>
          <w:sz w:val="24"/>
          <w:highlight w:val="none"/>
          <w:u w:val="single"/>
        </w:rPr>
      </w:pPr>
      <w:r>
        <w:rPr>
          <w:color w:val="auto"/>
          <w:sz w:val="24"/>
          <w:highlight w:val="none"/>
        </w:rPr>
        <w:t>地    址：</w:t>
      </w:r>
      <w:r>
        <w:rPr>
          <w:rFonts w:hint="eastAsia"/>
          <w:color w:val="auto"/>
          <w:sz w:val="24"/>
          <w:highlight w:val="none"/>
          <w:u w:val="single"/>
        </w:rPr>
        <w:t>北京市房山区良乡西潞南大街25号</w:t>
      </w:r>
    </w:p>
    <w:p w14:paraId="527CBCB8">
      <w:pPr>
        <w:spacing w:line="360" w:lineRule="auto"/>
        <w:ind w:left="1079" w:leftChars="371" w:hanging="300" w:hangingChars="125"/>
        <w:jc w:val="left"/>
        <w:rPr>
          <w:rFonts w:hint="default"/>
          <w:color w:val="auto"/>
          <w:sz w:val="24"/>
          <w:highlight w:val="none"/>
          <w:lang w:val="en-US" w:eastAsia="zh-CN"/>
        </w:rPr>
      </w:pPr>
      <w:r>
        <w:rPr>
          <w:color w:val="auto"/>
          <w:sz w:val="24"/>
          <w:highlight w:val="none"/>
        </w:rPr>
        <w:t>联系方式：</w:t>
      </w:r>
      <w:r>
        <w:rPr>
          <w:rFonts w:hint="eastAsia"/>
          <w:color w:val="auto"/>
          <w:sz w:val="24"/>
          <w:highlight w:val="none"/>
          <w:u w:val="single"/>
          <w:lang w:val="en-US" w:eastAsia="zh-CN"/>
        </w:rPr>
        <w:t>赵铁闯 010-69385041</w:t>
      </w:r>
    </w:p>
    <w:p w14:paraId="1396847D">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41"/>
      <w:bookmarkEnd w:id="42"/>
    </w:p>
    <w:p w14:paraId="489AAC64">
      <w:pPr>
        <w:spacing w:line="360" w:lineRule="auto"/>
        <w:ind w:left="1079" w:leftChars="371" w:hanging="300" w:hangingChars="125"/>
        <w:rPr>
          <w:rFonts w:eastAsia="宋体"/>
          <w:color w:val="auto"/>
          <w:sz w:val="24"/>
          <w:highlight w:val="none"/>
          <w:lang w:eastAsia="zh-CN"/>
        </w:rPr>
      </w:pPr>
      <w:bookmarkStart w:id="43" w:name="_Toc28359010"/>
      <w:bookmarkStart w:id="44" w:name="_Toc28359087"/>
      <w:r>
        <w:rPr>
          <w:sz w:val="24"/>
          <w:highlight w:val="none"/>
        </w:rPr>
        <w:t>名    称：</w:t>
      </w:r>
      <w:r>
        <w:rPr>
          <w:rFonts w:hint="eastAsia"/>
          <w:color w:val="auto"/>
          <w:sz w:val="24"/>
          <w:highlight w:val="none"/>
          <w:u w:val="single"/>
          <w:lang w:eastAsia="zh-CN"/>
        </w:rPr>
        <w:t>北京千恒建设工程咨询有限公司</w:t>
      </w:r>
    </w:p>
    <w:p w14:paraId="1B03F835">
      <w:pPr>
        <w:spacing w:line="360" w:lineRule="auto"/>
        <w:ind w:left="1079" w:leftChars="371" w:hanging="300" w:hangingChars="125"/>
        <w:rPr>
          <w:rFonts w:eastAsia="宋体"/>
          <w:color w:val="auto"/>
          <w:sz w:val="24"/>
          <w:highlight w:val="none"/>
          <w:u w:val="single"/>
          <w:lang w:eastAsia="zh-CN"/>
        </w:rPr>
      </w:pPr>
      <w:r>
        <w:rPr>
          <w:color w:val="auto"/>
          <w:sz w:val="24"/>
          <w:highlight w:val="none"/>
          <w:lang w:eastAsia="zh-CN"/>
        </w:rPr>
        <w:t>地</w:t>
      </w:r>
      <w:r>
        <w:rPr>
          <w:rFonts w:hint="eastAsia" w:ascii="宋体" w:hAnsi="宋体" w:eastAsia="宋体" w:cs="宋体"/>
          <w:color w:val="auto"/>
          <w:spacing w:val="10"/>
          <w:sz w:val="24"/>
          <w:szCs w:val="24"/>
          <w:highlight w:val="none"/>
          <w:lang w:eastAsia="zh-CN"/>
        </w:rPr>
        <w:t xml:space="preserve">      </w:t>
      </w:r>
      <w:r>
        <w:rPr>
          <w:color w:val="auto"/>
          <w:sz w:val="24"/>
          <w:highlight w:val="none"/>
          <w:lang w:eastAsia="zh-CN"/>
        </w:rPr>
        <w:t>址：</w:t>
      </w:r>
      <w:r>
        <w:rPr>
          <w:rFonts w:hint="eastAsia" w:ascii="宋体" w:hAnsi="宋体" w:eastAsia="宋体" w:cs="宋体"/>
          <w:color w:val="auto"/>
          <w:spacing w:val="-2"/>
          <w:sz w:val="24"/>
          <w:szCs w:val="24"/>
          <w:highlight w:val="none"/>
          <w:u w:val="single"/>
          <w:lang w:eastAsia="zh-CN"/>
        </w:rPr>
        <w:t>北京市西城区车公庄大街物华大厦A903</w:t>
      </w:r>
    </w:p>
    <w:p w14:paraId="644387CA">
      <w:pPr>
        <w:spacing w:line="360" w:lineRule="auto"/>
        <w:ind w:left="1079" w:leftChars="371" w:hanging="300" w:hangingChars="125"/>
        <w:rPr>
          <w:sz w:val="24"/>
          <w:highlight w:val="none"/>
          <w:u w:val="single"/>
        </w:rPr>
      </w:pPr>
      <w:r>
        <w:rPr>
          <w:color w:val="auto"/>
          <w:sz w:val="24"/>
          <w:highlight w:val="none"/>
          <w:lang w:eastAsia="zh-CN"/>
        </w:rPr>
        <w:t>联系方式：</w:t>
      </w:r>
      <w:r>
        <w:rPr>
          <w:rFonts w:hint="eastAsia" w:ascii="宋体" w:hAnsi="宋体" w:eastAsia="宋体" w:cs="宋体"/>
          <w:color w:val="auto"/>
          <w:spacing w:val="-2"/>
          <w:sz w:val="24"/>
          <w:szCs w:val="24"/>
          <w:highlight w:val="none"/>
          <w:u w:val="single"/>
          <w:lang w:eastAsia="zh-CN"/>
        </w:rPr>
        <w:t>赵莎莎 13811128604</w:t>
      </w:r>
    </w:p>
    <w:p w14:paraId="4C5CBF99">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43"/>
      <w:bookmarkEnd w:id="44"/>
    </w:p>
    <w:p w14:paraId="5AE7DCF2">
      <w:pPr>
        <w:pStyle w:val="6"/>
        <w:spacing w:line="360" w:lineRule="auto"/>
        <w:ind w:left="1076" w:leftChars="371" w:hanging="297" w:hangingChars="124"/>
        <w:rPr>
          <w:rFonts w:hint="default" w:ascii="Times New Roman" w:hAnsi="Times New Roman"/>
          <w:sz w:val="24"/>
          <w:highlight w:val="none"/>
          <w:u w:val="single"/>
          <w:lang w:bidi="ar"/>
        </w:rPr>
      </w:pPr>
      <w:r>
        <w:rPr>
          <w:rFonts w:ascii="Times New Roman" w:hAnsi="Times New Roman"/>
          <w:color w:val="auto"/>
          <w:sz w:val="24"/>
          <w:szCs w:val="24"/>
          <w:highlight w:val="none"/>
        </w:rPr>
        <w:t>项目联系人：</w:t>
      </w:r>
      <w:r>
        <w:rPr>
          <w:rFonts w:hint="eastAsia" w:ascii="宋体" w:hAnsi="宋体" w:eastAsia="宋体" w:cs="宋体"/>
          <w:color w:val="auto"/>
          <w:spacing w:val="-2"/>
          <w:sz w:val="24"/>
          <w:szCs w:val="24"/>
          <w:highlight w:val="none"/>
          <w:u w:val="single"/>
          <w:lang w:eastAsia="zh-CN"/>
        </w:rPr>
        <w:t xml:space="preserve">赵莎莎 </w:t>
      </w:r>
      <w:r>
        <w:rPr>
          <w:rFonts w:hAnsi="宋体"/>
          <w:sz w:val="24"/>
          <w:szCs w:val="24"/>
          <w:highlight w:val="none"/>
          <w:u w:val="single"/>
        </w:rPr>
        <w:t xml:space="preserve"> </w:t>
      </w:r>
    </w:p>
    <w:p w14:paraId="1FA67CE6">
      <w:pPr>
        <w:pStyle w:val="6"/>
        <w:spacing w:line="360" w:lineRule="auto"/>
        <w:ind w:left="1076" w:leftChars="371" w:hanging="297" w:hangingChars="124"/>
        <w:rPr>
          <w:rFonts w:ascii="Times New Roman" w:hAnsi="Times New Roman"/>
          <w:color w:val="auto"/>
          <w:sz w:val="24"/>
          <w:szCs w:val="24"/>
          <w:highlight w:val="none"/>
        </w:rPr>
      </w:pPr>
      <w:r>
        <w:rPr>
          <w:rFonts w:hint="default" w:ascii="Times New Roman" w:hAnsi="Times New Roman"/>
          <w:sz w:val="24"/>
          <w:highlight w:val="none"/>
        </w:rPr>
        <w:t>电      话：</w:t>
      </w:r>
      <w:r>
        <w:rPr>
          <w:rFonts w:hint="eastAsia" w:ascii="宋体" w:hAnsi="宋体" w:eastAsia="宋体" w:cs="宋体"/>
          <w:color w:val="auto"/>
          <w:spacing w:val="-2"/>
          <w:sz w:val="24"/>
          <w:szCs w:val="24"/>
          <w:highlight w:val="none"/>
          <w:u w:val="single"/>
          <w:lang w:eastAsia="zh-CN"/>
        </w:rPr>
        <w:t>13811128604</w:t>
      </w: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8A068"/>
    <w:multiLevelType w:val="singleLevel"/>
    <w:tmpl w:val="9958A06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zBjNjQwNWJiNGI5ZThkNjgyYTczOWNhYTA3YTAifQ=="/>
  </w:docVars>
  <w:rsids>
    <w:rsidRoot w:val="0012214E"/>
    <w:rsid w:val="000016BF"/>
    <w:rsid w:val="000078B9"/>
    <w:rsid w:val="00020D73"/>
    <w:rsid w:val="00032D33"/>
    <w:rsid w:val="00035F04"/>
    <w:rsid w:val="000546B8"/>
    <w:rsid w:val="00054E4A"/>
    <w:rsid w:val="00070D6C"/>
    <w:rsid w:val="00071CEE"/>
    <w:rsid w:val="00073804"/>
    <w:rsid w:val="00074A84"/>
    <w:rsid w:val="000766D3"/>
    <w:rsid w:val="000767C4"/>
    <w:rsid w:val="00077592"/>
    <w:rsid w:val="0008380D"/>
    <w:rsid w:val="000925E3"/>
    <w:rsid w:val="000A0AEE"/>
    <w:rsid w:val="000A4B79"/>
    <w:rsid w:val="000B418C"/>
    <w:rsid w:val="000C1A27"/>
    <w:rsid w:val="000C6398"/>
    <w:rsid w:val="000C7E35"/>
    <w:rsid w:val="000D68A7"/>
    <w:rsid w:val="000F0524"/>
    <w:rsid w:val="000F5E10"/>
    <w:rsid w:val="000F7A2B"/>
    <w:rsid w:val="0010256C"/>
    <w:rsid w:val="00117E96"/>
    <w:rsid w:val="0012214E"/>
    <w:rsid w:val="00122C0E"/>
    <w:rsid w:val="00134115"/>
    <w:rsid w:val="00146111"/>
    <w:rsid w:val="00150B1E"/>
    <w:rsid w:val="0015629E"/>
    <w:rsid w:val="001771F0"/>
    <w:rsid w:val="001A3DD8"/>
    <w:rsid w:val="001B44ED"/>
    <w:rsid w:val="001C1F83"/>
    <w:rsid w:val="001C55A7"/>
    <w:rsid w:val="001D12AF"/>
    <w:rsid w:val="001D6591"/>
    <w:rsid w:val="002103EA"/>
    <w:rsid w:val="00210A55"/>
    <w:rsid w:val="0022581D"/>
    <w:rsid w:val="0023152A"/>
    <w:rsid w:val="0026165A"/>
    <w:rsid w:val="0026462A"/>
    <w:rsid w:val="00267CAA"/>
    <w:rsid w:val="00286DDE"/>
    <w:rsid w:val="002A3BF1"/>
    <w:rsid w:val="002B22C3"/>
    <w:rsid w:val="002C2616"/>
    <w:rsid w:val="002D1DB9"/>
    <w:rsid w:val="002E5FA7"/>
    <w:rsid w:val="002E5FBD"/>
    <w:rsid w:val="002E6188"/>
    <w:rsid w:val="002F6164"/>
    <w:rsid w:val="0030705F"/>
    <w:rsid w:val="00321C32"/>
    <w:rsid w:val="003308F7"/>
    <w:rsid w:val="00343983"/>
    <w:rsid w:val="003B7A55"/>
    <w:rsid w:val="003D667A"/>
    <w:rsid w:val="003E1C29"/>
    <w:rsid w:val="003E3A4C"/>
    <w:rsid w:val="003E3EB7"/>
    <w:rsid w:val="00407C9F"/>
    <w:rsid w:val="00407F98"/>
    <w:rsid w:val="00412235"/>
    <w:rsid w:val="00414F81"/>
    <w:rsid w:val="00415011"/>
    <w:rsid w:val="00431BA7"/>
    <w:rsid w:val="00432934"/>
    <w:rsid w:val="00445CB3"/>
    <w:rsid w:val="004656CB"/>
    <w:rsid w:val="00471693"/>
    <w:rsid w:val="00476A19"/>
    <w:rsid w:val="00480A1C"/>
    <w:rsid w:val="00483DF4"/>
    <w:rsid w:val="00492B9B"/>
    <w:rsid w:val="004C2925"/>
    <w:rsid w:val="004C4A37"/>
    <w:rsid w:val="004C7293"/>
    <w:rsid w:val="004D639A"/>
    <w:rsid w:val="004E161C"/>
    <w:rsid w:val="004E49F8"/>
    <w:rsid w:val="004E6859"/>
    <w:rsid w:val="004F26C5"/>
    <w:rsid w:val="004F4AC0"/>
    <w:rsid w:val="004F7D9C"/>
    <w:rsid w:val="005323AC"/>
    <w:rsid w:val="00533C7B"/>
    <w:rsid w:val="005462CB"/>
    <w:rsid w:val="00553410"/>
    <w:rsid w:val="00563E7F"/>
    <w:rsid w:val="005649F3"/>
    <w:rsid w:val="00565AAC"/>
    <w:rsid w:val="00572DA8"/>
    <w:rsid w:val="00576C35"/>
    <w:rsid w:val="00586761"/>
    <w:rsid w:val="0058759F"/>
    <w:rsid w:val="00591A8D"/>
    <w:rsid w:val="00592ACA"/>
    <w:rsid w:val="00596991"/>
    <w:rsid w:val="005B500D"/>
    <w:rsid w:val="005C4E77"/>
    <w:rsid w:val="005E2BB7"/>
    <w:rsid w:val="005F0B61"/>
    <w:rsid w:val="005F1CEA"/>
    <w:rsid w:val="00600E60"/>
    <w:rsid w:val="006347F9"/>
    <w:rsid w:val="006451A6"/>
    <w:rsid w:val="00646A06"/>
    <w:rsid w:val="00674E28"/>
    <w:rsid w:val="006769F2"/>
    <w:rsid w:val="00685BBB"/>
    <w:rsid w:val="00693B14"/>
    <w:rsid w:val="006A1215"/>
    <w:rsid w:val="006A40B5"/>
    <w:rsid w:val="006A5B0A"/>
    <w:rsid w:val="006D05D0"/>
    <w:rsid w:val="006D1F63"/>
    <w:rsid w:val="006E7B87"/>
    <w:rsid w:val="006F476A"/>
    <w:rsid w:val="00700835"/>
    <w:rsid w:val="00703A79"/>
    <w:rsid w:val="007145D0"/>
    <w:rsid w:val="007157C8"/>
    <w:rsid w:val="00740B3E"/>
    <w:rsid w:val="007A2C83"/>
    <w:rsid w:val="007A3A9B"/>
    <w:rsid w:val="007B3F12"/>
    <w:rsid w:val="007B4519"/>
    <w:rsid w:val="00811661"/>
    <w:rsid w:val="0081267C"/>
    <w:rsid w:val="00861F5F"/>
    <w:rsid w:val="00863B8A"/>
    <w:rsid w:val="0086557E"/>
    <w:rsid w:val="00896CF2"/>
    <w:rsid w:val="008A2600"/>
    <w:rsid w:val="008A4BAD"/>
    <w:rsid w:val="008A7A3C"/>
    <w:rsid w:val="008B1479"/>
    <w:rsid w:val="008B698D"/>
    <w:rsid w:val="008C7686"/>
    <w:rsid w:val="008D5B9B"/>
    <w:rsid w:val="008F269E"/>
    <w:rsid w:val="008F5DB0"/>
    <w:rsid w:val="009201B6"/>
    <w:rsid w:val="0092195E"/>
    <w:rsid w:val="009507D5"/>
    <w:rsid w:val="00950A6D"/>
    <w:rsid w:val="00950E86"/>
    <w:rsid w:val="00952971"/>
    <w:rsid w:val="00966F33"/>
    <w:rsid w:val="0097020D"/>
    <w:rsid w:val="00972C3A"/>
    <w:rsid w:val="0098348B"/>
    <w:rsid w:val="00987A75"/>
    <w:rsid w:val="00993C93"/>
    <w:rsid w:val="00994AE6"/>
    <w:rsid w:val="009A1B7D"/>
    <w:rsid w:val="009B114C"/>
    <w:rsid w:val="009C3709"/>
    <w:rsid w:val="009C77B3"/>
    <w:rsid w:val="009F51D8"/>
    <w:rsid w:val="00A270C0"/>
    <w:rsid w:val="00A714F3"/>
    <w:rsid w:val="00A73223"/>
    <w:rsid w:val="00AB5E4C"/>
    <w:rsid w:val="00AC7A0B"/>
    <w:rsid w:val="00AD5CD4"/>
    <w:rsid w:val="00AF1846"/>
    <w:rsid w:val="00AF4442"/>
    <w:rsid w:val="00B02737"/>
    <w:rsid w:val="00B4039A"/>
    <w:rsid w:val="00B70FB0"/>
    <w:rsid w:val="00B713AB"/>
    <w:rsid w:val="00BA2A94"/>
    <w:rsid w:val="00BB3100"/>
    <w:rsid w:val="00BE4DE9"/>
    <w:rsid w:val="00BE5AE3"/>
    <w:rsid w:val="00BF4771"/>
    <w:rsid w:val="00C0562F"/>
    <w:rsid w:val="00C2516B"/>
    <w:rsid w:val="00C4087F"/>
    <w:rsid w:val="00C5255C"/>
    <w:rsid w:val="00C54A97"/>
    <w:rsid w:val="00C5734A"/>
    <w:rsid w:val="00C73710"/>
    <w:rsid w:val="00C84866"/>
    <w:rsid w:val="00C94819"/>
    <w:rsid w:val="00C96D7A"/>
    <w:rsid w:val="00CA0789"/>
    <w:rsid w:val="00CA3461"/>
    <w:rsid w:val="00CB3456"/>
    <w:rsid w:val="00CD53C8"/>
    <w:rsid w:val="00CE7386"/>
    <w:rsid w:val="00CF1ACA"/>
    <w:rsid w:val="00D0124F"/>
    <w:rsid w:val="00D1515E"/>
    <w:rsid w:val="00D177CA"/>
    <w:rsid w:val="00D379E1"/>
    <w:rsid w:val="00D5083A"/>
    <w:rsid w:val="00D51E14"/>
    <w:rsid w:val="00D56D33"/>
    <w:rsid w:val="00D73A88"/>
    <w:rsid w:val="00D747BE"/>
    <w:rsid w:val="00D81BA5"/>
    <w:rsid w:val="00D86348"/>
    <w:rsid w:val="00D9552B"/>
    <w:rsid w:val="00DA624B"/>
    <w:rsid w:val="00DB3025"/>
    <w:rsid w:val="00DE0E1B"/>
    <w:rsid w:val="00DE7580"/>
    <w:rsid w:val="00DF5ED2"/>
    <w:rsid w:val="00E03FFD"/>
    <w:rsid w:val="00E1018F"/>
    <w:rsid w:val="00E17647"/>
    <w:rsid w:val="00E32D40"/>
    <w:rsid w:val="00E54F06"/>
    <w:rsid w:val="00E56341"/>
    <w:rsid w:val="00E84410"/>
    <w:rsid w:val="00E87FDE"/>
    <w:rsid w:val="00E90D87"/>
    <w:rsid w:val="00E96DD6"/>
    <w:rsid w:val="00EA5F95"/>
    <w:rsid w:val="00EB1211"/>
    <w:rsid w:val="00EB3F7D"/>
    <w:rsid w:val="00EE4B43"/>
    <w:rsid w:val="00EE5A98"/>
    <w:rsid w:val="00EF1E93"/>
    <w:rsid w:val="00F1501A"/>
    <w:rsid w:val="00F30AC1"/>
    <w:rsid w:val="00F373B6"/>
    <w:rsid w:val="00F47F10"/>
    <w:rsid w:val="00F5009F"/>
    <w:rsid w:val="00F73C2F"/>
    <w:rsid w:val="00F75203"/>
    <w:rsid w:val="00FF42EA"/>
    <w:rsid w:val="00FF682A"/>
    <w:rsid w:val="00FF7C34"/>
    <w:rsid w:val="01C458F2"/>
    <w:rsid w:val="04C738AC"/>
    <w:rsid w:val="060E7D0A"/>
    <w:rsid w:val="06273F5E"/>
    <w:rsid w:val="07F45439"/>
    <w:rsid w:val="08515C6C"/>
    <w:rsid w:val="09810D77"/>
    <w:rsid w:val="0B1E24C6"/>
    <w:rsid w:val="0DA6583B"/>
    <w:rsid w:val="0E323572"/>
    <w:rsid w:val="0EB21B23"/>
    <w:rsid w:val="0EBC21E4"/>
    <w:rsid w:val="0F8C7069"/>
    <w:rsid w:val="113A64EF"/>
    <w:rsid w:val="11B60016"/>
    <w:rsid w:val="123F5326"/>
    <w:rsid w:val="130F5C30"/>
    <w:rsid w:val="153A6539"/>
    <w:rsid w:val="15E038B4"/>
    <w:rsid w:val="17D86F39"/>
    <w:rsid w:val="187D375C"/>
    <w:rsid w:val="18A510AB"/>
    <w:rsid w:val="1A1D6089"/>
    <w:rsid w:val="1A564EBA"/>
    <w:rsid w:val="1BF97698"/>
    <w:rsid w:val="1C6C5EA1"/>
    <w:rsid w:val="1DB70839"/>
    <w:rsid w:val="1F3F5AEF"/>
    <w:rsid w:val="20D95567"/>
    <w:rsid w:val="21FF0A28"/>
    <w:rsid w:val="222F122A"/>
    <w:rsid w:val="240929E1"/>
    <w:rsid w:val="262B2929"/>
    <w:rsid w:val="27A36247"/>
    <w:rsid w:val="2803469B"/>
    <w:rsid w:val="2A6D3510"/>
    <w:rsid w:val="2AF91248"/>
    <w:rsid w:val="2B9F6C9C"/>
    <w:rsid w:val="2BC156CD"/>
    <w:rsid w:val="2D0E0587"/>
    <w:rsid w:val="2E1550C2"/>
    <w:rsid w:val="2FD470C1"/>
    <w:rsid w:val="2FE6377C"/>
    <w:rsid w:val="33694A91"/>
    <w:rsid w:val="33D331EA"/>
    <w:rsid w:val="34C25437"/>
    <w:rsid w:val="35645500"/>
    <w:rsid w:val="36866002"/>
    <w:rsid w:val="37EE6492"/>
    <w:rsid w:val="38476B92"/>
    <w:rsid w:val="39510679"/>
    <w:rsid w:val="39862866"/>
    <w:rsid w:val="399A1E48"/>
    <w:rsid w:val="39BA58F3"/>
    <w:rsid w:val="3AA73B8F"/>
    <w:rsid w:val="3D2E7A42"/>
    <w:rsid w:val="3D6F0EF6"/>
    <w:rsid w:val="3E0065B1"/>
    <w:rsid w:val="3E5500EC"/>
    <w:rsid w:val="3E86735F"/>
    <w:rsid w:val="3EA20A06"/>
    <w:rsid w:val="3F285C7B"/>
    <w:rsid w:val="3F2C14D0"/>
    <w:rsid w:val="3F2C5372"/>
    <w:rsid w:val="3F540BEA"/>
    <w:rsid w:val="425116DC"/>
    <w:rsid w:val="44C72567"/>
    <w:rsid w:val="46112C35"/>
    <w:rsid w:val="4A1452FF"/>
    <w:rsid w:val="4A525E27"/>
    <w:rsid w:val="4D173383"/>
    <w:rsid w:val="4D523829"/>
    <w:rsid w:val="4D8C33FE"/>
    <w:rsid w:val="4DE90850"/>
    <w:rsid w:val="4F1837F1"/>
    <w:rsid w:val="4F364DC2"/>
    <w:rsid w:val="4FA77A4D"/>
    <w:rsid w:val="52916AC8"/>
    <w:rsid w:val="536270DB"/>
    <w:rsid w:val="54223D65"/>
    <w:rsid w:val="55A51501"/>
    <w:rsid w:val="56002BDB"/>
    <w:rsid w:val="566B4BBD"/>
    <w:rsid w:val="5872601F"/>
    <w:rsid w:val="5C6C1996"/>
    <w:rsid w:val="5E831908"/>
    <w:rsid w:val="60660239"/>
    <w:rsid w:val="60C45117"/>
    <w:rsid w:val="60E31987"/>
    <w:rsid w:val="61E57855"/>
    <w:rsid w:val="63A32897"/>
    <w:rsid w:val="63ED0BBF"/>
    <w:rsid w:val="63F03E84"/>
    <w:rsid w:val="64B27796"/>
    <w:rsid w:val="673B3BD8"/>
    <w:rsid w:val="68BE46CC"/>
    <w:rsid w:val="68E02F0F"/>
    <w:rsid w:val="6A1C6DD6"/>
    <w:rsid w:val="6B0F4B0C"/>
    <w:rsid w:val="6BF40694"/>
    <w:rsid w:val="6F3271E7"/>
    <w:rsid w:val="720D24B0"/>
    <w:rsid w:val="72192C03"/>
    <w:rsid w:val="76AB6FB1"/>
    <w:rsid w:val="780E0513"/>
    <w:rsid w:val="78300CA6"/>
    <w:rsid w:val="7C6545D6"/>
    <w:rsid w:val="7D181680"/>
    <w:rsid w:val="7D976041"/>
    <w:rsid w:val="7DFB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link w:val="19"/>
    <w:autoRedefine/>
    <w:qFormat/>
    <w:uiPriority w:val="0"/>
    <w:rPr>
      <w:rFonts w:ascii="宋体" w:hAnsi="Courier New" w:eastAsiaTheme="minorEastAsia" w:cstheme="minorBidi"/>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9"/>
    <w:autoRedefine/>
    <w:qFormat/>
    <w:uiPriority w:val="99"/>
    <w:rPr>
      <w:sz w:val="18"/>
      <w:szCs w:val="18"/>
    </w:rPr>
  </w:style>
  <w:style w:type="character" w:customStyle="1" w:styleId="15">
    <w:name w:val="页脚 字符"/>
    <w:basedOn w:val="11"/>
    <w:link w:val="8"/>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宋体" w:cs="Times New Roman"/>
      <w:b/>
      <w:bCs/>
      <w:kern w:val="44"/>
      <w:sz w:val="44"/>
      <w:szCs w:val="44"/>
    </w:rPr>
  </w:style>
  <w:style w:type="character" w:customStyle="1" w:styleId="17">
    <w:name w:val="标题 2 字符"/>
    <w:basedOn w:val="11"/>
    <w:link w:val="3"/>
    <w:autoRedefine/>
    <w:qFormat/>
    <w:uiPriority w:val="0"/>
    <w:rPr>
      <w:rFonts w:ascii="Arial" w:hAnsi="Arial" w:eastAsia="黑体" w:cs="Arial"/>
      <w:b/>
      <w:bCs/>
      <w:sz w:val="32"/>
      <w:szCs w:val="32"/>
    </w:rPr>
  </w:style>
  <w:style w:type="character" w:customStyle="1" w:styleId="18">
    <w:name w:val="纯文本 字符"/>
    <w:basedOn w:val="11"/>
    <w:autoRedefine/>
    <w:qFormat/>
    <w:uiPriority w:val="0"/>
    <w:rPr>
      <w:rFonts w:hAnsi="Courier New" w:cs="Courier New" w:asciiTheme="minorEastAsia"/>
      <w:szCs w:val="21"/>
    </w:rPr>
  </w:style>
  <w:style w:type="character" w:customStyle="1" w:styleId="19">
    <w:name w:val="纯文本 字符1"/>
    <w:basedOn w:val="11"/>
    <w:link w:val="6"/>
    <w:autoRedefine/>
    <w:qFormat/>
    <w:uiPriority w:val="0"/>
    <w:rPr>
      <w:rFonts w:ascii="宋体" w:hAnsi="Courier New"/>
    </w:rPr>
  </w:style>
  <w:style w:type="character" w:customStyle="1" w:styleId="20">
    <w:name w:val="批注框文本 字符"/>
    <w:basedOn w:val="11"/>
    <w:link w:val="7"/>
    <w:autoRedefine/>
    <w:semiHidden/>
    <w:qFormat/>
    <w:uiPriority w:val="99"/>
    <w:rPr>
      <w:rFonts w:ascii="Times New Roman" w:hAnsi="Times New Roman" w:eastAsia="宋体" w:cs="Times New Roman"/>
      <w:sz w:val="18"/>
      <w:szCs w:val="18"/>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未处理的提及2"/>
    <w:basedOn w:val="11"/>
    <w:autoRedefine/>
    <w:semiHidden/>
    <w:unhideWhenUsed/>
    <w:qFormat/>
    <w:uiPriority w:val="99"/>
    <w:rPr>
      <w:color w:val="605E5C"/>
      <w:shd w:val="clear" w:color="auto" w:fill="E1DFDD"/>
    </w:rPr>
  </w:style>
  <w:style w:type="character" w:customStyle="1" w:styleId="24">
    <w:name w:val="未处理的提及3"/>
    <w:basedOn w:val="11"/>
    <w:autoRedefine/>
    <w:semiHidden/>
    <w:unhideWhenUsed/>
    <w:qFormat/>
    <w:uiPriority w:val="99"/>
    <w:rPr>
      <w:color w:val="605E5C"/>
      <w:shd w:val="clear" w:color="auto" w:fill="E1DFDD"/>
    </w:rPr>
  </w:style>
  <w:style w:type="character" w:customStyle="1" w:styleId="25">
    <w:name w:val="未处理的提及4"/>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2076</Words>
  <Characters>2445</Characters>
  <Lines>1</Lines>
  <Paragraphs>1</Paragraphs>
  <TotalTime>8</TotalTime>
  <ScaleCrop>false</ScaleCrop>
  <LinksUpToDate>false</LinksUpToDate>
  <CharactersWithSpaces>2555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2022-07-26T05:12:00Z</dcterms:created>
  <dc:creator>一片赤诚</dc:creator>
  <cp:lastModifiedBy>dell</cp:lastModifiedBy>
  <dcterms:modified xsi:type="dcterms:W3CDTF">2025-05-26T04:36:45Z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5C21718B7C0E4BE6AA24D37253495774</vt:lpwstr>
  </property>
  <property fmtid="{D5CDD505-2E9C-101B-9397-08002B2CF9AE}" pid="4" name="KSOTemplateDocerSaveRecord">
    <vt:lpwstr>eyJoZGlkIjoiYTI4OTk2MWU1NmY4Y2I5YmRjOTJkYWE4M2VlZmY2ZWEifQ==</vt:lpwstr>
  </property>
</Properties>
</file>