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6160F">
      <w:pPr>
        <w:spacing w:line="360" w:lineRule="auto"/>
        <w:jc w:val="center"/>
        <w:outlineLvl w:val="0"/>
        <w:rPr>
          <w:b/>
          <w:spacing w:val="0"/>
          <w:sz w:val="36"/>
          <w:szCs w:val="36"/>
        </w:rPr>
      </w:pPr>
      <w:r>
        <w:rPr>
          <w:b/>
          <w:spacing w:val="0"/>
          <w:sz w:val="36"/>
          <w:szCs w:val="36"/>
        </w:rPr>
        <w:t>采购需求</w:t>
      </w:r>
    </w:p>
    <w:p w14:paraId="1AB48F01">
      <w:pPr>
        <w:spacing w:line="360" w:lineRule="auto"/>
        <w:contextualSpacing/>
        <w:rPr>
          <w:spacing w:val="0"/>
          <w:sz w:val="24"/>
        </w:rPr>
      </w:pPr>
    </w:p>
    <w:p w14:paraId="1558B1FF">
      <w:pPr>
        <w:pStyle w:val="10"/>
        <w:numPr>
          <w:ilvl w:val="0"/>
          <w:numId w:val="0"/>
        </w:numPr>
        <w:spacing w:line="360" w:lineRule="auto"/>
        <w:ind w:left="500" w:leftChars="0" w:hanging="500" w:firstLineChars="0"/>
        <w:contextualSpacing/>
        <w:rPr>
          <w:rFonts w:ascii="Times New Roman" w:hAnsi="Times New Roman"/>
          <w:b/>
          <w:spacing w:val="0"/>
          <w:sz w:val="24"/>
          <w:szCs w:val="24"/>
        </w:rPr>
      </w:pPr>
      <w:r>
        <w:rPr>
          <w:rFonts w:hint="default" w:ascii="Times New Roman" w:hAnsi="Times New Roman" w:eastAsia="宋体" w:cs="Times New Roman"/>
          <w:b/>
          <w:spacing w:val="0"/>
          <w:kern w:val="2"/>
          <w:sz w:val="24"/>
          <w:szCs w:val="24"/>
          <w:lang w:val="en-US" w:eastAsia="zh-CN" w:bidi="ar-SA"/>
        </w:rPr>
        <w:t>一、</w:t>
      </w:r>
      <w:r>
        <w:rPr>
          <w:rFonts w:ascii="Times New Roman" w:hAnsi="Times New Roman"/>
          <w:b/>
          <w:spacing w:val="0"/>
          <w:sz w:val="24"/>
          <w:szCs w:val="24"/>
        </w:rPr>
        <w:t>采购标的</w:t>
      </w:r>
    </w:p>
    <w:tbl>
      <w:tblPr>
        <w:tblStyle w:val="8"/>
        <w:tblW w:w="7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2246"/>
        <w:gridCol w:w="2144"/>
        <w:gridCol w:w="1992"/>
      </w:tblGrid>
      <w:tr w14:paraId="6CE6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jc w:val="center"/>
        </w:trPr>
        <w:tc>
          <w:tcPr>
            <w:tcW w:w="737" w:type="dxa"/>
            <w:shd w:val="clear" w:color="auto" w:fill="auto"/>
            <w:vAlign w:val="center"/>
          </w:tcPr>
          <w:p w14:paraId="483C8AAC">
            <w:pPr>
              <w:keepNext w:val="0"/>
              <w:keepLines w:val="0"/>
              <w:suppressLineNumbers w:val="0"/>
              <w:spacing w:before="0" w:beforeAutospacing="0" w:after="0" w:afterAutospacing="0"/>
              <w:ind w:left="0" w:right="0"/>
              <w:jc w:val="center"/>
              <w:rPr>
                <w:rFonts w:hint="default" w:ascii="宋体"/>
                <w:b/>
                <w:bCs/>
                <w:spacing w:val="0"/>
                <w:kern w:val="0"/>
                <w:sz w:val="24"/>
                <w:highlight w:val="none"/>
              </w:rPr>
            </w:pPr>
            <w:r>
              <w:rPr>
                <w:rFonts w:hint="eastAsia" w:ascii="宋体" w:hAnsi="宋体" w:cs="宋体"/>
                <w:b/>
                <w:bCs/>
                <w:spacing w:val="0"/>
                <w:kern w:val="0"/>
                <w:sz w:val="24"/>
                <w:highlight w:val="none"/>
              </w:rPr>
              <w:t>包号</w:t>
            </w:r>
          </w:p>
        </w:tc>
        <w:tc>
          <w:tcPr>
            <w:tcW w:w="2246" w:type="dxa"/>
            <w:shd w:val="clear" w:color="auto" w:fill="auto"/>
            <w:vAlign w:val="center"/>
          </w:tcPr>
          <w:p w14:paraId="63442C91">
            <w:pPr>
              <w:keepNext w:val="0"/>
              <w:keepLines w:val="0"/>
              <w:widowControl/>
              <w:suppressLineNumbers w:val="0"/>
              <w:spacing w:before="0" w:beforeAutospacing="0" w:after="0" w:afterAutospacing="0"/>
              <w:ind w:left="0" w:right="0"/>
              <w:jc w:val="center"/>
              <w:rPr>
                <w:rFonts w:hint="default" w:ascii="宋体"/>
                <w:b/>
                <w:bCs/>
                <w:spacing w:val="0"/>
                <w:kern w:val="0"/>
                <w:sz w:val="24"/>
                <w:highlight w:val="none"/>
              </w:rPr>
            </w:pPr>
            <w:r>
              <w:rPr>
                <w:rFonts w:hint="eastAsia" w:ascii="宋体" w:hAnsi="宋体" w:cs="宋体"/>
                <w:b/>
                <w:bCs/>
                <w:spacing w:val="0"/>
                <w:kern w:val="0"/>
                <w:sz w:val="24"/>
                <w:highlight w:val="none"/>
              </w:rPr>
              <w:t>采购内容</w:t>
            </w:r>
          </w:p>
        </w:tc>
        <w:tc>
          <w:tcPr>
            <w:tcW w:w="2144" w:type="dxa"/>
            <w:shd w:val="clear" w:color="auto" w:fill="auto"/>
            <w:vAlign w:val="center"/>
          </w:tcPr>
          <w:p w14:paraId="4EBC0428">
            <w:pPr>
              <w:keepNext w:val="0"/>
              <w:keepLines w:val="0"/>
              <w:widowControl/>
              <w:suppressLineNumbers w:val="0"/>
              <w:spacing w:before="0" w:beforeAutospacing="0" w:after="0" w:afterAutospacing="0"/>
              <w:ind w:left="0" w:right="0"/>
              <w:jc w:val="center"/>
              <w:rPr>
                <w:rFonts w:hint="eastAsia" w:ascii="宋体" w:hAnsi="宋体" w:cs="宋体"/>
                <w:b/>
                <w:bCs/>
                <w:spacing w:val="0"/>
                <w:kern w:val="0"/>
                <w:sz w:val="24"/>
                <w:highlight w:val="none"/>
              </w:rPr>
            </w:pPr>
            <w:r>
              <w:rPr>
                <w:rFonts w:hint="eastAsia" w:ascii="宋体" w:hAnsi="宋体" w:cs="宋体"/>
                <w:b/>
                <w:bCs/>
                <w:spacing w:val="0"/>
                <w:kern w:val="0"/>
                <w:sz w:val="24"/>
                <w:highlight w:val="none"/>
              </w:rPr>
              <w:t>数量</w:t>
            </w:r>
          </w:p>
          <w:p w14:paraId="4111CEAE">
            <w:pPr>
              <w:keepNext w:val="0"/>
              <w:keepLines w:val="0"/>
              <w:widowControl/>
              <w:suppressLineNumbers w:val="0"/>
              <w:spacing w:before="0" w:beforeAutospacing="0" w:after="0" w:afterAutospacing="0"/>
              <w:ind w:left="0" w:right="0"/>
              <w:jc w:val="center"/>
              <w:rPr>
                <w:rFonts w:hint="eastAsia" w:ascii="宋体" w:eastAsia="宋体"/>
                <w:b/>
                <w:bCs/>
                <w:spacing w:val="0"/>
                <w:kern w:val="0"/>
                <w:sz w:val="24"/>
                <w:highlight w:val="none"/>
                <w:lang w:eastAsia="zh-CN"/>
              </w:rPr>
            </w:pPr>
            <w:r>
              <w:rPr>
                <w:rFonts w:hint="eastAsia" w:ascii="宋体" w:hAnsi="宋体" w:cs="宋体"/>
                <w:b/>
                <w:bCs/>
                <w:spacing w:val="0"/>
                <w:kern w:val="0"/>
                <w:sz w:val="24"/>
                <w:highlight w:val="none"/>
                <w:lang w:eastAsia="zh-CN"/>
              </w:rPr>
              <w:t>（</w:t>
            </w:r>
            <w:r>
              <w:rPr>
                <w:rFonts w:hint="eastAsia" w:ascii="宋体" w:hAnsi="宋体" w:cs="宋体"/>
                <w:b/>
                <w:bCs/>
                <w:spacing w:val="0"/>
                <w:kern w:val="0"/>
                <w:sz w:val="24"/>
                <w:highlight w:val="none"/>
                <w:lang w:val="en-US" w:eastAsia="zh-CN"/>
              </w:rPr>
              <w:t>台/套</w:t>
            </w:r>
            <w:r>
              <w:rPr>
                <w:rFonts w:hint="eastAsia" w:ascii="宋体" w:hAnsi="宋体" w:cs="宋体"/>
                <w:b/>
                <w:bCs/>
                <w:spacing w:val="0"/>
                <w:kern w:val="0"/>
                <w:sz w:val="24"/>
                <w:highlight w:val="none"/>
                <w:lang w:eastAsia="zh-CN"/>
              </w:rPr>
              <w:t>）</w:t>
            </w:r>
          </w:p>
        </w:tc>
        <w:tc>
          <w:tcPr>
            <w:tcW w:w="1992" w:type="dxa"/>
            <w:shd w:val="clear" w:color="000000" w:fill="FFFFFF"/>
            <w:vAlign w:val="center"/>
          </w:tcPr>
          <w:p w14:paraId="34B66008">
            <w:pPr>
              <w:keepNext w:val="0"/>
              <w:keepLines w:val="0"/>
              <w:widowControl/>
              <w:suppressLineNumbers w:val="0"/>
              <w:spacing w:before="0" w:beforeAutospacing="0" w:after="0" w:afterAutospacing="0"/>
              <w:ind w:left="0" w:right="0"/>
              <w:jc w:val="center"/>
              <w:rPr>
                <w:rFonts w:hint="default" w:ascii="宋体" w:hAnsi="宋体" w:cs="宋体"/>
                <w:b/>
                <w:bCs/>
                <w:spacing w:val="0"/>
                <w:kern w:val="0"/>
                <w:sz w:val="24"/>
                <w:highlight w:val="none"/>
              </w:rPr>
            </w:pPr>
            <w:r>
              <w:rPr>
                <w:rFonts w:hint="eastAsia" w:ascii="宋体" w:hAnsi="宋体" w:cs="宋体"/>
                <w:b/>
                <w:bCs/>
                <w:spacing w:val="0"/>
                <w:kern w:val="0"/>
                <w:sz w:val="24"/>
                <w:highlight w:val="none"/>
              </w:rPr>
              <w:t>是否允许采购</w:t>
            </w:r>
          </w:p>
          <w:p w14:paraId="5F8CE7CD">
            <w:pPr>
              <w:keepNext w:val="0"/>
              <w:keepLines w:val="0"/>
              <w:widowControl/>
              <w:suppressLineNumbers w:val="0"/>
              <w:spacing w:before="0" w:beforeAutospacing="0" w:after="0" w:afterAutospacing="0"/>
              <w:ind w:left="0" w:right="0"/>
              <w:jc w:val="center"/>
              <w:rPr>
                <w:rFonts w:hint="default" w:ascii="宋体" w:hAnsi="宋体" w:cs="宋体"/>
                <w:b/>
                <w:bCs/>
                <w:spacing w:val="0"/>
                <w:kern w:val="0"/>
                <w:sz w:val="24"/>
                <w:highlight w:val="none"/>
              </w:rPr>
            </w:pPr>
            <w:r>
              <w:rPr>
                <w:rFonts w:hint="eastAsia" w:ascii="宋体" w:hAnsi="宋体" w:cs="宋体"/>
                <w:b/>
                <w:bCs/>
                <w:spacing w:val="0"/>
                <w:kern w:val="0"/>
                <w:sz w:val="24"/>
                <w:highlight w:val="none"/>
              </w:rPr>
              <w:t>进口产品</w:t>
            </w:r>
          </w:p>
        </w:tc>
      </w:tr>
      <w:tr w14:paraId="15CAE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737" w:type="dxa"/>
            <w:shd w:val="clear" w:color="auto" w:fill="auto"/>
            <w:vAlign w:val="center"/>
          </w:tcPr>
          <w:p w14:paraId="19522205">
            <w:pPr>
              <w:keepNext w:val="0"/>
              <w:keepLines w:val="0"/>
              <w:suppressLineNumbers w:val="0"/>
              <w:spacing w:before="120" w:beforeLines="50" w:beforeAutospacing="0" w:after="0" w:afterAutospacing="0" w:line="360" w:lineRule="auto"/>
              <w:ind w:left="0" w:right="0"/>
              <w:jc w:val="center"/>
              <w:rPr>
                <w:rFonts w:hint="default" w:ascii="宋体" w:eastAsia="宋体"/>
                <w:spacing w:val="0"/>
                <w:sz w:val="24"/>
                <w:lang w:val="en-US" w:eastAsia="zh-CN"/>
              </w:rPr>
            </w:pPr>
            <w:r>
              <w:rPr>
                <w:rFonts w:hint="eastAsia" w:ascii="宋体" w:hAnsi="宋体" w:cs="宋体"/>
                <w:spacing w:val="0"/>
                <w:sz w:val="24"/>
                <w:lang w:val="en-US" w:eastAsia="zh-CN"/>
              </w:rPr>
              <w:t>01</w:t>
            </w:r>
          </w:p>
        </w:tc>
        <w:tc>
          <w:tcPr>
            <w:tcW w:w="2246" w:type="dxa"/>
            <w:shd w:val="clear" w:color="auto" w:fill="auto"/>
            <w:vAlign w:val="center"/>
          </w:tcPr>
          <w:p w14:paraId="367F7E63">
            <w:pPr>
              <w:keepNext w:val="0"/>
              <w:keepLines w:val="0"/>
              <w:widowControl/>
              <w:suppressLineNumbers w:val="0"/>
              <w:spacing w:before="0" w:beforeAutospacing="0" w:after="0" w:afterAutospacing="0"/>
              <w:ind w:left="0" w:right="0"/>
              <w:jc w:val="center"/>
              <w:textAlignment w:val="center"/>
              <w:rPr>
                <w:rFonts w:hint="eastAsia" w:ascii="宋体" w:eastAsia="宋体"/>
                <w:spacing w:val="0"/>
                <w:sz w:val="24"/>
                <w:lang w:eastAsia="zh-CN"/>
              </w:rPr>
            </w:pPr>
            <w:r>
              <w:rPr>
                <w:rFonts w:hint="eastAsia" w:ascii="宋体" w:hAnsi="宋体" w:eastAsia="宋体" w:cs="宋体"/>
                <w:bCs/>
                <w:spacing w:val="0"/>
                <w:sz w:val="24"/>
                <w:lang w:eastAsia="zh-CN"/>
              </w:rPr>
              <w:t>门头沟区慢病系统与家庭医生签约系统</w:t>
            </w:r>
          </w:p>
        </w:tc>
        <w:tc>
          <w:tcPr>
            <w:tcW w:w="2144" w:type="dxa"/>
            <w:shd w:val="clear" w:color="auto" w:fill="auto"/>
            <w:vAlign w:val="center"/>
          </w:tcPr>
          <w:p w14:paraId="65B999E9">
            <w:pPr>
              <w:pStyle w:val="11"/>
              <w:keepNext w:val="0"/>
              <w:keepLines w:val="0"/>
              <w:widowControl/>
              <w:suppressLineNumbers w:val="0"/>
              <w:spacing w:before="50" w:beforeAutospacing="0" w:after="0" w:afterAutospacing="0"/>
              <w:ind w:left="0" w:right="0"/>
              <w:jc w:val="center"/>
              <w:rPr>
                <w:rFonts w:hint="eastAsia" w:ascii="宋体" w:eastAsia="宋体"/>
                <w:spacing w:val="0"/>
                <w:sz w:val="24"/>
                <w:lang w:val="en-US" w:eastAsia="zh-CN"/>
              </w:rPr>
            </w:pPr>
            <w:r>
              <w:rPr>
                <w:rFonts w:hint="eastAsia" w:ascii="宋体"/>
                <w:spacing w:val="0"/>
                <w:sz w:val="24"/>
                <w:lang w:val="en-US" w:eastAsia="zh-CN"/>
              </w:rPr>
              <w:t>详见“3.4采购标的的其他技术、服务等要求”</w:t>
            </w:r>
          </w:p>
        </w:tc>
        <w:tc>
          <w:tcPr>
            <w:tcW w:w="1992" w:type="dxa"/>
            <w:shd w:val="clear" w:color="000000" w:fill="FFFFFF"/>
            <w:vAlign w:val="center"/>
          </w:tcPr>
          <w:p w14:paraId="1ED1F610">
            <w:pPr>
              <w:pStyle w:val="11"/>
              <w:keepNext w:val="0"/>
              <w:keepLines w:val="0"/>
              <w:widowControl/>
              <w:suppressLineNumbers w:val="0"/>
              <w:spacing w:before="50" w:beforeAutospacing="0" w:after="0" w:afterAutospacing="0"/>
              <w:ind w:left="0" w:right="0"/>
              <w:jc w:val="center"/>
              <w:rPr>
                <w:rFonts w:hint="default" w:ascii="宋体" w:hAnsi="宋体" w:eastAsia="宋体" w:cs="宋体"/>
                <w:spacing w:val="0"/>
                <w:sz w:val="24"/>
                <w:szCs w:val="24"/>
                <w:lang w:val="en-US" w:eastAsia="zh-CN"/>
              </w:rPr>
            </w:pPr>
            <w:r>
              <w:rPr>
                <w:rFonts w:hint="eastAsia" w:ascii="宋体" w:hAnsi="宋体" w:cs="宋体"/>
                <w:spacing w:val="0"/>
                <w:sz w:val="24"/>
                <w:szCs w:val="24"/>
                <w:lang w:val="en-US" w:eastAsia="zh-CN"/>
              </w:rPr>
              <w:t>否</w:t>
            </w:r>
          </w:p>
        </w:tc>
      </w:tr>
    </w:tbl>
    <w:p w14:paraId="5CC03A92">
      <w:pPr>
        <w:pStyle w:val="10"/>
        <w:numPr>
          <w:ilvl w:val="0"/>
          <w:numId w:val="0"/>
        </w:numPr>
        <w:spacing w:line="360" w:lineRule="auto"/>
        <w:ind w:left="499" w:leftChars="0" w:hanging="499" w:firstLineChars="0"/>
        <w:contextualSpacing/>
        <w:rPr>
          <w:rFonts w:hint="default" w:ascii="Times New Roman" w:hAnsi="Times New Roman" w:eastAsia="宋体" w:cs="Times New Roman"/>
          <w:b/>
          <w:spacing w:val="0"/>
          <w:kern w:val="2"/>
          <w:sz w:val="24"/>
          <w:szCs w:val="24"/>
          <w:lang w:val="en-US" w:eastAsia="zh-CN" w:bidi="ar-SA"/>
        </w:rPr>
      </w:pPr>
    </w:p>
    <w:p w14:paraId="07C50389">
      <w:pPr>
        <w:pStyle w:val="10"/>
        <w:keepNext w:val="0"/>
        <w:keepLines w:val="0"/>
        <w:pageBreakBefore w:val="0"/>
        <w:widowControl w:val="0"/>
        <w:numPr>
          <w:ilvl w:val="0"/>
          <w:numId w:val="0"/>
        </w:numPr>
        <w:kinsoku/>
        <w:wordWrap/>
        <w:overflowPunct/>
        <w:topLinePunct w:val="0"/>
        <w:autoSpaceDE/>
        <w:autoSpaceDN/>
        <w:bidi w:val="0"/>
        <w:adjustRightInd/>
        <w:snapToGrid/>
        <w:spacing w:line="500" w:lineRule="exact"/>
        <w:ind w:left="499" w:leftChars="0" w:right="0" w:rightChars="0" w:hanging="499" w:firstLineChars="0"/>
        <w:contextualSpacing/>
        <w:textAlignment w:val="auto"/>
        <w:rPr>
          <w:rFonts w:ascii="Times New Roman" w:hAnsi="Times New Roman"/>
          <w:b/>
          <w:spacing w:val="0"/>
          <w:sz w:val="24"/>
          <w:szCs w:val="24"/>
        </w:rPr>
      </w:pPr>
      <w:r>
        <w:rPr>
          <w:rFonts w:hint="default" w:ascii="Times New Roman" w:hAnsi="Times New Roman" w:eastAsia="宋体" w:cs="Times New Roman"/>
          <w:b/>
          <w:spacing w:val="0"/>
          <w:kern w:val="2"/>
          <w:sz w:val="24"/>
          <w:szCs w:val="24"/>
          <w:lang w:val="en-US" w:eastAsia="zh-CN" w:bidi="ar-SA"/>
        </w:rPr>
        <w:t>二、</w:t>
      </w:r>
      <w:r>
        <w:rPr>
          <w:rFonts w:ascii="Times New Roman" w:hAnsi="Times New Roman"/>
          <w:b/>
          <w:spacing w:val="0"/>
          <w:sz w:val="24"/>
          <w:szCs w:val="24"/>
        </w:rPr>
        <w:t>商务要求</w:t>
      </w:r>
    </w:p>
    <w:p w14:paraId="74115A02">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i/>
          <w:spacing w:val="0"/>
          <w:sz w:val="24"/>
          <w:highlight w:val="none"/>
        </w:rPr>
      </w:pPr>
      <w:r>
        <w:rPr>
          <w:spacing w:val="0"/>
          <w:sz w:val="24"/>
          <w:highlight w:val="none"/>
        </w:rPr>
        <w:t>1.实施的期限和地点</w:t>
      </w:r>
    </w:p>
    <w:p w14:paraId="746C83D5">
      <w:pPr>
        <w:pStyle w:val="6"/>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default" w:ascii="宋体" w:hAnsi="宋体" w:eastAsia="宋体" w:cs="宋体"/>
          <w:b w:val="0"/>
          <w:color w:val="000000" w:themeColor="text1"/>
          <w:spacing w:val="0"/>
          <w:sz w:val="24"/>
          <w:szCs w:val="24"/>
          <w:highlight w:val="none"/>
          <w:lang w:val="en-US" w:eastAsia="zh-CN"/>
          <w14:textFill>
            <w14:solidFill>
              <w14:schemeClr w14:val="tx1"/>
            </w14:solidFill>
          </w14:textFill>
        </w:rPr>
      </w:pPr>
      <w:bookmarkStart w:id="0" w:name="_Toc27148"/>
      <w:r>
        <w:rPr>
          <w:rFonts w:ascii="宋体" w:hAnsi="宋体" w:cs="宋体"/>
          <w:b w:val="0"/>
          <w:spacing w:val="0"/>
          <w:sz w:val="24"/>
          <w:szCs w:val="24"/>
          <w:highlight w:val="none"/>
        </w:rPr>
        <w:t>1.</w:t>
      </w:r>
      <w:r>
        <w:rPr>
          <w:rFonts w:hint="eastAsia" w:ascii="宋体" w:hAnsi="宋体" w:cs="宋体"/>
          <w:b w:val="0"/>
          <w:spacing w:val="0"/>
          <w:sz w:val="24"/>
          <w:szCs w:val="24"/>
          <w:highlight w:val="none"/>
        </w:rPr>
        <w:t>1采购项目（标的）实施的时间：</w:t>
      </w:r>
      <w:bookmarkEnd w:id="0"/>
      <w:r>
        <w:rPr>
          <w:rFonts w:hint="eastAsia" w:ascii="宋体" w:hAnsi="宋体" w:cs="宋体"/>
          <w:b w:val="0"/>
          <w:spacing w:val="0"/>
          <w:sz w:val="24"/>
          <w:szCs w:val="24"/>
          <w:lang w:val="en-US" w:eastAsia="zh-CN"/>
        </w:rPr>
        <w:t>12个月</w:t>
      </w:r>
    </w:p>
    <w:p w14:paraId="3FB3FF4D">
      <w:pPr>
        <w:pStyle w:val="6"/>
        <w:keepNext w:val="0"/>
        <w:keepLines w:val="0"/>
        <w:pageBreakBefore w:val="0"/>
        <w:widowControl w:val="0"/>
        <w:tabs>
          <w:tab w:val="left" w:pos="0"/>
        </w:tabs>
        <w:kinsoku/>
        <w:wordWrap/>
        <w:overflowPunct/>
        <w:topLinePunct w:val="0"/>
        <w:autoSpaceDE/>
        <w:autoSpaceDN/>
        <w:bidi w:val="0"/>
        <w:adjustRightInd/>
        <w:snapToGrid/>
        <w:spacing w:line="500" w:lineRule="exact"/>
        <w:ind w:right="0" w:rightChars="0"/>
        <w:jc w:val="both"/>
        <w:textAlignment w:val="auto"/>
        <w:outlineLvl w:val="9"/>
        <w:rPr>
          <w:i/>
          <w:spacing w:val="0"/>
          <w:sz w:val="24"/>
        </w:rPr>
      </w:pPr>
      <w:bookmarkStart w:id="1" w:name="_Toc6283"/>
      <w:r>
        <w:rPr>
          <w:rFonts w:hint="eastAsia" w:ascii="宋体" w:hAnsi="宋体" w:cs="宋体"/>
          <w:b w:val="0"/>
          <w:spacing w:val="0"/>
          <w:sz w:val="24"/>
          <w:szCs w:val="24"/>
        </w:rPr>
        <w:t>1.</w:t>
      </w:r>
      <w:r>
        <w:rPr>
          <w:rFonts w:ascii="宋体" w:hAnsi="宋体" w:cs="宋体"/>
          <w:b w:val="0"/>
          <w:spacing w:val="0"/>
          <w:sz w:val="24"/>
          <w:szCs w:val="24"/>
        </w:rPr>
        <w:t>2</w:t>
      </w:r>
      <w:r>
        <w:rPr>
          <w:rFonts w:hint="eastAsia" w:ascii="宋体" w:hAnsi="宋体" w:cs="宋体"/>
          <w:b w:val="0"/>
          <w:spacing w:val="0"/>
          <w:sz w:val="24"/>
          <w:szCs w:val="24"/>
        </w:rPr>
        <w:t>采购项目（标的）实施的地点：</w:t>
      </w:r>
      <w:r>
        <w:rPr>
          <w:rFonts w:hint="eastAsia" w:ascii="宋体" w:hAnsi="宋体" w:cs="宋体"/>
          <w:b w:val="0"/>
          <w:spacing w:val="0"/>
          <w:sz w:val="24"/>
          <w:szCs w:val="24"/>
          <w:lang w:eastAsia="zh-CN"/>
        </w:rPr>
        <w:t>北京市门头沟区卫生健康委员会</w:t>
      </w:r>
      <w:r>
        <w:rPr>
          <w:rFonts w:hint="eastAsia" w:ascii="宋体" w:hAnsi="宋体" w:cs="宋体"/>
          <w:b w:val="0"/>
          <w:spacing w:val="0"/>
          <w:sz w:val="24"/>
          <w:szCs w:val="24"/>
        </w:rPr>
        <w:t>指定地点</w:t>
      </w:r>
      <w:bookmarkEnd w:id="1"/>
    </w:p>
    <w:p w14:paraId="2CD1B9AA">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spacing w:val="0"/>
          <w:sz w:val="24"/>
        </w:rPr>
      </w:pPr>
      <w:r>
        <w:rPr>
          <w:spacing w:val="0"/>
          <w:sz w:val="24"/>
        </w:rPr>
        <w:t>2.付款条件（进度和方式）</w:t>
      </w:r>
    </w:p>
    <w:p w14:paraId="0E06FFDA">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bCs/>
          <w:iCs/>
          <w:spacing w:val="0"/>
          <w:sz w:val="24"/>
        </w:rPr>
      </w:pPr>
      <w:r>
        <w:rPr>
          <w:rFonts w:hint="eastAsia" w:ascii="宋体" w:hAnsi="宋体" w:cs="宋体"/>
          <w:spacing w:val="0"/>
          <w:sz w:val="24"/>
          <w:lang w:val="en-US" w:eastAsia="zh-CN"/>
        </w:rPr>
        <w:t>详见“拟签订的合同文本”</w:t>
      </w:r>
      <w:r>
        <w:rPr>
          <w:rFonts w:hint="eastAsia" w:ascii="宋体" w:hAnsi="宋体" w:cs="宋体"/>
          <w:spacing w:val="0"/>
          <w:sz w:val="24"/>
        </w:rPr>
        <w:t>。</w:t>
      </w:r>
    </w:p>
    <w:p w14:paraId="01AFC0B0">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spacing w:val="0"/>
          <w:sz w:val="24"/>
        </w:rPr>
      </w:pPr>
      <w:r>
        <w:rPr>
          <w:spacing w:val="0"/>
          <w:sz w:val="24"/>
        </w:rPr>
        <w:t>3.包装和运输（如适用，须满足《关于印发〈商品包装政府采购需求标准（试行）〉、〈快递包装政府采购需求标准（试行）〉的通知》（财办库﹝2020</w:t>
      </w:r>
      <w:r>
        <w:rPr>
          <w:rFonts w:hint="eastAsia"/>
          <w:spacing w:val="0"/>
          <w:sz w:val="24"/>
        </w:rPr>
        <w:t>）</w:t>
      </w:r>
      <w:r>
        <w:rPr>
          <w:spacing w:val="0"/>
          <w:sz w:val="24"/>
        </w:rPr>
        <w:t>123号））</w:t>
      </w:r>
    </w:p>
    <w:p w14:paraId="0C5A2F4A">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rFonts w:hint="default" w:ascii="Times New Roman" w:hAnsi="Times New Roman" w:eastAsia="宋体" w:cs="Times New Roman"/>
          <w:b/>
          <w:spacing w:val="0"/>
          <w:kern w:val="2"/>
          <w:sz w:val="24"/>
          <w:szCs w:val="24"/>
          <w:lang w:val="en-US" w:eastAsia="zh-CN" w:bidi="ar-SA"/>
        </w:rPr>
      </w:pPr>
      <w:r>
        <w:rPr>
          <w:spacing w:val="0"/>
          <w:sz w:val="24"/>
          <w:highlight w:val="none"/>
        </w:rPr>
        <w:t>4.售后服务（质保期）</w:t>
      </w:r>
      <w:r>
        <w:rPr>
          <w:rFonts w:hint="eastAsia"/>
          <w:spacing w:val="0"/>
          <w:sz w:val="24"/>
          <w:highlight w:val="none"/>
        </w:rPr>
        <w:t>：项目需提供3年免费质保期，免费质保期从项目验收通过之日起计算。服务内容包括功能维护，咨询服务，安装维护服务。免费质保期过后，每年产生的运维服务费不高于合同额的10%，具体费用可通过维保合同或协议与采购人另行协商。</w:t>
      </w:r>
    </w:p>
    <w:p w14:paraId="03CFB499">
      <w:pPr>
        <w:pStyle w:val="10"/>
        <w:keepNext w:val="0"/>
        <w:keepLines w:val="0"/>
        <w:pageBreakBefore w:val="0"/>
        <w:widowControl w:val="0"/>
        <w:numPr>
          <w:ilvl w:val="0"/>
          <w:numId w:val="0"/>
        </w:numPr>
        <w:kinsoku/>
        <w:wordWrap/>
        <w:overflowPunct/>
        <w:topLinePunct w:val="0"/>
        <w:autoSpaceDE/>
        <w:autoSpaceDN/>
        <w:bidi w:val="0"/>
        <w:adjustRightInd/>
        <w:snapToGrid/>
        <w:spacing w:line="500" w:lineRule="exact"/>
        <w:ind w:left="500" w:leftChars="0" w:right="0" w:rightChars="0" w:hanging="500" w:firstLineChars="0"/>
        <w:contextualSpacing/>
        <w:textAlignment w:val="auto"/>
        <w:rPr>
          <w:rFonts w:ascii="Times New Roman" w:hAnsi="Times New Roman"/>
          <w:b/>
          <w:spacing w:val="0"/>
          <w:sz w:val="24"/>
          <w:szCs w:val="24"/>
        </w:rPr>
      </w:pPr>
      <w:r>
        <w:rPr>
          <w:rFonts w:hint="default" w:ascii="Times New Roman" w:hAnsi="Times New Roman" w:eastAsia="宋体" w:cs="Times New Roman"/>
          <w:b/>
          <w:spacing w:val="0"/>
          <w:kern w:val="2"/>
          <w:sz w:val="24"/>
          <w:szCs w:val="24"/>
          <w:lang w:val="en-US" w:eastAsia="zh-CN" w:bidi="ar-SA"/>
        </w:rPr>
        <w:t>三、</w:t>
      </w:r>
      <w:r>
        <w:rPr>
          <w:rFonts w:ascii="Times New Roman" w:hAnsi="Times New Roman"/>
          <w:b/>
          <w:spacing w:val="0"/>
          <w:sz w:val="24"/>
          <w:szCs w:val="24"/>
        </w:rPr>
        <w:t>技术要求</w:t>
      </w:r>
    </w:p>
    <w:p w14:paraId="045A64E3">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spacing w:val="0"/>
          <w:sz w:val="24"/>
        </w:rPr>
      </w:pPr>
      <w:r>
        <w:rPr>
          <w:spacing w:val="0"/>
          <w:sz w:val="24"/>
        </w:rPr>
        <w:t>1.基本要求</w:t>
      </w:r>
    </w:p>
    <w:p w14:paraId="4AB9DCA9">
      <w:pPr>
        <w:keepNext w:val="0"/>
        <w:keepLines w:val="0"/>
        <w:pageBreakBefore w:val="0"/>
        <w:widowControl w:val="0"/>
        <w:kinsoku/>
        <w:wordWrap/>
        <w:overflowPunct/>
        <w:topLinePunct w:val="0"/>
        <w:autoSpaceDE/>
        <w:autoSpaceDN/>
        <w:bidi w:val="0"/>
        <w:adjustRightInd/>
        <w:snapToGrid/>
        <w:spacing w:line="500" w:lineRule="exact"/>
        <w:ind w:right="0" w:rightChars="0"/>
        <w:contextualSpacing/>
        <w:textAlignment w:val="auto"/>
        <w:rPr>
          <w:spacing w:val="0"/>
          <w:sz w:val="24"/>
        </w:rPr>
      </w:pPr>
      <w:r>
        <w:rPr>
          <w:spacing w:val="0"/>
          <w:sz w:val="24"/>
        </w:rPr>
        <w:t>1.1采购标的需实现的功能或者目标</w:t>
      </w:r>
    </w:p>
    <w:p w14:paraId="3ADA0709">
      <w:pPr>
        <w:keepNext w:val="0"/>
        <w:keepLines w:val="0"/>
        <w:pageBreakBefore w:val="0"/>
        <w:widowControl w:val="0"/>
        <w:kinsoku/>
        <w:wordWrap/>
        <w:overflowPunct/>
        <w:topLinePunct w:val="0"/>
        <w:autoSpaceDE/>
        <w:autoSpaceDN/>
        <w:bidi w:val="0"/>
        <w:adjustRightInd/>
        <w:snapToGrid/>
        <w:spacing w:line="500" w:lineRule="exact"/>
        <w:ind w:right="0" w:rightChars="0" w:firstLine="480" w:firstLineChars="200"/>
        <w:jc w:val="left"/>
        <w:textAlignment w:val="auto"/>
        <w:rPr>
          <w:rFonts w:ascii="宋体"/>
          <w:spacing w:val="0"/>
          <w:sz w:val="24"/>
        </w:rPr>
      </w:pPr>
      <w:r>
        <w:rPr>
          <w:rFonts w:hint="eastAsia"/>
          <w:bCs/>
          <w:spacing w:val="0"/>
          <w:sz w:val="24"/>
        </w:rPr>
        <w:t>本次招标采购是为</w:t>
      </w:r>
      <w:r>
        <w:rPr>
          <w:rFonts w:hint="eastAsia" w:ascii="宋体" w:hAnsi="宋体" w:cs="宋体"/>
          <w:spacing w:val="0"/>
          <w:sz w:val="24"/>
          <w:lang w:eastAsia="zh-CN"/>
        </w:rPr>
        <w:t>北京市门头沟区卫生健康委员会</w:t>
      </w:r>
      <w:r>
        <w:rPr>
          <w:rFonts w:hint="eastAsia"/>
          <w:bCs/>
          <w:spacing w:val="0"/>
          <w:sz w:val="24"/>
        </w:rPr>
        <w:t>配置</w:t>
      </w:r>
      <w:r>
        <w:rPr>
          <w:rFonts w:hint="eastAsia" w:ascii="宋体" w:hAnsi="宋体" w:cs="宋体"/>
          <w:spacing w:val="0"/>
          <w:sz w:val="24"/>
        </w:rPr>
        <w:t>基础</w:t>
      </w:r>
      <w:r>
        <w:rPr>
          <w:rFonts w:hint="eastAsia"/>
          <w:bCs/>
          <w:spacing w:val="0"/>
          <w:sz w:val="24"/>
        </w:rPr>
        <w:t>设备，供应商应根据招标文件所提出的技术规格和服务要求，综合考虑所投货物的适用性，选择需要最佳性能价格比的货物前来投标。供应商应以先进的技术、优良的服务和优惠的价格，充分显示自己的竞争实力。</w:t>
      </w:r>
    </w:p>
    <w:p w14:paraId="2258598A">
      <w:pPr>
        <w:keepNext w:val="0"/>
        <w:keepLines w:val="0"/>
        <w:pageBreakBefore w:val="0"/>
        <w:wordWrap/>
        <w:overflowPunct/>
        <w:topLinePunct w:val="0"/>
        <w:bidi w:val="0"/>
        <w:spacing w:line="500" w:lineRule="exact"/>
        <w:ind w:right="0" w:rightChars="0"/>
        <w:contextualSpacing/>
        <w:rPr>
          <w:spacing w:val="0"/>
          <w:sz w:val="24"/>
        </w:rPr>
      </w:pPr>
      <w:r>
        <w:rPr>
          <w:spacing w:val="0"/>
          <w:sz w:val="24"/>
        </w:rPr>
        <w:t>1.2需执行的国家相关标准、行业标准、地方标准或者其他标准、规范</w:t>
      </w:r>
    </w:p>
    <w:p w14:paraId="42D671A5">
      <w:pPr>
        <w:keepNext w:val="0"/>
        <w:keepLines w:val="0"/>
        <w:pageBreakBefore w:val="0"/>
        <w:widowControl/>
        <w:kinsoku w:val="0"/>
        <w:wordWrap/>
        <w:overflowPunct/>
        <w:topLinePunct w:val="0"/>
        <w:autoSpaceDE w:val="0"/>
        <w:autoSpaceDN w:val="0"/>
        <w:bidi w:val="0"/>
        <w:adjustRightInd w:val="0"/>
        <w:snapToGrid w:val="0"/>
        <w:spacing w:line="500" w:lineRule="exact"/>
        <w:ind w:left="240" w:right="0" w:rightChars="0" w:hanging="240" w:hangingChars="100"/>
        <w:textAlignment w:val="baseline"/>
        <w:rPr>
          <w:rFonts w:ascii="宋体" w:hAnsi="宋体" w:cs="宋体"/>
          <w:bCs/>
          <w:spacing w:val="0"/>
          <w:sz w:val="24"/>
        </w:rPr>
      </w:pPr>
      <w:r>
        <w:rPr>
          <w:rFonts w:ascii="Segoe UI Symbol" w:hAnsi="Segoe UI Symbol" w:cs="Segoe UI Symbol"/>
          <w:color w:val="000000"/>
          <w:spacing w:val="0"/>
          <w:kern w:val="0"/>
          <w:sz w:val="24"/>
        </w:rPr>
        <w:t>★</w:t>
      </w:r>
      <w:r>
        <w:rPr>
          <w:rFonts w:hint="eastAsia" w:ascii="Segoe UI Symbol" w:hAnsi="Segoe UI Symbol" w:cs="Segoe UI Symbol"/>
          <w:color w:val="000000"/>
          <w:spacing w:val="0"/>
          <w:kern w:val="0"/>
          <w:sz w:val="24"/>
        </w:rPr>
        <w:t>（</w:t>
      </w:r>
      <w:r>
        <w:rPr>
          <w:rFonts w:hint="eastAsia" w:ascii="宋体" w:hAnsi="宋体" w:cs="宋体"/>
          <w:bCs/>
          <w:spacing w:val="0"/>
          <w:sz w:val="24"/>
        </w:rPr>
        <w:t>1</w:t>
      </w:r>
      <w:r>
        <w:rPr>
          <w:rFonts w:hint="eastAsia" w:ascii="Segoe UI Symbol" w:hAnsi="Segoe UI Symbol" w:cs="Segoe UI Symbol"/>
          <w:color w:val="000000"/>
          <w:spacing w:val="0"/>
          <w:kern w:val="0"/>
          <w:sz w:val="24"/>
        </w:rPr>
        <w:t>）</w:t>
      </w:r>
      <w:r>
        <w:rPr>
          <w:rFonts w:hint="eastAsia" w:ascii="宋体" w:hAnsi="宋体" w:cs="宋体"/>
          <w:bCs/>
          <w:spacing w:val="0"/>
          <w:sz w:val="24"/>
        </w:rPr>
        <w:t>投标产品属于医疗器械的，应按原国家食品药品监督管理总局颁发的《医疗器械注册管理办法》，办理医疗器械注册证或者办理备案，供应商须提供有效的医疗器械注册证复印件或备案凭证并加盖公章。</w:t>
      </w:r>
    </w:p>
    <w:p w14:paraId="4B9C637E">
      <w:pPr>
        <w:keepNext w:val="0"/>
        <w:keepLines w:val="0"/>
        <w:pageBreakBefore w:val="0"/>
        <w:widowControl/>
        <w:kinsoku w:val="0"/>
        <w:wordWrap/>
        <w:overflowPunct/>
        <w:topLinePunct w:val="0"/>
        <w:autoSpaceDE w:val="0"/>
        <w:autoSpaceDN w:val="0"/>
        <w:bidi w:val="0"/>
        <w:adjustRightInd w:val="0"/>
        <w:snapToGrid w:val="0"/>
        <w:spacing w:line="500" w:lineRule="exact"/>
        <w:ind w:left="240" w:right="0" w:rightChars="0" w:hanging="240" w:hangingChars="100"/>
        <w:textAlignment w:val="baseline"/>
        <w:rPr>
          <w:rFonts w:ascii="宋体" w:hAnsi="宋体" w:cs="宋体"/>
          <w:bCs/>
          <w:spacing w:val="0"/>
          <w:sz w:val="24"/>
        </w:rPr>
      </w:pPr>
      <w:r>
        <w:rPr>
          <w:rFonts w:ascii="Segoe UI Symbol" w:hAnsi="Segoe UI Symbol" w:cs="Segoe UI Symbol"/>
          <w:color w:val="000000"/>
          <w:spacing w:val="0"/>
          <w:kern w:val="0"/>
          <w:sz w:val="24"/>
        </w:rPr>
        <w:t>★</w:t>
      </w:r>
      <w:r>
        <w:rPr>
          <w:rFonts w:hint="eastAsia" w:ascii="宋体" w:hAnsi="宋体" w:cs="宋体"/>
          <w:bCs/>
          <w:spacing w:val="0"/>
          <w:sz w:val="24"/>
        </w:rPr>
        <w:t>（2）投标产品属于医疗器械的，中华人民共和国境内制造商应按原国家食品药品监督管理总局颁发的《医疗器械生产监督管理办法》，办理医疗器械生产许可证或者办理备案，供应商须提供医疗器械生产许可证复印件或备案凭证。</w:t>
      </w:r>
    </w:p>
    <w:p w14:paraId="4493898D">
      <w:pPr>
        <w:keepNext w:val="0"/>
        <w:keepLines w:val="0"/>
        <w:pageBreakBefore w:val="0"/>
        <w:widowControl/>
        <w:kinsoku w:val="0"/>
        <w:wordWrap/>
        <w:overflowPunct/>
        <w:topLinePunct w:val="0"/>
        <w:autoSpaceDE w:val="0"/>
        <w:autoSpaceDN w:val="0"/>
        <w:bidi w:val="0"/>
        <w:adjustRightInd w:val="0"/>
        <w:snapToGrid w:val="0"/>
        <w:spacing w:line="500" w:lineRule="exact"/>
        <w:ind w:left="240" w:right="0" w:rightChars="0" w:hanging="240" w:hangingChars="100"/>
        <w:textAlignment w:val="baseline"/>
        <w:rPr>
          <w:rFonts w:ascii="宋体" w:hAnsi="宋体" w:cs="宋体"/>
          <w:bCs/>
          <w:spacing w:val="0"/>
          <w:sz w:val="24"/>
        </w:rPr>
      </w:pPr>
      <w:r>
        <w:rPr>
          <w:rFonts w:ascii="Segoe UI Symbol" w:hAnsi="Segoe UI Symbol" w:cs="Segoe UI Symbol"/>
          <w:color w:val="000000"/>
          <w:spacing w:val="0"/>
          <w:kern w:val="0"/>
          <w:sz w:val="24"/>
        </w:rPr>
        <w:t>★</w:t>
      </w:r>
      <w:r>
        <w:rPr>
          <w:rFonts w:hint="eastAsia" w:ascii="宋体" w:hAnsi="宋体" w:cs="宋体"/>
          <w:bCs/>
          <w:spacing w:val="0"/>
          <w:sz w:val="24"/>
        </w:rPr>
        <w:t>（3）投标产品属于辐射或射线类的设备或材料的，需提供供应商的辐射安全许可证复印件（不适用的情况除外）。投标产品属于压力容器的，供应商需要根据国家特种设备制造相关管理规定，提供投标产品制造商的特种设备制造许可证（压力容器）。</w:t>
      </w:r>
    </w:p>
    <w:p w14:paraId="7EDC59C8">
      <w:pPr>
        <w:keepNext w:val="0"/>
        <w:keepLines w:val="0"/>
        <w:pageBreakBefore w:val="0"/>
        <w:wordWrap/>
        <w:overflowPunct/>
        <w:topLinePunct w:val="0"/>
        <w:bidi w:val="0"/>
        <w:spacing w:line="500" w:lineRule="exact"/>
        <w:ind w:right="0" w:rightChars="0"/>
        <w:contextualSpacing/>
        <w:rPr>
          <w:spacing w:val="0"/>
          <w:sz w:val="24"/>
        </w:rPr>
      </w:pPr>
      <w:r>
        <w:rPr>
          <w:rFonts w:ascii="Segoe UI Symbol" w:hAnsi="Segoe UI Symbol" w:cs="Segoe UI Symbol"/>
          <w:color w:val="000000"/>
          <w:spacing w:val="0"/>
          <w:kern w:val="0"/>
          <w:sz w:val="24"/>
        </w:rPr>
        <w:t>★</w:t>
      </w:r>
      <w:r>
        <w:rPr>
          <w:rFonts w:hint="eastAsia" w:ascii="宋体" w:hAnsi="宋体" w:cs="宋体"/>
          <w:bCs/>
          <w:spacing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供应商须提供相关证明文件的复印件。</w:t>
      </w:r>
    </w:p>
    <w:p w14:paraId="59ABBC76">
      <w:pPr>
        <w:keepNext w:val="0"/>
        <w:keepLines w:val="0"/>
        <w:pageBreakBefore w:val="0"/>
        <w:wordWrap/>
        <w:overflowPunct/>
        <w:topLinePunct w:val="0"/>
        <w:bidi w:val="0"/>
        <w:spacing w:line="500" w:lineRule="exact"/>
        <w:ind w:right="0" w:rightChars="0"/>
        <w:contextualSpacing/>
        <w:rPr>
          <w:i/>
          <w:iCs/>
          <w:spacing w:val="0"/>
          <w:sz w:val="24"/>
        </w:rPr>
      </w:pPr>
      <w:r>
        <w:rPr>
          <w:rFonts w:hint="eastAsia"/>
          <w:spacing w:val="0"/>
          <w:sz w:val="24"/>
        </w:rPr>
        <w:t>2</w:t>
      </w:r>
      <w:r>
        <w:rPr>
          <w:spacing w:val="0"/>
          <w:sz w:val="24"/>
        </w:rPr>
        <w:t>验收标准</w:t>
      </w:r>
    </w:p>
    <w:p w14:paraId="6D58A65C">
      <w:pPr>
        <w:pStyle w:val="6"/>
        <w:keepNext w:val="0"/>
        <w:keepLines w:val="0"/>
        <w:pageBreakBefore w:val="0"/>
        <w:wordWrap/>
        <w:overflowPunct/>
        <w:topLinePunct w:val="0"/>
        <w:bidi w:val="0"/>
        <w:spacing w:line="500" w:lineRule="exact"/>
        <w:ind w:right="0" w:rightChars="0"/>
        <w:jc w:val="both"/>
        <w:outlineLvl w:val="9"/>
        <w:rPr>
          <w:rFonts w:ascii="宋体"/>
          <w:b w:val="0"/>
          <w:spacing w:val="0"/>
          <w:sz w:val="24"/>
          <w:szCs w:val="24"/>
        </w:rPr>
      </w:pPr>
      <w:bookmarkStart w:id="2" w:name="_Toc20376"/>
      <w:r>
        <w:rPr>
          <w:rFonts w:hint="eastAsia" w:ascii="宋体"/>
          <w:b w:val="0"/>
          <w:spacing w:val="0"/>
          <w:sz w:val="24"/>
          <w:szCs w:val="24"/>
        </w:rPr>
        <w:t>（1）供应商应保证在发货前对货物的质量、规格、性能、数量和重量等进行准确而全面的检验，并出具一份证明货物符合合同规定的证书。该证书将作为提交付款单据的一部分，但有关质量、规格、性能、数量或重要的检验不应视为最终检验。供应商检验的结果和详细要求应在质量证书中加以说明。</w:t>
      </w:r>
      <w:bookmarkEnd w:id="2"/>
    </w:p>
    <w:p w14:paraId="28DE1466">
      <w:pPr>
        <w:pStyle w:val="6"/>
        <w:keepNext w:val="0"/>
        <w:keepLines w:val="0"/>
        <w:pageBreakBefore w:val="0"/>
        <w:wordWrap/>
        <w:overflowPunct/>
        <w:topLinePunct w:val="0"/>
        <w:bidi w:val="0"/>
        <w:spacing w:line="500" w:lineRule="exact"/>
        <w:ind w:right="0" w:rightChars="0"/>
        <w:jc w:val="both"/>
        <w:outlineLvl w:val="9"/>
        <w:rPr>
          <w:rFonts w:ascii="宋体"/>
          <w:b w:val="0"/>
          <w:spacing w:val="0"/>
          <w:sz w:val="24"/>
          <w:szCs w:val="24"/>
        </w:rPr>
      </w:pPr>
      <w:bookmarkStart w:id="3" w:name="_Toc21505"/>
      <w:r>
        <w:rPr>
          <w:rFonts w:hint="eastAsia" w:ascii="宋体"/>
          <w:b w:val="0"/>
          <w:spacing w:val="0"/>
          <w:sz w:val="24"/>
          <w:szCs w:val="24"/>
        </w:rPr>
        <w:t>（2）货物运抵采购项目（标的）交付的地点后，供货方和最终用户按投标技术参数和性能描述进行验收。</w:t>
      </w:r>
      <w:bookmarkEnd w:id="3"/>
    </w:p>
    <w:p w14:paraId="27738DCB">
      <w:pPr>
        <w:pStyle w:val="6"/>
        <w:keepNext w:val="0"/>
        <w:keepLines w:val="0"/>
        <w:pageBreakBefore w:val="0"/>
        <w:wordWrap/>
        <w:overflowPunct/>
        <w:topLinePunct w:val="0"/>
        <w:bidi w:val="0"/>
        <w:spacing w:line="500" w:lineRule="exact"/>
        <w:ind w:right="0" w:rightChars="0"/>
        <w:jc w:val="both"/>
        <w:outlineLvl w:val="9"/>
        <w:rPr>
          <w:rFonts w:ascii="宋体"/>
          <w:b w:val="0"/>
          <w:spacing w:val="0"/>
          <w:sz w:val="24"/>
          <w:szCs w:val="24"/>
        </w:rPr>
      </w:pPr>
      <w:bookmarkStart w:id="4" w:name="_Toc13957"/>
      <w:r>
        <w:rPr>
          <w:rFonts w:hint="eastAsia" w:ascii="宋体"/>
          <w:b w:val="0"/>
          <w:spacing w:val="0"/>
          <w:sz w:val="24"/>
          <w:szCs w:val="24"/>
        </w:rPr>
        <w:t>（3）供应商应负责使所供计量仪器通过计量部门的验收，并承担相关费用（包括运费）。若需要，应在检测期间提供备用仪器，以便不影响采购人的使用。</w:t>
      </w:r>
      <w:bookmarkEnd w:id="4"/>
    </w:p>
    <w:p w14:paraId="4AF76043">
      <w:pPr>
        <w:keepNext w:val="0"/>
        <w:keepLines w:val="0"/>
        <w:pageBreakBefore w:val="0"/>
        <w:wordWrap/>
        <w:overflowPunct/>
        <w:topLinePunct w:val="0"/>
        <w:bidi w:val="0"/>
        <w:spacing w:line="500" w:lineRule="exact"/>
        <w:ind w:right="0" w:rightChars="0"/>
        <w:contextualSpacing/>
        <w:rPr>
          <w:spacing w:val="0"/>
          <w:sz w:val="24"/>
        </w:rPr>
      </w:pPr>
      <w:r>
        <w:rPr>
          <w:rFonts w:hint="eastAsia"/>
          <w:spacing w:val="0"/>
          <w:sz w:val="24"/>
        </w:rPr>
        <w:t>3</w:t>
      </w:r>
      <w:r>
        <w:rPr>
          <w:spacing w:val="0"/>
          <w:sz w:val="24"/>
        </w:rPr>
        <w:t>.货物技术要求</w:t>
      </w:r>
    </w:p>
    <w:p w14:paraId="1D2D67F4">
      <w:pPr>
        <w:keepNext w:val="0"/>
        <w:keepLines w:val="0"/>
        <w:pageBreakBefore w:val="0"/>
        <w:widowControl/>
        <w:wordWrap/>
        <w:overflowPunct/>
        <w:topLinePunct w:val="0"/>
        <w:bidi w:val="0"/>
        <w:spacing w:line="500" w:lineRule="exact"/>
        <w:ind w:left="-1" w:right="0" w:rightChars="0"/>
        <w:contextualSpacing/>
        <w:rPr>
          <w:spacing w:val="0"/>
          <w:sz w:val="24"/>
        </w:rPr>
      </w:pPr>
      <w:r>
        <w:rPr>
          <w:rFonts w:hint="eastAsia"/>
          <w:spacing w:val="0"/>
          <w:sz w:val="24"/>
        </w:rPr>
        <w:t>3</w:t>
      </w:r>
      <w:r>
        <w:rPr>
          <w:spacing w:val="0"/>
          <w:sz w:val="24"/>
        </w:rPr>
        <w:t>.1采购标的需满足的性能、材料、结构、外观、质量、安全、技术规格、物理特性等要求；</w:t>
      </w:r>
    </w:p>
    <w:p w14:paraId="4E8E78BC">
      <w:pPr>
        <w:keepNext w:val="0"/>
        <w:keepLines w:val="0"/>
        <w:pageBreakBefore w:val="0"/>
        <w:widowControl/>
        <w:wordWrap/>
        <w:overflowPunct/>
        <w:topLinePunct w:val="0"/>
        <w:bidi w:val="0"/>
        <w:spacing w:line="500" w:lineRule="exact"/>
        <w:ind w:right="0" w:rightChars="0" w:firstLine="480" w:firstLineChars="200"/>
        <w:contextualSpacing/>
        <w:rPr>
          <w:spacing w:val="0"/>
          <w:sz w:val="24"/>
        </w:rPr>
      </w:pPr>
      <w:r>
        <w:rPr>
          <w:rFonts w:hint="eastAsia"/>
          <w:spacing w:val="0"/>
          <w:sz w:val="24"/>
        </w:rPr>
        <w:t>详见</w:t>
      </w:r>
      <w:r>
        <w:rPr>
          <w:spacing w:val="0"/>
          <w:sz w:val="24"/>
        </w:rPr>
        <w:t>其他技术、服务等要求</w:t>
      </w:r>
    </w:p>
    <w:p w14:paraId="5B58D834">
      <w:pPr>
        <w:keepNext w:val="0"/>
        <w:keepLines w:val="0"/>
        <w:pageBreakBefore w:val="0"/>
        <w:widowControl/>
        <w:wordWrap/>
        <w:overflowPunct/>
        <w:topLinePunct w:val="0"/>
        <w:bidi w:val="0"/>
        <w:spacing w:line="500" w:lineRule="exact"/>
        <w:ind w:right="0" w:rightChars="0"/>
        <w:contextualSpacing/>
        <w:rPr>
          <w:spacing w:val="0"/>
          <w:sz w:val="24"/>
        </w:rPr>
      </w:pPr>
      <w:r>
        <w:rPr>
          <w:rFonts w:hint="eastAsia"/>
          <w:spacing w:val="0"/>
          <w:sz w:val="24"/>
        </w:rPr>
        <w:t>3</w:t>
      </w:r>
      <w:r>
        <w:rPr>
          <w:spacing w:val="0"/>
          <w:sz w:val="24"/>
        </w:rPr>
        <w:t>.2采购标的需满足的服务标准、期限、效率等要求；</w:t>
      </w:r>
    </w:p>
    <w:p w14:paraId="7DAC0D91">
      <w:pPr>
        <w:keepNext w:val="0"/>
        <w:keepLines w:val="0"/>
        <w:pageBreakBefore w:val="0"/>
        <w:tabs>
          <w:tab w:val="left" w:pos="900"/>
        </w:tabs>
        <w:wordWrap/>
        <w:overflowPunct/>
        <w:topLinePunct w:val="0"/>
        <w:bidi w:val="0"/>
        <w:spacing w:line="500" w:lineRule="exact"/>
        <w:ind w:right="0" w:rightChars="0"/>
        <w:rPr>
          <w:rFonts w:ascii="宋体" w:hAnsi="宋体" w:cs="宋体"/>
          <w:spacing w:val="0"/>
          <w:sz w:val="24"/>
        </w:rPr>
      </w:pPr>
      <w:r>
        <w:rPr>
          <w:rFonts w:hint="eastAsia" w:ascii="宋体" w:hAnsi="宋体" w:cs="宋体"/>
          <w:spacing w:val="0"/>
          <w:sz w:val="24"/>
        </w:rPr>
        <w:t>（1）采购标的需满足的服务标准、效率要求</w:t>
      </w:r>
    </w:p>
    <w:p w14:paraId="0BAA00DC">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供应商应有能力做好售后服务工作和提供技术保障。供应商或投标产品制造商应设有</w:t>
      </w:r>
      <w:r>
        <w:rPr>
          <w:rFonts w:hint="eastAsia" w:ascii="宋体" w:hAnsi="宋体" w:cs="宋体"/>
          <w:spacing w:val="0"/>
          <w:sz w:val="24"/>
          <w:highlight w:val="none"/>
        </w:rPr>
        <w:t>专业的售后服务维修机构，有充足的零件储备和能力相当的技术服务人员，并保证投标产品停产后</w:t>
      </w:r>
      <w:r>
        <w:rPr>
          <w:rFonts w:hint="eastAsia" w:ascii="宋体" w:hAnsi="宋体" w:cs="宋体"/>
          <w:spacing w:val="0"/>
          <w:sz w:val="24"/>
          <w:highlight w:val="none"/>
          <w:u w:val="single"/>
        </w:rPr>
        <w:t>10</w:t>
      </w:r>
      <w:r>
        <w:rPr>
          <w:rFonts w:hint="eastAsia" w:ascii="宋体" w:hAnsi="宋体" w:cs="宋体"/>
          <w:spacing w:val="0"/>
          <w:sz w:val="24"/>
          <w:highlight w:val="none"/>
        </w:rPr>
        <w:t>年的备件供应，投标时须提供有关其</w:t>
      </w:r>
      <w:r>
        <w:rPr>
          <w:rFonts w:hint="eastAsia" w:ascii="宋体" w:hAnsi="宋体" w:cs="宋体"/>
          <w:spacing w:val="0"/>
          <w:sz w:val="24"/>
        </w:rPr>
        <w:t>投标产品专业的售后服务（维修站）的信息，包括售后服务机构名称、服务人员的数量和水平、联系人和联系方式、零备件的储备等，说明投标人与该售后服务（维修站）的关系并附上相关的证明文件，如合作协议等。质量保证期内的免费售后维修及服务包括所有投标产品及配件，并含第三方产品，同时投标人应定期对所有投标产品提供维护保养服务。</w:t>
      </w:r>
    </w:p>
    <w:p w14:paraId="3AA900CF">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供应商发运货物时，每台设备要提供一整套中文的技术资料，包括安装、操作手册、使用说明、维修保养手册、电路图、零配件清单等，这些资料费应包括在投标报价内。如果采购人确认供应商提供的技术资料不完整或在运输过程中丢失，供应商需保证在收到采购人通知后3天内将这些资料免费寄给采购人。</w:t>
      </w:r>
    </w:p>
    <w:p w14:paraId="429051EF">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供应商应在保证在接到采购人通知的一周内，自付费用在采购人指定所在地对设备进行安装、调试和试运行，直到该产品的技术指标完全符合合同要求为止。供应商技术人员的费用，如：差旅费、住宿费等应计入投标报价。供应商安装人员应自备必要的专用工具、量具及调试用的材料等。</w:t>
      </w:r>
    </w:p>
    <w:p w14:paraId="2ED58E01">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供应商应负责投标货物质量保证期内的免费维修和配件供应，供应商售后服务维修机构应备有所购货物及时维修所需的关键零部件。</w:t>
      </w:r>
    </w:p>
    <w:p w14:paraId="1B1A0D4C">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供应商应保证在质量保证期内提供投标货物专用的软件和相应数据库资料的免费升级服务。（如果有）</w:t>
      </w:r>
    </w:p>
    <w:p w14:paraId="42545AE0">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cs="宋体"/>
          <w:spacing w:val="0"/>
          <w:sz w:val="24"/>
        </w:rPr>
        <w:t>在合同执行期和质量保证期内，供应商应保证在收到要求提供维修服务的通</w:t>
      </w:r>
      <w:r>
        <w:rPr>
          <w:rFonts w:hint="eastAsia" w:ascii="宋体" w:hAnsi="宋体" w:cs="宋体"/>
          <w:spacing w:val="0"/>
          <w:sz w:val="24"/>
          <w:highlight w:val="none"/>
        </w:rPr>
        <w:t>知后</w:t>
      </w:r>
      <w:r>
        <w:rPr>
          <w:rFonts w:hint="eastAsia" w:ascii="宋体" w:hAnsi="宋体" w:cs="宋体"/>
          <w:spacing w:val="0"/>
          <w:sz w:val="24"/>
          <w:highlight w:val="none"/>
          <w:lang w:val="en-US" w:eastAsia="zh-CN"/>
        </w:rPr>
        <w:t>2</w:t>
      </w:r>
      <w:r>
        <w:rPr>
          <w:rFonts w:hint="eastAsia" w:ascii="宋体" w:hAnsi="宋体" w:cs="宋体"/>
          <w:spacing w:val="0"/>
          <w:sz w:val="24"/>
        </w:rPr>
        <w:t>小时内给予反馈，24小时内派合格的技术人员赴现场提供免费服务，解决问题。如不能按采购人要求的时间予以修复，供应商应保证免费提供同类备用设备，供采购人使用。</w:t>
      </w:r>
    </w:p>
    <w:p w14:paraId="1E9C6BF9">
      <w:pPr>
        <w:keepNext w:val="0"/>
        <w:keepLines w:val="0"/>
        <w:pageBreakBefore w:val="0"/>
        <w:numPr>
          <w:ilvl w:val="0"/>
          <w:numId w:val="1"/>
        </w:numPr>
        <w:wordWrap/>
        <w:overflowPunct/>
        <w:topLinePunct w:val="0"/>
        <w:bidi w:val="0"/>
        <w:spacing w:before="50" w:line="500" w:lineRule="exact"/>
        <w:ind w:right="0" w:rightChars="0"/>
        <w:rPr>
          <w:rFonts w:ascii="宋体" w:hAnsi="宋体" w:cs="宋体"/>
          <w:spacing w:val="0"/>
          <w:sz w:val="24"/>
        </w:rPr>
      </w:pPr>
      <w:r>
        <w:rPr>
          <w:rFonts w:hint="eastAsia" w:ascii="宋体" w:hAnsi="宋体"/>
          <w:spacing w:val="0"/>
          <w:sz w:val="24"/>
        </w:rPr>
        <w:t>货物运输符合的相关国际惯例，试剂、耗材运达所产生的费用由</w:t>
      </w:r>
      <w:r>
        <w:rPr>
          <w:rFonts w:hint="eastAsia" w:ascii="宋体" w:hAnsi="宋体" w:cs="宋体"/>
          <w:spacing w:val="0"/>
          <w:sz w:val="24"/>
        </w:rPr>
        <w:t>供应商</w:t>
      </w:r>
      <w:r>
        <w:rPr>
          <w:rFonts w:hint="eastAsia" w:ascii="宋体" w:hAnsi="宋体"/>
          <w:spacing w:val="0"/>
          <w:sz w:val="24"/>
        </w:rPr>
        <w:t>负责。运输途中的货物破损及损失风险由</w:t>
      </w:r>
      <w:r>
        <w:rPr>
          <w:rFonts w:hint="eastAsia" w:ascii="宋体" w:hAnsi="宋体" w:cs="宋体"/>
          <w:spacing w:val="0"/>
          <w:sz w:val="24"/>
        </w:rPr>
        <w:t>供应商</w:t>
      </w:r>
      <w:r>
        <w:rPr>
          <w:rFonts w:hint="eastAsia" w:ascii="宋体" w:hAnsi="宋体"/>
          <w:spacing w:val="0"/>
          <w:sz w:val="24"/>
        </w:rPr>
        <w:t>承担，</w:t>
      </w:r>
      <w:r>
        <w:rPr>
          <w:rFonts w:hint="eastAsia" w:ascii="宋体" w:hAnsi="宋体" w:cs="宋体"/>
          <w:spacing w:val="0"/>
          <w:sz w:val="24"/>
        </w:rPr>
        <w:t>供应商</w:t>
      </w:r>
      <w:r>
        <w:rPr>
          <w:rFonts w:hint="eastAsia" w:ascii="宋体" w:hAnsi="宋体"/>
          <w:spacing w:val="0"/>
          <w:sz w:val="24"/>
        </w:rPr>
        <w:t>承担运费。</w:t>
      </w:r>
    </w:p>
    <w:p w14:paraId="4E63EAD0">
      <w:pPr>
        <w:keepNext w:val="0"/>
        <w:keepLines w:val="0"/>
        <w:pageBreakBefore w:val="0"/>
        <w:tabs>
          <w:tab w:val="left" w:pos="900"/>
        </w:tabs>
        <w:wordWrap/>
        <w:overflowPunct/>
        <w:topLinePunct w:val="0"/>
        <w:bidi w:val="0"/>
        <w:spacing w:before="120" w:beforeLines="50" w:line="500" w:lineRule="exact"/>
        <w:ind w:right="0" w:rightChars="0"/>
        <w:rPr>
          <w:rFonts w:ascii="宋体" w:hAnsi="宋体" w:cs="宋体"/>
          <w:spacing w:val="0"/>
          <w:sz w:val="24"/>
        </w:rPr>
      </w:pPr>
      <w:r>
        <w:rPr>
          <w:rFonts w:hint="eastAsia" w:ascii="宋体" w:hAnsi="宋体" w:cs="宋体"/>
          <w:spacing w:val="0"/>
          <w:sz w:val="24"/>
        </w:rPr>
        <w:t>（2）采购标的需满足的服务期限要求</w:t>
      </w:r>
    </w:p>
    <w:p w14:paraId="1FC18CA9">
      <w:pPr>
        <w:keepNext w:val="0"/>
        <w:keepLines w:val="0"/>
        <w:pageBreakBefore w:val="0"/>
        <w:wordWrap/>
        <w:overflowPunct/>
        <w:topLinePunct w:val="0"/>
        <w:bidi w:val="0"/>
        <w:spacing w:before="50" w:line="500" w:lineRule="exact"/>
        <w:ind w:left="480" w:right="0" w:rightChars="0" w:hanging="480" w:hangingChars="200"/>
        <w:rPr>
          <w:rFonts w:ascii="宋体" w:hAnsi="宋体"/>
          <w:spacing w:val="0"/>
          <w:sz w:val="24"/>
        </w:rPr>
      </w:pPr>
      <w:r>
        <w:rPr>
          <w:rFonts w:hint="eastAsia" w:ascii="宋体" w:hAnsi="宋体" w:cs="宋体"/>
          <w:spacing w:val="0"/>
          <w:sz w:val="24"/>
        </w:rPr>
        <w:t>1.</w:t>
      </w:r>
      <w:r>
        <w:rPr>
          <w:rFonts w:hint="eastAsia" w:ascii="宋体" w:hAnsi="宋体" w:cs="宋体"/>
          <w:spacing w:val="0"/>
          <w:sz w:val="24"/>
          <w:lang w:val="en-US" w:eastAsia="zh-CN"/>
        </w:rPr>
        <w:t xml:space="preserve"> </w:t>
      </w:r>
      <w:r>
        <w:rPr>
          <w:rFonts w:hint="eastAsia" w:ascii="宋体" w:hAnsi="宋体"/>
          <w:spacing w:val="0"/>
          <w:sz w:val="24"/>
        </w:rPr>
        <w:t>保修范围应包括提供的所有设备（含第三方设备或配件）和安装调试服务。在保修期内应提供维修和技术咨询服务，矫正和免费更换有缺陷的设备或部件、排除系统出现的故障。质量保证期内，供应商应对由于设计、工艺或材料的缺陷而发生的任何不足或故障负责，费用由供应商负担。质量保证期满，供应商为采购人提供终身保修有偿服务。</w:t>
      </w:r>
    </w:p>
    <w:p w14:paraId="4A632E4C">
      <w:pPr>
        <w:keepNext w:val="0"/>
        <w:keepLines w:val="0"/>
        <w:pageBreakBefore w:val="0"/>
        <w:wordWrap/>
        <w:overflowPunct/>
        <w:topLinePunct w:val="0"/>
        <w:bidi w:val="0"/>
        <w:spacing w:before="50" w:line="500" w:lineRule="exact"/>
        <w:ind w:left="479" w:leftChars="228" w:right="0" w:rightChars="0"/>
        <w:rPr>
          <w:rFonts w:ascii="宋体" w:hAnsi="宋体" w:cs="宋体"/>
          <w:spacing w:val="0"/>
          <w:sz w:val="24"/>
          <w:highlight w:val="none"/>
        </w:rPr>
      </w:pPr>
      <w:r>
        <w:rPr>
          <w:rFonts w:hint="eastAsia" w:ascii="宋体" w:hAnsi="宋体"/>
          <w:spacing w:val="0"/>
          <w:sz w:val="24"/>
        </w:rPr>
        <w:t>供应商应在质保期满前三个月对设备做全面保养及性能检测，并出具相应的报告。</w:t>
      </w:r>
      <w:r>
        <w:rPr>
          <w:rFonts w:hint="eastAsia" w:ascii="宋体" w:hAnsi="宋体" w:cs="宋体"/>
          <w:spacing w:val="0"/>
          <w:sz w:val="24"/>
        </w:rPr>
        <w:t>供应商和制造商需要同时提供包含上述质量保证期（保修期）及服务要求的承诺函并加盖单位公章。</w:t>
      </w:r>
    </w:p>
    <w:p w14:paraId="6A830BC3">
      <w:pPr>
        <w:keepNext w:val="0"/>
        <w:keepLines w:val="0"/>
        <w:pageBreakBefore w:val="0"/>
        <w:numPr>
          <w:ilvl w:val="0"/>
          <w:numId w:val="2"/>
        </w:numPr>
        <w:tabs>
          <w:tab w:val="left" w:pos="900"/>
        </w:tabs>
        <w:wordWrap/>
        <w:overflowPunct/>
        <w:topLinePunct w:val="0"/>
        <w:bidi w:val="0"/>
        <w:spacing w:line="500" w:lineRule="exact"/>
        <w:ind w:left="480" w:right="0" w:rightChars="0" w:hanging="480" w:hangingChars="200"/>
        <w:rPr>
          <w:rFonts w:ascii="宋体" w:hAnsi="宋体" w:cs="宋体"/>
          <w:spacing w:val="0"/>
          <w:sz w:val="24"/>
          <w:highlight w:val="none"/>
        </w:rPr>
      </w:pPr>
      <w:r>
        <w:rPr>
          <w:rFonts w:hint="eastAsia" w:ascii="宋体" w:hAnsi="宋体" w:cs="宋体"/>
          <w:spacing w:val="0"/>
          <w:sz w:val="24"/>
          <w:highlight w:val="none"/>
        </w:rPr>
        <w:t>质保期限须提供质量保证期（保修期）结束后，年度维保费用最高不超过合同金额</w:t>
      </w:r>
      <w:r>
        <w:rPr>
          <w:rFonts w:hint="eastAsia" w:ascii="宋体" w:hAnsi="宋体" w:cs="宋体"/>
          <w:spacing w:val="0"/>
          <w:sz w:val="24"/>
          <w:highlight w:val="none"/>
          <w:lang w:val="en-US" w:eastAsia="zh-CN"/>
        </w:rPr>
        <w:t>10</w:t>
      </w:r>
      <w:r>
        <w:rPr>
          <w:rFonts w:hint="eastAsia" w:ascii="宋体" w:hAnsi="宋体" w:cs="宋体"/>
          <w:spacing w:val="0"/>
          <w:sz w:val="24"/>
          <w:highlight w:val="none"/>
        </w:rPr>
        <w:t>%的承诺函。保修费用应含维保工时费、零配件费用和软件维护、升级费用，服务内容和细则与免费维保期相同。</w:t>
      </w:r>
    </w:p>
    <w:p w14:paraId="56A64490">
      <w:pPr>
        <w:keepNext w:val="0"/>
        <w:keepLines w:val="0"/>
        <w:pageBreakBefore w:val="0"/>
        <w:tabs>
          <w:tab w:val="left" w:pos="900"/>
        </w:tabs>
        <w:wordWrap/>
        <w:overflowPunct/>
        <w:topLinePunct w:val="0"/>
        <w:bidi w:val="0"/>
        <w:spacing w:line="500" w:lineRule="exact"/>
        <w:ind w:left="480" w:right="0" w:rightChars="0" w:hanging="480" w:hangingChars="200"/>
        <w:rPr>
          <w:rFonts w:ascii="宋体"/>
          <w:b/>
          <w:bCs/>
          <w:spacing w:val="0"/>
          <w:sz w:val="24"/>
        </w:rPr>
      </w:pPr>
      <w:r>
        <w:rPr>
          <w:rFonts w:hint="eastAsia"/>
          <w:spacing w:val="0"/>
          <w:sz w:val="24"/>
        </w:rPr>
        <w:t>3</w:t>
      </w:r>
      <w:r>
        <w:rPr>
          <w:spacing w:val="0"/>
          <w:sz w:val="24"/>
        </w:rPr>
        <w:t>.3为落实政府采购政策需满足的要求</w:t>
      </w:r>
      <w:r>
        <w:rPr>
          <w:rFonts w:hint="eastAsia" w:ascii="宋体" w:hAnsi="宋体" w:cs="宋体"/>
          <w:b/>
          <w:bCs/>
          <w:spacing w:val="0"/>
          <w:sz w:val="24"/>
        </w:rPr>
        <w:t>（专门面向中小企业采购或预留份额的情况不享受政策优惠扣除）</w:t>
      </w:r>
    </w:p>
    <w:p w14:paraId="4A0B44E3">
      <w:pPr>
        <w:keepNext w:val="0"/>
        <w:keepLines w:val="0"/>
        <w:pageBreakBefore w:val="0"/>
        <w:tabs>
          <w:tab w:val="left" w:pos="900"/>
        </w:tabs>
        <w:wordWrap/>
        <w:overflowPunct/>
        <w:topLinePunct w:val="0"/>
        <w:bidi w:val="0"/>
        <w:spacing w:line="500" w:lineRule="exact"/>
        <w:ind w:right="0" w:rightChars="0"/>
        <w:rPr>
          <w:rFonts w:ascii="宋体"/>
          <w:spacing w:val="0"/>
          <w:sz w:val="24"/>
        </w:rPr>
      </w:pPr>
      <w:r>
        <w:rPr>
          <w:rFonts w:hint="eastAsia" w:ascii="宋体" w:hAnsi="宋体" w:cs="宋体"/>
          <w:spacing w:val="0"/>
          <w:sz w:val="24"/>
        </w:rPr>
        <w:t>1）促进中小企业发展政策：根据《政府采购促进中小企业发展管理办法》的通知（财库〔</w:t>
      </w:r>
      <w:r>
        <w:rPr>
          <w:rFonts w:ascii="宋体" w:hAnsi="宋体" w:cs="宋体"/>
          <w:spacing w:val="0"/>
          <w:sz w:val="24"/>
        </w:rPr>
        <w:t>2020</w:t>
      </w:r>
      <w:r>
        <w:rPr>
          <w:rFonts w:hint="eastAsia" w:ascii="宋体" w:hAnsi="宋体" w:cs="宋体"/>
          <w:spacing w:val="0"/>
          <w:sz w:val="24"/>
        </w:rPr>
        <w:t>〕</w:t>
      </w:r>
      <w:r>
        <w:rPr>
          <w:rFonts w:ascii="宋体" w:hAnsi="宋体" w:cs="宋体"/>
          <w:spacing w:val="0"/>
          <w:sz w:val="24"/>
        </w:rPr>
        <w:t>46</w:t>
      </w:r>
      <w:r>
        <w:rPr>
          <w:rFonts w:hint="eastAsia" w:ascii="宋体" w:hAnsi="宋体" w:cs="宋体"/>
          <w:spacing w:val="0"/>
          <w:sz w:val="24"/>
        </w:rPr>
        <w:t>号）规定，本项目供应商所投产品为中小企业制造或提供服务由中小企业承接的，</w:t>
      </w:r>
      <w:r>
        <w:rPr>
          <w:rFonts w:hint="eastAsia" w:ascii="宋体" w:hAnsi="宋体" w:cs="宋体"/>
          <w:b/>
          <w:bCs/>
          <w:spacing w:val="0"/>
          <w:sz w:val="24"/>
        </w:rPr>
        <w:t>供应商应出具招标文件要求的《中小企业声明函》给予证明，否则评标时不予认可</w:t>
      </w:r>
      <w:r>
        <w:rPr>
          <w:rFonts w:hint="eastAsia" w:ascii="宋体" w:hAnsi="宋体" w:cs="宋体"/>
          <w:spacing w:val="0"/>
          <w:sz w:val="24"/>
        </w:rPr>
        <w:t>。</w:t>
      </w:r>
      <w:r>
        <w:rPr>
          <w:rFonts w:hint="eastAsia" w:ascii="宋体" w:hAnsi="宋体" w:cs="宋体"/>
          <w:b/>
          <w:bCs/>
          <w:spacing w:val="0"/>
          <w:sz w:val="24"/>
        </w:rPr>
        <w:t>供应商应对提交的中小企业声明函的真实性负责，</w:t>
      </w:r>
      <w:r>
        <w:rPr>
          <w:rFonts w:hint="eastAsia" w:ascii="宋体" w:hAnsi="宋体" w:cs="宋体"/>
          <w:spacing w:val="0"/>
          <w:sz w:val="24"/>
        </w:rPr>
        <w:t>提交的中小企业声明函不真实的，应承担相应的法律责任。</w:t>
      </w:r>
    </w:p>
    <w:p w14:paraId="065FF93C">
      <w:pPr>
        <w:keepNext w:val="0"/>
        <w:keepLines w:val="0"/>
        <w:pageBreakBefore w:val="0"/>
        <w:tabs>
          <w:tab w:val="left" w:pos="900"/>
        </w:tabs>
        <w:wordWrap/>
        <w:overflowPunct/>
        <w:topLinePunct w:val="0"/>
        <w:bidi w:val="0"/>
        <w:spacing w:line="500" w:lineRule="exact"/>
        <w:ind w:right="0" w:rightChars="0"/>
        <w:rPr>
          <w:rFonts w:ascii="宋体"/>
          <w:spacing w:val="0"/>
          <w:sz w:val="24"/>
        </w:rPr>
      </w:pPr>
      <w:r>
        <w:rPr>
          <w:rFonts w:hint="eastAsia" w:ascii="宋体" w:hAnsi="宋体" w:cs="宋体"/>
          <w:spacing w:val="0"/>
          <w:sz w:val="24"/>
        </w:rPr>
        <w:t>2）监狱企业扶持政策：供应商如为监狱企业将视同为小型或微型企业，应提供由省级以上监狱管理局、戒毒管理局（含新疆生产建设兵团）出具的属于监狱企业的证明文件。供应商应对提交的属于监狱企业的证明文件的真实性负责，提交的监狱企业的证明文件不真实的，应承担相应的法律责任。</w:t>
      </w:r>
    </w:p>
    <w:p w14:paraId="4DE75E41">
      <w:pPr>
        <w:keepNext w:val="0"/>
        <w:keepLines w:val="0"/>
        <w:pageBreakBefore w:val="0"/>
        <w:tabs>
          <w:tab w:val="left" w:pos="900"/>
        </w:tabs>
        <w:wordWrap/>
        <w:overflowPunct/>
        <w:topLinePunct w:val="0"/>
        <w:bidi w:val="0"/>
        <w:spacing w:line="500" w:lineRule="exact"/>
        <w:ind w:right="0" w:rightChars="0"/>
        <w:rPr>
          <w:rFonts w:ascii="宋体"/>
          <w:spacing w:val="0"/>
          <w:sz w:val="24"/>
        </w:rPr>
      </w:pPr>
      <w:r>
        <w:rPr>
          <w:rFonts w:hint="eastAsia" w:ascii="宋体" w:hAnsi="宋体" w:cs="宋体"/>
          <w:spacing w:val="0"/>
          <w:sz w:val="24"/>
        </w:rPr>
        <w:t>3）促进残疾人就业政府采购政策：根据《三部门联合发布关于促进残疾人就业政府采购政策的通知》（财库〔</w:t>
      </w:r>
      <w:r>
        <w:rPr>
          <w:rFonts w:ascii="宋体" w:hAnsi="宋体" w:cs="宋体"/>
          <w:spacing w:val="0"/>
          <w:sz w:val="24"/>
        </w:rPr>
        <w:t>2017</w:t>
      </w:r>
      <w:r>
        <w:rPr>
          <w:rFonts w:hint="eastAsia" w:ascii="宋体" w:hAnsi="宋体" w:cs="宋体"/>
          <w:spacing w:val="0"/>
          <w:sz w:val="24"/>
        </w:rPr>
        <w:t>〕</w:t>
      </w:r>
      <w:r>
        <w:rPr>
          <w:rFonts w:ascii="宋体" w:hAnsi="宋体" w:cs="宋体"/>
          <w:spacing w:val="0"/>
          <w:sz w:val="24"/>
        </w:rPr>
        <w:t>141</w:t>
      </w:r>
      <w:r>
        <w:rPr>
          <w:rFonts w:hint="eastAsia" w:ascii="宋体" w:hAnsi="宋体" w:cs="宋体"/>
          <w:spacing w:val="0"/>
          <w:sz w:val="24"/>
        </w:rPr>
        <w:t>号）规定，符合条件的残疾人福利性单位在参加本项目政府采购活动时，供应商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14:paraId="704309A4">
      <w:pPr>
        <w:keepNext w:val="0"/>
        <w:keepLines w:val="0"/>
        <w:pageBreakBefore w:val="0"/>
        <w:tabs>
          <w:tab w:val="left" w:pos="900"/>
        </w:tabs>
        <w:wordWrap/>
        <w:overflowPunct/>
        <w:topLinePunct w:val="0"/>
        <w:bidi w:val="0"/>
        <w:spacing w:line="500" w:lineRule="exact"/>
        <w:ind w:right="0" w:rightChars="0"/>
        <w:rPr>
          <w:spacing w:val="0"/>
          <w:sz w:val="24"/>
        </w:rPr>
      </w:pPr>
      <w:r>
        <w:rPr>
          <w:rFonts w:hint="eastAsia" w:ascii="宋体" w:hAnsi="宋体" w:cs="宋体"/>
          <w:spacing w:val="0"/>
          <w:sz w:val="24"/>
        </w:rPr>
        <w:t>4）鼓励节能、环保政策：依据《财政部发展改革委生态环境部市场监管总局关于调整优化节能产品、环境标志产品政府采购执行机制的通知（财库（</w:t>
      </w:r>
      <w:r>
        <w:rPr>
          <w:rFonts w:ascii="宋体" w:hAnsi="宋体" w:cs="宋体"/>
          <w:spacing w:val="0"/>
          <w:sz w:val="24"/>
        </w:rPr>
        <w:t>2019</w:t>
      </w:r>
      <w:r>
        <w:rPr>
          <w:rFonts w:hint="eastAsia" w:ascii="宋体" w:hAnsi="宋体" w:cs="宋体"/>
          <w:spacing w:val="0"/>
          <w:sz w:val="24"/>
        </w:rPr>
        <w:t>）</w:t>
      </w:r>
      <w:r>
        <w:rPr>
          <w:rFonts w:ascii="宋体" w:hAnsi="宋体" w:cs="宋体"/>
          <w:spacing w:val="0"/>
          <w:sz w:val="24"/>
        </w:rPr>
        <w:t>9</w:t>
      </w:r>
      <w:r>
        <w:rPr>
          <w:rFonts w:hint="eastAsia" w:ascii="宋体" w:hAnsi="宋体" w:cs="宋体"/>
          <w:spacing w:val="0"/>
          <w:sz w:val="24"/>
        </w:rPr>
        <w:t>号）》执行。</w:t>
      </w:r>
    </w:p>
    <w:p w14:paraId="60CAD41A">
      <w:pPr>
        <w:keepNext w:val="0"/>
        <w:keepLines w:val="0"/>
        <w:pageBreakBefore w:val="0"/>
        <w:widowControl/>
        <w:wordWrap/>
        <w:overflowPunct/>
        <w:topLinePunct w:val="0"/>
        <w:bidi w:val="0"/>
        <w:spacing w:line="500" w:lineRule="exact"/>
        <w:ind w:right="0" w:rightChars="0"/>
        <w:contextualSpacing/>
        <w:rPr>
          <w:rFonts w:hint="eastAsia" w:ascii="宋体" w:hAnsi="宋体" w:eastAsia="宋体" w:cs="宋体"/>
          <w:spacing w:val="0"/>
          <w:sz w:val="24"/>
          <w:szCs w:val="24"/>
        </w:rPr>
      </w:pPr>
      <w:r>
        <w:rPr>
          <w:rFonts w:hint="eastAsia"/>
          <w:spacing w:val="0"/>
          <w:sz w:val="24"/>
        </w:rPr>
        <w:t>3</w:t>
      </w:r>
      <w:r>
        <w:rPr>
          <w:spacing w:val="0"/>
          <w:sz w:val="24"/>
        </w:rPr>
        <w:t>.4</w:t>
      </w:r>
      <w:r>
        <w:rPr>
          <w:rFonts w:hint="eastAsia" w:ascii="宋体" w:hAnsi="宋体" w:eastAsia="宋体" w:cs="宋体"/>
          <w:spacing w:val="0"/>
          <w:sz w:val="24"/>
          <w:szCs w:val="24"/>
        </w:rPr>
        <w:t>采购标的的其他技术、服务等要求；</w:t>
      </w:r>
    </w:p>
    <w:p w14:paraId="2A717C65">
      <w:pPr>
        <w:spacing w:line="360" w:lineRule="auto"/>
        <w:jc w:val="both"/>
        <w:outlineLvl w:val="0"/>
        <w:rPr>
          <w:rFonts w:hint="eastAsia" w:ascii="宋体" w:hAnsi="宋体" w:eastAsia="宋体" w:cs="宋体"/>
          <w:b/>
          <w:sz w:val="24"/>
          <w:szCs w:val="24"/>
        </w:rPr>
      </w:pPr>
      <w:bookmarkStart w:id="5" w:name="_Toc29256"/>
      <w:r>
        <w:rPr>
          <w:rFonts w:hint="eastAsia" w:ascii="宋体" w:hAnsi="宋体" w:eastAsia="宋体" w:cs="宋体"/>
          <w:b/>
          <w:sz w:val="24"/>
          <w:szCs w:val="24"/>
        </w:rPr>
        <w:t>一、项目背景</w:t>
      </w:r>
      <w:bookmarkEnd w:id="5"/>
    </w:p>
    <w:p w14:paraId="520535C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2025年1月14日，北京市《2025年政府工作报告》提出要着力发展壮大高精尖产业，实施“人工智能+”行动计划，大力鼓励医疗等重点领域开放人工智能应用场景。2025年4月18日，北京市卫生健康委员会发布《家庭医生健康管理中心建设工作方案（试行）》，提出坚持以基层为重点，拓展我市家庭医生签约服务内涵，推进以健康为中心的全周期健康管理服务，优化家庭医生签约服务质量和效率，切实增强签约服务感受度和获得感。</w:t>
      </w:r>
    </w:p>
    <w:p w14:paraId="44B3B4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国医疗人工智能技术和产业发展迅速，在基层医疗服务领域，人工智能技术的赋能作用愈发显著。全面拥抱人工智能、大数据、互联网技术，对于推进基层卫生健康业务创新发展意义重大，成为当下强基层战略的有力支持。</w:t>
      </w:r>
    </w:p>
    <w:p w14:paraId="2CFD86E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门头沟区卫生健康委员会抓住市政府工作报告中“人工智能+”行动计划这一重要契机，以及落实北京市4月18日《家庭医生健康管理中心建设工作方案（试行）》文件要求，通过建设慢病一体化智能平台和家庭医生签约服务等智能化、信息化系统，切实改善区内居民的家庭医生服务体验，推动基层医疗卫生服务迈向更高质量发展阶段，更好地满足人民群众日益增长的健康需求，为门头沟区基层医疗卫生事业注入新的活力与动力。</w:t>
      </w:r>
    </w:p>
    <w:p w14:paraId="663C4AAE">
      <w:pPr>
        <w:spacing w:line="360" w:lineRule="auto"/>
        <w:ind w:firstLine="480" w:firstLineChars="200"/>
        <w:jc w:val="both"/>
        <w:rPr>
          <w:rFonts w:hint="eastAsia" w:ascii="宋体" w:hAnsi="宋体" w:eastAsia="宋体" w:cs="宋体"/>
          <w:sz w:val="24"/>
          <w:szCs w:val="24"/>
          <w:lang w:val="en-US" w:eastAsia="zh-CN"/>
        </w:rPr>
      </w:pPr>
    </w:p>
    <w:p w14:paraId="6703A79D">
      <w:pPr>
        <w:spacing w:line="360" w:lineRule="auto"/>
        <w:jc w:val="both"/>
        <w:outlineLvl w:val="0"/>
        <w:rPr>
          <w:rFonts w:hint="eastAsia" w:ascii="宋体" w:hAnsi="宋体" w:eastAsia="宋体" w:cs="宋体"/>
          <w:b/>
          <w:sz w:val="24"/>
          <w:szCs w:val="24"/>
        </w:rPr>
      </w:pPr>
      <w:bookmarkStart w:id="6" w:name="_Toc20590"/>
      <w:r>
        <w:rPr>
          <w:rFonts w:hint="eastAsia" w:ascii="宋体" w:hAnsi="宋体" w:eastAsia="宋体" w:cs="宋体"/>
          <w:b/>
          <w:sz w:val="24"/>
          <w:szCs w:val="24"/>
        </w:rPr>
        <w:t>二、建设目标</w:t>
      </w:r>
      <w:bookmarkEnd w:id="6"/>
    </w:p>
    <w:p w14:paraId="233F5C6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本项目建设，依托人工智能技术构建覆盖“防、筛、诊、治、康”智慧化慢病管理服务体系，配置相关健康筛查设备，实现筛查设备数据上传至慢病管理系统，以及实现与基层医疗和基本公共卫生服务数据的互联互通。实现家庭医生服务包管理以及服务包签约、续约、解约管理。减轻慢病管理工作负担，提升管理效率。促进慢性病患者、风险人群分级分类精准管理，提高慢病早期发现率和早诊早治率，延缓并发症的发生，降低疾病负担，同时能够支撑家庭医生健康管理中心建设，助力实现门头沟区基层提质增效的整体目标。</w:t>
      </w:r>
    </w:p>
    <w:p w14:paraId="7C403D6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p>
    <w:p w14:paraId="6F60A456">
      <w:pPr>
        <w:spacing w:line="360" w:lineRule="auto"/>
        <w:jc w:val="both"/>
        <w:outlineLvl w:val="0"/>
        <w:rPr>
          <w:rFonts w:hint="eastAsia" w:ascii="宋体" w:hAnsi="宋体" w:eastAsia="宋体" w:cs="宋体"/>
          <w:b/>
          <w:sz w:val="24"/>
          <w:szCs w:val="24"/>
          <w:lang w:val="en-US" w:eastAsia="zh-CN"/>
        </w:rPr>
      </w:pPr>
      <w:bookmarkStart w:id="7" w:name="_Toc22377"/>
      <w:r>
        <w:rPr>
          <w:rFonts w:hint="eastAsia" w:ascii="宋体" w:hAnsi="宋体" w:eastAsia="宋体" w:cs="宋体"/>
          <w:b/>
          <w:sz w:val="24"/>
          <w:szCs w:val="24"/>
          <w:lang w:val="en-US" w:eastAsia="zh-CN"/>
        </w:rPr>
        <w:t>三、建设范围</w:t>
      </w:r>
      <w:bookmarkEnd w:id="7"/>
    </w:p>
    <w:p w14:paraId="3643389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内容为智能慢病一体化管理平台、智能慢病协同管理系统、运行监管系统、慢病设备集成与数据集成系统、家庭医生签约系统，智能语音外呼系统、智能随访通讯包服务。以及中心版健康一体机、村站版健康一体机、免散瞳眼底相机、肺功能测试仪等筛查设备。</w:t>
      </w:r>
    </w:p>
    <w:p w14:paraId="75B448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覆盖全区11个社区卫生服务中心、20个村站。用户为区卫健委监管用户、基层单位全科医生、基本公卫医生和家庭医生，服务站医生，以及签约居民。需要实现与现有基层HIS、基本公卫系统、全民健康平台对接，实现慢病系统所需要数据的互通，实现筛查设备数据上传。</w:t>
      </w:r>
    </w:p>
    <w:tbl>
      <w:tblPr>
        <w:tblStyle w:val="8"/>
        <w:tblW w:w="494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953"/>
        <w:gridCol w:w="2548"/>
        <w:gridCol w:w="643"/>
        <w:gridCol w:w="722"/>
        <w:gridCol w:w="3097"/>
      </w:tblGrid>
      <w:tr w14:paraId="638DF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blHeader/>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075C9D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08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533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建设内容</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19DA6B1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DF5B5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087D9B4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2B72C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60484E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1</w:t>
            </w:r>
          </w:p>
        </w:tc>
        <w:tc>
          <w:tcPr>
            <w:tcW w:w="570" w:type="pct"/>
            <w:vMerge w:val="restart"/>
            <w:tcBorders>
              <w:top w:val="single" w:color="auto" w:sz="4" w:space="0"/>
              <w:left w:val="single" w:color="auto" w:sz="4" w:space="0"/>
              <w:right w:val="single" w:color="auto" w:sz="4" w:space="0"/>
            </w:tcBorders>
            <w:shd w:val="clear" w:color="auto" w:fill="auto"/>
            <w:vAlign w:val="center"/>
          </w:tcPr>
          <w:p w14:paraId="26C8F3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软件系统</w:t>
            </w: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516707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智能慢病一体化管理</w:t>
            </w:r>
            <w:r>
              <w:rPr>
                <w:rFonts w:hint="eastAsia" w:ascii="宋体" w:hAnsi="宋体" w:eastAsia="宋体" w:cs="宋体"/>
                <w:b w:val="0"/>
                <w:bCs w:val="0"/>
                <w:sz w:val="24"/>
                <w:szCs w:val="24"/>
                <w:lang w:val="en-US" w:eastAsia="zh-CN"/>
              </w:rPr>
              <w:t>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4E6A95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131400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7B98E8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rPr>
            </w:pPr>
          </w:p>
        </w:tc>
      </w:tr>
      <w:tr w14:paraId="56B0D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DA3EC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2</w:t>
            </w:r>
          </w:p>
        </w:tc>
        <w:tc>
          <w:tcPr>
            <w:tcW w:w="570" w:type="pct"/>
            <w:vMerge w:val="continue"/>
            <w:tcBorders>
              <w:left w:val="single" w:color="auto" w:sz="4" w:space="0"/>
              <w:right w:val="single" w:color="auto" w:sz="4" w:space="0"/>
            </w:tcBorders>
            <w:shd w:val="clear" w:color="auto" w:fill="auto"/>
            <w:vAlign w:val="center"/>
          </w:tcPr>
          <w:p w14:paraId="57EB8AEF">
            <w:pPr>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val="0"/>
                <w:bCs w:val="0"/>
                <w:sz w:val="24"/>
                <w:szCs w:val="24"/>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6469196F">
            <w:pPr>
              <w:keepNext w:val="0"/>
              <w:keepLines w:val="0"/>
              <w:widowControl/>
              <w:suppressLineNumbers w:val="0"/>
              <w:spacing w:before="0" w:beforeAutospacing="0" w:after="0" w:afterAutospacing="0" w:line="240" w:lineRule="auto"/>
              <w:ind w:left="0" w:right="0" w:firstLine="0" w:firstLineChars="0"/>
              <w:jc w:val="both"/>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上级医院</w:t>
            </w:r>
            <w:r>
              <w:rPr>
                <w:rFonts w:hint="eastAsia" w:ascii="宋体" w:hAnsi="宋体" w:eastAsia="宋体" w:cs="宋体"/>
                <w:b w:val="0"/>
                <w:bCs w:val="0"/>
                <w:sz w:val="24"/>
                <w:szCs w:val="24"/>
              </w:rPr>
              <w:t>慢病管理系统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1D3F65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29456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42964F6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r>
      <w:tr w14:paraId="68F3A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CFDD7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3</w:t>
            </w:r>
          </w:p>
        </w:tc>
        <w:tc>
          <w:tcPr>
            <w:tcW w:w="570" w:type="pct"/>
            <w:vMerge w:val="continue"/>
            <w:tcBorders>
              <w:left w:val="single" w:color="auto" w:sz="4" w:space="0"/>
              <w:right w:val="single" w:color="auto" w:sz="4" w:space="0"/>
            </w:tcBorders>
            <w:shd w:val="clear" w:color="auto" w:fill="auto"/>
            <w:vAlign w:val="center"/>
          </w:tcPr>
          <w:p w14:paraId="3D991A45">
            <w:pPr>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val="0"/>
                <w:bCs w:val="0"/>
                <w:sz w:val="24"/>
                <w:szCs w:val="24"/>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174970DD">
            <w:pPr>
              <w:keepNext w:val="0"/>
              <w:keepLines w:val="0"/>
              <w:widowControl/>
              <w:suppressLineNumbers w:val="0"/>
              <w:spacing w:before="0" w:beforeAutospacing="0" w:after="0" w:afterAutospacing="0" w:line="240" w:lineRule="auto"/>
              <w:ind w:left="0" w:right="0" w:firstLine="0" w:firstLineChars="0"/>
              <w:jc w:val="both"/>
              <w:rPr>
                <w:rFonts w:hint="eastAsia" w:ascii="宋体" w:hAnsi="宋体" w:eastAsia="宋体" w:cs="宋体"/>
                <w:b w:val="0"/>
                <w:bCs w:val="0"/>
                <w:sz w:val="24"/>
                <w:szCs w:val="24"/>
              </w:rPr>
            </w:pPr>
            <w:r>
              <w:rPr>
                <w:rFonts w:hint="eastAsia" w:ascii="宋体" w:hAnsi="宋体" w:eastAsia="宋体" w:cs="宋体"/>
                <w:b w:val="0"/>
                <w:bCs w:val="0"/>
                <w:sz w:val="24"/>
                <w:szCs w:val="24"/>
              </w:rPr>
              <w:t>运行监管系统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8095C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9AE7F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78B2F1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r>
      <w:tr w14:paraId="58FB8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2AF8F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4</w:t>
            </w:r>
          </w:p>
        </w:tc>
        <w:tc>
          <w:tcPr>
            <w:tcW w:w="570" w:type="pct"/>
            <w:vMerge w:val="continue"/>
            <w:tcBorders>
              <w:left w:val="single" w:color="auto" w:sz="4" w:space="0"/>
              <w:right w:val="single" w:color="auto" w:sz="4" w:space="0"/>
            </w:tcBorders>
            <w:shd w:val="clear" w:color="auto" w:fill="auto"/>
            <w:vAlign w:val="center"/>
          </w:tcPr>
          <w:p w14:paraId="3432EF42">
            <w:pPr>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val="0"/>
                <w:bCs w:val="0"/>
                <w:sz w:val="24"/>
                <w:szCs w:val="24"/>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09C96D70">
            <w:pPr>
              <w:keepNext w:val="0"/>
              <w:keepLines w:val="0"/>
              <w:widowControl/>
              <w:suppressLineNumbers w:val="0"/>
              <w:spacing w:before="0" w:beforeAutospacing="0" w:after="0" w:afterAutospacing="0" w:line="240" w:lineRule="auto"/>
              <w:ind w:left="0" w:right="0" w:firstLine="0" w:firstLineChars="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智能外呼系统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3E36D1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1F4616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7E61AC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r>
      <w:tr w14:paraId="529B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2C8501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5</w:t>
            </w:r>
          </w:p>
        </w:tc>
        <w:tc>
          <w:tcPr>
            <w:tcW w:w="570" w:type="pct"/>
            <w:vMerge w:val="continue"/>
            <w:tcBorders>
              <w:left w:val="single" w:color="auto" w:sz="4" w:space="0"/>
              <w:right w:val="single" w:color="auto" w:sz="4" w:space="0"/>
            </w:tcBorders>
            <w:shd w:val="clear" w:color="auto" w:fill="auto"/>
            <w:vAlign w:val="center"/>
          </w:tcPr>
          <w:p w14:paraId="51A21266">
            <w:pPr>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val="0"/>
                <w:bCs w:val="0"/>
                <w:sz w:val="24"/>
                <w:szCs w:val="24"/>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1E39ADDF">
            <w:pPr>
              <w:keepNext w:val="0"/>
              <w:keepLines w:val="0"/>
              <w:widowControl/>
              <w:suppressLineNumbers w:val="0"/>
              <w:spacing w:before="0" w:beforeAutospacing="0" w:after="0" w:afterAutospacing="0" w:line="240" w:lineRule="auto"/>
              <w:ind w:left="0" w:right="0" w:firstLine="0" w:firstLineChars="0"/>
              <w:jc w:val="both"/>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慢病设备集成与数据集成系统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6EC42E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5B04F6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1424A34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r>
      <w:tr w14:paraId="2B9A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54692A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6</w:t>
            </w:r>
          </w:p>
        </w:tc>
        <w:tc>
          <w:tcPr>
            <w:tcW w:w="570" w:type="pct"/>
            <w:vMerge w:val="continue"/>
            <w:tcBorders>
              <w:left w:val="single" w:color="auto" w:sz="4" w:space="0"/>
              <w:right w:val="single" w:color="auto" w:sz="4" w:space="0"/>
            </w:tcBorders>
            <w:shd w:val="clear" w:color="auto" w:fill="auto"/>
            <w:vAlign w:val="center"/>
          </w:tcPr>
          <w:p w14:paraId="76E7D1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06613F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家庭医生签约服务系统</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26721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058E9E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112507B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p>
        </w:tc>
      </w:tr>
      <w:tr w14:paraId="1658D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3AA84A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sz w:val="24"/>
                <w:szCs w:val="24"/>
                <w:u w:val="none"/>
                <w:lang w:val="en-US" w:eastAsia="zh-CN"/>
              </w:rPr>
            </w:pPr>
            <w:r>
              <w:rPr>
                <w:rFonts w:hint="eastAsia" w:ascii="宋体" w:hAnsi="宋体" w:eastAsia="宋体" w:cs="宋体"/>
                <w:b w:val="0"/>
                <w:bCs w:val="0"/>
                <w:i w:val="0"/>
                <w:iCs w:val="0"/>
                <w:color w:val="000000"/>
                <w:sz w:val="24"/>
                <w:szCs w:val="24"/>
                <w:u w:val="none"/>
                <w:lang w:val="en-US" w:eastAsia="zh-CN"/>
              </w:rPr>
              <w:t>7</w:t>
            </w:r>
          </w:p>
        </w:tc>
        <w:tc>
          <w:tcPr>
            <w:tcW w:w="570" w:type="pct"/>
            <w:vMerge w:val="continue"/>
            <w:tcBorders>
              <w:left w:val="single" w:color="auto" w:sz="4" w:space="0"/>
              <w:bottom w:val="single" w:color="auto" w:sz="4" w:space="0"/>
              <w:right w:val="single" w:color="auto" w:sz="4" w:space="0"/>
            </w:tcBorders>
            <w:shd w:val="clear" w:color="auto" w:fill="auto"/>
            <w:vAlign w:val="center"/>
          </w:tcPr>
          <w:p w14:paraId="50CE50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448CEE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sz w:val="24"/>
                <w:szCs w:val="24"/>
                <w:lang w:val="en-US" w:eastAsia="zh-CN"/>
              </w:rPr>
              <w:t>接口开发与设备接入</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D33D7C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sz w:val="24"/>
                <w:szCs w:val="24"/>
                <w:u w:val="none"/>
                <w:lang w:val="en-US" w:eastAsia="zh-CN"/>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002037B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746E7A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b w:val="0"/>
                <w:bCs w:val="0"/>
                <w:i w:val="0"/>
                <w:iCs w:val="0"/>
                <w:color w:val="000000"/>
                <w:kern w:val="0"/>
                <w:sz w:val="24"/>
                <w:szCs w:val="24"/>
                <w:u w:val="none"/>
                <w:lang w:val="en-US" w:eastAsia="zh-CN" w:bidi="ar"/>
              </w:rPr>
            </w:pPr>
          </w:p>
        </w:tc>
      </w:tr>
      <w:tr w14:paraId="603DD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4F2A20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570" w:type="pct"/>
            <w:vMerge w:val="restart"/>
            <w:tcBorders>
              <w:top w:val="single" w:color="auto" w:sz="4" w:space="0"/>
              <w:left w:val="single" w:color="auto" w:sz="4" w:space="0"/>
              <w:right w:val="single" w:color="auto" w:sz="4" w:space="0"/>
            </w:tcBorders>
            <w:shd w:val="clear" w:color="auto" w:fill="auto"/>
            <w:vAlign w:val="center"/>
          </w:tcPr>
          <w:p w14:paraId="6D4A68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慢病设备</w:t>
            </w: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15603B1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中心版健康一体机</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22DC9F1">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17EF219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2381E9E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1BA9B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53" w:type="pct"/>
            <w:tcBorders>
              <w:top w:val="single" w:color="auto" w:sz="4" w:space="0"/>
              <w:left w:val="single" w:color="auto" w:sz="4" w:space="0"/>
              <w:bottom w:val="single" w:color="auto" w:sz="4" w:space="0"/>
              <w:right w:val="single" w:color="auto" w:sz="4" w:space="0"/>
            </w:tcBorders>
            <w:shd w:val="clear" w:color="auto" w:fill="auto"/>
            <w:vAlign w:val="center"/>
          </w:tcPr>
          <w:p w14:paraId="0CC8DD0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570" w:type="pct"/>
            <w:vMerge w:val="continue"/>
            <w:tcBorders>
              <w:left w:val="single" w:color="auto" w:sz="4" w:space="0"/>
              <w:right w:val="single" w:color="auto" w:sz="4" w:space="0"/>
            </w:tcBorders>
            <w:shd w:val="clear" w:color="auto" w:fill="auto"/>
            <w:vAlign w:val="center"/>
          </w:tcPr>
          <w:p w14:paraId="407405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1775C61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村站版健康一体机</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1A72E63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0E5CDC8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351E69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6D742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5AF7E3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w:t>
            </w:r>
          </w:p>
        </w:tc>
        <w:tc>
          <w:tcPr>
            <w:tcW w:w="570" w:type="pct"/>
            <w:vMerge w:val="continue"/>
            <w:tcBorders>
              <w:left w:val="single" w:color="auto" w:sz="4" w:space="0"/>
              <w:right w:val="single" w:color="auto" w:sz="4" w:space="0"/>
            </w:tcBorders>
            <w:shd w:val="clear" w:color="auto" w:fill="auto"/>
            <w:vAlign w:val="center"/>
          </w:tcPr>
          <w:p w14:paraId="2BA8A33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43E9AB9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电子握力计</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4BD8BBF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9D43B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1F73E80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p>
        </w:tc>
      </w:tr>
      <w:tr w14:paraId="65F87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3D7AB59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11</w:t>
            </w:r>
          </w:p>
        </w:tc>
        <w:tc>
          <w:tcPr>
            <w:tcW w:w="570" w:type="pct"/>
            <w:vMerge w:val="continue"/>
            <w:tcBorders>
              <w:left w:val="single" w:color="auto" w:sz="4" w:space="0"/>
              <w:right w:val="single" w:color="auto" w:sz="4" w:space="0"/>
            </w:tcBorders>
            <w:shd w:val="clear" w:color="auto" w:fill="auto"/>
            <w:vAlign w:val="center"/>
          </w:tcPr>
          <w:p w14:paraId="41A523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63BA23C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智慧大屏一体机</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7BD6028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3C8C1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5AE48D1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p>
        </w:tc>
      </w:tr>
      <w:tr w14:paraId="7CC04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12621B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12</w:t>
            </w:r>
          </w:p>
        </w:tc>
        <w:tc>
          <w:tcPr>
            <w:tcW w:w="570" w:type="pct"/>
            <w:vMerge w:val="continue"/>
            <w:tcBorders>
              <w:left w:val="single" w:color="auto" w:sz="4" w:space="0"/>
              <w:right w:val="single" w:color="auto" w:sz="4" w:space="0"/>
            </w:tcBorders>
            <w:shd w:val="clear" w:color="auto" w:fill="auto"/>
            <w:vAlign w:val="center"/>
          </w:tcPr>
          <w:p w14:paraId="08BEA8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53A7AD6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免散瞳眼底相机</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4033DDA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9</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275A7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0DD822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4F6F2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0D365F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13</w:t>
            </w:r>
          </w:p>
        </w:tc>
        <w:tc>
          <w:tcPr>
            <w:tcW w:w="570" w:type="pct"/>
            <w:vMerge w:val="continue"/>
            <w:tcBorders>
              <w:left w:val="single" w:color="auto" w:sz="4" w:space="0"/>
              <w:right w:val="single" w:color="auto" w:sz="4" w:space="0"/>
            </w:tcBorders>
            <w:shd w:val="clear" w:color="auto" w:fill="auto"/>
            <w:vAlign w:val="center"/>
          </w:tcPr>
          <w:p w14:paraId="30DC1F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2F39C0E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肺功能测试仪</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6A272954">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8</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FF67F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283115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41728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50278A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14</w:t>
            </w:r>
          </w:p>
        </w:tc>
        <w:tc>
          <w:tcPr>
            <w:tcW w:w="570" w:type="pct"/>
            <w:vMerge w:val="continue"/>
            <w:tcBorders>
              <w:left w:val="single" w:color="auto" w:sz="4" w:space="0"/>
              <w:right w:val="single" w:color="auto" w:sz="4" w:space="0"/>
            </w:tcBorders>
            <w:shd w:val="clear" w:color="auto" w:fill="auto"/>
            <w:vAlign w:val="center"/>
          </w:tcPr>
          <w:p w14:paraId="1FEC8F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26272DF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感觉神经定量检测仪（VPT）</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359F7D1B">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A536A7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11F4131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49A9C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0151BB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15</w:t>
            </w:r>
          </w:p>
        </w:tc>
        <w:tc>
          <w:tcPr>
            <w:tcW w:w="570" w:type="pct"/>
            <w:vMerge w:val="continue"/>
            <w:tcBorders>
              <w:left w:val="single" w:color="auto" w:sz="4" w:space="0"/>
              <w:right w:val="single" w:color="auto" w:sz="4" w:space="0"/>
            </w:tcBorders>
            <w:shd w:val="clear" w:color="auto" w:fill="auto"/>
            <w:vAlign w:val="center"/>
          </w:tcPr>
          <w:p w14:paraId="6ACA51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5AF82F2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超声骨密度仪</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95C373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00E7E02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79AE651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400B4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5A28807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w:t>
            </w:r>
          </w:p>
        </w:tc>
        <w:tc>
          <w:tcPr>
            <w:tcW w:w="570" w:type="pct"/>
            <w:vMerge w:val="continue"/>
            <w:tcBorders>
              <w:left w:val="single" w:color="auto" w:sz="4" w:space="0"/>
              <w:right w:val="single" w:color="auto" w:sz="4" w:space="0"/>
            </w:tcBorders>
            <w:shd w:val="clear" w:color="auto" w:fill="auto"/>
            <w:vAlign w:val="center"/>
          </w:tcPr>
          <w:p w14:paraId="35BF31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715D0D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24小时动态心电血压一体机</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6B9A8A67">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0148D6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42C8B6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61178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4E2008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sz w:val="24"/>
                <w:szCs w:val="24"/>
                <w:u w:val="none"/>
                <w:lang w:val="en-US" w:eastAsia="zh-CN"/>
              </w:rPr>
              <w:t>17</w:t>
            </w:r>
          </w:p>
        </w:tc>
        <w:tc>
          <w:tcPr>
            <w:tcW w:w="570" w:type="pct"/>
            <w:vMerge w:val="continue"/>
            <w:tcBorders>
              <w:left w:val="single" w:color="auto" w:sz="4" w:space="0"/>
              <w:right w:val="single" w:color="auto" w:sz="4" w:space="0"/>
            </w:tcBorders>
            <w:shd w:val="clear" w:color="auto" w:fill="auto"/>
            <w:vAlign w:val="center"/>
          </w:tcPr>
          <w:p w14:paraId="13BDA73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4801830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智能血压仪</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53C6A63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550</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1E30FD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49483E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7C012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505647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sz w:val="24"/>
                <w:szCs w:val="24"/>
                <w:u w:val="none"/>
                <w:lang w:val="en-US" w:eastAsia="zh-CN"/>
              </w:rPr>
              <w:t>18</w:t>
            </w:r>
          </w:p>
        </w:tc>
        <w:tc>
          <w:tcPr>
            <w:tcW w:w="570" w:type="pct"/>
            <w:vMerge w:val="continue"/>
            <w:tcBorders>
              <w:left w:val="single" w:color="auto" w:sz="4" w:space="0"/>
              <w:right w:val="single" w:color="auto" w:sz="4" w:space="0"/>
            </w:tcBorders>
            <w:shd w:val="clear" w:color="auto" w:fill="auto"/>
            <w:vAlign w:val="center"/>
          </w:tcPr>
          <w:p w14:paraId="38352E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2EAF7CD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智能血糖计</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01CA4BC3">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550</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1024A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322505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both"/>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要求数据接入慢病一体化管理系统</w:t>
            </w:r>
          </w:p>
        </w:tc>
      </w:tr>
      <w:tr w14:paraId="16211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27" w:type="dxa"/>
            <w:tcBorders>
              <w:top w:val="single" w:color="auto" w:sz="4" w:space="0"/>
              <w:left w:val="single" w:color="auto" w:sz="4" w:space="0"/>
              <w:bottom w:val="single" w:color="auto" w:sz="4" w:space="0"/>
              <w:right w:val="single" w:color="auto" w:sz="4" w:space="0"/>
            </w:tcBorders>
            <w:shd w:val="clear" w:color="auto" w:fill="auto"/>
            <w:vAlign w:val="center"/>
          </w:tcPr>
          <w:p w14:paraId="261A4B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19</w:t>
            </w:r>
          </w:p>
        </w:tc>
        <w:tc>
          <w:tcPr>
            <w:tcW w:w="570" w:type="pct"/>
            <w:tcBorders>
              <w:top w:val="single" w:color="auto" w:sz="4" w:space="0"/>
              <w:left w:val="single" w:color="auto" w:sz="4" w:space="0"/>
              <w:bottom w:val="single" w:color="auto" w:sz="4" w:space="0"/>
              <w:right w:val="single" w:color="auto" w:sz="4" w:space="0"/>
            </w:tcBorders>
            <w:shd w:val="clear" w:color="auto" w:fill="auto"/>
            <w:vAlign w:val="center"/>
          </w:tcPr>
          <w:p w14:paraId="045DAD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rPr>
                <w:rFonts w:hint="eastAsia" w:ascii="宋体" w:hAnsi="宋体" w:eastAsia="宋体" w:cs="宋体"/>
                <w:i w:val="0"/>
                <w:iCs w:val="0"/>
                <w:color w:val="000000"/>
                <w:sz w:val="24"/>
                <w:szCs w:val="24"/>
                <w:u w:val="none"/>
                <w:lang w:val="en-US" w:eastAsia="zh-CN"/>
              </w:rPr>
            </w:pPr>
          </w:p>
        </w:tc>
        <w:tc>
          <w:tcPr>
            <w:tcW w:w="1515" w:type="pct"/>
            <w:tcBorders>
              <w:top w:val="single" w:color="auto" w:sz="4" w:space="0"/>
              <w:left w:val="single" w:color="auto" w:sz="4" w:space="0"/>
              <w:bottom w:val="single" w:color="auto" w:sz="4" w:space="0"/>
              <w:right w:val="single" w:color="auto" w:sz="4" w:space="0"/>
            </w:tcBorders>
            <w:shd w:val="clear" w:color="auto" w:fill="auto"/>
            <w:vAlign w:val="center"/>
          </w:tcPr>
          <w:p w14:paraId="2A93D2C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智能随访通讯包服务</w:t>
            </w:r>
          </w:p>
        </w:tc>
        <w:tc>
          <w:tcPr>
            <w:tcW w:w="385" w:type="pct"/>
            <w:tcBorders>
              <w:top w:val="single" w:color="auto" w:sz="4" w:space="0"/>
              <w:left w:val="single" w:color="auto" w:sz="4" w:space="0"/>
              <w:bottom w:val="single" w:color="auto" w:sz="4" w:space="0"/>
              <w:right w:val="single" w:color="auto" w:sz="4" w:space="0"/>
            </w:tcBorders>
            <w:shd w:val="clear" w:color="auto" w:fill="auto"/>
            <w:vAlign w:val="center"/>
          </w:tcPr>
          <w:p w14:paraId="5B5A3C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36C3A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1842" w:type="pct"/>
            <w:tcBorders>
              <w:top w:val="single" w:color="auto" w:sz="4" w:space="0"/>
              <w:left w:val="single" w:color="auto" w:sz="4" w:space="0"/>
              <w:bottom w:val="single" w:color="auto" w:sz="4" w:space="0"/>
              <w:right w:val="single" w:color="auto" w:sz="4" w:space="0"/>
            </w:tcBorders>
            <w:shd w:val="clear" w:color="auto" w:fill="auto"/>
            <w:vAlign w:val="center"/>
          </w:tcPr>
          <w:p w14:paraId="56FD23E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提供包含30万通电话和100万条短信。</w:t>
            </w:r>
          </w:p>
        </w:tc>
      </w:tr>
    </w:tbl>
    <w:p w14:paraId="028786B4">
      <w:pPr>
        <w:spacing w:line="360" w:lineRule="auto"/>
        <w:jc w:val="both"/>
        <w:outlineLvl w:val="0"/>
        <w:rPr>
          <w:rFonts w:hint="eastAsia" w:ascii="宋体" w:hAnsi="宋体" w:eastAsia="宋体" w:cs="宋体"/>
          <w:b/>
          <w:sz w:val="24"/>
          <w:szCs w:val="24"/>
          <w:lang w:val="en-US" w:eastAsia="zh-CN"/>
        </w:rPr>
      </w:pPr>
      <w:bookmarkStart w:id="8" w:name="_Toc19040"/>
      <w:r>
        <w:rPr>
          <w:rFonts w:hint="eastAsia" w:ascii="宋体" w:hAnsi="宋体" w:eastAsia="宋体" w:cs="宋体"/>
          <w:b/>
          <w:sz w:val="24"/>
          <w:szCs w:val="24"/>
          <w:lang w:val="en-US" w:eastAsia="zh-CN"/>
        </w:rPr>
        <w:t>四、技术要求</w:t>
      </w:r>
      <w:bookmarkEnd w:id="8"/>
    </w:p>
    <w:p w14:paraId="3BA8EA39">
      <w:pPr>
        <w:numPr>
          <w:ilvl w:val="0"/>
          <w:numId w:val="0"/>
        </w:numPr>
        <w:spacing w:line="360" w:lineRule="auto"/>
        <w:ind w:firstLine="241" w:firstLineChars="100"/>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（一）软件系统</w:t>
      </w:r>
    </w:p>
    <w:p w14:paraId="5CCA27C0">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rPr>
        <w:t>1、智能慢病一体化管理</w:t>
      </w:r>
      <w:r>
        <w:rPr>
          <w:rFonts w:hint="eastAsia" w:ascii="宋体" w:hAnsi="宋体" w:eastAsia="宋体" w:cs="宋体"/>
          <w:b/>
          <w:sz w:val="24"/>
          <w:szCs w:val="24"/>
          <w:lang w:val="en-US" w:eastAsia="zh-CN"/>
        </w:rPr>
        <w:t>系统</w:t>
      </w:r>
    </w:p>
    <w:tbl>
      <w:tblPr>
        <w:tblStyle w:val="8"/>
        <w:tblW w:w="92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710"/>
        <w:gridCol w:w="1444"/>
        <w:gridCol w:w="1228"/>
        <w:gridCol w:w="5199"/>
      </w:tblGrid>
      <w:tr w14:paraId="3C7E5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noWrap w:val="0"/>
            <w:vAlign w:val="center"/>
          </w:tcPr>
          <w:p w14:paraId="5CCD21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一级模块</w:t>
            </w:r>
          </w:p>
        </w:tc>
        <w:tc>
          <w:tcPr>
            <w:tcW w:w="710" w:type="dxa"/>
            <w:noWrap w:val="0"/>
            <w:vAlign w:val="center"/>
          </w:tcPr>
          <w:p w14:paraId="092398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二级模块</w:t>
            </w:r>
          </w:p>
        </w:tc>
        <w:tc>
          <w:tcPr>
            <w:tcW w:w="1444" w:type="dxa"/>
            <w:noWrap w:val="0"/>
            <w:vAlign w:val="center"/>
          </w:tcPr>
          <w:p w14:paraId="7BA4BC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二级模块概述</w:t>
            </w:r>
          </w:p>
        </w:tc>
        <w:tc>
          <w:tcPr>
            <w:tcW w:w="1228" w:type="dxa"/>
            <w:noWrap w:val="0"/>
            <w:vAlign w:val="center"/>
          </w:tcPr>
          <w:p w14:paraId="74AAD0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三级模块</w:t>
            </w:r>
          </w:p>
        </w:tc>
        <w:tc>
          <w:tcPr>
            <w:tcW w:w="5199" w:type="dxa"/>
            <w:noWrap w:val="0"/>
            <w:vAlign w:val="center"/>
          </w:tcPr>
          <w:p w14:paraId="6E388C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功能参数</w:t>
            </w:r>
          </w:p>
        </w:tc>
      </w:tr>
      <w:tr w14:paraId="26CC4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restart"/>
            <w:noWrap w:val="0"/>
            <w:vAlign w:val="center"/>
          </w:tcPr>
          <w:p w14:paraId="0F33B70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慢病一体化管理系统</w:t>
            </w:r>
          </w:p>
        </w:tc>
        <w:tc>
          <w:tcPr>
            <w:tcW w:w="710" w:type="dxa"/>
            <w:vMerge w:val="restart"/>
            <w:noWrap w:val="0"/>
            <w:vAlign w:val="center"/>
          </w:tcPr>
          <w:p w14:paraId="5B46D1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一体化管理系统首页</w:t>
            </w:r>
          </w:p>
        </w:tc>
        <w:tc>
          <w:tcPr>
            <w:tcW w:w="1444" w:type="dxa"/>
            <w:vMerge w:val="restart"/>
            <w:noWrap w:val="0"/>
            <w:vAlign w:val="center"/>
          </w:tcPr>
          <w:p w14:paraId="0AB29F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一体化管理系统首页是系统的整体数据概览页面，帮助医生快速了解系统内管理的居民情况，包括总体数据、各疾病病种的管理数据、居民性别年龄数据、服务管理数据、通知公告。</w:t>
            </w:r>
          </w:p>
        </w:tc>
        <w:tc>
          <w:tcPr>
            <w:tcW w:w="1228" w:type="dxa"/>
            <w:noWrap w:val="0"/>
            <w:vAlign w:val="center"/>
          </w:tcPr>
          <w:p w14:paraId="2739B4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管理数据总览</w:t>
            </w:r>
          </w:p>
        </w:tc>
        <w:tc>
          <w:tcPr>
            <w:tcW w:w="5199" w:type="dxa"/>
            <w:noWrap w:val="0"/>
            <w:vAlign w:val="center"/>
          </w:tcPr>
          <w:p w14:paraId="411C5B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系统需支持对系统中纳入的档案人员总数与管理人员总数进行汇总统计，点击可快速查看对应人员信息。</w:t>
            </w:r>
          </w:p>
        </w:tc>
      </w:tr>
      <w:tr w14:paraId="47C18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8294C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0D7E0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61E058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71878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高血压管理数据概览</w:t>
            </w:r>
          </w:p>
        </w:tc>
        <w:tc>
          <w:tcPr>
            <w:tcW w:w="5199" w:type="dxa"/>
            <w:noWrap w:val="0"/>
            <w:vAlign w:val="center"/>
          </w:tcPr>
          <w:p w14:paraId="013087E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系统需支持对系统中管理的高血压人员情况进行数据统计，点击可快速查看对应人员信息。</w:t>
            </w:r>
          </w:p>
        </w:tc>
      </w:tr>
      <w:tr w14:paraId="4420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3E327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5C78D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CCBFC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0B6BA2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糖尿病管理数据概览</w:t>
            </w:r>
          </w:p>
        </w:tc>
        <w:tc>
          <w:tcPr>
            <w:tcW w:w="5199" w:type="dxa"/>
            <w:noWrap w:val="0"/>
            <w:vAlign w:val="center"/>
          </w:tcPr>
          <w:p w14:paraId="096A60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系统需支持对系统中管理的糖尿病人员情况进行数据统计，点击可快速查看对应人员信息。</w:t>
            </w:r>
          </w:p>
        </w:tc>
      </w:tr>
      <w:tr w14:paraId="21D9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489D8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FD42A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8E6D1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72334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4.高脂血症管理数据概览</w:t>
            </w:r>
          </w:p>
        </w:tc>
        <w:tc>
          <w:tcPr>
            <w:tcW w:w="5199" w:type="dxa"/>
            <w:noWrap w:val="0"/>
            <w:vAlign w:val="center"/>
          </w:tcPr>
          <w:p w14:paraId="7D0CA30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系统需支持对系统中管理的高脂血症人员情况进行数据统计，点击可快速查看对应人员信息。</w:t>
            </w:r>
          </w:p>
        </w:tc>
      </w:tr>
      <w:tr w14:paraId="6D2F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D5A30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5F713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F62D7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86C69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5.冠心病管理数据概览</w:t>
            </w:r>
          </w:p>
        </w:tc>
        <w:tc>
          <w:tcPr>
            <w:tcW w:w="5199" w:type="dxa"/>
            <w:noWrap w:val="0"/>
            <w:vAlign w:val="center"/>
          </w:tcPr>
          <w:p w14:paraId="528A41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系统需支持对系统中管理的冠心病人员情况进行数据统计，点击可快速查看对应人员信息。</w:t>
            </w:r>
          </w:p>
        </w:tc>
      </w:tr>
      <w:tr w14:paraId="1B524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80876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6724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445C9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F41BA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6.脑卒中管理数据概览</w:t>
            </w:r>
          </w:p>
        </w:tc>
        <w:tc>
          <w:tcPr>
            <w:tcW w:w="5199" w:type="dxa"/>
            <w:noWrap w:val="0"/>
            <w:vAlign w:val="center"/>
          </w:tcPr>
          <w:p w14:paraId="170243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系统需支持对系统中管理的脑卒中人员情况进行数据统计，点击可快速查看对应人员信息。</w:t>
            </w:r>
          </w:p>
        </w:tc>
      </w:tr>
      <w:tr w14:paraId="0EDA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41753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61D49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C3B23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D690A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7.慢阻肺管理数据概览</w:t>
            </w:r>
          </w:p>
        </w:tc>
        <w:tc>
          <w:tcPr>
            <w:tcW w:w="5199" w:type="dxa"/>
            <w:noWrap w:val="0"/>
            <w:vAlign w:val="center"/>
          </w:tcPr>
          <w:p w14:paraId="354B9F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系统需支持对系统中管理的慢阻肺人员情况进行数据统计，点击可快速查看对应人员信息。</w:t>
            </w:r>
          </w:p>
        </w:tc>
      </w:tr>
      <w:tr w14:paraId="5C46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D8F7B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3A13A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0A208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A85E0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8.慢性肾脏病管理数据概览</w:t>
            </w:r>
          </w:p>
        </w:tc>
        <w:tc>
          <w:tcPr>
            <w:tcW w:w="5199" w:type="dxa"/>
            <w:noWrap w:val="0"/>
            <w:vAlign w:val="center"/>
          </w:tcPr>
          <w:p w14:paraId="5FAFBF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系统需支持对系统中管理的慢性肾脏病人员情况进行数据统计，点击可快速查看对应人员信息。</w:t>
            </w:r>
          </w:p>
        </w:tc>
      </w:tr>
      <w:tr w14:paraId="682B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687" w:type="dxa"/>
            <w:vMerge w:val="continue"/>
            <w:noWrap w:val="0"/>
            <w:vAlign w:val="center"/>
          </w:tcPr>
          <w:p w14:paraId="757E73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E7B07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2F23C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A574E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9.快捷应管尽管待办</w:t>
            </w:r>
          </w:p>
        </w:tc>
        <w:tc>
          <w:tcPr>
            <w:tcW w:w="5199" w:type="dxa"/>
            <w:noWrap w:val="0"/>
            <w:vAlign w:val="center"/>
          </w:tcPr>
          <w:p w14:paraId="474299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系统需支持与系统内应管尽管任务进行关联，点击后可快速查看应管尽管待办内容。</w:t>
            </w:r>
          </w:p>
        </w:tc>
      </w:tr>
      <w:tr w14:paraId="3D1E6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687" w:type="dxa"/>
            <w:vMerge w:val="continue"/>
            <w:noWrap w:val="0"/>
            <w:vAlign w:val="center"/>
          </w:tcPr>
          <w:p w14:paraId="299ABE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82E0E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6CFE2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6C99F1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10.快捷双向转诊待办</w:t>
            </w:r>
          </w:p>
        </w:tc>
        <w:tc>
          <w:tcPr>
            <w:tcW w:w="5199" w:type="dxa"/>
            <w:noWrap w:val="0"/>
            <w:vAlign w:val="center"/>
          </w:tcPr>
          <w:p w14:paraId="234DF7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系统需支持与系统内双向转诊任务进行关联，点击后可快速查看双向转诊待办内容。</w:t>
            </w:r>
          </w:p>
        </w:tc>
      </w:tr>
      <w:tr w14:paraId="6A3B9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687" w:type="dxa"/>
            <w:vMerge w:val="continue"/>
            <w:noWrap w:val="0"/>
            <w:vAlign w:val="center"/>
          </w:tcPr>
          <w:p w14:paraId="103B1E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EB52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3D2C3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80107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11.快捷协同管理待办</w:t>
            </w:r>
          </w:p>
        </w:tc>
        <w:tc>
          <w:tcPr>
            <w:tcW w:w="5199" w:type="dxa"/>
            <w:noWrap w:val="0"/>
            <w:vAlign w:val="center"/>
          </w:tcPr>
          <w:p w14:paraId="491F07A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系统需支持与系统内协同管理任务进行关联，点击后可快速查看协同管理待办内容。</w:t>
            </w:r>
          </w:p>
        </w:tc>
      </w:tr>
      <w:tr w14:paraId="04FE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trPr>
        <w:tc>
          <w:tcPr>
            <w:tcW w:w="687" w:type="dxa"/>
            <w:vMerge w:val="continue"/>
            <w:noWrap w:val="0"/>
            <w:vAlign w:val="center"/>
          </w:tcPr>
          <w:p w14:paraId="11401B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2A640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416AE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852A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12.快捷脱落患者待办</w:t>
            </w:r>
          </w:p>
        </w:tc>
        <w:tc>
          <w:tcPr>
            <w:tcW w:w="5199" w:type="dxa"/>
            <w:noWrap w:val="0"/>
            <w:vAlign w:val="center"/>
          </w:tcPr>
          <w:p w14:paraId="78665B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系统需支持与系统内脱落患者任务进行关联，点击后可快速查看脱落患者待办内容。</w:t>
            </w:r>
          </w:p>
        </w:tc>
      </w:tr>
      <w:tr w14:paraId="33800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B1ADF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0EEAD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E566F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57687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13.快捷控制目标待办</w:t>
            </w:r>
          </w:p>
        </w:tc>
        <w:tc>
          <w:tcPr>
            <w:tcW w:w="5199" w:type="dxa"/>
            <w:noWrap w:val="0"/>
            <w:vAlign w:val="center"/>
          </w:tcPr>
          <w:p w14:paraId="121EAA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系统需支持与系统内慢病控制目标任务进行关联，点击后可快速查看慢病控制目标待办内容。</w:t>
            </w:r>
          </w:p>
        </w:tc>
      </w:tr>
      <w:tr w14:paraId="13A8B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BF6C4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F35B2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F9E75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C42E0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14.快捷健康处方待办</w:t>
            </w:r>
          </w:p>
        </w:tc>
        <w:tc>
          <w:tcPr>
            <w:tcW w:w="5199" w:type="dxa"/>
            <w:noWrap w:val="0"/>
            <w:vAlign w:val="center"/>
          </w:tcPr>
          <w:p w14:paraId="6600D4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系统需支持与系统内慢病健康处方任务进行关联，点击后可快速查看慢病健康处方待办内容。</w:t>
            </w:r>
          </w:p>
        </w:tc>
      </w:tr>
      <w:tr w14:paraId="15B2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8CECA7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89913C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91AB1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56ED2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高血压危险分级</w:t>
            </w:r>
          </w:p>
        </w:tc>
        <w:tc>
          <w:tcPr>
            <w:tcW w:w="5199" w:type="dxa"/>
            <w:noWrap w:val="0"/>
            <w:vAlign w:val="center"/>
          </w:tcPr>
          <w:p w14:paraId="13B65C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系统需支持对系统内高血压绿标、黄标、红标进行汇总统计，点击可快速查看对应标的人员信息。</w:t>
            </w:r>
          </w:p>
        </w:tc>
      </w:tr>
      <w:tr w14:paraId="6D5A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77E5C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E73AB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435F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171D3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血压测量管理概览</w:t>
            </w:r>
          </w:p>
        </w:tc>
        <w:tc>
          <w:tcPr>
            <w:tcW w:w="5199" w:type="dxa"/>
            <w:noWrap w:val="0"/>
            <w:vAlign w:val="center"/>
          </w:tcPr>
          <w:p w14:paraId="3DC2DC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系统需支持对系统血压测量结果进行自动分类，包括连续高危、连续不达标、高危随访异常、长期未测量，点击可快速查看对应人员信息。</w:t>
            </w:r>
          </w:p>
        </w:tc>
      </w:tr>
      <w:tr w14:paraId="1F61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E077E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7BC4A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6D5BA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F00D37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糖尿病危险分级</w:t>
            </w:r>
          </w:p>
        </w:tc>
        <w:tc>
          <w:tcPr>
            <w:tcW w:w="5199" w:type="dxa"/>
            <w:noWrap w:val="0"/>
            <w:vAlign w:val="center"/>
          </w:tcPr>
          <w:p w14:paraId="78C701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系统需支持对系统内糖尿病绿标、黄标、红标进行汇总统计，点击可快速查看对应标的人员信息。</w:t>
            </w:r>
          </w:p>
        </w:tc>
      </w:tr>
      <w:tr w14:paraId="49C44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94182B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5537C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F3BA2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92616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血糖测量管理概览</w:t>
            </w:r>
          </w:p>
        </w:tc>
        <w:tc>
          <w:tcPr>
            <w:tcW w:w="5199" w:type="dxa"/>
            <w:noWrap w:val="0"/>
            <w:vAlign w:val="center"/>
          </w:tcPr>
          <w:p w14:paraId="36F49B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系统需支持对系统血糖测量结果进行自动分类，包括但血糖危急、连续不达标、高危随访异常、长期未测量，点击可快速查看对应人员信息。</w:t>
            </w:r>
          </w:p>
        </w:tc>
      </w:tr>
      <w:tr w14:paraId="33251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1FDE7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D1427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4077C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47152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慢病共患分析</w:t>
            </w:r>
          </w:p>
        </w:tc>
        <w:tc>
          <w:tcPr>
            <w:tcW w:w="5199" w:type="dxa"/>
            <w:noWrap w:val="0"/>
            <w:vAlign w:val="center"/>
          </w:tcPr>
          <w:p w14:paraId="349BFC1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系统需支持对管理人员的慢病共患情况进行进一步分析，可配置病种查阅单病种、多病种患病人员数量，快捷展示疾病共患情况。</w:t>
            </w:r>
          </w:p>
        </w:tc>
      </w:tr>
      <w:tr w14:paraId="61D6E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D4A16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EFBDD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57B27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CC975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在管居民性别分布</w:t>
            </w:r>
          </w:p>
        </w:tc>
        <w:tc>
          <w:tcPr>
            <w:tcW w:w="5199" w:type="dxa"/>
            <w:noWrap w:val="0"/>
            <w:vAlign w:val="center"/>
          </w:tcPr>
          <w:p w14:paraId="13181C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系统需支持对在管居民的性别分布情况进行统计，支持按疾病单病种分别查阅人员性别情况。</w:t>
            </w:r>
          </w:p>
        </w:tc>
      </w:tr>
      <w:tr w14:paraId="59D1E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D02FC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B676C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340D5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1C227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在管居民年龄分布</w:t>
            </w:r>
          </w:p>
        </w:tc>
        <w:tc>
          <w:tcPr>
            <w:tcW w:w="5199" w:type="dxa"/>
            <w:noWrap w:val="0"/>
            <w:vAlign w:val="center"/>
          </w:tcPr>
          <w:p w14:paraId="57FC1A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系统需支持对在管居民的年龄分布情况进行统计。</w:t>
            </w:r>
          </w:p>
        </w:tc>
      </w:tr>
      <w:tr w14:paraId="41191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84CD9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1F59D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3EDEA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19BEF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随访数据快捷统计</w:t>
            </w:r>
          </w:p>
        </w:tc>
        <w:tc>
          <w:tcPr>
            <w:tcW w:w="5199" w:type="dxa"/>
            <w:noWrap w:val="0"/>
            <w:vAlign w:val="center"/>
          </w:tcPr>
          <w:p w14:paraId="251E2B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系统需支持对使用各类型服务手段</w:t>
            </w:r>
            <w:r>
              <w:rPr>
                <w:rFonts w:hint="eastAsia" w:ascii="宋体" w:hAnsi="宋体" w:eastAsia="宋体" w:cs="宋体"/>
                <w:sz w:val="24"/>
                <w:szCs w:val="24"/>
                <w:lang w:val="en-US" w:eastAsia="zh-CN"/>
              </w:rPr>
              <w:t>进行</w:t>
            </w:r>
            <w:r>
              <w:rPr>
                <w:rFonts w:hint="eastAsia" w:ascii="宋体" w:hAnsi="宋体" w:eastAsia="宋体" w:cs="宋体"/>
                <w:sz w:val="24"/>
                <w:szCs w:val="24"/>
              </w:rPr>
              <w:t>使用量</w:t>
            </w:r>
            <w:r>
              <w:rPr>
                <w:rFonts w:hint="eastAsia" w:ascii="宋体" w:hAnsi="宋体" w:eastAsia="宋体" w:cs="宋体"/>
                <w:sz w:val="24"/>
                <w:szCs w:val="24"/>
                <w:lang w:val="en-US" w:eastAsia="zh-CN"/>
              </w:rPr>
              <w:t>的</w:t>
            </w:r>
            <w:r>
              <w:rPr>
                <w:rFonts w:hint="eastAsia" w:ascii="宋体" w:hAnsi="宋体" w:eastAsia="宋体" w:cs="宋体"/>
                <w:sz w:val="24"/>
                <w:szCs w:val="24"/>
              </w:rPr>
              <w:t>分析，包括服务总量、AI电话量、AI短信量、AI问卷量、人工随访量。</w:t>
            </w:r>
          </w:p>
        </w:tc>
      </w:tr>
      <w:tr w14:paraId="63A30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E9CCC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F4D925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121A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81172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近1月服务总量趋势图</w:t>
            </w:r>
          </w:p>
        </w:tc>
        <w:tc>
          <w:tcPr>
            <w:tcW w:w="5199" w:type="dxa"/>
            <w:noWrap w:val="0"/>
            <w:vAlign w:val="center"/>
          </w:tcPr>
          <w:p w14:paraId="51F5090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系统需支持展示近一月服务总量的数据趋势图。</w:t>
            </w:r>
          </w:p>
        </w:tc>
      </w:tr>
      <w:tr w14:paraId="3F804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21132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52480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FBF98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0C432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新手帮助</w:t>
            </w:r>
          </w:p>
        </w:tc>
        <w:tc>
          <w:tcPr>
            <w:tcW w:w="5199" w:type="dxa"/>
            <w:noWrap w:val="0"/>
            <w:vAlign w:val="center"/>
          </w:tcPr>
          <w:p w14:paraId="2C7FAD8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系统需支持用户新手帮助功能，提供系统操作说明书和部分功能操作演示视频。</w:t>
            </w:r>
          </w:p>
        </w:tc>
      </w:tr>
      <w:tr w14:paraId="5A093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9344D1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7EB4D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426A2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DC006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意见反馈</w:t>
            </w:r>
          </w:p>
        </w:tc>
        <w:tc>
          <w:tcPr>
            <w:tcW w:w="5199" w:type="dxa"/>
            <w:noWrap w:val="0"/>
            <w:vAlign w:val="center"/>
          </w:tcPr>
          <w:p w14:paraId="0F5423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系统需支持用户反馈应用过程中的建议</w:t>
            </w:r>
            <w:r>
              <w:rPr>
                <w:rFonts w:hint="eastAsia" w:ascii="宋体" w:hAnsi="宋体" w:eastAsia="宋体" w:cs="宋体"/>
                <w:sz w:val="24"/>
                <w:szCs w:val="24"/>
                <w:lang w:val="en-US" w:eastAsia="zh-CN"/>
              </w:rPr>
              <w:t>和</w:t>
            </w:r>
            <w:r>
              <w:rPr>
                <w:rFonts w:hint="eastAsia" w:ascii="宋体" w:hAnsi="宋体" w:eastAsia="宋体" w:cs="宋体"/>
                <w:sz w:val="24"/>
                <w:szCs w:val="24"/>
              </w:rPr>
              <w:t>问题，提交到后台由</w:t>
            </w:r>
            <w:r>
              <w:rPr>
                <w:rFonts w:hint="eastAsia" w:ascii="宋体" w:hAnsi="宋体" w:eastAsia="宋体" w:cs="宋体"/>
                <w:sz w:val="24"/>
                <w:szCs w:val="24"/>
                <w:lang w:val="en-US" w:eastAsia="zh-CN"/>
              </w:rPr>
              <w:t>管理</w:t>
            </w:r>
            <w:r>
              <w:rPr>
                <w:rFonts w:hint="eastAsia" w:ascii="宋体" w:hAnsi="宋体" w:eastAsia="宋体" w:cs="宋体"/>
                <w:sz w:val="24"/>
                <w:szCs w:val="24"/>
              </w:rPr>
              <w:t>人员进行跟进解决。</w:t>
            </w:r>
          </w:p>
        </w:tc>
      </w:tr>
      <w:tr w14:paraId="6952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B0B3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8A15EC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E6930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0CE4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通知公告</w:t>
            </w:r>
          </w:p>
        </w:tc>
        <w:tc>
          <w:tcPr>
            <w:tcW w:w="5199" w:type="dxa"/>
            <w:noWrap w:val="0"/>
            <w:vAlign w:val="center"/>
          </w:tcPr>
          <w:p w14:paraId="1C23F9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系统需支持面向使用用户进行通知宣传，展示通知公告。</w:t>
            </w:r>
          </w:p>
        </w:tc>
      </w:tr>
      <w:tr w14:paraId="5D6AB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1883D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681C6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A2107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D6825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27.快捷居民邀约入口</w:t>
            </w:r>
          </w:p>
        </w:tc>
        <w:tc>
          <w:tcPr>
            <w:tcW w:w="5199" w:type="dxa"/>
            <w:noWrap w:val="0"/>
            <w:vAlign w:val="center"/>
          </w:tcPr>
          <w:p w14:paraId="15C2DD7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系统需支持对居民发起快捷批量邀约，点击立即邀约，选择通知内容后导入居民列表，点击执行，即可发起邀约。</w:t>
            </w:r>
          </w:p>
        </w:tc>
      </w:tr>
      <w:tr w14:paraId="5E59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8DB7BC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E27F08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FF836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41242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28.档案变更提醒</w:t>
            </w:r>
          </w:p>
        </w:tc>
        <w:tc>
          <w:tcPr>
            <w:tcW w:w="5199" w:type="dxa"/>
            <w:noWrap w:val="0"/>
            <w:vAlign w:val="center"/>
          </w:tcPr>
          <w:p w14:paraId="320B69D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系统需对系统中档案待迁入迁出的人员情况进行数据统计，支持与系统内档案变更情况进行关联，点击后待迁入和待迁出可快速查看对应居民列表。</w:t>
            </w:r>
          </w:p>
        </w:tc>
      </w:tr>
      <w:tr w14:paraId="31A94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589ED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25345F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诊前服务</w:t>
            </w:r>
          </w:p>
        </w:tc>
        <w:tc>
          <w:tcPr>
            <w:tcW w:w="1444" w:type="dxa"/>
            <w:vMerge w:val="restart"/>
            <w:noWrap w:val="0"/>
            <w:vAlign w:val="center"/>
          </w:tcPr>
          <w:p w14:paraId="60374B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诊前服务模块是面向患者在诊前阶段重点服务内容的功能集合页面，让医生快速了解当前患者诊前待办的服务内容并支持快捷执行。</w:t>
            </w:r>
          </w:p>
        </w:tc>
        <w:tc>
          <w:tcPr>
            <w:tcW w:w="1228" w:type="dxa"/>
            <w:noWrap w:val="0"/>
            <w:vAlign w:val="center"/>
          </w:tcPr>
          <w:p w14:paraId="7C2D37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居民查询</w:t>
            </w:r>
          </w:p>
        </w:tc>
        <w:tc>
          <w:tcPr>
            <w:tcW w:w="5199" w:type="dxa"/>
            <w:noWrap w:val="0"/>
            <w:vAlign w:val="center"/>
          </w:tcPr>
          <w:p w14:paraId="6CA93E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系统需支持通过居民姓名、手机号码、身份证号码，在系统内模糊查询到该居民的诊前服务信息。</w:t>
            </w:r>
          </w:p>
        </w:tc>
      </w:tr>
      <w:tr w14:paraId="654B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58433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AA23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139E1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21CC7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2.公卫签约</w:t>
            </w:r>
          </w:p>
        </w:tc>
        <w:tc>
          <w:tcPr>
            <w:tcW w:w="5199" w:type="dxa"/>
            <w:noWrap w:val="0"/>
            <w:vAlign w:val="center"/>
          </w:tcPr>
          <w:p w14:paraId="07524B8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w:t>
            </w:r>
            <w:r>
              <w:rPr>
                <w:rFonts w:hint="eastAsia" w:ascii="宋体" w:hAnsi="宋体" w:eastAsia="宋体" w:cs="宋体"/>
                <w:sz w:val="24"/>
                <w:szCs w:val="24"/>
                <w:lang w:val="en-US" w:eastAsia="zh-CN"/>
              </w:rPr>
              <w:t>需</w:t>
            </w:r>
            <w:r>
              <w:rPr>
                <w:rFonts w:hint="eastAsia" w:ascii="宋体" w:hAnsi="宋体" w:eastAsia="宋体" w:cs="宋体"/>
                <w:i w:val="0"/>
                <w:iCs w:val="0"/>
                <w:color w:val="000000"/>
                <w:kern w:val="0"/>
                <w:sz w:val="24"/>
                <w:szCs w:val="24"/>
                <w:u w:val="none"/>
                <w:lang w:val="en-US" w:eastAsia="zh-CN" w:bidi="ar"/>
              </w:rPr>
              <w:t>支持诊前快捷跳转对应居民公卫签约页面，补充签约信息后，即可跳转对应履约信息页</w:t>
            </w:r>
          </w:p>
        </w:tc>
      </w:tr>
      <w:tr w14:paraId="3B28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0968E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C2451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BFA82E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5A97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健康体征录入</w:t>
            </w:r>
          </w:p>
        </w:tc>
        <w:tc>
          <w:tcPr>
            <w:tcW w:w="5199" w:type="dxa"/>
            <w:noWrap w:val="0"/>
            <w:vAlign w:val="center"/>
          </w:tcPr>
          <w:p w14:paraId="243A0A8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系统需支持查看居民最新血压、血糖、身高、体重、腰围健康体征指标信息，支持手动录入或通过已对接的健康一体机测量上述指标，完成体征录诊前服务待办。</w:t>
            </w:r>
          </w:p>
        </w:tc>
      </w:tr>
      <w:tr w14:paraId="6C91E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1BD4F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CE94B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FB401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73C5A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制定控制目标</w:t>
            </w:r>
          </w:p>
        </w:tc>
        <w:tc>
          <w:tcPr>
            <w:tcW w:w="5199" w:type="dxa"/>
            <w:noWrap w:val="0"/>
            <w:vAlign w:val="center"/>
          </w:tcPr>
          <w:p w14:paraId="76A89DA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系统需支持用户针对慢病患者制定个性化控目标，目标参数包括：血压目标、血糖目标、糖化血红蛋白目标、血脂目标、BMI目标。</w:t>
            </w:r>
          </w:p>
        </w:tc>
      </w:tr>
      <w:tr w14:paraId="65CB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6A2F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18B94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9614D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ADA86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就诊指引打印</w:t>
            </w:r>
          </w:p>
        </w:tc>
        <w:tc>
          <w:tcPr>
            <w:tcW w:w="5199" w:type="dxa"/>
            <w:noWrap w:val="0"/>
            <w:vAlign w:val="center"/>
          </w:tcPr>
          <w:p w14:paraId="366AB2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系统需支持汇总展示居民当前待办服务信息、健康体征信息、健康评估信息、慢病用药建议信息、近期血压血糖情况就诊指引信息，支持打印并完成就诊指引服务。</w:t>
            </w:r>
          </w:p>
        </w:tc>
      </w:tr>
      <w:tr w14:paraId="36EDD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4F177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CB1A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45213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AFDCF4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6.评估报告打印</w:t>
            </w:r>
          </w:p>
        </w:tc>
        <w:tc>
          <w:tcPr>
            <w:tcW w:w="5199" w:type="dxa"/>
            <w:noWrap w:val="0"/>
            <w:vAlign w:val="center"/>
          </w:tcPr>
          <w:p w14:paraId="2B396D6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系统需支持汇总展示居民当前健康体征信息、健康评估信息、近期血压血糖情况</w:t>
            </w:r>
            <w:r>
              <w:rPr>
                <w:rFonts w:hint="eastAsia" w:ascii="宋体" w:hAnsi="宋体" w:cs="宋体"/>
                <w:i w:val="0"/>
                <w:iCs w:val="0"/>
                <w:color w:val="000000"/>
                <w:kern w:val="0"/>
                <w:sz w:val="24"/>
                <w:szCs w:val="24"/>
                <w:u w:val="none"/>
                <w:lang w:val="en-US" w:eastAsia="zh-CN" w:bidi="ar"/>
              </w:rPr>
              <w:t>信息</w:t>
            </w:r>
            <w:r>
              <w:rPr>
                <w:rFonts w:hint="eastAsia" w:ascii="宋体" w:hAnsi="宋体" w:eastAsia="宋体" w:cs="宋体"/>
                <w:i w:val="0"/>
                <w:iCs w:val="0"/>
                <w:color w:val="000000"/>
                <w:kern w:val="0"/>
                <w:sz w:val="24"/>
                <w:szCs w:val="24"/>
                <w:u w:val="none"/>
                <w:lang w:val="en-US" w:eastAsia="zh-CN" w:bidi="ar"/>
              </w:rPr>
              <w:t>，支持打印。</w:t>
            </w:r>
          </w:p>
        </w:tc>
      </w:tr>
      <w:tr w14:paraId="5BAD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BD91E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E6C7B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333DF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A0E84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易患慢病评估</w:t>
            </w:r>
          </w:p>
        </w:tc>
        <w:tc>
          <w:tcPr>
            <w:tcW w:w="5199" w:type="dxa"/>
            <w:noWrap w:val="0"/>
            <w:vAlign w:val="center"/>
          </w:tcPr>
          <w:p w14:paraId="4E0B36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系统需支持通过系统内患者最新健康信息，自动进行高血压、糖尿病慢病患病风险评估，识别高危易患居民。</w:t>
            </w:r>
          </w:p>
        </w:tc>
      </w:tr>
      <w:tr w14:paraId="397DE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A0F3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AB25A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C2201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01222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心血管病当前风险评估</w:t>
            </w:r>
          </w:p>
        </w:tc>
        <w:tc>
          <w:tcPr>
            <w:tcW w:w="5199" w:type="dxa"/>
            <w:noWrap w:val="0"/>
            <w:vAlign w:val="center"/>
          </w:tcPr>
          <w:p w14:paraId="3491A2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系统需支持通过系统内患者最新健康信息，自动进行高血压、糖尿病慢病患者的心血管病当前发病风险评估，提示居民和医生及时关注并干预治疗。</w:t>
            </w:r>
          </w:p>
        </w:tc>
      </w:tr>
      <w:tr w14:paraId="63A48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11E94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4BC40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961DF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255503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心血管病 10年风险评估</w:t>
            </w:r>
          </w:p>
        </w:tc>
        <w:tc>
          <w:tcPr>
            <w:tcW w:w="5199" w:type="dxa"/>
            <w:noWrap w:val="0"/>
            <w:vAlign w:val="center"/>
          </w:tcPr>
          <w:p w14:paraId="527295F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系统需支持通过系统内患者最新健康信息，自动进行心血管病10年发病风险评估，同时通过摘要显示危险因素、10年发病风险、与同龄人的风险比较、积极干预的效果关键评估信息</w:t>
            </w:r>
            <w:r>
              <w:rPr>
                <w:rFonts w:hint="eastAsia" w:ascii="宋体" w:hAnsi="宋体" w:eastAsia="宋体" w:cs="宋体"/>
                <w:sz w:val="24"/>
                <w:szCs w:val="24"/>
                <w:lang w:eastAsia="zh-CN"/>
              </w:rPr>
              <w:t>，提</w:t>
            </w:r>
            <w:r>
              <w:rPr>
                <w:rFonts w:hint="eastAsia" w:ascii="宋体" w:hAnsi="宋体" w:eastAsia="宋体" w:cs="宋体"/>
                <w:sz w:val="24"/>
                <w:szCs w:val="24"/>
              </w:rPr>
              <w:t>示居民和医生及时关注并干预治疗。</w:t>
            </w:r>
          </w:p>
        </w:tc>
      </w:tr>
      <w:tr w14:paraId="647EF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291D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92CE1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24CDE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E0649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个性化筛查待办</w:t>
            </w:r>
          </w:p>
        </w:tc>
        <w:tc>
          <w:tcPr>
            <w:tcW w:w="5199" w:type="dxa"/>
            <w:noWrap w:val="0"/>
            <w:vAlign w:val="center"/>
          </w:tcPr>
          <w:p w14:paraId="75B3F9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系统需支持通过系统内患者最新健康信息，按照高血压、糖尿病的筛查管理要求，对于普通患者自动生成待筛查任务，支持点击跳转筛查记录表。</w:t>
            </w:r>
          </w:p>
        </w:tc>
      </w:tr>
      <w:tr w14:paraId="6BDF8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8701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EBE8A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8AEC5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5D078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慢病随访待办</w:t>
            </w:r>
          </w:p>
        </w:tc>
        <w:tc>
          <w:tcPr>
            <w:tcW w:w="5199" w:type="dxa"/>
            <w:noWrap w:val="0"/>
            <w:vAlign w:val="center"/>
          </w:tcPr>
          <w:p w14:paraId="63B6B8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已双向对接公卫随访的区域，系统需支持直接在诊前服务模块，查看居民当前待办高血压、糖尿病慢病随访待办任务，支持直接在诊前服务模块完成慢病随访信息记录，信息自动同步至公卫系统中。</w:t>
            </w:r>
          </w:p>
        </w:tc>
      </w:tr>
      <w:tr w14:paraId="4D8FE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F4F2B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08C1B5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DC1B2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0FBE7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随访引用系统数据</w:t>
            </w:r>
          </w:p>
        </w:tc>
        <w:tc>
          <w:tcPr>
            <w:tcW w:w="5199" w:type="dxa"/>
            <w:noWrap w:val="0"/>
            <w:vAlign w:val="center"/>
          </w:tcPr>
          <w:p w14:paraId="3BD5A7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系统需支持自动汇聚居民当前可用症状、体征、生活方式、用药情况慢病随访关键信息，支持一键引用填充至随访表单中，高效完成本次随访内容填写。</w:t>
            </w:r>
          </w:p>
        </w:tc>
      </w:tr>
      <w:tr w14:paraId="2BE06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609BE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7CF4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2E04C8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BDEE0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随访查看诊疗记录</w:t>
            </w:r>
          </w:p>
        </w:tc>
        <w:tc>
          <w:tcPr>
            <w:tcW w:w="5199" w:type="dxa"/>
            <w:noWrap w:val="0"/>
            <w:vAlign w:val="center"/>
          </w:tcPr>
          <w:p w14:paraId="7120128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系统需支持调阅查看获取到的患者近期诊疗记录表，包括主诉、现病史、诊断、用药关键信息</w:t>
            </w:r>
            <w:r>
              <w:rPr>
                <w:rFonts w:hint="eastAsia" w:ascii="宋体" w:hAnsi="宋体" w:eastAsia="宋体" w:cs="宋体"/>
                <w:sz w:val="24"/>
                <w:szCs w:val="24"/>
                <w:lang w:eastAsia="zh-CN"/>
              </w:rPr>
              <w:t>。</w:t>
            </w:r>
          </w:p>
        </w:tc>
      </w:tr>
      <w:tr w14:paraId="74623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246C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25F94D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慢病人员管理</w:t>
            </w:r>
          </w:p>
        </w:tc>
        <w:tc>
          <w:tcPr>
            <w:tcW w:w="1444" w:type="dxa"/>
            <w:vMerge w:val="restart"/>
            <w:noWrap w:val="0"/>
            <w:vAlign w:val="center"/>
          </w:tcPr>
          <w:p w14:paraId="3D40A2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慢病人员管理是对系统内全民居民数据进行聚合管理的功能模块，是各项业务服务的人员数据基础，支持面向居民开展档案增、删、改、查、状态变更、疾病筛查、疾病随访各项服务内容。</w:t>
            </w:r>
          </w:p>
        </w:tc>
        <w:tc>
          <w:tcPr>
            <w:tcW w:w="1228" w:type="dxa"/>
            <w:noWrap w:val="0"/>
            <w:vAlign w:val="center"/>
          </w:tcPr>
          <w:p w14:paraId="21368E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聚合档案列表</w:t>
            </w:r>
          </w:p>
        </w:tc>
        <w:tc>
          <w:tcPr>
            <w:tcW w:w="5199" w:type="dxa"/>
            <w:noWrap w:val="0"/>
            <w:vAlign w:val="center"/>
          </w:tcPr>
          <w:p w14:paraId="45E74A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系统需支持档案管理模块中包含系统在管全部居民的信息档案内容，进行居民数据统一汇集。</w:t>
            </w:r>
          </w:p>
        </w:tc>
      </w:tr>
      <w:tr w14:paraId="30078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1DD1C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F4CF7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C365A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7E53AC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居民查询</w:t>
            </w:r>
          </w:p>
        </w:tc>
        <w:tc>
          <w:tcPr>
            <w:tcW w:w="5199" w:type="dxa"/>
            <w:noWrap w:val="0"/>
            <w:vAlign w:val="center"/>
          </w:tcPr>
          <w:p w14:paraId="29EFCBB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系统需支持按照居民姓名、联系电话、疾病标签、危险分级条件定向查询。</w:t>
            </w:r>
          </w:p>
        </w:tc>
      </w:tr>
      <w:tr w14:paraId="22C6B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CE2C1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EDFE2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E055A7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C4104E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居民导出</w:t>
            </w:r>
          </w:p>
        </w:tc>
        <w:tc>
          <w:tcPr>
            <w:tcW w:w="5199" w:type="dxa"/>
            <w:noWrap w:val="0"/>
            <w:vAlign w:val="center"/>
          </w:tcPr>
          <w:p w14:paraId="4023A6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系统需支持按照系统字段一键导出选择的居民列表EXCEL。</w:t>
            </w:r>
          </w:p>
        </w:tc>
      </w:tr>
      <w:tr w14:paraId="486F3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438AA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2194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83B30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7DDFD9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4.居民新增</w:t>
            </w:r>
          </w:p>
        </w:tc>
        <w:tc>
          <w:tcPr>
            <w:tcW w:w="5199" w:type="dxa"/>
            <w:noWrap w:val="0"/>
            <w:vAlign w:val="center"/>
          </w:tcPr>
          <w:p w14:paraId="4F5A4C4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系统需支持用户新增居民信息，可进行单个人员新增或批量新增。</w:t>
            </w:r>
          </w:p>
        </w:tc>
      </w:tr>
      <w:tr w14:paraId="17EFC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A89DF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344D0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10524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5BFEF5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5.批量新增患者</w:t>
            </w:r>
          </w:p>
        </w:tc>
        <w:tc>
          <w:tcPr>
            <w:tcW w:w="5199" w:type="dxa"/>
            <w:noWrap w:val="0"/>
            <w:vAlign w:val="center"/>
          </w:tcPr>
          <w:p w14:paraId="6F3F674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系统需支持用户下载模板进行导入，批量新增慢病患者及慢病管理信息，进行新增时需填写居民基本信息与所患慢病管理信息。</w:t>
            </w:r>
          </w:p>
        </w:tc>
      </w:tr>
      <w:tr w14:paraId="32D8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D077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DBD9F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1E14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84AE5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批量筛查</w:t>
            </w:r>
          </w:p>
        </w:tc>
        <w:tc>
          <w:tcPr>
            <w:tcW w:w="5199" w:type="dxa"/>
            <w:noWrap w:val="0"/>
            <w:vAlign w:val="center"/>
          </w:tcPr>
          <w:p w14:paraId="6A556B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系统需支持在居民列表中单个和批量选择居民，批量发起AI筛查，支持筛查病种的快速选择，支持选择AI电话、问卷筛查方式的选择，支持执行时间、重播次数的设定。</w:t>
            </w:r>
          </w:p>
        </w:tc>
      </w:tr>
      <w:tr w14:paraId="0BEE8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F9EF3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48B9F9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217FE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D2060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筛查居民自动过滤</w:t>
            </w:r>
          </w:p>
        </w:tc>
        <w:tc>
          <w:tcPr>
            <w:tcW w:w="5199" w:type="dxa"/>
            <w:noWrap w:val="0"/>
            <w:vAlign w:val="center"/>
          </w:tcPr>
          <w:p w14:paraId="379E5B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系统需支持当选择AI电话开展批量筛查后，针对医生选择的病种与居民可进行自动筛查过滤，排除已确诊无需筛查的居民。</w:t>
            </w:r>
          </w:p>
        </w:tc>
      </w:tr>
      <w:tr w14:paraId="19B93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6C7E3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FB01E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255275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70DF0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批量外呼</w:t>
            </w:r>
          </w:p>
        </w:tc>
        <w:tc>
          <w:tcPr>
            <w:tcW w:w="5199" w:type="dxa"/>
            <w:noWrap w:val="0"/>
            <w:vAlign w:val="center"/>
          </w:tcPr>
          <w:p w14:paraId="050B3B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系统需支持在居民列表中单个和批量选择居民，批量发起AI外呼，支持常见话术的快速选择，支持选择AI电话、问卷筛查方式的选择，支持执行时间、重播次数的设定。</w:t>
            </w:r>
          </w:p>
          <w:p w14:paraId="1CEFF1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慢病批量外呼时，针对一批次中出现的异常情况，给出总结。通过语音外呼所管理的医生，告知异常情况，提醒关注。</w:t>
            </w:r>
          </w:p>
        </w:tc>
      </w:tr>
      <w:tr w14:paraId="19168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F6E2A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6BFEDB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760E6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A22E9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应管尽管提醒</w:t>
            </w:r>
          </w:p>
        </w:tc>
        <w:tc>
          <w:tcPr>
            <w:tcW w:w="5199" w:type="dxa"/>
            <w:noWrap w:val="0"/>
            <w:vAlign w:val="center"/>
          </w:tcPr>
          <w:p w14:paraId="7D417B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系统需支持汇总展示在就诊或筛查过程中发现的已确诊但当前未在管理的慢病患者，方便医生及时确认并纳入慢病管理，促进慢病患者的应管尽管。</w:t>
            </w:r>
          </w:p>
        </w:tc>
      </w:tr>
      <w:tr w14:paraId="070CF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0DC3F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61351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88FF9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277414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居民详情快捷入口</w:t>
            </w:r>
          </w:p>
        </w:tc>
        <w:tc>
          <w:tcPr>
            <w:tcW w:w="5199" w:type="dxa"/>
            <w:noWrap w:val="0"/>
            <w:vAlign w:val="center"/>
          </w:tcPr>
          <w:p w14:paraId="28A6F3C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系统需支持在患者列表中直接选择患者，跳转查看患者详情页，了解患者详细健康及管理信息。</w:t>
            </w:r>
          </w:p>
        </w:tc>
      </w:tr>
      <w:tr w14:paraId="2CEED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47923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5C9F4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43786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1A1E6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11.居民筛查快捷入口</w:t>
            </w:r>
          </w:p>
        </w:tc>
        <w:tc>
          <w:tcPr>
            <w:tcW w:w="5199" w:type="dxa"/>
            <w:noWrap w:val="0"/>
            <w:vAlign w:val="center"/>
          </w:tcPr>
          <w:p w14:paraId="1ADFECA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系统需支持针对单个居民，点击筛查按钮快速链接到其筛查模块中，便捷开展慢病筛查工作。</w:t>
            </w:r>
          </w:p>
        </w:tc>
      </w:tr>
      <w:tr w14:paraId="72DA0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44F25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578C6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1481A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E4D628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12.居民随访快捷入口</w:t>
            </w:r>
          </w:p>
        </w:tc>
        <w:tc>
          <w:tcPr>
            <w:tcW w:w="5199" w:type="dxa"/>
            <w:noWrap w:val="0"/>
            <w:vAlign w:val="center"/>
          </w:tcPr>
          <w:p w14:paraId="5624EC7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系统需支持针对单个居民，点击随访按钮快速链接到其随访模块中，便捷开展慢病随访工作。</w:t>
            </w:r>
          </w:p>
        </w:tc>
      </w:tr>
      <w:tr w14:paraId="74C3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67E54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027B4C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92966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E94457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13.高血压专案填写</w:t>
            </w:r>
          </w:p>
        </w:tc>
        <w:tc>
          <w:tcPr>
            <w:tcW w:w="5199" w:type="dxa"/>
            <w:noWrap w:val="0"/>
            <w:vAlign w:val="center"/>
          </w:tcPr>
          <w:p w14:paraId="31C34CF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系统需支持用户为需要管理的慢病患者填写高血压专案，专案内容包括患者体征信息、危险因素、靶器官损害、伴临床疾患、危险分级。</w:t>
            </w:r>
          </w:p>
        </w:tc>
      </w:tr>
      <w:tr w14:paraId="6CA1F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5C424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F97F7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A7EA4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F569DE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14.高血压专案数据自动带入</w:t>
            </w:r>
          </w:p>
        </w:tc>
        <w:tc>
          <w:tcPr>
            <w:tcW w:w="5199" w:type="dxa"/>
            <w:noWrap w:val="0"/>
            <w:vAlign w:val="center"/>
          </w:tcPr>
          <w:p w14:paraId="3C70AB2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系统需支持自动带入居民已有的体征、危险因素、临床疾患数据，自动填充高血压专案内容。</w:t>
            </w:r>
          </w:p>
        </w:tc>
      </w:tr>
      <w:tr w14:paraId="0B240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169FA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419CD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B8396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AF5E09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15.高血压危险水平分级自动评估</w:t>
            </w:r>
          </w:p>
        </w:tc>
        <w:tc>
          <w:tcPr>
            <w:tcW w:w="5199" w:type="dxa"/>
            <w:noWrap w:val="0"/>
            <w:vAlign w:val="center"/>
          </w:tcPr>
          <w:p w14:paraId="4F97B7C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系统需支持根据用户的近期血压、危险因素、靶器官损害、并发症信息，自动计算评估患者当前高血压危险水平分级。</w:t>
            </w:r>
            <w:r>
              <w:rPr>
                <w:rFonts w:hint="eastAsia" w:ascii="宋体" w:hAnsi="宋体" w:eastAsia="宋体" w:cs="宋体"/>
                <w:sz w:val="24"/>
                <w:szCs w:val="24"/>
              </w:rPr>
              <w:t>（需提供软件功能界面截图</w:t>
            </w:r>
            <w:r>
              <w:rPr>
                <w:rFonts w:hint="eastAsia" w:ascii="宋体" w:hAnsi="宋体" w:eastAsia="宋体" w:cs="宋体"/>
                <w:sz w:val="24"/>
                <w:szCs w:val="24"/>
                <w:lang w:val="en-US" w:eastAsia="zh-CN"/>
              </w:rPr>
              <w:t>并加盖公章</w:t>
            </w:r>
            <w:r>
              <w:rPr>
                <w:rFonts w:hint="eastAsia" w:ascii="宋体" w:hAnsi="宋体" w:eastAsia="宋体" w:cs="宋体"/>
                <w:sz w:val="24"/>
                <w:szCs w:val="24"/>
              </w:rPr>
              <w:t>）</w:t>
            </w:r>
            <w:r>
              <w:rPr>
                <w:rFonts w:hint="eastAsia" w:ascii="宋体" w:hAnsi="宋体" w:eastAsia="宋体" w:cs="宋体"/>
                <w:sz w:val="24"/>
                <w:szCs w:val="24"/>
                <w:lang w:eastAsia="zh-CN"/>
              </w:rPr>
              <w:t>。</w:t>
            </w:r>
          </w:p>
        </w:tc>
      </w:tr>
      <w:tr w14:paraId="5239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4F69B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BBE29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8F68A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15F773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16.高血压分级原因说明</w:t>
            </w:r>
          </w:p>
        </w:tc>
        <w:tc>
          <w:tcPr>
            <w:tcW w:w="5199" w:type="dxa"/>
            <w:noWrap w:val="0"/>
            <w:vAlign w:val="center"/>
          </w:tcPr>
          <w:p w14:paraId="28878EF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系统需支持展示高血压危险水平的原因，包括评估项目、评估结果。</w:t>
            </w:r>
          </w:p>
        </w:tc>
      </w:tr>
      <w:tr w14:paraId="63845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2589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B35A20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6E06C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6D1C02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17.高血压危险水平分级手动评估</w:t>
            </w:r>
          </w:p>
        </w:tc>
        <w:tc>
          <w:tcPr>
            <w:tcW w:w="5199" w:type="dxa"/>
            <w:noWrap w:val="0"/>
            <w:vAlign w:val="center"/>
          </w:tcPr>
          <w:p w14:paraId="79A19B0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系统需支持根据用户手动填写和编辑当前血压、危险因素、靶器官损害、并发症信息，手动评估患者当前高血压危险水平分级。</w:t>
            </w:r>
          </w:p>
        </w:tc>
      </w:tr>
      <w:tr w14:paraId="00ED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E2FA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F70BA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53181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401EBA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18.糖尿病专案填写</w:t>
            </w:r>
          </w:p>
        </w:tc>
        <w:tc>
          <w:tcPr>
            <w:tcW w:w="5199" w:type="dxa"/>
            <w:noWrap w:val="0"/>
            <w:vAlign w:val="center"/>
          </w:tcPr>
          <w:p w14:paraId="2D0D541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系统需支持用户为需要管理的慢病患者填写糖尿病专案，专案内容包括患者体征信息、危险因素、靶器官损害、危险水平分级。</w:t>
            </w:r>
          </w:p>
        </w:tc>
      </w:tr>
      <w:tr w14:paraId="5EC1B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F76A3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73FBF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DE41A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F29ABC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19.糖尿病专案数据自动带入</w:t>
            </w:r>
          </w:p>
        </w:tc>
        <w:tc>
          <w:tcPr>
            <w:tcW w:w="5199" w:type="dxa"/>
            <w:noWrap w:val="0"/>
            <w:vAlign w:val="center"/>
          </w:tcPr>
          <w:p w14:paraId="749F869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系统需支持自动带入居民已有的体征、危险因素、临床疾患数据，自动填充糖尿病专案内容。</w:t>
            </w:r>
          </w:p>
        </w:tc>
      </w:tr>
      <w:tr w14:paraId="4F831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8B12C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28579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63DA0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652D68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20.糖尿病危险水平分级自动评估</w:t>
            </w:r>
          </w:p>
        </w:tc>
        <w:tc>
          <w:tcPr>
            <w:tcW w:w="5199" w:type="dxa"/>
            <w:noWrap w:val="0"/>
            <w:vAlign w:val="center"/>
          </w:tcPr>
          <w:p w14:paraId="6177648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系统需支持根据用户的近期血糖、糖化血红蛋白、血压、危险因素、靶器官损害、并发症信息，自动计算评估患者当前糖尿病危险水平分级。</w:t>
            </w:r>
            <w:r>
              <w:rPr>
                <w:rFonts w:hint="eastAsia" w:ascii="宋体" w:hAnsi="宋体" w:eastAsia="宋体" w:cs="宋体"/>
                <w:sz w:val="24"/>
                <w:szCs w:val="24"/>
              </w:rPr>
              <w:t>（需提供软件功能界面截图</w:t>
            </w:r>
            <w:r>
              <w:rPr>
                <w:rFonts w:hint="eastAsia" w:ascii="宋体" w:hAnsi="宋体" w:eastAsia="宋体" w:cs="宋体"/>
                <w:sz w:val="24"/>
                <w:szCs w:val="24"/>
                <w:lang w:val="en-US" w:eastAsia="zh-CN"/>
              </w:rPr>
              <w:t>并加盖公章</w:t>
            </w:r>
            <w:r>
              <w:rPr>
                <w:rFonts w:hint="eastAsia" w:ascii="宋体" w:hAnsi="宋体" w:eastAsia="宋体" w:cs="宋体"/>
                <w:sz w:val="24"/>
                <w:szCs w:val="24"/>
              </w:rPr>
              <w:t>）</w:t>
            </w:r>
            <w:r>
              <w:rPr>
                <w:rFonts w:hint="eastAsia" w:ascii="宋体" w:hAnsi="宋体" w:eastAsia="宋体" w:cs="宋体"/>
                <w:sz w:val="24"/>
                <w:szCs w:val="24"/>
                <w:lang w:eastAsia="zh-CN"/>
              </w:rPr>
              <w:t>。</w:t>
            </w:r>
          </w:p>
        </w:tc>
      </w:tr>
      <w:tr w14:paraId="3C25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EFF59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B0037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8095D1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2C7DFF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21.糖尿病分级原因说明</w:t>
            </w:r>
          </w:p>
        </w:tc>
        <w:tc>
          <w:tcPr>
            <w:tcW w:w="5199" w:type="dxa"/>
            <w:noWrap w:val="0"/>
            <w:vAlign w:val="center"/>
          </w:tcPr>
          <w:p w14:paraId="714723D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系统需支持展示糖尿病危险水平的原因，包括评估项目、评估结果。</w:t>
            </w:r>
          </w:p>
        </w:tc>
      </w:tr>
      <w:tr w14:paraId="1D1C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A6D57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929CFF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0F12BF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7C878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22.糖尿病危险水平分级手动评估</w:t>
            </w:r>
          </w:p>
        </w:tc>
        <w:tc>
          <w:tcPr>
            <w:tcW w:w="5199" w:type="dxa"/>
            <w:noWrap w:val="0"/>
            <w:vAlign w:val="center"/>
          </w:tcPr>
          <w:p w14:paraId="40D77A1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系统需支持根据用户手动填写和编辑当前血糖、糖化血红蛋白、血压、危险因素、靶器官损害、并发症信息，手动评估患者当前糖尿病危险水平分级。</w:t>
            </w:r>
          </w:p>
        </w:tc>
      </w:tr>
      <w:tr w14:paraId="6A4FA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7451D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DA9C0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AFCDB1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A7D37F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23.高脂血症专案填写</w:t>
            </w:r>
          </w:p>
        </w:tc>
        <w:tc>
          <w:tcPr>
            <w:tcW w:w="5199" w:type="dxa"/>
            <w:noWrap w:val="0"/>
            <w:vAlign w:val="center"/>
          </w:tcPr>
          <w:p w14:paraId="7904C05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系统需支持用户为需要管理的慢病患者填写高脂血症专案，专案内容包括患者体征信息、危险因素、伴临床疾患、危险分级。</w:t>
            </w:r>
          </w:p>
        </w:tc>
      </w:tr>
      <w:tr w14:paraId="02751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70ABD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22E1A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30CB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9756DE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24.高脂血症专案数据自动带入</w:t>
            </w:r>
          </w:p>
        </w:tc>
        <w:tc>
          <w:tcPr>
            <w:tcW w:w="5199" w:type="dxa"/>
            <w:noWrap w:val="0"/>
            <w:vAlign w:val="center"/>
          </w:tcPr>
          <w:p w14:paraId="1D2DECD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系统需支持自动带入居民已有的体征、危险因素、临床疾患数据，自动填充高脂血症专案内容。</w:t>
            </w:r>
          </w:p>
        </w:tc>
      </w:tr>
      <w:tr w14:paraId="7256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24616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3DEDA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A72B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CEA275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25.高脂血症危险水平分级自动评估</w:t>
            </w:r>
          </w:p>
        </w:tc>
        <w:tc>
          <w:tcPr>
            <w:tcW w:w="5199" w:type="dxa"/>
            <w:noWrap w:val="0"/>
            <w:vAlign w:val="center"/>
          </w:tcPr>
          <w:p w14:paraId="6B8917A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系统需支持根据用户的近期体征信息、危险因素、并发症信息，自动计算评估患者当前高脂血症危险水平分级。</w:t>
            </w:r>
          </w:p>
        </w:tc>
      </w:tr>
      <w:tr w14:paraId="68C08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09332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C12B5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993BC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94D9D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26.高脂血症分级原因说明</w:t>
            </w:r>
          </w:p>
        </w:tc>
        <w:tc>
          <w:tcPr>
            <w:tcW w:w="5199" w:type="dxa"/>
            <w:noWrap w:val="0"/>
            <w:vAlign w:val="center"/>
          </w:tcPr>
          <w:p w14:paraId="28D852A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系统需支持展示高脂血症危险水平的原因，包括评估项目、评估结果。</w:t>
            </w:r>
          </w:p>
        </w:tc>
      </w:tr>
      <w:tr w14:paraId="00A78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A4442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D095A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C53B2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8C1328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27.高脂血危险水平分级手动评估</w:t>
            </w:r>
          </w:p>
        </w:tc>
        <w:tc>
          <w:tcPr>
            <w:tcW w:w="5199" w:type="dxa"/>
            <w:noWrap w:val="0"/>
            <w:vAlign w:val="center"/>
          </w:tcPr>
          <w:p w14:paraId="33CB312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系统需支持根据用户手动填写和编辑当前近期体征信息、危险因素、并发症信息，手动评估患者当前高脂血症危险水平分级。</w:t>
            </w:r>
          </w:p>
        </w:tc>
      </w:tr>
      <w:tr w14:paraId="4556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DF511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3EFF9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4669F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451843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28.冠心病专案填写</w:t>
            </w:r>
          </w:p>
        </w:tc>
        <w:tc>
          <w:tcPr>
            <w:tcW w:w="5199" w:type="dxa"/>
            <w:noWrap w:val="0"/>
            <w:vAlign w:val="center"/>
          </w:tcPr>
          <w:p w14:paraId="4A7A7DB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系统需支持用户为需要管理的慢病患者填写冠心病专案，专案内容包括患者体征信息、危险因素、危险分级。</w:t>
            </w:r>
          </w:p>
        </w:tc>
      </w:tr>
      <w:tr w14:paraId="3635A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44DE2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24F93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5E7122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794ABC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29.冠心病专案数据自动带入</w:t>
            </w:r>
          </w:p>
        </w:tc>
        <w:tc>
          <w:tcPr>
            <w:tcW w:w="5199" w:type="dxa"/>
            <w:noWrap w:val="0"/>
            <w:vAlign w:val="center"/>
          </w:tcPr>
          <w:p w14:paraId="4F26E1F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系统需支持自动带入居民已有的体征、危险因素，自动填充冠心病专案内容。</w:t>
            </w:r>
          </w:p>
        </w:tc>
      </w:tr>
      <w:tr w14:paraId="3FF2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F2E4C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A3302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1FA41C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DD24C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30.冠心病危险水平分级自动评估</w:t>
            </w:r>
          </w:p>
        </w:tc>
        <w:tc>
          <w:tcPr>
            <w:tcW w:w="5199" w:type="dxa"/>
            <w:noWrap w:val="0"/>
            <w:vAlign w:val="center"/>
          </w:tcPr>
          <w:p w14:paraId="36DB395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系统需支持根据用户的近期体征信息、危险因素信息，自动计算评估患者当前冠心病危险水平分级。</w:t>
            </w:r>
          </w:p>
        </w:tc>
      </w:tr>
      <w:tr w14:paraId="47FC3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0C829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292BD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8A1FD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0971B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31.冠心病分级原因说明</w:t>
            </w:r>
          </w:p>
        </w:tc>
        <w:tc>
          <w:tcPr>
            <w:tcW w:w="5199" w:type="dxa"/>
            <w:noWrap w:val="0"/>
            <w:vAlign w:val="center"/>
          </w:tcPr>
          <w:p w14:paraId="1685633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系统需支持展示冠心病危险水平的原因，包括但评估项目、评估结果。</w:t>
            </w:r>
          </w:p>
        </w:tc>
      </w:tr>
      <w:tr w14:paraId="4013A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D167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BA50D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5E0DA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CFDB90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32.冠心病危险水平分级手动评估</w:t>
            </w:r>
          </w:p>
        </w:tc>
        <w:tc>
          <w:tcPr>
            <w:tcW w:w="5199" w:type="dxa"/>
            <w:noWrap w:val="0"/>
            <w:vAlign w:val="center"/>
          </w:tcPr>
          <w:p w14:paraId="0F537AA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系统需支持用户手动填写和编辑的体征信息、危险因素信息，手动评估患者当前冠心病危险水平分级。</w:t>
            </w:r>
          </w:p>
        </w:tc>
      </w:tr>
      <w:tr w14:paraId="0F7CE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07C9D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DB400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19FF9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8C115A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33.脑卒中专案填写</w:t>
            </w:r>
          </w:p>
        </w:tc>
        <w:tc>
          <w:tcPr>
            <w:tcW w:w="5199" w:type="dxa"/>
            <w:noWrap w:val="0"/>
            <w:vAlign w:val="center"/>
          </w:tcPr>
          <w:p w14:paraId="63D64D5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系统需支持用户为需要管理的慢病患者填写脑卒中专案，专案内容包括患者体征信息、危险因素、危险分级。</w:t>
            </w:r>
          </w:p>
        </w:tc>
      </w:tr>
      <w:tr w14:paraId="0F5DC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9A0EA6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33CBE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B519F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BABDC5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34.脑卒中专案数据自动带入</w:t>
            </w:r>
          </w:p>
        </w:tc>
        <w:tc>
          <w:tcPr>
            <w:tcW w:w="5199" w:type="dxa"/>
            <w:noWrap w:val="0"/>
            <w:vAlign w:val="center"/>
          </w:tcPr>
          <w:p w14:paraId="49AE520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系统需支持自动带入居民已有的体征、危险因素，自动填充脑卒中专案内容。</w:t>
            </w:r>
          </w:p>
        </w:tc>
      </w:tr>
      <w:tr w14:paraId="3E36B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724F4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0DCDE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5FBE6E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516A26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35.慢阻肺专案填写</w:t>
            </w:r>
          </w:p>
        </w:tc>
        <w:tc>
          <w:tcPr>
            <w:tcW w:w="5199" w:type="dxa"/>
            <w:noWrap w:val="0"/>
            <w:vAlign w:val="center"/>
          </w:tcPr>
          <w:p w14:paraId="6D5AE72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系统需支持用户为需要管理的慢病患者填写慢阻肺专案，专案内容包括患者体征信息、危险因素、靶器官损害、伴临床疾患、危险分级。</w:t>
            </w:r>
          </w:p>
        </w:tc>
      </w:tr>
      <w:tr w14:paraId="5E254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F38E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58A38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2F976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8D7E4C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36.慢阻肺专案数据自动带入</w:t>
            </w:r>
          </w:p>
        </w:tc>
        <w:tc>
          <w:tcPr>
            <w:tcW w:w="5199" w:type="dxa"/>
            <w:noWrap w:val="0"/>
            <w:vAlign w:val="center"/>
          </w:tcPr>
          <w:p w14:paraId="6A2F2F4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系统需支持自动带入居民已有的体征，自动填充高血压专案内容。</w:t>
            </w:r>
          </w:p>
        </w:tc>
      </w:tr>
      <w:tr w14:paraId="53187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4A929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3F68A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F00741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666303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37.慢性肾脏病专案填写</w:t>
            </w:r>
          </w:p>
        </w:tc>
        <w:tc>
          <w:tcPr>
            <w:tcW w:w="5199" w:type="dxa"/>
            <w:noWrap w:val="0"/>
            <w:vAlign w:val="center"/>
          </w:tcPr>
          <w:p w14:paraId="5365C46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系统需支持用户为需要管理的慢病患者填写慢性肾脏病专案，专案内容包括患者体征信息、危险因素。</w:t>
            </w:r>
          </w:p>
        </w:tc>
      </w:tr>
      <w:tr w14:paraId="6853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3467E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74139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373DF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5E4BBC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38.慢性肾脏病专案数据自动带入</w:t>
            </w:r>
          </w:p>
        </w:tc>
        <w:tc>
          <w:tcPr>
            <w:tcW w:w="5199" w:type="dxa"/>
            <w:noWrap w:val="0"/>
            <w:vAlign w:val="center"/>
          </w:tcPr>
          <w:p w14:paraId="781DBFE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系统需支持自动带入居民已有的体征信息、危险因素，自动填充慢性肾脏病专案内容。</w:t>
            </w:r>
          </w:p>
        </w:tc>
      </w:tr>
      <w:tr w14:paraId="01E79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AA749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E9953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2B91A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7108B6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39.慢性肾脏病危险水平分级自动评估</w:t>
            </w:r>
          </w:p>
        </w:tc>
        <w:tc>
          <w:tcPr>
            <w:tcW w:w="5199" w:type="dxa"/>
            <w:noWrap w:val="0"/>
            <w:vAlign w:val="center"/>
          </w:tcPr>
          <w:p w14:paraId="4FA975E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系统需支持根据用户的近期血压、危险因素、靶器官损害、并发症信息，自动计算评估患者当前慢性肾脏病危险水平分级。</w:t>
            </w:r>
          </w:p>
        </w:tc>
      </w:tr>
      <w:tr w14:paraId="54AB4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A2C20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581BB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BB732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0EFFA0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40.慢性肾脏病分级原因说明</w:t>
            </w:r>
          </w:p>
        </w:tc>
        <w:tc>
          <w:tcPr>
            <w:tcW w:w="5199" w:type="dxa"/>
            <w:noWrap w:val="0"/>
            <w:vAlign w:val="center"/>
          </w:tcPr>
          <w:p w14:paraId="0DAF0E7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系统需支持展示慢性肾脏病危险水平的原因，包括评估项目、评估结果。</w:t>
            </w:r>
          </w:p>
        </w:tc>
      </w:tr>
      <w:tr w14:paraId="0728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013FB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029B2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1B7EC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B6E28F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41.慢性肾脏病危险水平分级手动评估</w:t>
            </w:r>
          </w:p>
        </w:tc>
        <w:tc>
          <w:tcPr>
            <w:tcW w:w="5199" w:type="dxa"/>
            <w:noWrap w:val="0"/>
            <w:vAlign w:val="center"/>
          </w:tcPr>
          <w:p w14:paraId="67C8FF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系统需支持用户手动填写和编辑的近期血压、危险因素、靶器官损害、并发症信息，手动评估患者当前慢性肾脏病危险水平分级。</w:t>
            </w:r>
          </w:p>
        </w:tc>
      </w:tr>
      <w:tr w14:paraId="0EB5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B0173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9697D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9204A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BB7BD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42.编辑档案快捷入口</w:t>
            </w:r>
          </w:p>
        </w:tc>
        <w:tc>
          <w:tcPr>
            <w:tcW w:w="5199" w:type="dxa"/>
            <w:noWrap w:val="0"/>
            <w:vAlign w:val="center"/>
          </w:tcPr>
          <w:p w14:paraId="215EBD4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已双向对接公卫基本档案的区域，系统需支持针对单个居民，点击编辑档案按钮快速链接到档案基本信息页面，支持编辑更新档案信息，更新信息自动同步至基本公卫系统。</w:t>
            </w:r>
          </w:p>
        </w:tc>
      </w:tr>
      <w:tr w14:paraId="0C9E9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6B766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177F1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6B1FC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E5E423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43.删除档案快捷入口</w:t>
            </w:r>
          </w:p>
        </w:tc>
        <w:tc>
          <w:tcPr>
            <w:tcW w:w="5199" w:type="dxa"/>
            <w:noWrap w:val="0"/>
            <w:vAlign w:val="center"/>
          </w:tcPr>
          <w:p w14:paraId="2AD2276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已双向对接公卫基本档案的区域，系统需支持针对单个居民，点击删除档案按钮快速从本机构中删除该居民档案，删除信息自动同步至基本公卫系统。</w:t>
            </w:r>
          </w:p>
        </w:tc>
      </w:tr>
      <w:tr w14:paraId="19B33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EDCE6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01051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0A94E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5B021F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44.居民分组</w:t>
            </w:r>
          </w:p>
        </w:tc>
        <w:tc>
          <w:tcPr>
            <w:tcW w:w="5199" w:type="dxa"/>
            <w:noWrap w:val="0"/>
            <w:vAlign w:val="center"/>
          </w:tcPr>
          <w:p w14:paraId="31DAE64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系统需支持展示所有已在所管机构下各分组的居民档案，支持设置和管理不同分组，筛选查看不同管辖机构以及不同分组的数据，医生可以对居民列表进行模糊/精确搜索。</w:t>
            </w:r>
          </w:p>
        </w:tc>
      </w:tr>
      <w:tr w14:paraId="26BD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E358B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E8F49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22AC9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961A11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45.</w:t>
            </w:r>
            <w:r>
              <w:rPr>
                <w:rFonts w:hint="eastAsia" w:ascii="宋体" w:hAnsi="宋体" w:eastAsia="宋体" w:cs="宋体"/>
                <w:sz w:val="24"/>
                <w:szCs w:val="24"/>
              </w:rPr>
              <w:t>居民筛查快捷入口</w:t>
            </w:r>
          </w:p>
        </w:tc>
        <w:tc>
          <w:tcPr>
            <w:tcW w:w="5199" w:type="dxa"/>
            <w:noWrap w:val="0"/>
            <w:vAlign w:val="center"/>
          </w:tcPr>
          <w:p w14:paraId="4CAC0B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系统需支持针对单个居民，点击筛查按钮快速链接到其筛查模块中，便捷开展慢病筛查工作。</w:t>
            </w:r>
          </w:p>
        </w:tc>
      </w:tr>
      <w:tr w14:paraId="0DADE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5874BF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6A938E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患者详情</w:t>
            </w:r>
            <w:r>
              <w:rPr>
                <w:rFonts w:hint="eastAsia" w:ascii="宋体" w:hAnsi="宋体" w:eastAsia="宋体" w:cs="宋体"/>
                <w:sz w:val="24"/>
                <w:szCs w:val="24"/>
                <w:lang w:val="en-US" w:eastAsia="zh-CN"/>
              </w:rPr>
              <w:t>健康画像</w:t>
            </w:r>
          </w:p>
        </w:tc>
        <w:tc>
          <w:tcPr>
            <w:tcW w:w="1444" w:type="dxa"/>
            <w:vMerge w:val="restart"/>
            <w:noWrap w:val="0"/>
            <w:vAlign w:val="center"/>
          </w:tcPr>
          <w:p w14:paraId="1B84A50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患者详情</w:t>
            </w:r>
            <w:r>
              <w:rPr>
                <w:rFonts w:hint="eastAsia" w:ascii="宋体" w:hAnsi="宋体" w:eastAsia="宋体" w:cs="宋体"/>
                <w:sz w:val="24"/>
                <w:szCs w:val="24"/>
                <w:lang w:val="en-US" w:eastAsia="zh-CN"/>
              </w:rPr>
              <w:t>健康画像</w:t>
            </w:r>
            <w:r>
              <w:rPr>
                <w:rFonts w:hint="eastAsia" w:ascii="宋体" w:hAnsi="宋体" w:eastAsia="宋体" w:cs="宋体"/>
                <w:sz w:val="24"/>
                <w:szCs w:val="24"/>
              </w:rPr>
              <w:t>是对系统内慢病患者管理信息进行统一综合汇总展示的功能模块，通过该模块医生可快速了解居民基本信息、各项服务信息、AI评估信息。</w:t>
            </w:r>
          </w:p>
        </w:tc>
        <w:tc>
          <w:tcPr>
            <w:tcW w:w="1228" w:type="dxa"/>
            <w:noWrap w:val="0"/>
            <w:vAlign w:val="center"/>
          </w:tcPr>
          <w:p w14:paraId="7478919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1.基本信息概览</w:t>
            </w:r>
          </w:p>
        </w:tc>
        <w:tc>
          <w:tcPr>
            <w:tcW w:w="5199" w:type="dxa"/>
            <w:noWrap w:val="0"/>
            <w:vAlign w:val="center"/>
          </w:tcPr>
          <w:p w14:paraId="7DFB9B4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系统需支持展示居民基本信息概览，包括姓名、性别、年龄、联系方式。</w:t>
            </w:r>
          </w:p>
        </w:tc>
      </w:tr>
      <w:tr w14:paraId="7FF1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C0A90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60842D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C6B8E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06941E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2.健康信息概览</w:t>
            </w:r>
          </w:p>
        </w:tc>
        <w:tc>
          <w:tcPr>
            <w:tcW w:w="5199" w:type="dxa"/>
            <w:noWrap w:val="0"/>
            <w:vAlign w:val="center"/>
          </w:tcPr>
          <w:p w14:paraId="44DAFFA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系统需支持展示居民的主要健康信息内容，包括在管慢病及其危险分级、患并发症、疾病风险、危险因素。</w:t>
            </w:r>
          </w:p>
        </w:tc>
      </w:tr>
      <w:tr w14:paraId="2C976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BC0F33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BE674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ECDAE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B8C835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3.设备信息概览</w:t>
            </w:r>
          </w:p>
        </w:tc>
        <w:tc>
          <w:tcPr>
            <w:tcW w:w="5199" w:type="dxa"/>
            <w:noWrap w:val="0"/>
            <w:vAlign w:val="center"/>
          </w:tcPr>
          <w:p w14:paraId="784B902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系统需支持展示居民绑定智能血压计、血糖仪信息，对于未绑定设备的患者可快速录入设备编码，完成设备的绑定。</w:t>
            </w:r>
          </w:p>
        </w:tc>
      </w:tr>
      <w:tr w14:paraId="239B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9B961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D2B1F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3625F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67FC8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4.健康评估总览</w:t>
            </w:r>
          </w:p>
        </w:tc>
        <w:tc>
          <w:tcPr>
            <w:tcW w:w="5199" w:type="dxa"/>
            <w:noWrap w:val="0"/>
            <w:vAlign w:val="center"/>
          </w:tcPr>
          <w:p w14:paraId="0C830D8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系统需支持在患者个人首页中展示患者的所有慢病风险分级评估结果，包括心血管病患病风险分级、十年风险趋势图、评估摘要和评估建议情况和相应的评估内容。</w:t>
            </w:r>
          </w:p>
        </w:tc>
      </w:tr>
      <w:tr w14:paraId="226B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57EC78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59989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E2C1C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BC09F0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5.体征数据概览</w:t>
            </w:r>
          </w:p>
        </w:tc>
        <w:tc>
          <w:tcPr>
            <w:tcW w:w="5199" w:type="dxa"/>
            <w:noWrap w:val="0"/>
            <w:vAlign w:val="center"/>
          </w:tcPr>
          <w:p w14:paraId="0F190FF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系统需支持在患者个人首页中展示患者的核心体征数据，包括最新血压、最新血糖、身高、体重、腰围内容。</w:t>
            </w:r>
          </w:p>
        </w:tc>
      </w:tr>
      <w:tr w14:paraId="28137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84304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177E3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91A5E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34663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个性化控制目标制定</w:t>
            </w:r>
          </w:p>
        </w:tc>
        <w:tc>
          <w:tcPr>
            <w:tcW w:w="5199" w:type="dxa"/>
            <w:noWrap w:val="0"/>
            <w:vAlign w:val="center"/>
          </w:tcPr>
          <w:p w14:paraId="6B4EB4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系统需支持用户针对慢病患者制定个性化控</w:t>
            </w:r>
            <w:r>
              <w:rPr>
                <w:rFonts w:hint="eastAsia" w:ascii="宋体" w:hAnsi="宋体" w:eastAsia="宋体" w:cs="宋体"/>
                <w:sz w:val="24"/>
                <w:szCs w:val="24"/>
                <w:lang w:val="en-US" w:eastAsia="zh-CN"/>
              </w:rPr>
              <w:t>制</w:t>
            </w:r>
            <w:r>
              <w:rPr>
                <w:rFonts w:hint="eastAsia" w:ascii="宋体" w:hAnsi="宋体" w:eastAsia="宋体" w:cs="宋体"/>
                <w:sz w:val="24"/>
                <w:szCs w:val="24"/>
              </w:rPr>
              <w:t>目标，目标参数包括：血压目标、血糖目标、糖化血红蛋白目标、血脂目标、BMI目标。</w:t>
            </w:r>
          </w:p>
        </w:tc>
      </w:tr>
      <w:tr w14:paraId="3D0EF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68CBDF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BA4A4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FAB3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8DEBAC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控制目标自动推荐</w:t>
            </w:r>
          </w:p>
        </w:tc>
        <w:tc>
          <w:tcPr>
            <w:tcW w:w="5199" w:type="dxa"/>
            <w:noWrap w:val="0"/>
            <w:vAlign w:val="center"/>
          </w:tcPr>
          <w:p w14:paraId="7B8432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系统需支持依据患者基础信息、体征数据、实验室检查与疾病诊断信息，为患者推荐个性化控制目标，医生可针对推荐的目标进行进一步修改。</w:t>
            </w:r>
          </w:p>
        </w:tc>
      </w:tr>
      <w:tr w14:paraId="2AAD7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EE1C5B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AF72A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7393A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0AA1C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最近随访信息</w:t>
            </w:r>
          </w:p>
        </w:tc>
        <w:tc>
          <w:tcPr>
            <w:tcW w:w="5199" w:type="dxa"/>
            <w:noWrap w:val="0"/>
            <w:vAlign w:val="center"/>
          </w:tcPr>
          <w:p w14:paraId="5236D8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系统需支持展示最近随访信息关键信息，包括异常症状、服药依从性、随访分类、随访项目关键信息，点击随访项目信息可快速调阅随访表信息。</w:t>
            </w:r>
          </w:p>
        </w:tc>
      </w:tr>
      <w:tr w14:paraId="50E60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3D2C2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D52EA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34FA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16CB0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用药调整AI建议</w:t>
            </w:r>
          </w:p>
        </w:tc>
        <w:tc>
          <w:tcPr>
            <w:tcW w:w="5199" w:type="dxa"/>
            <w:noWrap w:val="0"/>
            <w:vAlign w:val="center"/>
          </w:tcPr>
          <w:p w14:paraId="5F1017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聚合计算的患者当前用药信息，结合患者近期基本体征、血压、血糖及实验室检查结果信息，提示用药调整及建议方案。评估当前用药是否合理，同时推荐具体用药建议，包括用药方案、具体的药物及用法用量，可支持高血压、糖尿病两种疾病。</w:t>
            </w:r>
          </w:p>
        </w:tc>
      </w:tr>
      <w:tr w14:paraId="6BDE1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E3886F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31898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5FC6D6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62CF35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10.转诊AI建议</w:t>
            </w:r>
          </w:p>
        </w:tc>
        <w:tc>
          <w:tcPr>
            <w:tcW w:w="5199" w:type="dxa"/>
            <w:noWrap w:val="0"/>
            <w:vAlign w:val="center"/>
          </w:tcPr>
          <w:p w14:paraId="58CACCC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系统需支持通过对患者的测量、随访信息进行监控计算，当患者出现连续随访控制不满意、有药物不良反应满足转诊要求的情况时，系统给出转诊提示。</w:t>
            </w:r>
          </w:p>
        </w:tc>
      </w:tr>
      <w:tr w14:paraId="77023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F31146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222E1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A90DD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1E349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11.患者转诊</w:t>
            </w:r>
          </w:p>
        </w:tc>
        <w:tc>
          <w:tcPr>
            <w:tcW w:w="5199" w:type="dxa"/>
            <w:noWrap w:val="0"/>
            <w:vAlign w:val="center"/>
          </w:tcPr>
          <w:p w14:paraId="0B6C9A1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系统需支持进行患者转诊工作，按照其配置上下机构关系，支持患者上转和下转，可选择转诊机构，填写主诉、现病史患者转诊信息。</w:t>
            </w:r>
          </w:p>
        </w:tc>
      </w:tr>
      <w:tr w14:paraId="413A5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D8C24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402D8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DEEED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959118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12.引用转诊标准</w:t>
            </w:r>
          </w:p>
        </w:tc>
        <w:tc>
          <w:tcPr>
            <w:tcW w:w="5199" w:type="dxa"/>
            <w:noWrap w:val="0"/>
            <w:vAlign w:val="center"/>
          </w:tcPr>
          <w:p w14:paraId="7D92672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系统需支持快速从转诊标准中选择患者具体转诊内容，选择后可作为转诊原因快速带入转诊清单中，包含高血压、糖尿病疾病转诊标准的引用。</w:t>
            </w:r>
          </w:p>
        </w:tc>
      </w:tr>
      <w:tr w14:paraId="738EC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E11FBB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E08CC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9611C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907A3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cs="宋体"/>
                <w:sz w:val="24"/>
                <w:szCs w:val="24"/>
                <w:lang w:val="en-US" w:eastAsia="zh-CN"/>
              </w:rPr>
              <w:t>13.</w:t>
            </w:r>
            <w:r>
              <w:rPr>
                <w:rFonts w:hint="eastAsia" w:ascii="宋体" w:hAnsi="宋体" w:eastAsia="宋体" w:cs="宋体"/>
                <w:sz w:val="24"/>
                <w:szCs w:val="24"/>
              </w:rPr>
              <w:t>AI服务计划</w:t>
            </w:r>
          </w:p>
        </w:tc>
        <w:tc>
          <w:tcPr>
            <w:tcW w:w="5199" w:type="dxa"/>
            <w:noWrap w:val="0"/>
            <w:vAlign w:val="center"/>
          </w:tcPr>
          <w:p w14:paraId="5DDE10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支持自动根据患者的性别、年龄、疾病个人健康信息，自动生成个性化宣教短信和宣教电话随访计划。医生可以根据患者实际情况配置高中低频干预方案，到点后自动通过系统向患者发送个性化宣教短信，拨打宣教电话。</w:t>
            </w:r>
          </w:p>
        </w:tc>
      </w:tr>
      <w:tr w14:paraId="0D55B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C89DD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8BA29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B3090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2DD77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14.饮食处方概览</w:t>
            </w:r>
          </w:p>
        </w:tc>
        <w:tc>
          <w:tcPr>
            <w:tcW w:w="5199" w:type="dxa"/>
            <w:noWrap w:val="0"/>
            <w:vAlign w:val="center"/>
          </w:tcPr>
          <w:p w14:paraId="1D7877A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系统需支持抽取为患者制定的饮食方案核心内容进行展示，便于快速了解饮食方案内容。</w:t>
            </w:r>
          </w:p>
        </w:tc>
      </w:tr>
      <w:tr w14:paraId="59107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A108B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8FD370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D7A9C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4882E2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15.运动处方概览</w:t>
            </w:r>
          </w:p>
        </w:tc>
        <w:tc>
          <w:tcPr>
            <w:tcW w:w="5199" w:type="dxa"/>
            <w:noWrap w:val="0"/>
            <w:vAlign w:val="center"/>
          </w:tcPr>
          <w:p w14:paraId="3983903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系统需支持抽取为患者制定的运动方案核心内容进行展示，便于快速了解运动方案内容。</w:t>
            </w:r>
          </w:p>
        </w:tc>
      </w:tr>
      <w:tr w14:paraId="6CEB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2A79A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00D5A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5D521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EF2979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16.近期血压趋势图</w:t>
            </w:r>
          </w:p>
        </w:tc>
        <w:tc>
          <w:tcPr>
            <w:tcW w:w="5199" w:type="dxa"/>
            <w:noWrap w:val="0"/>
            <w:vAlign w:val="center"/>
          </w:tcPr>
          <w:p w14:paraId="4E393D7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系统需支持将患者近期血压数据进行汇总，形成血压水平趋势图，数据来源包括硬件设备数据、居民上传数据、医生录入数据，并给予测量情况总结。</w:t>
            </w:r>
          </w:p>
        </w:tc>
      </w:tr>
      <w:tr w14:paraId="09D04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7A0EEB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B4E7C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07B2B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29A989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17.血压测量评估</w:t>
            </w:r>
          </w:p>
        </w:tc>
        <w:tc>
          <w:tcPr>
            <w:tcW w:w="5199" w:type="dxa"/>
            <w:noWrap w:val="0"/>
            <w:vAlign w:val="center"/>
          </w:tcPr>
          <w:p w14:paraId="352E403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系统需支持对患者一段时间的血压测量结果进行评估，包括测量次数、达标率的评估。</w:t>
            </w:r>
          </w:p>
        </w:tc>
      </w:tr>
      <w:tr w14:paraId="02A19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D2F77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A563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0DCA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D5F267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18.近期血压明细表</w:t>
            </w:r>
          </w:p>
        </w:tc>
        <w:tc>
          <w:tcPr>
            <w:tcW w:w="5199" w:type="dxa"/>
            <w:noWrap w:val="0"/>
            <w:vAlign w:val="center"/>
          </w:tcPr>
          <w:p w14:paraId="5392918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系统需支持将患者近期月血压数据进行汇总，形成血压测量数据明细表，数据来源包括硬件设备数据、居民上传数据、医生录入数据，并给予测量情况总结。</w:t>
            </w:r>
          </w:p>
        </w:tc>
      </w:tr>
      <w:tr w14:paraId="7179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2ADB6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86FF7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28BF31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93458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19.近期血糖趋势图</w:t>
            </w:r>
          </w:p>
        </w:tc>
        <w:tc>
          <w:tcPr>
            <w:tcW w:w="5199" w:type="dxa"/>
            <w:noWrap w:val="0"/>
            <w:vAlign w:val="center"/>
          </w:tcPr>
          <w:p w14:paraId="221AF53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系统需支持将患者近期血糖数据进行汇总，形成血糖水平趋势图，数据来源包括硬件设备数据、居民上传数据、医生录入数据，并给予测量情况总结。</w:t>
            </w:r>
          </w:p>
        </w:tc>
      </w:tr>
      <w:tr w14:paraId="78C3E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2670E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DE529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56DC08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5A5B40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20.血糖测量评估</w:t>
            </w:r>
          </w:p>
        </w:tc>
        <w:tc>
          <w:tcPr>
            <w:tcW w:w="5199" w:type="dxa"/>
            <w:noWrap w:val="0"/>
            <w:vAlign w:val="center"/>
          </w:tcPr>
          <w:p w14:paraId="7BC911F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系统需支持对患者一段时间的血糖测量结果进行评估，包括测量次数、达标率的评估。</w:t>
            </w:r>
          </w:p>
        </w:tc>
      </w:tr>
      <w:tr w14:paraId="442FD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0FE6C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04DFA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DFD1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1D768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21.近期血糖明细表</w:t>
            </w:r>
          </w:p>
        </w:tc>
        <w:tc>
          <w:tcPr>
            <w:tcW w:w="5199" w:type="dxa"/>
            <w:noWrap w:val="0"/>
            <w:vAlign w:val="center"/>
          </w:tcPr>
          <w:p w14:paraId="073DF5D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系统需支持将患者近期血糖数据进行汇总，形成血糖水平趋势图，数据来源包括硬件设备数据、居民上传数据、医生录入数据，并给予测量情况总结。</w:t>
            </w:r>
          </w:p>
        </w:tc>
      </w:tr>
      <w:tr w14:paraId="0FA09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4070B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C03AD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658802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95C32D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22.检查检验详情数据</w:t>
            </w:r>
          </w:p>
        </w:tc>
        <w:tc>
          <w:tcPr>
            <w:tcW w:w="5199" w:type="dxa"/>
            <w:noWrap w:val="0"/>
            <w:vAlign w:val="center"/>
          </w:tcPr>
          <w:p w14:paraId="0D538EA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系统需支持用户录入居民或慢病患者的检查检验数据，展示指标的名称、参考范围、近期数据，支持常见实验室血糖、糖化血红蛋白、血脂四项、肝肾功能、尿常规。</w:t>
            </w:r>
          </w:p>
        </w:tc>
      </w:tr>
      <w:tr w14:paraId="1EA14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E47D9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E60D5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1D4F3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125DA1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23.检查检验数据解读</w:t>
            </w:r>
          </w:p>
        </w:tc>
        <w:tc>
          <w:tcPr>
            <w:tcW w:w="5199" w:type="dxa"/>
            <w:noWrap w:val="0"/>
            <w:vAlign w:val="center"/>
          </w:tcPr>
          <w:p w14:paraId="14C6441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系统需支持针对用户录入的检查检验指标进行异常情况判断，对于判断异常的指标给予数据解读。</w:t>
            </w:r>
          </w:p>
        </w:tc>
      </w:tr>
      <w:tr w14:paraId="37A2E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412CC5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DE2C4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65029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80A9D9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24.历史检查检验数据查阅</w:t>
            </w:r>
          </w:p>
        </w:tc>
        <w:tc>
          <w:tcPr>
            <w:tcW w:w="5199" w:type="dxa"/>
            <w:noWrap w:val="0"/>
            <w:vAlign w:val="center"/>
          </w:tcPr>
          <w:p w14:paraId="4E20C91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系统需支持调阅系统内检查检验指标历史数据，包括指标测量时间、结果。</w:t>
            </w:r>
          </w:p>
        </w:tc>
      </w:tr>
      <w:tr w14:paraId="48F77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14A64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CF96A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D007A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810CF2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25.异常检查检验抽取</w:t>
            </w:r>
          </w:p>
        </w:tc>
        <w:tc>
          <w:tcPr>
            <w:tcW w:w="5199" w:type="dxa"/>
            <w:noWrap w:val="0"/>
            <w:vAlign w:val="center"/>
          </w:tcPr>
          <w:p w14:paraId="55CD314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系统需支持抽取患者的异常检查检验指标进行概览展示，展示内容包括异常指标项目、参考范围、检查结果、检查时间。</w:t>
            </w:r>
          </w:p>
        </w:tc>
      </w:tr>
      <w:tr w14:paraId="4724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D53A3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59989969">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全流程管理服务记录</w:t>
            </w:r>
          </w:p>
        </w:tc>
        <w:tc>
          <w:tcPr>
            <w:tcW w:w="1444" w:type="dxa"/>
            <w:vMerge w:val="restart"/>
            <w:noWrap w:val="0"/>
            <w:vAlign w:val="center"/>
          </w:tcPr>
          <w:p w14:paraId="043E5626">
            <w:pPr>
              <w:keepNext w:val="0"/>
              <w:keepLines w:val="0"/>
              <w:widowControl/>
              <w:suppressLineNumbers w:val="0"/>
              <w:spacing w:before="0" w:beforeAutospacing="0" w:after="0" w:afterAutospacing="0" w:line="240" w:lineRule="auto"/>
              <w:ind w:left="0" w:right="0"/>
              <w:jc w:val="center"/>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服务总览记录自建档开始对该患者所有重点服务项目</w:t>
            </w:r>
          </w:p>
        </w:tc>
        <w:tc>
          <w:tcPr>
            <w:tcW w:w="1228" w:type="dxa"/>
            <w:noWrap w:val="0"/>
            <w:vAlign w:val="center"/>
          </w:tcPr>
          <w:p w14:paraId="2F7146B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1.服务记录概览</w:t>
            </w:r>
          </w:p>
        </w:tc>
        <w:tc>
          <w:tcPr>
            <w:tcW w:w="5199" w:type="dxa"/>
            <w:noWrap w:val="0"/>
            <w:vAlign w:val="center"/>
          </w:tcPr>
          <w:p w14:paraId="1BC9FF7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系统需支持展示对于系统内对居民的服务历史记录与最近需要执行的管理任务，展示包括服务任务名称、预期执行时间。</w:t>
            </w:r>
          </w:p>
        </w:tc>
      </w:tr>
      <w:tr w14:paraId="42932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11505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36807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A4158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5CD65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2.服务记录筛选</w:t>
            </w:r>
          </w:p>
        </w:tc>
        <w:tc>
          <w:tcPr>
            <w:tcW w:w="5199" w:type="dxa"/>
            <w:noWrap w:val="0"/>
            <w:vAlign w:val="center"/>
          </w:tcPr>
          <w:p w14:paraId="1A8B2D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系统需支持按数据类型筛选，包括医院就诊、慢病建案、慢病随访、控制目标制定类型。</w:t>
            </w:r>
          </w:p>
        </w:tc>
      </w:tr>
      <w:tr w14:paraId="09D10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F1E82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1C3F3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62997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DFE5B8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3.服务总览</w:t>
            </w:r>
          </w:p>
        </w:tc>
        <w:tc>
          <w:tcPr>
            <w:tcW w:w="5199" w:type="dxa"/>
            <w:noWrap w:val="0"/>
            <w:vAlign w:val="center"/>
          </w:tcPr>
          <w:p w14:paraId="3592FBE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系统需支持展示居民的全流程管理详细记录，包括医生服务数统计和AI干预数统计，支持点击某项服务记录，调阅具体服务记录表单。</w:t>
            </w:r>
          </w:p>
        </w:tc>
      </w:tr>
      <w:tr w14:paraId="2BA5A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56FDC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16C02A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疾病筛查</w:t>
            </w:r>
          </w:p>
        </w:tc>
        <w:tc>
          <w:tcPr>
            <w:tcW w:w="1444" w:type="dxa"/>
            <w:vMerge w:val="restart"/>
            <w:noWrap w:val="0"/>
            <w:vAlign w:val="center"/>
          </w:tcPr>
          <w:p w14:paraId="66D7427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疾病筛查是对系统内慢病患者进行筛查服务的功能模块，支持医生对系统内的居民进行多渠道、多病种的疾病筛查，通过各种筛查方式填写筛查表格完成筛查工作。</w:t>
            </w:r>
          </w:p>
        </w:tc>
        <w:tc>
          <w:tcPr>
            <w:tcW w:w="1228" w:type="dxa"/>
            <w:noWrap w:val="0"/>
            <w:vAlign w:val="center"/>
          </w:tcPr>
          <w:p w14:paraId="4E428D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筛查任务清单</w:t>
            </w:r>
          </w:p>
        </w:tc>
        <w:tc>
          <w:tcPr>
            <w:tcW w:w="5199" w:type="dxa"/>
            <w:noWrap w:val="0"/>
            <w:vAlign w:val="center"/>
          </w:tcPr>
          <w:p w14:paraId="793015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系统需支持针对单个居民或慢病患者汇总展示其筛查任务情况，包括其筛查项目、年度筛查次数、上次筛查时间、上次筛查结果、筛查关键信息、下次筛查日期。</w:t>
            </w:r>
          </w:p>
        </w:tc>
      </w:tr>
      <w:tr w14:paraId="2C37B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6309C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B07EE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83FCBF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40671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筛查任务管理</w:t>
            </w:r>
          </w:p>
        </w:tc>
        <w:tc>
          <w:tcPr>
            <w:tcW w:w="5199" w:type="dxa"/>
            <w:noWrap w:val="0"/>
            <w:vAlign w:val="center"/>
          </w:tcPr>
          <w:p w14:paraId="4A9C78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系统需支持针对单个居民或慢病患者对其筛查任务进行管理，包括新增筛查任务、终止筛查任务。</w:t>
            </w:r>
          </w:p>
        </w:tc>
      </w:tr>
      <w:tr w14:paraId="748B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854C0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74B726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61134D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76251F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高血压筛查信息表</w:t>
            </w:r>
          </w:p>
        </w:tc>
        <w:tc>
          <w:tcPr>
            <w:tcW w:w="5199" w:type="dxa"/>
            <w:noWrap w:val="0"/>
            <w:vAlign w:val="center"/>
          </w:tcPr>
          <w:p w14:paraId="52C349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系统需支持通过筛查问卷方式对居民高血压确诊与风险情况进行采集与判断，收集包括居民外院确诊信息、各项危险因素信息。</w:t>
            </w:r>
          </w:p>
        </w:tc>
      </w:tr>
      <w:tr w14:paraId="3B89D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789FC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69FBB6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67ED6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C8AB6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糖尿病筛查信息表</w:t>
            </w:r>
          </w:p>
        </w:tc>
        <w:tc>
          <w:tcPr>
            <w:tcW w:w="5199" w:type="dxa"/>
            <w:noWrap w:val="0"/>
            <w:vAlign w:val="center"/>
          </w:tcPr>
          <w:p w14:paraId="1D9E82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系统需支持通过筛查问卷方式对居民糖尿病确诊与风险情况进行采集与判断，收集包括居民外院确诊信息、各项危险因素信息。</w:t>
            </w:r>
          </w:p>
        </w:tc>
      </w:tr>
      <w:tr w14:paraId="31A5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FFC40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8FB0E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2ACF3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FD708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5.冠心病</w:t>
            </w:r>
            <w:r>
              <w:rPr>
                <w:rFonts w:hint="eastAsia" w:ascii="宋体" w:hAnsi="宋体" w:eastAsia="宋体" w:cs="宋体"/>
                <w:sz w:val="24"/>
                <w:szCs w:val="24"/>
              </w:rPr>
              <w:t>筛查信息表</w:t>
            </w:r>
          </w:p>
        </w:tc>
        <w:tc>
          <w:tcPr>
            <w:tcW w:w="5199" w:type="dxa"/>
            <w:noWrap w:val="0"/>
            <w:vAlign w:val="center"/>
          </w:tcPr>
          <w:p w14:paraId="3200603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w:t>
            </w:r>
            <w:r>
              <w:rPr>
                <w:rFonts w:hint="eastAsia" w:ascii="宋体" w:hAnsi="宋体" w:eastAsia="宋体" w:cs="宋体"/>
                <w:sz w:val="24"/>
                <w:szCs w:val="24"/>
                <w:lang w:val="en-US" w:eastAsia="zh-CN"/>
              </w:rPr>
              <w:t>冠心病</w:t>
            </w:r>
            <w:r>
              <w:rPr>
                <w:rFonts w:hint="eastAsia" w:ascii="宋体" w:hAnsi="宋体" w:eastAsia="宋体" w:cs="宋体"/>
                <w:sz w:val="24"/>
                <w:szCs w:val="24"/>
              </w:rPr>
              <w:t>确诊与风险情况进行采集与判断，收集包括居民外院确诊信息、各项危险因素信息。</w:t>
            </w:r>
          </w:p>
        </w:tc>
      </w:tr>
      <w:tr w14:paraId="7221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6054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DDB6D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14BC65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A52DAA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6.脑卒中</w:t>
            </w:r>
            <w:r>
              <w:rPr>
                <w:rFonts w:hint="eastAsia" w:ascii="宋体" w:hAnsi="宋体" w:eastAsia="宋体" w:cs="宋体"/>
                <w:sz w:val="24"/>
                <w:szCs w:val="24"/>
              </w:rPr>
              <w:t>筛查信息表</w:t>
            </w:r>
          </w:p>
        </w:tc>
        <w:tc>
          <w:tcPr>
            <w:tcW w:w="5199" w:type="dxa"/>
            <w:noWrap w:val="0"/>
            <w:vAlign w:val="center"/>
          </w:tcPr>
          <w:p w14:paraId="3BCD26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w:t>
            </w:r>
            <w:r>
              <w:rPr>
                <w:rFonts w:hint="eastAsia" w:ascii="宋体" w:hAnsi="宋体" w:eastAsia="宋体" w:cs="宋体"/>
                <w:sz w:val="24"/>
                <w:szCs w:val="24"/>
                <w:lang w:val="en-US" w:eastAsia="zh-CN"/>
              </w:rPr>
              <w:t>脑卒中</w:t>
            </w:r>
            <w:r>
              <w:rPr>
                <w:rFonts w:hint="eastAsia" w:ascii="宋体" w:hAnsi="宋体" w:eastAsia="宋体" w:cs="宋体"/>
                <w:sz w:val="24"/>
                <w:szCs w:val="24"/>
              </w:rPr>
              <w:t>确诊与风险情况进行采集与判断，收集包括居民外院确诊信息、各项危险因素信息。</w:t>
            </w:r>
          </w:p>
        </w:tc>
      </w:tr>
      <w:tr w14:paraId="19451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CC417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9CB0B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C7E31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173C60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7.高脂血症</w:t>
            </w:r>
            <w:r>
              <w:rPr>
                <w:rFonts w:hint="eastAsia" w:ascii="宋体" w:hAnsi="宋体" w:eastAsia="宋体" w:cs="宋体"/>
                <w:sz w:val="24"/>
                <w:szCs w:val="24"/>
              </w:rPr>
              <w:t>筛查信息表</w:t>
            </w:r>
          </w:p>
        </w:tc>
        <w:tc>
          <w:tcPr>
            <w:tcW w:w="5199" w:type="dxa"/>
            <w:noWrap w:val="0"/>
            <w:vAlign w:val="center"/>
          </w:tcPr>
          <w:p w14:paraId="71DE8B5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w:t>
            </w:r>
            <w:r>
              <w:rPr>
                <w:rFonts w:hint="eastAsia" w:ascii="宋体" w:hAnsi="宋体" w:eastAsia="宋体" w:cs="宋体"/>
                <w:sz w:val="24"/>
                <w:szCs w:val="24"/>
                <w:lang w:val="en-US" w:eastAsia="zh-CN"/>
              </w:rPr>
              <w:t>高脂血症</w:t>
            </w:r>
            <w:r>
              <w:rPr>
                <w:rFonts w:hint="eastAsia" w:ascii="宋体" w:hAnsi="宋体" w:eastAsia="宋体" w:cs="宋体"/>
                <w:sz w:val="24"/>
                <w:szCs w:val="24"/>
              </w:rPr>
              <w:t>确诊与风险情况进行采集与判断，收集包括居民外院确诊信息、各项危险因素信息。</w:t>
            </w:r>
          </w:p>
        </w:tc>
      </w:tr>
      <w:tr w14:paraId="6D9D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3B054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FE72B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4054C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B7F818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8.慢阻肺</w:t>
            </w:r>
            <w:r>
              <w:rPr>
                <w:rFonts w:hint="eastAsia" w:ascii="宋体" w:hAnsi="宋体" w:eastAsia="宋体" w:cs="宋体"/>
                <w:sz w:val="24"/>
                <w:szCs w:val="24"/>
              </w:rPr>
              <w:t>筛查信息表</w:t>
            </w:r>
          </w:p>
        </w:tc>
        <w:tc>
          <w:tcPr>
            <w:tcW w:w="5199" w:type="dxa"/>
            <w:noWrap w:val="0"/>
            <w:vAlign w:val="center"/>
          </w:tcPr>
          <w:p w14:paraId="1DCAD7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w:t>
            </w:r>
            <w:r>
              <w:rPr>
                <w:rFonts w:hint="eastAsia" w:ascii="宋体" w:hAnsi="宋体" w:eastAsia="宋体" w:cs="宋体"/>
                <w:sz w:val="24"/>
                <w:szCs w:val="24"/>
                <w:lang w:val="en-US" w:eastAsia="zh-CN"/>
              </w:rPr>
              <w:t>慢阻肺</w:t>
            </w:r>
            <w:r>
              <w:rPr>
                <w:rFonts w:hint="eastAsia" w:ascii="宋体" w:hAnsi="宋体" w:eastAsia="宋体" w:cs="宋体"/>
                <w:sz w:val="24"/>
                <w:szCs w:val="24"/>
              </w:rPr>
              <w:t>确诊与风险情况进行采集与判断，收集包括居民外院确诊信息、各项危险因素信息。</w:t>
            </w:r>
          </w:p>
        </w:tc>
      </w:tr>
      <w:tr w14:paraId="5F8D4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F869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AC964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E39F2C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CAE57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9.慢性肾病</w:t>
            </w:r>
            <w:r>
              <w:rPr>
                <w:rFonts w:hint="eastAsia" w:ascii="宋体" w:hAnsi="宋体" w:eastAsia="宋体" w:cs="宋体"/>
                <w:sz w:val="24"/>
                <w:szCs w:val="24"/>
              </w:rPr>
              <w:t>筛查信息表</w:t>
            </w:r>
          </w:p>
        </w:tc>
        <w:tc>
          <w:tcPr>
            <w:tcW w:w="5199" w:type="dxa"/>
            <w:noWrap w:val="0"/>
            <w:vAlign w:val="center"/>
          </w:tcPr>
          <w:p w14:paraId="443A2F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系统需支持通过筛查问卷方式对居民</w:t>
            </w:r>
            <w:r>
              <w:rPr>
                <w:rFonts w:hint="eastAsia" w:ascii="宋体" w:hAnsi="宋体" w:eastAsia="宋体" w:cs="宋体"/>
                <w:sz w:val="24"/>
                <w:szCs w:val="24"/>
                <w:lang w:val="en-US" w:eastAsia="zh-CN"/>
              </w:rPr>
              <w:t>慢性肾病</w:t>
            </w:r>
            <w:r>
              <w:rPr>
                <w:rFonts w:hint="eastAsia" w:ascii="宋体" w:hAnsi="宋体" w:eastAsia="宋体" w:cs="宋体"/>
                <w:sz w:val="24"/>
                <w:szCs w:val="24"/>
              </w:rPr>
              <w:t>确诊与风险情况进行采集与判断，收集包括居民外院确诊信息、各项危险因素信息。</w:t>
            </w:r>
          </w:p>
        </w:tc>
      </w:tr>
      <w:tr w14:paraId="40950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3CC95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AC1C9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325F7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7AC9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筛查结果自动计算</w:t>
            </w:r>
          </w:p>
        </w:tc>
        <w:tc>
          <w:tcPr>
            <w:tcW w:w="5199" w:type="dxa"/>
            <w:noWrap w:val="0"/>
            <w:vAlign w:val="center"/>
          </w:tcPr>
          <w:p w14:paraId="1959C6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系统需支持对筛查表结果进行计算，判断筛查结果类型。</w:t>
            </w:r>
          </w:p>
        </w:tc>
      </w:tr>
      <w:tr w14:paraId="35C4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EC38C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5FB8B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EFBEF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EEF062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AI筛查与信息回写</w:t>
            </w:r>
          </w:p>
        </w:tc>
        <w:tc>
          <w:tcPr>
            <w:tcW w:w="5199" w:type="dxa"/>
            <w:noWrap w:val="0"/>
            <w:vAlign w:val="center"/>
          </w:tcPr>
          <w:p w14:paraId="665D63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sz w:val="24"/>
                <w:szCs w:val="24"/>
              </w:rPr>
              <w:t>系统需支持应用AI语音针对某个疾病调用对于筛查类话术进行外呼筛查，根据系统当前已有的患者有效信息，自动匹配对应话术，避免问询已有明确结果的问题。同时对于筛查的结果可进行结构化内容提取和自动计算，并支持用户直接引用填写到筛查表中。（需提供软件功能界面截图</w:t>
            </w:r>
            <w:r>
              <w:rPr>
                <w:rFonts w:hint="eastAsia" w:ascii="宋体" w:hAnsi="宋体" w:eastAsia="宋体" w:cs="宋体"/>
                <w:sz w:val="24"/>
                <w:szCs w:val="24"/>
                <w:lang w:val="en-US" w:eastAsia="zh-CN"/>
              </w:rPr>
              <w:t>并加盖公章</w:t>
            </w:r>
            <w:r>
              <w:rPr>
                <w:rFonts w:hint="eastAsia" w:ascii="宋体" w:hAnsi="宋体" w:eastAsia="宋体" w:cs="宋体"/>
                <w:sz w:val="24"/>
                <w:szCs w:val="24"/>
              </w:rPr>
              <w:t>）</w:t>
            </w:r>
          </w:p>
          <w:p w14:paraId="1A0E41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i w:val="0"/>
                <w:iCs w:val="0"/>
                <w:color w:val="000000"/>
                <w:kern w:val="0"/>
                <w:sz w:val="24"/>
                <w:szCs w:val="24"/>
                <w:u w:val="none"/>
                <w:lang w:val="en-US" w:eastAsia="zh-CN" w:bidi="ar"/>
              </w:rPr>
              <w:t>所使用AI语音外呼系统</w:t>
            </w:r>
            <w:r>
              <w:rPr>
                <w:rFonts w:hint="eastAsia" w:ascii="宋体" w:hAnsi="宋体" w:eastAsia="宋体" w:cs="宋体"/>
                <w:sz w:val="24"/>
                <w:szCs w:val="24"/>
                <w:lang w:val="en-US" w:eastAsia="zh-CN"/>
              </w:rPr>
              <w:t>需支持语音合成：按音质、自然度、总体感觉角度，中、英文语音合成自然度（MOS方法）≥4.5分；(</w:t>
            </w:r>
            <w:r>
              <w:rPr>
                <w:rFonts w:hint="eastAsia" w:ascii="宋体" w:hAnsi="宋体" w:cs="宋体"/>
                <w:sz w:val="24"/>
                <w:szCs w:val="24"/>
                <w:lang w:val="en-US" w:eastAsia="zh-CN"/>
              </w:rPr>
              <w:t>需提供国家认证认可机构（具有CMA或CNAS标志）出具的检验报告扫描件或影印件并加盖公章</w:t>
            </w:r>
            <w:r>
              <w:rPr>
                <w:rFonts w:hint="eastAsia" w:ascii="宋体" w:hAnsi="宋体" w:eastAsia="宋体" w:cs="宋体"/>
                <w:sz w:val="24"/>
                <w:szCs w:val="24"/>
                <w:lang w:val="en-US" w:eastAsia="zh-CN"/>
              </w:rPr>
              <w:t>)</w:t>
            </w:r>
          </w:p>
        </w:tc>
      </w:tr>
      <w:tr w14:paraId="4C497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6A7F0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AFDF0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22281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6ECE6F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人工软电话</w:t>
            </w:r>
          </w:p>
        </w:tc>
        <w:tc>
          <w:tcPr>
            <w:tcW w:w="5199" w:type="dxa"/>
            <w:noWrap w:val="0"/>
            <w:vAlign w:val="center"/>
          </w:tcPr>
          <w:p w14:paraId="5C759AD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系统需支持用户使用人工软电话对居民或者患者直接发起外呼，在通话过程中填写筛查问卷，在完成通话后可进行通话录音的留存与听取。（需提供软件功能界面截图</w:t>
            </w:r>
            <w:r>
              <w:rPr>
                <w:rFonts w:hint="eastAsia" w:ascii="宋体" w:hAnsi="宋体" w:eastAsia="宋体" w:cs="宋体"/>
                <w:sz w:val="24"/>
                <w:szCs w:val="24"/>
                <w:lang w:val="en-US" w:eastAsia="zh-CN"/>
              </w:rPr>
              <w:t>并加盖公章</w:t>
            </w:r>
            <w:r>
              <w:rPr>
                <w:rFonts w:hint="eastAsia" w:ascii="宋体" w:hAnsi="宋体" w:eastAsia="宋体" w:cs="宋体"/>
                <w:sz w:val="24"/>
                <w:szCs w:val="24"/>
              </w:rPr>
              <w:t>）</w:t>
            </w:r>
          </w:p>
          <w:p w14:paraId="62CF920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▲2）所使用AI语音外呼系统需支持语音识别：基于医疗场景、电话信道（8k采样率）的语音识别</w:t>
            </w:r>
            <w:r>
              <w:rPr>
                <w:rFonts w:hint="eastAsia" w:ascii="宋体" w:hAnsi="宋体" w:cs="宋体"/>
                <w:i w:val="0"/>
                <w:iCs w:val="0"/>
                <w:color w:val="000000"/>
                <w:kern w:val="0"/>
                <w:sz w:val="24"/>
                <w:szCs w:val="24"/>
                <w:u w:val="none"/>
                <w:lang w:val="en-US" w:eastAsia="zh-CN" w:bidi="ar"/>
              </w:rPr>
              <w:t>准</w:t>
            </w:r>
            <w:r>
              <w:rPr>
                <w:rFonts w:hint="eastAsia" w:ascii="宋体" w:hAnsi="宋体" w:eastAsia="宋体" w:cs="宋体"/>
                <w:i w:val="0"/>
                <w:iCs w:val="0"/>
                <w:color w:val="000000"/>
                <w:kern w:val="0"/>
                <w:sz w:val="24"/>
                <w:szCs w:val="24"/>
                <w:u w:val="none"/>
                <w:lang w:val="en-US" w:eastAsia="zh-CN" w:bidi="ar"/>
              </w:rPr>
              <w:t>确率≥90%；(</w:t>
            </w:r>
            <w:r>
              <w:rPr>
                <w:rFonts w:hint="eastAsia" w:ascii="宋体" w:hAnsi="宋体" w:cs="宋体"/>
                <w:i w:val="0"/>
                <w:iCs w:val="0"/>
                <w:color w:val="000000"/>
                <w:kern w:val="0"/>
                <w:sz w:val="24"/>
                <w:szCs w:val="24"/>
                <w:u w:val="none"/>
                <w:lang w:val="en-US" w:eastAsia="zh-CN" w:bidi="ar"/>
              </w:rPr>
              <w:t>需提供国家认证认可机构（具有CMA或CNAS标志）出具的检验报告扫描件或影印件并加盖公章</w:t>
            </w:r>
            <w:r>
              <w:rPr>
                <w:rFonts w:hint="eastAsia" w:ascii="宋体" w:hAnsi="宋体" w:eastAsia="宋体" w:cs="宋体"/>
                <w:i w:val="0"/>
                <w:iCs w:val="0"/>
                <w:color w:val="000000"/>
                <w:kern w:val="0"/>
                <w:sz w:val="24"/>
                <w:szCs w:val="24"/>
                <w:u w:val="none"/>
                <w:lang w:val="en-US" w:eastAsia="zh-CN" w:bidi="ar"/>
              </w:rPr>
              <w:t>)</w:t>
            </w:r>
          </w:p>
        </w:tc>
      </w:tr>
      <w:tr w14:paraId="3AE81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6093B5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BE3AF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疾病随访</w:t>
            </w:r>
          </w:p>
        </w:tc>
        <w:tc>
          <w:tcPr>
            <w:tcW w:w="1444" w:type="dxa"/>
            <w:vMerge w:val="restart"/>
            <w:noWrap w:val="0"/>
            <w:vAlign w:val="center"/>
          </w:tcPr>
          <w:p w14:paraId="2172C6F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疾病随访是对系统内慢病患者进行随访服务的功能模块，支持医生对系统内的慢病患者进行各项疾病随访</w:t>
            </w:r>
            <w:r>
              <w:rPr>
                <w:rFonts w:hint="eastAsia" w:ascii="宋体" w:hAnsi="宋体" w:eastAsia="宋体" w:cs="宋体"/>
                <w:sz w:val="24"/>
                <w:szCs w:val="24"/>
                <w:lang w:eastAsia="zh-CN"/>
              </w:rPr>
              <w:t>。</w:t>
            </w:r>
          </w:p>
        </w:tc>
        <w:tc>
          <w:tcPr>
            <w:tcW w:w="1228" w:type="dxa"/>
            <w:noWrap w:val="0"/>
            <w:vAlign w:val="center"/>
          </w:tcPr>
          <w:p w14:paraId="69C5AE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随访任务清单</w:t>
            </w:r>
          </w:p>
        </w:tc>
        <w:tc>
          <w:tcPr>
            <w:tcW w:w="5199" w:type="dxa"/>
            <w:noWrap w:val="0"/>
            <w:vAlign w:val="center"/>
          </w:tcPr>
          <w:p w14:paraId="06A733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针对单个慢病患者汇总展示其随访任务情况</w:t>
            </w:r>
            <w:r>
              <w:rPr>
                <w:rFonts w:hint="eastAsia" w:ascii="宋体" w:hAnsi="宋体" w:eastAsia="宋体" w:cs="宋体"/>
                <w:sz w:val="24"/>
                <w:szCs w:val="24"/>
                <w:lang w:eastAsia="zh-CN"/>
              </w:rPr>
              <w:t>。</w:t>
            </w:r>
          </w:p>
        </w:tc>
      </w:tr>
      <w:tr w14:paraId="65C6B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9BC2D4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C51A9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C96F94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C9C42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随访提醒配置</w:t>
            </w:r>
            <w:r>
              <w:rPr>
                <w:rFonts w:hint="eastAsia" w:ascii="宋体" w:hAnsi="宋体" w:eastAsia="宋体" w:cs="宋体"/>
                <w:sz w:val="24"/>
                <w:szCs w:val="24"/>
              </w:rPr>
              <w:tab/>
            </w:r>
          </w:p>
        </w:tc>
        <w:tc>
          <w:tcPr>
            <w:tcW w:w="5199" w:type="dxa"/>
            <w:noWrap w:val="0"/>
            <w:vAlign w:val="center"/>
          </w:tcPr>
          <w:p w14:paraId="388524F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用户对短信自动提醒、电话自动提醒进行配置。</w:t>
            </w:r>
          </w:p>
        </w:tc>
      </w:tr>
      <w:tr w14:paraId="17FFF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11C2B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69AB0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F89A0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D88A30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3.日常随访信息表</w:t>
            </w:r>
          </w:p>
        </w:tc>
        <w:tc>
          <w:tcPr>
            <w:tcW w:w="5199" w:type="dxa"/>
            <w:noWrap w:val="0"/>
            <w:vAlign w:val="center"/>
          </w:tcPr>
          <w:p w14:paraId="0A3AEF7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系统需支持填写日常随访记录表，收集居民日常症状、并发症、上级医院就诊信息。</w:t>
            </w:r>
          </w:p>
        </w:tc>
      </w:tr>
      <w:tr w14:paraId="1333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528E5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23539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7E090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E592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4.高血压随访表</w:t>
            </w:r>
          </w:p>
        </w:tc>
        <w:tc>
          <w:tcPr>
            <w:tcW w:w="5199" w:type="dxa"/>
            <w:noWrap w:val="0"/>
            <w:vAlign w:val="center"/>
          </w:tcPr>
          <w:p w14:paraId="6AA6B6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通过随访问卷方式对居民高血压管理信息进行采集与判断</w:t>
            </w:r>
            <w:r>
              <w:rPr>
                <w:rFonts w:hint="eastAsia" w:ascii="宋体" w:hAnsi="宋体" w:eastAsia="宋体" w:cs="宋体"/>
                <w:sz w:val="24"/>
                <w:szCs w:val="24"/>
                <w:lang w:eastAsia="zh-CN"/>
              </w:rPr>
              <w:t>。</w:t>
            </w:r>
          </w:p>
        </w:tc>
      </w:tr>
      <w:tr w14:paraId="04293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8CE31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67B08F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9EEB5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CF6C5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5.糖尿病随访表</w:t>
            </w:r>
          </w:p>
        </w:tc>
        <w:tc>
          <w:tcPr>
            <w:tcW w:w="5199" w:type="dxa"/>
            <w:noWrap w:val="0"/>
            <w:vAlign w:val="center"/>
          </w:tcPr>
          <w:p w14:paraId="2D719E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糖尿病</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53DF7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3F387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6EAD18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F5A1E7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E7E68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6.冠心病随访表</w:t>
            </w:r>
          </w:p>
        </w:tc>
        <w:tc>
          <w:tcPr>
            <w:tcW w:w="5199" w:type="dxa"/>
            <w:noWrap w:val="0"/>
            <w:vAlign w:val="center"/>
          </w:tcPr>
          <w:p w14:paraId="2B0326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冠心病</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284E2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F32C5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22A25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58E23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09132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7.脑卒中随访表</w:t>
            </w:r>
          </w:p>
        </w:tc>
        <w:tc>
          <w:tcPr>
            <w:tcW w:w="5199" w:type="dxa"/>
            <w:noWrap w:val="0"/>
            <w:vAlign w:val="center"/>
          </w:tcPr>
          <w:p w14:paraId="52CBA0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脑卒中</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7892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BCEA9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D29D67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115BA7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F69D2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8.慢阻肺随访表</w:t>
            </w:r>
          </w:p>
        </w:tc>
        <w:tc>
          <w:tcPr>
            <w:tcW w:w="5199" w:type="dxa"/>
            <w:noWrap w:val="0"/>
            <w:vAlign w:val="center"/>
          </w:tcPr>
          <w:p w14:paraId="29B0F2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慢阻肺</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6950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8C3D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C18FA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8F63E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2CF99E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9.高脂血症随访表</w:t>
            </w:r>
          </w:p>
        </w:tc>
        <w:tc>
          <w:tcPr>
            <w:tcW w:w="5199" w:type="dxa"/>
            <w:noWrap w:val="0"/>
            <w:vAlign w:val="center"/>
          </w:tcPr>
          <w:p w14:paraId="64FDD4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高脂血症</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4FD16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B0F3D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9F6211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1A50E3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A2732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10.慢性肾病随访表</w:t>
            </w:r>
          </w:p>
        </w:tc>
        <w:tc>
          <w:tcPr>
            <w:tcW w:w="5199" w:type="dxa"/>
            <w:noWrap w:val="0"/>
            <w:vAlign w:val="center"/>
          </w:tcPr>
          <w:p w14:paraId="64F876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通过随访问卷方式对居民</w:t>
            </w:r>
            <w:r>
              <w:rPr>
                <w:rFonts w:hint="eastAsia" w:ascii="宋体" w:hAnsi="宋体" w:eastAsia="宋体" w:cs="宋体"/>
                <w:sz w:val="24"/>
                <w:szCs w:val="24"/>
                <w:lang w:val="en-US" w:eastAsia="zh-CN"/>
              </w:rPr>
              <w:t>慢性肾病</w:t>
            </w:r>
            <w:r>
              <w:rPr>
                <w:rFonts w:hint="eastAsia" w:ascii="宋体" w:hAnsi="宋体" w:eastAsia="宋体" w:cs="宋体"/>
                <w:sz w:val="24"/>
                <w:szCs w:val="24"/>
              </w:rPr>
              <w:t>管理信息进行采集与判断</w:t>
            </w:r>
            <w:r>
              <w:rPr>
                <w:rFonts w:hint="eastAsia" w:ascii="宋体" w:hAnsi="宋体" w:eastAsia="宋体" w:cs="宋体"/>
                <w:sz w:val="24"/>
                <w:szCs w:val="24"/>
                <w:lang w:eastAsia="zh-CN"/>
              </w:rPr>
              <w:t>。</w:t>
            </w:r>
          </w:p>
        </w:tc>
      </w:tr>
      <w:tr w14:paraId="60027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9A03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A187C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E74FC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B79D6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11.随访计划自动调整</w:t>
            </w:r>
          </w:p>
        </w:tc>
        <w:tc>
          <w:tcPr>
            <w:tcW w:w="5199" w:type="dxa"/>
            <w:noWrap w:val="0"/>
            <w:vAlign w:val="center"/>
          </w:tcPr>
          <w:p w14:paraId="089A38A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系统需支持在随访表单填写过程中，依据患者随访信息和患者控制满意度自动调整患者下次随访时间。</w:t>
            </w:r>
          </w:p>
        </w:tc>
      </w:tr>
      <w:tr w14:paraId="6A51A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999D3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E3B3A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A324A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4C531B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12.上次随访信息引用</w:t>
            </w:r>
          </w:p>
        </w:tc>
        <w:tc>
          <w:tcPr>
            <w:tcW w:w="5199" w:type="dxa"/>
            <w:noWrap w:val="0"/>
            <w:vAlign w:val="center"/>
          </w:tcPr>
          <w:p w14:paraId="0123EEB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系统需支持在随访表单填写过程中，快速引用该患者上次随访记录内容。</w:t>
            </w:r>
          </w:p>
        </w:tc>
      </w:tr>
      <w:tr w14:paraId="3DDA1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747E9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2BDF7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19D832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923A97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13.AI随访与信息回写</w:t>
            </w:r>
          </w:p>
        </w:tc>
        <w:tc>
          <w:tcPr>
            <w:tcW w:w="5199" w:type="dxa"/>
            <w:noWrap w:val="0"/>
            <w:vAlign w:val="center"/>
          </w:tcPr>
          <w:p w14:paraId="72729FE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1）系统需支持应用AI语音针对某个疾病进行外呼随访，对于随访的结果可进行结构化内容提取，并支持用户直接引用填写到随访表中。</w:t>
            </w:r>
          </w:p>
          <w:p w14:paraId="5339ABC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color w:val="auto"/>
                <w:sz w:val="24"/>
                <w:szCs w:val="24"/>
                <w:lang w:val="en-US" w:eastAsia="zh-CN"/>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cs="宋体"/>
                <w:i w:val="0"/>
                <w:iCs w:val="0"/>
                <w:color w:val="auto"/>
                <w:kern w:val="0"/>
                <w:sz w:val="24"/>
                <w:szCs w:val="24"/>
                <w:u w:val="none"/>
                <w:lang w:val="en-US" w:eastAsia="zh-CN" w:bidi="ar"/>
              </w:rPr>
              <w:t>2</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所使用AI语音外呼系统</w:t>
            </w:r>
            <w:r>
              <w:rPr>
                <w:rFonts w:hint="eastAsia" w:ascii="宋体" w:hAnsi="宋体" w:eastAsia="宋体" w:cs="宋体"/>
                <w:color w:val="auto"/>
                <w:sz w:val="24"/>
                <w:szCs w:val="24"/>
                <w:lang w:val="en-US" w:eastAsia="zh-CN"/>
              </w:rPr>
              <w:t>需支持语义理解：在机器与患者电话沟通的场景下，使用语义理解引擎了解说话人的意图，</w:t>
            </w:r>
            <w:r>
              <w:rPr>
                <w:rFonts w:hint="eastAsia" w:ascii="宋体" w:hAnsi="宋体" w:cs="宋体"/>
                <w:color w:val="auto"/>
                <w:sz w:val="24"/>
                <w:szCs w:val="24"/>
                <w:lang w:val="en-US" w:eastAsia="zh-CN"/>
              </w:rPr>
              <w:t>医疗单句</w:t>
            </w:r>
            <w:r>
              <w:rPr>
                <w:rFonts w:hint="eastAsia" w:ascii="宋体" w:hAnsi="宋体" w:eastAsia="宋体" w:cs="宋体"/>
                <w:color w:val="auto"/>
                <w:sz w:val="24"/>
                <w:szCs w:val="24"/>
                <w:lang w:val="en-US" w:eastAsia="zh-CN"/>
              </w:rPr>
              <w:t>语义理解正确率≥90%；</w:t>
            </w:r>
            <w:r>
              <w:rPr>
                <w:rFonts w:hint="eastAsia" w:ascii="宋体" w:hAnsi="宋体" w:eastAsia="宋体" w:cs="宋体"/>
                <w:i w:val="0"/>
                <w:iCs w:val="0"/>
                <w:color w:val="auto"/>
                <w:kern w:val="0"/>
                <w:sz w:val="24"/>
                <w:szCs w:val="24"/>
                <w:u w:val="none"/>
                <w:lang w:val="en-US" w:eastAsia="zh-CN" w:bidi="ar"/>
              </w:rPr>
              <w:t>(</w:t>
            </w:r>
            <w:r>
              <w:rPr>
                <w:rFonts w:hint="eastAsia" w:ascii="宋体" w:hAnsi="宋体" w:cs="宋体"/>
                <w:i w:val="0"/>
                <w:iCs w:val="0"/>
                <w:color w:val="auto"/>
                <w:kern w:val="0"/>
                <w:sz w:val="24"/>
                <w:szCs w:val="24"/>
                <w:u w:val="none"/>
                <w:lang w:val="en-US" w:eastAsia="zh-CN" w:bidi="ar"/>
              </w:rPr>
              <w:t>需提供国家认证认可机构（具有CMA或CNAS标志）出具的检验报告扫描件或影印件并加盖公章</w:t>
            </w:r>
            <w:r>
              <w:rPr>
                <w:rFonts w:hint="eastAsia" w:ascii="宋体" w:hAnsi="宋体" w:eastAsia="宋体" w:cs="宋体"/>
                <w:i w:val="0"/>
                <w:iCs w:val="0"/>
                <w:color w:val="auto"/>
                <w:kern w:val="0"/>
                <w:sz w:val="24"/>
                <w:szCs w:val="24"/>
                <w:u w:val="none"/>
                <w:lang w:val="en-US" w:eastAsia="zh-CN" w:bidi="ar"/>
              </w:rPr>
              <w:t>)</w:t>
            </w:r>
          </w:p>
          <w:p w14:paraId="3436A3F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w:t>
            </w:r>
            <w:r>
              <w:rPr>
                <w:rFonts w:hint="eastAsia" w:ascii="宋体" w:hAnsi="宋体" w:cs="宋体"/>
                <w:i w:val="0"/>
                <w:iCs w:val="0"/>
                <w:color w:val="auto"/>
                <w:kern w:val="0"/>
                <w:sz w:val="24"/>
                <w:szCs w:val="24"/>
                <w:u w:val="none"/>
                <w:lang w:val="en-US" w:eastAsia="zh-CN" w:bidi="ar"/>
              </w:rPr>
              <w:t>3</w:t>
            </w:r>
            <w:r>
              <w:rPr>
                <w:rFonts w:hint="eastAsia" w:ascii="宋体" w:hAnsi="宋体" w:eastAsia="宋体" w:cs="宋体"/>
                <w:i w:val="0"/>
                <w:iCs w:val="0"/>
                <w:color w:val="auto"/>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所使用AI语音外呼系统</w:t>
            </w:r>
            <w:r>
              <w:rPr>
                <w:rFonts w:hint="eastAsia" w:ascii="宋体" w:hAnsi="宋体" w:eastAsia="宋体" w:cs="宋体"/>
                <w:color w:val="auto"/>
                <w:sz w:val="24"/>
                <w:szCs w:val="24"/>
                <w:lang w:val="en-US" w:eastAsia="zh-CN"/>
              </w:rPr>
              <w:t>需支持多轮对话：</w:t>
            </w:r>
            <w:r>
              <w:rPr>
                <w:rFonts w:hint="eastAsia" w:ascii="宋体" w:hAnsi="宋体" w:cs="宋体"/>
                <w:color w:val="auto"/>
                <w:sz w:val="24"/>
                <w:szCs w:val="24"/>
                <w:lang w:val="en-US" w:eastAsia="zh-CN"/>
              </w:rPr>
              <w:t>针对医疗随访、筛查健康</w:t>
            </w:r>
            <w:r>
              <w:rPr>
                <w:rFonts w:hint="eastAsia" w:ascii="宋体" w:hAnsi="宋体" w:eastAsia="宋体" w:cs="宋体"/>
                <w:color w:val="auto"/>
                <w:sz w:val="24"/>
                <w:szCs w:val="24"/>
                <w:lang w:val="en-US" w:eastAsia="zh-CN"/>
              </w:rPr>
              <w:t>交互场景下存在多轮对话交流，机器需理解说话人回答的情况，从而作出多轮会话正确的应答，实现多轮的交互，</w:t>
            </w:r>
            <w:r>
              <w:rPr>
                <w:rFonts w:hint="eastAsia" w:ascii="宋体" w:hAnsi="宋体" w:cs="宋体"/>
                <w:color w:val="auto"/>
                <w:sz w:val="24"/>
                <w:szCs w:val="24"/>
                <w:lang w:val="en-US" w:eastAsia="zh-CN"/>
              </w:rPr>
              <w:t>医疗</w:t>
            </w:r>
            <w:r>
              <w:rPr>
                <w:rFonts w:hint="eastAsia" w:ascii="宋体" w:hAnsi="宋体" w:eastAsia="宋体" w:cs="宋体"/>
                <w:color w:val="auto"/>
                <w:sz w:val="24"/>
                <w:szCs w:val="24"/>
                <w:lang w:val="en-US" w:eastAsia="zh-CN"/>
              </w:rPr>
              <w:t>多轮交互</w:t>
            </w:r>
            <w:r>
              <w:rPr>
                <w:rFonts w:hint="eastAsia" w:ascii="宋体" w:hAnsi="宋体" w:cs="宋体"/>
                <w:color w:val="auto"/>
                <w:sz w:val="24"/>
                <w:szCs w:val="24"/>
                <w:lang w:val="en-US" w:eastAsia="zh-CN"/>
              </w:rPr>
              <w:t>成功</w:t>
            </w:r>
            <w:r>
              <w:rPr>
                <w:rFonts w:hint="eastAsia" w:ascii="宋体" w:hAnsi="宋体" w:eastAsia="宋体" w:cs="宋体"/>
                <w:color w:val="auto"/>
                <w:sz w:val="24"/>
                <w:szCs w:val="24"/>
                <w:lang w:val="en-US" w:eastAsia="zh-CN"/>
              </w:rPr>
              <w:t>率≥90%；</w:t>
            </w:r>
            <w:r>
              <w:rPr>
                <w:rFonts w:hint="eastAsia" w:ascii="宋体" w:hAnsi="宋体" w:eastAsia="宋体" w:cs="宋体"/>
                <w:i w:val="0"/>
                <w:iCs w:val="0"/>
                <w:color w:val="auto"/>
                <w:kern w:val="0"/>
                <w:sz w:val="24"/>
                <w:szCs w:val="24"/>
                <w:u w:val="none"/>
                <w:lang w:val="en-US" w:eastAsia="zh-CN" w:bidi="ar"/>
              </w:rPr>
              <w:t>(</w:t>
            </w:r>
            <w:r>
              <w:rPr>
                <w:rFonts w:hint="eastAsia" w:ascii="宋体" w:hAnsi="宋体" w:cs="宋体"/>
                <w:i w:val="0"/>
                <w:iCs w:val="0"/>
                <w:color w:val="auto"/>
                <w:kern w:val="0"/>
                <w:sz w:val="24"/>
                <w:szCs w:val="24"/>
                <w:u w:val="none"/>
                <w:lang w:val="en-US" w:eastAsia="zh-CN" w:bidi="ar"/>
              </w:rPr>
              <w:t>需提供国家认证认可机构（具有CMA或CNAS标志）出具的检验报告扫描件或影印件并加盖公章</w:t>
            </w:r>
            <w:r>
              <w:rPr>
                <w:rFonts w:hint="eastAsia" w:ascii="宋体" w:hAnsi="宋体" w:eastAsia="宋体" w:cs="宋体"/>
                <w:i w:val="0"/>
                <w:iCs w:val="0"/>
                <w:color w:val="auto"/>
                <w:kern w:val="0"/>
                <w:sz w:val="24"/>
                <w:szCs w:val="24"/>
                <w:u w:val="none"/>
                <w:lang w:val="en-US" w:eastAsia="zh-CN" w:bidi="ar"/>
              </w:rPr>
              <w:t>)</w:t>
            </w:r>
          </w:p>
        </w:tc>
      </w:tr>
      <w:tr w14:paraId="2F69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480FD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7B435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7A6EC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993121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14.随访引用系统数据</w:t>
            </w:r>
          </w:p>
        </w:tc>
        <w:tc>
          <w:tcPr>
            <w:tcW w:w="5199" w:type="dxa"/>
            <w:noWrap w:val="0"/>
            <w:vAlign w:val="center"/>
          </w:tcPr>
          <w:p w14:paraId="4044C95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系统需支持自动汇聚居民当前可用症状、体征、生活方式、用药情况慢病随访关键信息，支持一键引用填充至随访表单中，高效完成本次随访内容填写。</w:t>
            </w:r>
          </w:p>
        </w:tc>
      </w:tr>
      <w:tr w14:paraId="2941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1E35B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19F73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485F7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A8F1C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15.调阅诊疗记录</w:t>
            </w:r>
          </w:p>
        </w:tc>
        <w:tc>
          <w:tcPr>
            <w:tcW w:w="5199" w:type="dxa"/>
            <w:noWrap w:val="0"/>
            <w:vAlign w:val="center"/>
          </w:tcPr>
          <w:p w14:paraId="162731A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系统需支持在随访过程中调阅患者诊疗记录，查阅患者的就诊记录数据。</w:t>
            </w:r>
          </w:p>
        </w:tc>
      </w:tr>
      <w:tr w14:paraId="7171E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B1CA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AACA6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C69D6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FBFA58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16.人工软电话</w:t>
            </w:r>
          </w:p>
        </w:tc>
        <w:tc>
          <w:tcPr>
            <w:tcW w:w="5199" w:type="dxa"/>
            <w:noWrap w:val="0"/>
            <w:vAlign w:val="center"/>
          </w:tcPr>
          <w:p w14:paraId="7CFB0FA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系统需支持用户使用人工软电话对居民或者患者直接发起外呼，在通话过程中填写随访记录表，在完成通话后可进行通话录音的留存与听取。</w:t>
            </w:r>
          </w:p>
        </w:tc>
      </w:tr>
      <w:tr w14:paraId="135A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A044B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A07E3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健康处方</w:t>
            </w:r>
          </w:p>
        </w:tc>
        <w:tc>
          <w:tcPr>
            <w:tcW w:w="1444" w:type="dxa"/>
            <w:vMerge w:val="restart"/>
            <w:noWrap w:val="0"/>
            <w:vAlign w:val="center"/>
          </w:tcPr>
          <w:p w14:paraId="537D11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健康处方是帮助医生对慢病患者进行饮食、运动生活方式干预管理的功能模块，支持对居民生活方式进行采集并提供个性化饮食、运动方案。</w:t>
            </w:r>
          </w:p>
        </w:tc>
        <w:tc>
          <w:tcPr>
            <w:tcW w:w="1228" w:type="dxa"/>
            <w:noWrap w:val="0"/>
            <w:vAlign w:val="center"/>
          </w:tcPr>
          <w:p w14:paraId="3A1C7A4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生活方式信息采集问卷</w:t>
            </w:r>
          </w:p>
        </w:tc>
        <w:tc>
          <w:tcPr>
            <w:tcW w:w="5199" w:type="dxa"/>
            <w:noWrap w:val="0"/>
            <w:vAlign w:val="center"/>
          </w:tcPr>
          <w:p w14:paraId="394505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系统需支持通过问卷方式采集居民的饮食习惯与运动耐受程度信息。</w:t>
            </w:r>
          </w:p>
        </w:tc>
      </w:tr>
      <w:tr w14:paraId="7E8F9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3733B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E5307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40526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C3048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人工软电话</w:t>
            </w:r>
          </w:p>
        </w:tc>
        <w:tc>
          <w:tcPr>
            <w:tcW w:w="5199" w:type="dxa"/>
            <w:noWrap w:val="0"/>
            <w:vAlign w:val="center"/>
          </w:tcPr>
          <w:p w14:paraId="42E5BF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系统需支持用户使用人工软电话对居民或者患者直接发起外呼，在通话过程中填写居民生活习惯问卷，在完成通话后可进行通话录音的留存与听取。（需提供软件功能界面截图</w:t>
            </w:r>
            <w:r>
              <w:rPr>
                <w:rFonts w:hint="eastAsia" w:ascii="宋体" w:hAnsi="宋体" w:eastAsia="宋体" w:cs="宋体"/>
                <w:sz w:val="24"/>
                <w:szCs w:val="24"/>
                <w:lang w:val="en-US" w:eastAsia="zh-CN"/>
              </w:rPr>
              <w:t>并加盖公章</w:t>
            </w:r>
            <w:r>
              <w:rPr>
                <w:rFonts w:hint="eastAsia" w:ascii="宋体" w:hAnsi="宋体" w:eastAsia="宋体" w:cs="宋体"/>
                <w:sz w:val="24"/>
                <w:szCs w:val="24"/>
              </w:rPr>
              <w:t>）</w:t>
            </w:r>
          </w:p>
        </w:tc>
      </w:tr>
      <w:tr w14:paraId="17E32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ABB665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250E1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AEEA1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A8290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饮食方案自动推荐</w:t>
            </w:r>
          </w:p>
        </w:tc>
        <w:tc>
          <w:tcPr>
            <w:tcW w:w="5199" w:type="dxa"/>
            <w:noWrap w:val="0"/>
            <w:vAlign w:val="center"/>
          </w:tcPr>
          <w:p w14:paraId="5B490A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系统需支持依据采集到的患者饮食习惯信息为居民或患者自动推荐饮食管理方案，包括主食、油脂、蛋白质、低盐饮食、蔬菜、水果的食量建议。</w:t>
            </w:r>
          </w:p>
        </w:tc>
      </w:tr>
      <w:tr w14:paraId="673A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49AC8E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92214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4BA29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3D635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运动方案自动推荐</w:t>
            </w:r>
          </w:p>
        </w:tc>
        <w:tc>
          <w:tcPr>
            <w:tcW w:w="5199" w:type="dxa"/>
            <w:noWrap w:val="0"/>
            <w:vAlign w:val="center"/>
          </w:tcPr>
          <w:p w14:paraId="429DCB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系统需支持依据采集到的患者运动耐受情况为居民或患者自动推荐运动管理方案，包括运动形式、运动强度、运动持续时间。</w:t>
            </w:r>
          </w:p>
        </w:tc>
      </w:tr>
      <w:tr w14:paraId="7E45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9B8FD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D8061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0103A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8F9AA6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健康指导建议</w:t>
            </w:r>
          </w:p>
        </w:tc>
        <w:tc>
          <w:tcPr>
            <w:tcW w:w="5199" w:type="dxa"/>
            <w:noWrap w:val="0"/>
            <w:vAlign w:val="center"/>
          </w:tcPr>
          <w:p w14:paraId="10B559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系统需支持为居民提供健康指导内容，包括健康生活方式、治疗与康复、急症处理指导内容。</w:t>
            </w:r>
          </w:p>
        </w:tc>
      </w:tr>
      <w:tr w14:paraId="3F8FD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BB4C3B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E714E7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25196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92B9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健康处方打印</w:t>
            </w:r>
          </w:p>
        </w:tc>
        <w:tc>
          <w:tcPr>
            <w:tcW w:w="5199" w:type="dxa"/>
            <w:noWrap w:val="0"/>
            <w:vAlign w:val="center"/>
          </w:tcPr>
          <w:p w14:paraId="1A5DFC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系统需支持健康处方进行打印，提供疾病指导、饮食运动处方建议。</w:t>
            </w:r>
          </w:p>
        </w:tc>
      </w:tr>
      <w:tr w14:paraId="01970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5E6DB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F1582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08A03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312DC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常见食物血糖生成指数</w:t>
            </w:r>
          </w:p>
        </w:tc>
        <w:tc>
          <w:tcPr>
            <w:tcW w:w="5199" w:type="dxa"/>
            <w:noWrap w:val="0"/>
            <w:vAlign w:val="center"/>
          </w:tcPr>
          <w:p w14:paraId="17597F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系统需支持展示常见食物血糖生成指数表，展示常见高升糖食物和低升糖食物。</w:t>
            </w:r>
          </w:p>
        </w:tc>
      </w:tr>
      <w:tr w14:paraId="2545C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82D14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F9BA4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09781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5B94B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健康处方推送</w:t>
            </w:r>
          </w:p>
        </w:tc>
        <w:tc>
          <w:tcPr>
            <w:tcW w:w="5199" w:type="dxa"/>
            <w:noWrap w:val="0"/>
            <w:vAlign w:val="center"/>
          </w:tcPr>
          <w:p w14:paraId="684C78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部署了慢病患者端的区域，系统需支持将医生制定的健康处方实时自动推送至患者移动端，方便患者在移动场景下调阅。</w:t>
            </w:r>
          </w:p>
        </w:tc>
      </w:tr>
      <w:tr w14:paraId="7A064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6C91C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F6C61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569546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E5068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健康处方自动更新</w:t>
            </w:r>
          </w:p>
        </w:tc>
        <w:tc>
          <w:tcPr>
            <w:tcW w:w="5199" w:type="dxa"/>
            <w:noWrap w:val="0"/>
            <w:vAlign w:val="center"/>
          </w:tcPr>
          <w:p w14:paraId="593C2B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系统需支持在医生首次制定健康处方后，基于最新患者健康信息，定期更新健康处方内容并及时</w:t>
            </w:r>
            <w:r>
              <w:rPr>
                <w:rFonts w:hint="eastAsia" w:ascii="宋体" w:hAnsi="宋体" w:eastAsia="宋体" w:cs="宋体"/>
                <w:sz w:val="24"/>
                <w:szCs w:val="24"/>
                <w:lang w:eastAsia="zh-CN"/>
              </w:rPr>
              <w:t>推送</w:t>
            </w:r>
            <w:r>
              <w:rPr>
                <w:rFonts w:hint="eastAsia" w:ascii="宋体" w:hAnsi="宋体" w:eastAsia="宋体" w:cs="宋体"/>
                <w:sz w:val="24"/>
                <w:szCs w:val="24"/>
              </w:rPr>
              <w:t>患者移动端。</w:t>
            </w:r>
          </w:p>
        </w:tc>
      </w:tr>
      <w:tr w14:paraId="48AA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ADC462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696746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诊疗记录</w:t>
            </w:r>
          </w:p>
        </w:tc>
        <w:tc>
          <w:tcPr>
            <w:tcW w:w="1444" w:type="dxa"/>
            <w:vMerge w:val="restart"/>
            <w:noWrap w:val="0"/>
            <w:vAlign w:val="center"/>
          </w:tcPr>
          <w:p w14:paraId="4A1662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诊疗记录是用来调阅展示居民其他系统的诊疗数据的区域，帮助医生</w:t>
            </w:r>
            <w:r>
              <w:rPr>
                <w:rFonts w:hint="eastAsia" w:ascii="宋体" w:hAnsi="宋体" w:eastAsia="宋体" w:cs="宋体"/>
                <w:sz w:val="24"/>
                <w:szCs w:val="24"/>
                <w:lang w:eastAsia="zh-CN"/>
              </w:rPr>
              <w:t>更好地了解</w:t>
            </w:r>
            <w:r>
              <w:rPr>
                <w:rFonts w:hint="eastAsia" w:ascii="宋体" w:hAnsi="宋体" w:eastAsia="宋体" w:cs="宋体"/>
                <w:sz w:val="24"/>
                <w:szCs w:val="24"/>
              </w:rPr>
              <w:t>患者的整体服务情况，例如进行门诊就诊、转诊记录内容调阅展示。</w:t>
            </w:r>
          </w:p>
        </w:tc>
        <w:tc>
          <w:tcPr>
            <w:tcW w:w="1228" w:type="dxa"/>
            <w:noWrap w:val="0"/>
            <w:vAlign w:val="center"/>
          </w:tcPr>
          <w:p w14:paraId="5848BA7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就诊记录</w:t>
            </w:r>
          </w:p>
        </w:tc>
        <w:tc>
          <w:tcPr>
            <w:tcW w:w="5199" w:type="dxa"/>
            <w:noWrap w:val="0"/>
            <w:vAlign w:val="center"/>
          </w:tcPr>
          <w:p w14:paraId="6D8D9D6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系统需支持患者系统内的历史就诊记录查阅，按时间展示在各就诊机构的电子病历信息。</w:t>
            </w:r>
          </w:p>
        </w:tc>
      </w:tr>
      <w:tr w14:paraId="777F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88666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C1C89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90DAC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14D79A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转诊记录</w:t>
            </w:r>
          </w:p>
        </w:tc>
        <w:tc>
          <w:tcPr>
            <w:tcW w:w="5199" w:type="dxa"/>
            <w:noWrap w:val="0"/>
            <w:vAlign w:val="center"/>
          </w:tcPr>
          <w:p w14:paraId="56999F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系统需支持患者系统内的历史转诊记录查阅，按时间展示历次转诊记录。</w:t>
            </w:r>
          </w:p>
        </w:tc>
      </w:tr>
      <w:tr w14:paraId="680F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D0D655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03B922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A696D0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715F3C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3.影像检查记录</w:t>
            </w:r>
          </w:p>
        </w:tc>
        <w:tc>
          <w:tcPr>
            <w:tcW w:w="5199" w:type="dxa"/>
            <w:noWrap w:val="0"/>
            <w:vAlign w:val="center"/>
          </w:tcPr>
          <w:p w14:paraId="5747270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系统需支持患者系统内的历史影像检查记录查阅，按时间展示历次影像检查记录。</w:t>
            </w:r>
          </w:p>
        </w:tc>
      </w:tr>
      <w:tr w14:paraId="54DCD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67E72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7B3120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AI干预服务</w:t>
            </w:r>
          </w:p>
        </w:tc>
        <w:tc>
          <w:tcPr>
            <w:tcW w:w="1444" w:type="dxa"/>
            <w:vMerge w:val="restart"/>
            <w:noWrap w:val="0"/>
            <w:vAlign w:val="center"/>
          </w:tcPr>
          <w:p w14:paraId="653668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AI干预服务是对系统内各项AI干预服务进行配置管理和服务记录的功能模块，支持对系统内各项AI服务进行开关配置并留存服务的具体时间和内容。</w:t>
            </w:r>
          </w:p>
        </w:tc>
        <w:tc>
          <w:tcPr>
            <w:tcW w:w="1228" w:type="dxa"/>
            <w:noWrap w:val="0"/>
            <w:vAlign w:val="center"/>
          </w:tcPr>
          <w:p w14:paraId="45DE7EC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1.AI服务记录清单</w:t>
            </w:r>
          </w:p>
        </w:tc>
        <w:tc>
          <w:tcPr>
            <w:tcW w:w="5199" w:type="dxa"/>
            <w:noWrap w:val="0"/>
            <w:vAlign w:val="center"/>
          </w:tcPr>
          <w:p w14:paraId="0B23055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系统需支持展示系统内AI自动派发给智能硬件执行的服务记录内容，展示的服务信息包括服务日期、高危随访内容、未测量提醒内容、近期趋势判断内容。</w:t>
            </w:r>
          </w:p>
        </w:tc>
      </w:tr>
      <w:tr w14:paraId="2CC5D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F7274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5F347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BB129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2C853F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2.AI服务详情查阅</w:t>
            </w:r>
          </w:p>
        </w:tc>
        <w:tc>
          <w:tcPr>
            <w:tcW w:w="5199" w:type="dxa"/>
            <w:noWrap w:val="0"/>
            <w:vAlign w:val="center"/>
          </w:tcPr>
          <w:p w14:paraId="5DA6181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系统需支持查看具体的AI服务记录内容，包括展示健康播报信息内容、信息提醒内容、语音外呼录音内容。</w:t>
            </w:r>
          </w:p>
        </w:tc>
      </w:tr>
      <w:tr w14:paraId="49A4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E7F5E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A47A6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60063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96C58D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3.血压AI干预开关</w:t>
            </w:r>
          </w:p>
        </w:tc>
        <w:tc>
          <w:tcPr>
            <w:tcW w:w="5199" w:type="dxa"/>
            <w:noWrap w:val="0"/>
            <w:vAlign w:val="center"/>
          </w:tcPr>
          <w:p w14:paraId="75ACFE2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系统需支持单个居民或者患者的血压AI服务进行开关，包括高危随访开关、未测量提醒开关、近期趋势判断开关、健康宣教开关、测量结果推送开关。</w:t>
            </w:r>
          </w:p>
        </w:tc>
      </w:tr>
      <w:tr w14:paraId="28FD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CB9C3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1D8BD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76BA4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69452C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4.血压高危随访</w:t>
            </w:r>
          </w:p>
        </w:tc>
        <w:tc>
          <w:tcPr>
            <w:tcW w:w="5199" w:type="dxa"/>
            <w:noWrap w:val="0"/>
            <w:vAlign w:val="center"/>
          </w:tcPr>
          <w:p w14:paraId="0554230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系统需支持对智能血压计上传的单次血压为高危数据时，自动电话随访以进一步了解情况。</w:t>
            </w:r>
          </w:p>
        </w:tc>
      </w:tr>
      <w:tr w14:paraId="369BA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B5937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6E5D4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1BD9A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1552A0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5.血压长期未测量提醒</w:t>
            </w:r>
          </w:p>
        </w:tc>
        <w:tc>
          <w:tcPr>
            <w:tcW w:w="5199" w:type="dxa"/>
            <w:noWrap w:val="0"/>
            <w:vAlign w:val="center"/>
          </w:tcPr>
          <w:p w14:paraId="0234D19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系统需支持对智能血压计长期未测量居民进行定时提醒。</w:t>
            </w:r>
          </w:p>
        </w:tc>
      </w:tr>
      <w:tr w14:paraId="0B993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FAFB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0E18D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3AC098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44FC85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6.血压健康宣教</w:t>
            </w:r>
          </w:p>
        </w:tc>
        <w:tc>
          <w:tcPr>
            <w:tcW w:w="5199" w:type="dxa"/>
            <w:noWrap w:val="0"/>
            <w:vAlign w:val="center"/>
          </w:tcPr>
          <w:p w14:paraId="7C0C653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系统需支持对智能血压计上传的数据进行判断，并为其匹配适合的健康宣教内容下发至硬件进行播报。</w:t>
            </w:r>
          </w:p>
        </w:tc>
      </w:tr>
      <w:tr w14:paraId="74BF3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EC5CA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99198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F4872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31E256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7.血糖AI干预开关</w:t>
            </w:r>
          </w:p>
        </w:tc>
        <w:tc>
          <w:tcPr>
            <w:tcW w:w="5199" w:type="dxa"/>
            <w:noWrap w:val="0"/>
            <w:vAlign w:val="center"/>
          </w:tcPr>
          <w:p w14:paraId="5B1CB1B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系统需支持单个居民或者患者的血糖AI服务进行开关，包括高危随访开关、未测量提醒开关、近期趋势判断开关、健康宣教开关、测量结果推送开关。</w:t>
            </w:r>
          </w:p>
        </w:tc>
      </w:tr>
      <w:tr w14:paraId="3F73F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22E98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9A9EC9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15020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CDFA64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8.血糖高危随访</w:t>
            </w:r>
          </w:p>
        </w:tc>
        <w:tc>
          <w:tcPr>
            <w:tcW w:w="5199" w:type="dxa"/>
            <w:noWrap w:val="0"/>
            <w:vAlign w:val="center"/>
          </w:tcPr>
          <w:p w14:paraId="775BC36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系统需支持对智能血糖仪上传的数据进行判断，当居民测量数据出现高危时，系统自动发起电话随访，进一步了解患者情况。</w:t>
            </w:r>
          </w:p>
        </w:tc>
      </w:tr>
      <w:tr w14:paraId="63A51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E9308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3682F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EEB161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2C9830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9.血糖长期未测量提醒</w:t>
            </w:r>
          </w:p>
        </w:tc>
        <w:tc>
          <w:tcPr>
            <w:tcW w:w="5199" w:type="dxa"/>
            <w:noWrap w:val="0"/>
            <w:vAlign w:val="center"/>
          </w:tcPr>
          <w:p w14:paraId="3202773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系统需支持对智能血糖计长期未测量居民进行定时提醒。</w:t>
            </w:r>
          </w:p>
        </w:tc>
      </w:tr>
      <w:tr w14:paraId="3D4B4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88BAF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C2C807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29843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77A142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10.血糖健康宣教</w:t>
            </w:r>
          </w:p>
        </w:tc>
        <w:tc>
          <w:tcPr>
            <w:tcW w:w="5199" w:type="dxa"/>
            <w:noWrap w:val="0"/>
            <w:vAlign w:val="center"/>
          </w:tcPr>
          <w:p w14:paraId="214B9A9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系统需支持对智能血糖计上传的数据进行判断，并为其匹配适合的健康宣教内容下发至硬件进行播报。</w:t>
            </w:r>
          </w:p>
        </w:tc>
      </w:tr>
      <w:tr w14:paraId="4777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BFACE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EC878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A5E408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25246D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11.AI短信宣教</w:t>
            </w:r>
          </w:p>
        </w:tc>
        <w:tc>
          <w:tcPr>
            <w:tcW w:w="5199" w:type="dxa"/>
            <w:noWrap w:val="0"/>
            <w:vAlign w:val="center"/>
          </w:tcPr>
          <w:p w14:paraId="4E57B63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系统需支持展示系统对居民提供的AI短信宣教服务记录。</w:t>
            </w:r>
          </w:p>
        </w:tc>
      </w:tr>
      <w:tr w14:paraId="372E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C0C8E8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694FE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53776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5D8B9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12.AI补充随访</w:t>
            </w:r>
          </w:p>
        </w:tc>
        <w:tc>
          <w:tcPr>
            <w:tcW w:w="5199" w:type="dxa"/>
            <w:noWrap w:val="0"/>
            <w:vAlign w:val="center"/>
          </w:tcPr>
          <w:p w14:paraId="6C6F21F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系统需支持展示系统对居民提供的AI补充随访服务记录。</w:t>
            </w:r>
          </w:p>
        </w:tc>
      </w:tr>
      <w:tr w14:paraId="08B0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938F4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0EEF1C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其他档案信息调阅</w:t>
            </w:r>
          </w:p>
        </w:tc>
        <w:tc>
          <w:tcPr>
            <w:tcW w:w="1444" w:type="dxa"/>
            <w:vMerge w:val="restart"/>
            <w:noWrap w:val="0"/>
            <w:vAlign w:val="center"/>
          </w:tcPr>
          <w:p w14:paraId="739B18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健康档案是统一展示居民个人基本信息表、慢病专案、体检记录信息表的功能模块，方便用户查看和更新居民个人健康档案相关信息。</w:t>
            </w:r>
          </w:p>
        </w:tc>
        <w:tc>
          <w:tcPr>
            <w:tcW w:w="1228" w:type="dxa"/>
            <w:noWrap w:val="0"/>
            <w:vAlign w:val="center"/>
          </w:tcPr>
          <w:p w14:paraId="3AE1CC5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1.个人基本信息表</w:t>
            </w:r>
          </w:p>
        </w:tc>
        <w:tc>
          <w:tcPr>
            <w:tcW w:w="5199" w:type="dxa"/>
            <w:noWrap w:val="0"/>
            <w:vAlign w:val="center"/>
          </w:tcPr>
          <w:p w14:paraId="2C2D41F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系统需支持调阅居民公卫个人基本信息表信息。</w:t>
            </w:r>
          </w:p>
        </w:tc>
      </w:tr>
      <w:tr w14:paraId="206B9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8475D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8780A6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B0DD6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0A2FB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2.高血压专案</w:t>
            </w:r>
          </w:p>
        </w:tc>
        <w:tc>
          <w:tcPr>
            <w:tcW w:w="5199" w:type="dxa"/>
            <w:noWrap w:val="0"/>
            <w:vAlign w:val="center"/>
          </w:tcPr>
          <w:p w14:paraId="79AEB43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系统需支持用户为需要管理的慢病患者查看、更新填写高血压专案，专案内容包括患者体征信息、危险因素、靶器官损害、伴临床疾患、危险分级。</w:t>
            </w:r>
          </w:p>
        </w:tc>
      </w:tr>
      <w:tr w14:paraId="0B752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71159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3AAEA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E04BEB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0361B1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3.糖尿病专案</w:t>
            </w:r>
          </w:p>
        </w:tc>
        <w:tc>
          <w:tcPr>
            <w:tcW w:w="5199" w:type="dxa"/>
            <w:noWrap w:val="0"/>
            <w:vAlign w:val="center"/>
          </w:tcPr>
          <w:p w14:paraId="0AA4AC2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系统需支持用户为需要管理的慢病患者查看、更新填写糖尿病专案，专案内容包括患者体征信息、危险因素、靶器官损害、危险水平分级。</w:t>
            </w:r>
          </w:p>
        </w:tc>
      </w:tr>
      <w:tr w14:paraId="6B417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626D4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44D55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0776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0C3974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4.签约记录调阅</w:t>
            </w:r>
          </w:p>
        </w:tc>
        <w:tc>
          <w:tcPr>
            <w:tcW w:w="5199" w:type="dxa"/>
            <w:noWrap w:val="0"/>
            <w:vAlign w:val="center"/>
          </w:tcPr>
          <w:p w14:paraId="0C36E3B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在对接完成后，系统需支持调阅该患者在公共卫生服务系统中的签约管理信息，获取居民当前的签约管理状态，信息内容包括：签约时间、签约医生、签约内容。</w:t>
            </w:r>
          </w:p>
        </w:tc>
      </w:tr>
      <w:tr w14:paraId="79D8C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F337E0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A5DDB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49CBE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8A01F7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5.履约记录</w:t>
            </w:r>
          </w:p>
        </w:tc>
        <w:tc>
          <w:tcPr>
            <w:tcW w:w="5199" w:type="dxa"/>
            <w:noWrap w:val="0"/>
            <w:vAlign w:val="center"/>
          </w:tcPr>
          <w:p w14:paraId="27949CB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在对接完成后，系统需支持调阅该患者在公共卫生服务系统中的履约信息，获取居民当前的履约状态，信息内容包括：履约进度、已履约项目。</w:t>
            </w:r>
          </w:p>
        </w:tc>
      </w:tr>
      <w:tr w14:paraId="4AF07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A369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AABD7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98E25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9E8D23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6.健康体检记录调阅</w:t>
            </w:r>
          </w:p>
        </w:tc>
        <w:tc>
          <w:tcPr>
            <w:tcW w:w="5199" w:type="dxa"/>
            <w:noWrap w:val="0"/>
            <w:vAlign w:val="center"/>
          </w:tcPr>
          <w:p w14:paraId="580F1D2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在对接完成后，系统需支持调阅该患者在公共卫生服务系统中的基层健康体检记录信息，了解居民健康情况，信息内容包括：体检时间、体检单位、体格检查结果、实验室检查结果、检验结果。</w:t>
            </w:r>
          </w:p>
        </w:tc>
      </w:tr>
      <w:tr w14:paraId="44369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AAFD6C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7F59ED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眼病管理</w:t>
            </w:r>
          </w:p>
        </w:tc>
        <w:tc>
          <w:tcPr>
            <w:tcW w:w="1444" w:type="dxa"/>
            <w:vMerge w:val="restart"/>
            <w:noWrap w:val="0"/>
            <w:vAlign w:val="center"/>
          </w:tcPr>
          <w:p w14:paraId="79CFB5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眼病管理是是对系统内尽心眼底检查患者进行统一综合汇总展示的功能模块，通过该模块医生可快速了解近期进行眼底检查的居民极其检查情况。</w:t>
            </w:r>
          </w:p>
        </w:tc>
        <w:tc>
          <w:tcPr>
            <w:tcW w:w="1228" w:type="dxa"/>
            <w:noWrap w:val="0"/>
            <w:vAlign w:val="center"/>
          </w:tcPr>
          <w:p w14:paraId="539FDEE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1.聚合检查居民列表</w:t>
            </w:r>
          </w:p>
        </w:tc>
        <w:tc>
          <w:tcPr>
            <w:tcW w:w="5199" w:type="dxa"/>
            <w:noWrap w:val="0"/>
            <w:vAlign w:val="center"/>
          </w:tcPr>
          <w:p w14:paraId="6F466E8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系统需支持眼病管理模块中展示历次进行眼底检查的居民列表，包括患者的姓名、上次筛查时间、筛查结果信息。</w:t>
            </w:r>
          </w:p>
        </w:tc>
      </w:tr>
      <w:tr w14:paraId="7DE2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2DE239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83169B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2A43FE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E51314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2.居民查询</w:t>
            </w:r>
          </w:p>
        </w:tc>
        <w:tc>
          <w:tcPr>
            <w:tcW w:w="5199" w:type="dxa"/>
            <w:noWrap w:val="0"/>
            <w:vAlign w:val="center"/>
          </w:tcPr>
          <w:p w14:paraId="5AE0930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系统需支持按照居民姓名、联系电话、年龄、筛查时间、筛查结果条件定向查询。</w:t>
            </w:r>
          </w:p>
        </w:tc>
      </w:tr>
      <w:tr w14:paraId="0D000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7" w:type="dxa"/>
            <w:vMerge w:val="continue"/>
            <w:noWrap w:val="0"/>
            <w:vAlign w:val="center"/>
          </w:tcPr>
          <w:p w14:paraId="1192CC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2F8FCB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94BD7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A56F4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3.查看眼底报告</w:t>
            </w:r>
          </w:p>
        </w:tc>
        <w:tc>
          <w:tcPr>
            <w:tcW w:w="5199" w:type="dxa"/>
            <w:noWrap w:val="0"/>
            <w:vAlign w:val="center"/>
          </w:tcPr>
          <w:p w14:paraId="25C7DB6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系统需支持查看患者历次眼底筛查报告，包括临床分级、检查图像、辅诊建议。</w:t>
            </w:r>
          </w:p>
        </w:tc>
      </w:tr>
      <w:tr w14:paraId="67BD9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0A74F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20051B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48302B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D771D3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4.眼底辅助诊断</w:t>
            </w:r>
          </w:p>
        </w:tc>
        <w:tc>
          <w:tcPr>
            <w:tcW w:w="5199" w:type="dxa"/>
            <w:noWrap w:val="0"/>
            <w:vAlign w:val="center"/>
          </w:tcPr>
          <w:p w14:paraId="49A5660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系统需支持根据患者的眼底检查图像，智能分析其左右眼的病变情况，包括玻璃膜疣、出血、硬性渗出病灶及 轻度非增殖型糖尿病视网膜病变、中度非增殖型糖尿病视网膜病变、重度非增殖型糖尿病视网膜病变、增殖型糖尿病视网膜病变病种。</w:t>
            </w:r>
          </w:p>
        </w:tc>
      </w:tr>
      <w:tr w14:paraId="31F5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43622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DC4B5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5BBAB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72EBAE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5.眼底报告打印</w:t>
            </w:r>
          </w:p>
        </w:tc>
        <w:tc>
          <w:tcPr>
            <w:tcW w:w="5199" w:type="dxa"/>
            <w:noWrap w:val="0"/>
            <w:vAlign w:val="center"/>
          </w:tcPr>
          <w:p w14:paraId="16A4D19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系统需支持打印眼底检查报告。</w:t>
            </w:r>
          </w:p>
        </w:tc>
      </w:tr>
      <w:tr w14:paraId="7B211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24D47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5116B1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体征测量管理</w:t>
            </w:r>
          </w:p>
        </w:tc>
        <w:tc>
          <w:tcPr>
            <w:tcW w:w="1444" w:type="dxa"/>
            <w:vMerge w:val="restart"/>
            <w:noWrap w:val="0"/>
            <w:vAlign w:val="center"/>
          </w:tcPr>
          <w:p w14:paraId="75E046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体征测量管理是是对系统内尽心体征测量患者进行统一综合汇总展示的功能模块，通过该模块医生可快速了解近期进行体征测量的居民及其检查情况。</w:t>
            </w:r>
          </w:p>
        </w:tc>
        <w:tc>
          <w:tcPr>
            <w:tcW w:w="1228" w:type="dxa"/>
            <w:noWrap w:val="0"/>
            <w:vAlign w:val="center"/>
          </w:tcPr>
          <w:p w14:paraId="5A320A9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6.聚合检查居民列表</w:t>
            </w:r>
          </w:p>
        </w:tc>
        <w:tc>
          <w:tcPr>
            <w:tcW w:w="5199" w:type="dxa"/>
            <w:noWrap w:val="0"/>
            <w:vAlign w:val="center"/>
          </w:tcPr>
          <w:p w14:paraId="4015907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系统需支持体征测量管理模块中展示历次进行体征测量的居民列表，包括患者的姓名、上次筛查时间、筛查结果信息。</w:t>
            </w:r>
          </w:p>
        </w:tc>
      </w:tr>
      <w:tr w14:paraId="34A3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56BE1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96369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2FCD10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D2E322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7.查看体征测量报告</w:t>
            </w:r>
          </w:p>
        </w:tc>
        <w:tc>
          <w:tcPr>
            <w:tcW w:w="5199" w:type="dxa"/>
            <w:noWrap w:val="0"/>
            <w:vAlign w:val="center"/>
          </w:tcPr>
          <w:p w14:paraId="6D7F480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系统需支持查看体征测量报告。包括测量日期、异常指标数、综合评分；</w:t>
            </w:r>
          </w:p>
        </w:tc>
      </w:tr>
      <w:tr w14:paraId="5134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B6C7E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434CF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963EB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329151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8.打印体征测量报告</w:t>
            </w:r>
          </w:p>
        </w:tc>
        <w:tc>
          <w:tcPr>
            <w:tcW w:w="5199" w:type="dxa"/>
            <w:noWrap w:val="0"/>
            <w:vAlign w:val="center"/>
          </w:tcPr>
          <w:p w14:paraId="0755C9F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系统需支持打印体征测量报告。</w:t>
            </w:r>
          </w:p>
        </w:tc>
      </w:tr>
      <w:tr w14:paraId="26A6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5FB1F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F647D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2022F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49F176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9.导出居民列表</w:t>
            </w:r>
          </w:p>
        </w:tc>
        <w:tc>
          <w:tcPr>
            <w:tcW w:w="5199" w:type="dxa"/>
            <w:noWrap w:val="0"/>
            <w:vAlign w:val="center"/>
          </w:tcPr>
          <w:p w14:paraId="1AA6151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系统需支持导出并下载居民列表信息。</w:t>
            </w:r>
          </w:p>
        </w:tc>
      </w:tr>
      <w:tr w14:paraId="306C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FD98A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11A16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外周血管病检查管理</w:t>
            </w:r>
          </w:p>
        </w:tc>
        <w:tc>
          <w:tcPr>
            <w:tcW w:w="1444" w:type="dxa"/>
            <w:vMerge w:val="restart"/>
            <w:noWrap w:val="0"/>
            <w:vAlign w:val="center"/>
          </w:tcPr>
          <w:p w14:paraId="52481E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系统需支持查看外周血管病检查报告。页面左侧可查看测量历史，包括测量日期、异常指标数、综合评分。</w:t>
            </w:r>
          </w:p>
        </w:tc>
        <w:tc>
          <w:tcPr>
            <w:tcW w:w="1228" w:type="dxa"/>
            <w:noWrap w:val="0"/>
            <w:vAlign w:val="center"/>
          </w:tcPr>
          <w:p w14:paraId="44FEA06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10.聚合检查居民列表</w:t>
            </w:r>
          </w:p>
        </w:tc>
        <w:tc>
          <w:tcPr>
            <w:tcW w:w="5199" w:type="dxa"/>
            <w:noWrap w:val="0"/>
            <w:vAlign w:val="center"/>
          </w:tcPr>
          <w:p w14:paraId="4752D29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系统需支持外周血管病检查管理模块中展示历次进行外周血管病检查的居民列表，包括患者的姓名、上次筛查时间、筛查结果信息。</w:t>
            </w:r>
          </w:p>
        </w:tc>
      </w:tr>
      <w:tr w14:paraId="2B3B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0323B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A3195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FB0DC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679226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11.查看外周血管病检查报告</w:t>
            </w:r>
          </w:p>
        </w:tc>
        <w:tc>
          <w:tcPr>
            <w:tcW w:w="5199" w:type="dxa"/>
            <w:noWrap w:val="0"/>
            <w:vAlign w:val="center"/>
          </w:tcPr>
          <w:p w14:paraId="35DC85F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系统需支持查看外周血管病检查报告。包括测量日期、异常指标数、综合评分。</w:t>
            </w:r>
          </w:p>
        </w:tc>
      </w:tr>
      <w:tr w14:paraId="57ED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C6B43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8F2323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39010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5E2A69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12.打印外周血管病检查报告</w:t>
            </w:r>
          </w:p>
        </w:tc>
        <w:tc>
          <w:tcPr>
            <w:tcW w:w="5199" w:type="dxa"/>
            <w:noWrap w:val="0"/>
            <w:vAlign w:val="center"/>
          </w:tcPr>
          <w:p w14:paraId="0DD152C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系统需支持打印外周血管病检查报告。</w:t>
            </w:r>
          </w:p>
        </w:tc>
      </w:tr>
      <w:tr w14:paraId="13FD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F0C48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05DE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5FAE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435A34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13.导出居民列表</w:t>
            </w:r>
          </w:p>
        </w:tc>
        <w:tc>
          <w:tcPr>
            <w:tcW w:w="5199" w:type="dxa"/>
            <w:noWrap w:val="0"/>
            <w:vAlign w:val="center"/>
          </w:tcPr>
          <w:p w14:paraId="0FA1C1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系统需支持导出并下载居民列表信息。</w:t>
            </w:r>
          </w:p>
        </w:tc>
      </w:tr>
      <w:tr w14:paraId="1E823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E6C2FF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7E5FDBB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动脉硬化检查管理</w:t>
            </w:r>
          </w:p>
        </w:tc>
        <w:tc>
          <w:tcPr>
            <w:tcW w:w="1444" w:type="dxa"/>
            <w:vMerge w:val="restart"/>
            <w:noWrap w:val="0"/>
            <w:vAlign w:val="center"/>
          </w:tcPr>
          <w:p w14:paraId="141C27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动脉硬化管理是是对系统内进行动脉硬化检查的患者进行统一综合汇总展示的功能模块，通过该模块医生可快速了解近期进行动脉硬化检查的居民及其检查情况。</w:t>
            </w:r>
          </w:p>
        </w:tc>
        <w:tc>
          <w:tcPr>
            <w:tcW w:w="1228" w:type="dxa"/>
            <w:noWrap w:val="0"/>
            <w:vAlign w:val="center"/>
          </w:tcPr>
          <w:p w14:paraId="2866C7E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1.聚合检查居民列表</w:t>
            </w:r>
          </w:p>
        </w:tc>
        <w:tc>
          <w:tcPr>
            <w:tcW w:w="5199" w:type="dxa"/>
            <w:noWrap w:val="0"/>
            <w:vAlign w:val="center"/>
          </w:tcPr>
          <w:p w14:paraId="409EC38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系统需支持动脉硬化检查管理模块中展示历次进行外动脉硬化检查的居民列表，包括患者的姓名、上次筛查时间、筛查结果信息。</w:t>
            </w:r>
          </w:p>
        </w:tc>
      </w:tr>
      <w:tr w14:paraId="4651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56619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D51A8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11C815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CADF76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2.查看动脉硬化检查报告</w:t>
            </w:r>
          </w:p>
        </w:tc>
        <w:tc>
          <w:tcPr>
            <w:tcW w:w="5199" w:type="dxa"/>
            <w:noWrap w:val="0"/>
            <w:vAlign w:val="center"/>
          </w:tcPr>
          <w:p w14:paraId="4F4AB64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系统需支持查看动脉硬化检查报告。包括测量日期、异常指标数、综合评分。</w:t>
            </w:r>
          </w:p>
        </w:tc>
      </w:tr>
      <w:tr w14:paraId="5A18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AF4A0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E8079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95D946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3D26BC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3.打印动脉硬化检查报告</w:t>
            </w:r>
          </w:p>
        </w:tc>
        <w:tc>
          <w:tcPr>
            <w:tcW w:w="5199" w:type="dxa"/>
            <w:noWrap w:val="0"/>
            <w:vAlign w:val="center"/>
          </w:tcPr>
          <w:p w14:paraId="64B838D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系统需支持打印动脉硬化检查报告。</w:t>
            </w:r>
          </w:p>
        </w:tc>
      </w:tr>
      <w:tr w14:paraId="6B5C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923DF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AA31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AE279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5E542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4.导出居民列表</w:t>
            </w:r>
          </w:p>
        </w:tc>
        <w:tc>
          <w:tcPr>
            <w:tcW w:w="5199" w:type="dxa"/>
            <w:noWrap w:val="0"/>
            <w:vAlign w:val="center"/>
          </w:tcPr>
          <w:p w14:paraId="2CC20F6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系统需支持导出并下载居民列表信息。</w:t>
            </w:r>
          </w:p>
        </w:tc>
      </w:tr>
      <w:tr w14:paraId="1E595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4C97A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6A6F99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骨密度检查管理</w:t>
            </w:r>
          </w:p>
        </w:tc>
        <w:tc>
          <w:tcPr>
            <w:tcW w:w="1444" w:type="dxa"/>
            <w:vMerge w:val="restart"/>
            <w:noWrap w:val="0"/>
            <w:vAlign w:val="center"/>
          </w:tcPr>
          <w:p w14:paraId="79BB13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骨密度检查管理是是对系统内进行骨密度检查的患者进行统一综合汇总展示的功能模块，通过该模块医生可快速了解近期进行骨密度检查的居民及其检查情况。</w:t>
            </w:r>
          </w:p>
        </w:tc>
        <w:tc>
          <w:tcPr>
            <w:tcW w:w="1228" w:type="dxa"/>
            <w:noWrap w:val="0"/>
            <w:vAlign w:val="center"/>
          </w:tcPr>
          <w:p w14:paraId="36B9BA4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1.聚合检查居民列表</w:t>
            </w:r>
          </w:p>
        </w:tc>
        <w:tc>
          <w:tcPr>
            <w:tcW w:w="5199" w:type="dxa"/>
            <w:noWrap w:val="0"/>
            <w:vAlign w:val="center"/>
          </w:tcPr>
          <w:p w14:paraId="6641F47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系统需支持骨密度检查管理模块中展示历次进行骨密度检查的居民列表，包括患者的姓名、上次筛查时间、筛查结果信息。</w:t>
            </w:r>
          </w:p>
        </w:tc>
      </w:tr>
      <w:tr w14:paraId="0148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6C73D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36015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34AA1F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EB73FB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2.查看骨密度检查报告</w:t>
            </w:r>
          </w:p>
        </w:tc>
        <w:tc>
          <w:tcPr>
            <w:tcW w:w="5199" w:type="dxa"/>
            <w:noWrap w:val="0"/>
            <w:vAlign w:val="center"/>
          </w:tcPr>
          <w:p w14:paraId="1C95CF3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系统需支持查看骨密度检查报告。包括测量日期、异常指标数、综合评分。</w:t>
            </w:r>
          </w:p>
        </w:tc>
      </w:tr>
      <w:tr w14:paraId="2DAC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8E2E8F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4CC44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505F7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1BFDC0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3.打印骨密度检查报告</w:t>
            </w:r>
          </w:p>
        </w:tc>
        <w:tc>
          <w:tcPr>
            <w:tcW w:w="5199" w:type="dxa"/>
            <w:noWrap w:val="0"/>
            <w:vAlign w:val="center"/>
          </w:tcPr>
          <w:p w14:paraId="49D8206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系统需支持打印骨密度检查报告。</w:t>
            </w:r>
          </w:p>
        </w:tc>
      </w:tr>
      <w:tr w14:paraId="78700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06733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90864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BE236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86C39F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4.导出居民列表</w:t>
            </w:r>
          </w:p>
        </w:tc>
        <w:tc>
          <w:tcPr>
            <w:tcW w:w="5199" w:type="dxa"/>
            <w:noWrap w:val="0"/>
            <w:vAlign w:val="center"/>
          </w:tcPr>
          <w:p w14:paraId="579A564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系统需支持导出并下载居民列表信息。</w:t>
            </w:r>
          </w:p>
        </w:tc>
      </w:tr>
      <w:tr w14:paraId="14675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F7258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0A7D95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肺功能检查管理</w:t>
            </w:r>
          </w:p>
        </w:tc>
        <w:tc>
          <w:tcPr>
            <w:tcW w:w="1444" w:type="dxa"/>
            <w:vMerge w:val="restart"/>
            <w:noWrap w:val="0"/>
            <w:vAlign w:val="center"/>
          </w:tcPr>
          <w:p w14:paraId="38F58E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肺功能检查管理是是对系统内进行肺功能检查的患者进行统一综合汇总展示的功能模块，通过该模块医生可快速了解近期进行肺功能检查的居民及其检查情况。</w:t>
            </w:r>
          </w:p>
        </w:tc>
        <w:tc>
          <w:tcPr>
            <w:tcW w:w="1228" w:type="dxa"/>
            <w:noWrap w:val="0"/>
            <w:vAlign w:val="center"/>
          </w:tcPr>
          <w:p w14:paraId="0E84299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1.聚合检查居民列表</w:t>
            </w:r>
          </w:p>
        </w:tc>
        <w:tc>
          <w:tcPr>
            <w:tcW w:w="5199" w:type="dxa"/>
            <w:noWrap w:val="0"/>
            <w:vAlign w:val="center"/>
          </w:tcPr>
          <w:p w14:paraId="5E6FB2C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系统需支持肺功能检查管理模块中展示历次进行肺功能检查的居民列表，包括患者的姓名、上次筛查时间、筛查结果信息。</w:t>
            </w:r>
          </w:p>
        </w:tc>
      </w:tr>
      <w:tr w14:paraId="7EC55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DF5E5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35A73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E1A6B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F054D4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2.查看肺功能检查报告</w:t>
            </w:r>
          </w:p>
        </w:tc>
        <w:tc>
          <w:tcPr>
            <w:tcW w:w="5199" w:type="dxa"/>
            <w:noWrap w:val="0"/>
            <w:vAlign w:val="center"/>
          </w:tcPr>
          <w:p w14:paraId="1601E88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系统需支持查看肺功能检查报告。包括测量日期、异常指标数、综合评分。</w:t>
            </w:r>
          </w:p>
        </w:tc>
      </w:tr>
      <w:tr w14:paraId="09F35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AB382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E28F3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7F2C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C0B5A1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3.打印肺功能检查报告</w:t>
            </w:r>
          </w:p>
        </w:tc>
        <w:tc>
          <w:tcPr>
            <w:tcW w:w="5199" w:type="dxa"/>
            <w:noWrap w:val="0"/>
            <w:vAlign w:val="center"/>
          </w:tcPr>
          <w:p w14:paraId="5497086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系统需支持打印肺功能检查报告。</w:t>
            </w:r>
          </w:p>
        </w:tc>
      </w:tr>
      <w:tr w14:paraId="6C24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6CF129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B2460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52E5C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C558BC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4.导出居民列表</w:t>
            </w:r>
          </w:p>
        </w:tc>
        <w:tc>
          <w:tcPr>
            <w:tcW w:w="5199" w:type="dxa"/>
            <w:noWrap w:val="0"/>
            <w:vAlign w:val="center"/>
          </w:tcPr>
          <w:p w14:paraId="404DB35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系统需支持导出并下载居民列表信息。</w:t>
            </w:r>
          </w:p>
        </w:tc>
      </w:tr>
      <w:tr w14:paraId="122A1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759D0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53F148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统计分析</w:t>
            </w:r>
          </w:p>
        </w:tc>
        <w:tc>
          <w:tcPr>
            <w:tcW w:w="1444" w:type="dxa"/>
            <w:vMerge w:val="restart"/>
            <w:noWrap w:val="0"/>
            <w:vAlign w:val="center"/>
          </w:tcPr>
          <w:p w14:paraId="58E8E8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统计分析是对系统内各项服务数据进行统计分析的功能模块，例如进行电话服务统计、短信统计、服务内容统计、管理效果统计，帮助医生更</w:t>
            </w:r>
            <w:r>
              <w:rPr>
                <w:rFonts w:hint="eastAsia" w:ascii="宋体" w:hAnsi="宋体" w:eastAsia="宋体" w:cs="宋体"/>
                <w:sz w:val="24"/>
                <w:szCs w:val="24"/>
                <w:lang w:eastAsia="zh-CN"/>
              </w:rPr>
              <w:t>好地</w:t>
            </w:r>
            <w:r>
              <w:rPr>
                <w:rFonts w:hint="eastAsia" w:ascii="宋体" w:hAnsi="宋体" w:eastAsia="宋体" w:cs="宋体"/>
                <w:sz w:val="24"/>
                <w:szCs w:val="24"/>
              </w:rPr>
              <w:t>掌握系统使用情况。</w:t>
            </w:r>
          </w:p>
        </w:tc>
        <w:tc>
          <w:tcPr>
            <w:tcW w:w="1228" w:type="dxa"/>
            <w:noWrap w:val="0"/>
            <w:vAlign w:val="center"/>
          </w:tcPr>
          <w:p w14:paraId="3517FEE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1.管理成效查询</w:t>
            </w:r>
          </w:p>
        </w:tc>
        <w:tc>
          <w:tcPr>
            <w:tcW w:w="5199" w:type="dxa"/>
            <w:noWrap w:val="0"/>
            <w:vAlign w:val="center"/>
          </w:tcPr>
          <w:p w14:paraId="546F0D7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系统需支持按慢病病种、时间、管档医生进行管理效果查询。</w:t>
            </w:r>
          </w:p>
        </w:tc>
      </w:tr>
      <w:tr w14:paraId="70400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DC7BF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A20B2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46686F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E1BC38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2.基本管理数据</w:t>
            </w:r>
          </w:p>
        </w:tc>
        <w:tc>
          <w:tcPr>
            <w:tcW w:w="5199" w:type="dxa"/>
            <w:noWrap w:val="0"/>
            <w:vAlign w:val="center"/>
          </w:tcPr>
          <w:p w14:paraId="08E280B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系统需支持慢病基本管理数据进行统计，包括在管人数、控制达标人数、控制率、AI服务总量。</w:t>
            </w:r>
          </w:p>
        </w:tc>
      </w:tr>
      <w:tr w14:paraId="35201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D800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63D83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00AB4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C9C346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3.控制率分析</w:t>
            </w:r>
          </w:p>
        </w:tc>
        <w:tc>
          <w:tcPr>
            <w:tcW w:w="5199" w:type="dxa"/>
            <w:noWrap w:val="0"/>
            <w:vAlign w:val="center"/>
          </w:tcPr>
          <w:p w14:paraId="355EABB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系统需支持对高血压和糖尿病控制率水平进行分析，可按时间看一段周期的控制率分析。</w:t>
            </w:r>
          </w:p>
        </w:tc>
      </w:tr>
      <w:tr w14:paraId="5B0DC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B9802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520D0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11D2E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1BCB1E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4.患者危险分层占比</w:t>
            </w:r>
          </w:p>
        </w:tc>
        <w:tc>
          <w:tcPr>
            <w:tcW w:w="5199" w:type="dxa"/>
            <w:noWrap w:val="0"/>
            <w:vAlign w:val="center"/>
          </w:tcPr>
          <w:p w14:paraId="67ED09D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系统需支持对在管高血压、糖尿病患者的红黄绿标危险分层占比进行统计。</w:t>
            </w:r>
          </w:p>
        </w:tc>
      </w:tr>
      <w:tr w14:paraId="23173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E571C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C90C9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7A8A8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6143BB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5.测量水平分析</w:t>
            </w:r>
          </w:p>
        </w:tc>
        <w:tc>
          <w:tcPr>
            <w:tcW w:w="5199" w:type="dxa"/>
            <w:noWrap w:val="0"/>
            <w:vAlign w:val="center"/>
          </w:tcPr>
          <w:p w14:paraId="2EFFE6B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系统需支持对血压和血糖测量数据按正常、偏高、偏低维度进行统计。</w:t>
            </w:r>
          </w:p>
        </w:tc>
      </w:tr>
      <w:tr w14:paraId="6C1D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61FE1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C08231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92377E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B28C1A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6.AI服务类型占比分析</w:t>
            </w:r>
          </w:p>
        </w:tc>
        <w:tc>
          <w:tcPr>
            <w:tcW w:w="5199" w:type="dxa"/>
            <w:noWrap w:val="0"/>
            <w:vAlign w:val="center"/>
          </w:tcPr>
          <w:p w14:paraId="700B3E9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系统需支持对按不同服务类型对AI服务的内容进行分类统计。</w:t>
            </w:r>
          </w:p>
        </w:tc>
      </w:tr>
      <w:tr w14:paraId="71CA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BED55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59348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DBD90B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3E60EC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7.AI服务渠道分析</w:t>
            </w:r>
          </w:p>
        </w:tc>
        <w:tc>
          <w:tcPr>
            <w:tcW w:w="5199" w:type="dxa"/>
            <w:noWrap w:val="0"/>
            <w:vAlign w:val="center"/>
          </w:tcPr>
          <w:p w14:paraId="78B51F2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系统需支持按照不同服务渠道对开展的AI服务进行统计。</w:t>
            </w:r>
          </w:p>
        </w:tc>
      </w:tr>
      <w:tr w14:paraId="1D5E3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54C8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8B913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07CF5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B441A8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8.设备活跃率分析</w:t>
            </w:r>
          </w:p>
        </w:tc>
        <w:tc>
          <w:tcPr>
            <w:tcW w:w="5199" w:type="dxa"/>
            <w:noWrap w:val="0"/>
            <w:vAlign w:val="center"/>
          </w:tcPr>
          <w:p w14:paraId="73D3CB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系统需支持对系统内绑定设备的测量活跃率进行统计。</w:t>
            </w:r>
          </w:p>
        </w:tc>
      </w:tr>
      <w:tr w14:paraId="1B81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87CE1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C087C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B264E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EC1904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9.测量活跃率分析</w:t>
            </w:r>
          </w:p>
        </w:tc>
        <w:tc>
          <w:tcPr>
            <w:tcW w:w="5199" w:type="dxa"/>
            <w:noWrap w:val="0"/>
            <w:vAlign w:val="center"/>
          </w:tcPr>
          <w:p w14:paraId="7C56460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系统需支持对系统内所有来源测量数据活跃率进行统计。</w:t>
            </w:r>
          </w:p>
        </w:tc>
      </w:tr>
      <w:tr w14:paraId="32023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FD379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4A2BA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0F95E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8B72D0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10.测量数据来源分析</w:t>
            </w:r>
          </w:p>
        </w:tc>
        <w:tc>
          <w:tcPr>
            <w:tcW w:w="5199" w:type="dxa"/>
            <w:noWrap w:val="0"/>
            <w:vAlign w:val="center"/>
          </w:tcPr>
          <w:p w14:paraId="45A90A0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系统需支持对不同渠道的数据来源进行统计，包括居家设备、医生、居民上传的数据来源。</w:t>
            </w:r>
          </w:p>
        </w:tc>
      </w:tr>
      <w:tr w14:paraId="061C5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62392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D17F4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9C41F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59070D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11.双向转诊分析-汇总</w:t>
            </w:r>
          </w:p>
        </w:tc>
        <w:tc>
          <w:tcPr>
            <w:tcW w:w="5199" w:type="dxa"/>
            <w:noWrap w:val="0"/>
            <w:vAlign w:val="center"/>
          </w:tcPr>
          <w:p w14:paraId="370ADA9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系统需支持对系统内所有患者转入转出的居民信息进行统计。支持对转诊患者类型、转诊趋势和转诊患者明细列表分析，列表支持导出。</w:t>
            </w:r>
          </w:p>
        </w:tc>
      </w:tr>
      <w:tr w14:paraId="60A6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9BD652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18ADE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D71D5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3E1EC0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12.双向转诊分析-高血压</w:t>
            </w:r>
          </w:p>
        </w:tc>
        <w:tc>
          <w:tcPr>
            <w:tcW w:w="5199" w:type="dxa"/>
            <w:noWrap w:val="0"/>
            <w:vAlign w:val="center"/>
          </w:tcPr>
          <w:p w14:paraId="554E3CF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系统需支持对系统内高血压患者转入转出的居民信息进行统计。支持对转诊患者类型、转诊趋势和转诊患者明细列表分析，列表支持导出。</w:t>
            </w:r>
          </w:p>
        </w:tc>
      </w:tr>
      <w:tr w14:paraId="002C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2BFB46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9EF60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B5F719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0E9D45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13.双向转诊分析-糖尿病</w:t>
            </w:r>
          </w:p>
        </w:tc>
        <w:tc>
          <w:tcPr>
            <w:tcW w:w="5199" w:type="dxa"/>
            <w:noWrap w:val="0"/>
            <w:vAlign w:val="center"/>
          </w:tcPr>
          <w:p w14:paraId="1C682AF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系统需支持对系统内糖尿病患者转入转出的居民信息进行统计。支持对转诊患者类型、转诊趋势和转诊患者明细列表分析，列表支持导出。</w:t>
            </w:r>
          </w:p>
        </w:tc>
      </w:tr>
      <w:tr w14:paraId="2753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BAFE5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9F806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406852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18F696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14.并发症检查报表</w:t>
            </w:r>
          </w:p>
        </w:tc>
        <w:tc>
          <w:tcPr>
            <w:tcW w:w="5199" w:type="dxa"/>
            <w:noWrap w:val="0"/>
            <w:vAlign w:val="center"/>
          </w:tcPr>
          <w:p w14:paraId="020F18A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系统需支持对系统内所有进行过并发症检查的居民信息进行统计。支持依据条件筛选居民。</w:t>
            </w:r>
          </w:p>
        </w:tc>
      </w:tr>
      <w:tr w14:paraId="07ECE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CBE09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37D2C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0BEFC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47C861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15.健康套餐报表</w:t>
            </w:r>
          </w:p>
        </w:tc>
        <w:tc>
          <w:tcPr>
            <w:tcW w:w="5199" w:type="dxa"/>
            <w:noWrap w:val="0"/>
            <w:vAlign w:val="center"/>
          </w:tcPr>
          <w:p w14:paraId="77A418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系统需支持对系统内所有订购过健康套餐的居民信息、订购套餐的累计人次和金额进行统计。</w:t>
            </w:r>
          </w:p>
        </w:tc>
      </w:tr>
      <w:tr w14:paraId="493A3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31E198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C92B2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AD0AB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5D618F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16.眼底病变检查分析</w:t>
            </w:r>
          </w:p>
        </w:tc>
        <w:tc>
          <w:tcPr>
            <w:tcW w:w="5199" w:type="dxa"/>
            <w:noWrap w:val="0"/>
            <w:vAlign w:val="center"/>
          </w:tcPr>
          <w:p w14:paraId="400E803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系统需支持对系统内所有眼底病变检查为阳性的居民信息进行统计，包括眼底检查总人次、阳性总人次、阳性率、阳性人群两病患者占比、眼底检查结果动态分析、阳性人群两病患者分布</w:t>
            </w:r>
            <w:r>
              <w:rPr>
                <w:rFonts w:hint="eastAsia" w:ascii="宋体" w:hAnsi="宋体" w:cs="宋体"/>
                <w:i w:val="0"/>
                <w:iCs w:val="0"/>
                <w:color w:val="000000"/>
                <w:kern w:val="0"/>
                <w:sz w:val="24"/>
                <w:szCs w:val="24"/>
                <w:u w:val="none"/>
                <w:lang w:val="en-US" w:eastAsia="zh-CN" w:bidi="ar"/>
              </w:rPr>
              <w:t>。</w:t>
            </w:r>
          </w:p>
        </w:tc>
      </w:tr>
      <w:tr w14:paraId="1EC9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18CA8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280DC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7269A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3BBCE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17.电话任务统计</w:t>
            </w:r>
          </w:p>
        </w:tc>
        <w:tc>
          <w:tcPr>
            <w:tcW w:w="5199" w:type="dxa"/>
            <w:noWrap w:val="0"/>
            <w:vAlign w:val="center"/>
          </w:tcPr>
          <w:p w14:paraId="26C0164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系统需支持以话术为维度进行统计管理，可以按话术统计接通情况、应答情况、查看具体外呼结果、听取呼叫录音。</w:t>
            </w:r>
          </w:p>
        </w:tc>
      </w:tr>
      <w:tr w14:paraId="61EA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B1941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03E86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E541F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301D29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18.短信任务统计</w:t>
            </w:r>
          </w:p>
        </w:tc>
        <w:tc>
          <w:tcPr>
            <w:tcW w:w="5199" w:type="dxa"/>
            <w:noWrap w:val="0"/>
            <w:vAlign w:val="center"/>
          </w:tcPr>
          <w:p w14:paraId="61D1161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系统需支持以短信为维度进行统计管理，可以按短信统计人员发送名单、电话号码、发送时间、发送成功情况。</w:t>
            </w:r>
          </w:p>
        </w:tc>
      </w:tr>
      <w:tr w14:paraId="3AA6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382F4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00579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ECB83E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66D40C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19.问卷任务统计</w:t>
            </w:r>
          </w:p>
        </w:tc>
        <w:tc>
          <w:tcPr>
            <w:tcW w:w="5199" w:type="dxa"/>
            <w:noWrap w:val="0"/>
            <w:vAlign w:val="center"/>
          </w:tcPr>
          <w:p w14:paraId="5FD8799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系统需支持以问卷为维度进行统计管理，可以按问卷统计问答完成情况，单个问题的结果选择情况。</w:t>
            </w:r>
          </w:p>
        </w:tc>
      </w:tr>
      <w:tr w14:paraId="5390B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B4DDA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1D330C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配置管理</w:t>
            </w:r>
          </w:p>
        </w:tc>
        <w:tc>
          <w:tcPr>
            <w:tcW w:w="1444" w:type="dxa"/>
            <w:vMerge w:val="restart"/>
            <w:noWrap w:val="0"/>
            <w:vAlign w:val="center"/>
          </w:tcPr>
          <w:p w14:paraId="21438F6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配置管理是对系统内多项功能进行配置管理的功能模块，例如对话术模板、短信模板、方案模板、硬件设备各项进行配置管理。</w:t>
            </w:r>
          </w:p>
        </w:tc>
        <w:tc>
          <w:tcPr>
            <w:tcW w:w="1228" w:type="dxa"/>
            <w:noWrap w:val="0"/>
            <w:vAlign w:val="center"/>
          </w:tcPr>
          <w:p w14:paraId="124BA2C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1.AI干预开关</w:t>
            </w:r>
          </w:p>
        </w:tc>
        <w:tc>
          <w:tcPr>
            <w:tcW w:w="5199" w:type="dxa"/>
            <w:noWrap w:val="0"/>
            <w:vAlign w:val="center"/>
          </w:tcPr>
          <w:p w14:paraId="2ADD85D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系统需支持单个居民或者患者的血压、血糖AI服务进行开关，包括高危随访开关、未测量提醒开关、近期趋势判断开关、健康宣教开关、测量结果推送开关。</w:t>
            </w:r>
          </w:p>
        </w:tc>
      </w:tr>
      <w:tr w14:paraId="60E03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62814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EB3680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DF825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19F74E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2.血压计设备管理</w:t>
            </w:r>
          </w:p>
        </w:tc>
        <w:tc>
          <w:tcPr>
            <w:tcW w:w="5199" w:type="dxa"/>
            <w:noWrap w:val="0"/>
            <w:vAlign w:val="center"/>
          </w:tcPr>
          <w:p w14:paraId="4AEBC05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系统需支持对该医生管理下的居民设备绑定情况进行查询与管理。</w:t>
            </w:r>
          </w:p>
        </w:tc>
      </w:tr>
      <w:tr w14:paraId="18C1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78017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3055C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E664C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16021E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3.血糖仪设备管理</w:t>
            </w:r>
          </w:p>
        </w:tc>
        <w:tc>
          <w:tcPr>
            <w:tcW w:w="5199" w:type="dxa"/>
            <w:noWrap w:val="0"/>
            <w:vAlign w:val="center"/>
          </w:tcPr>
          <w:p w14:paraId="2DFA19A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系统需支持对该医生管理下的居民设备绑定情况进行查询与管理。</w:t>
            </w:r>
          </w:p>
        </w:tc>
      </w:tr>
      <w:tr w14:paraId="3807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5E966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6D12D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94673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B16124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4.话术模板配置</w:t>
            </w:r>
          </w:p>
        </w:tc>
        <w:tc>
          <w:tcPr>
            <w:tcW w:w="5199" w:type="dxa"/>
            <w:noWrap w:val="0"/>
            <w:vAlign w:val="center"/>
          </w:tcPr>
          <w:p w14:paraId="01C0DCF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系统需支持用户查阅话术模板详情流程，并支持以某一话术为基础进行方案新增。</w:t>
            </w:r>
          </w:p>
        </w:tc>
      </w:tr>
      <w:tr w14:paraId="65EA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E5DF4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75BF23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7334F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ABDDE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5.短信模板配置</w:t>
            </w:r>
          </w:p>
        </w:tc>
        <w:tc>
          <w:tcPr>
            <w:tcW w:w="5199" w:type="dxa"/>
            <w:noWrap w:val="0"/>
            <w:vAlign w:val="center"/>
          </w:tcPr>
          <w:p w14:paraId="5F37D6E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系统需支持用户查阅短信模板详细内容，并支持以某一短信为基础进行方案新增。</w:t>
            </w:r>
          </w:p>
        </w:tc>
      </w:tr>
      <w:tr w14:paraId="408EA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278CD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9B480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F43BC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A4F438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6.问卷模板配置</w:t>
            </w:r>
          </w:p>
        </w:tc>
        <w:tc>
          <w:tcPr>
            <w:tcW w:w="5199" w:type="dxa"/>
            <w:noWrap w:val="0"/>
            <w:vAlign w:val="center"/>
          </w:tcPr>
          <w:p w14:paraId="2AC51B8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系统需支持用户对查阅问卷模板详情问题，并支持自定义新增问卷内容。</w:t>
            </w:r>
          </w:p>
        </w:tc>
      </w:tr>
      <w:tr w14:paraId="3D09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3D73D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B617C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BF055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6AF1D6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7.方案模板配置</w:t>
            </w:r>
          </w:p>
        </w:tc>
        <w:tc>
          <w:tcPr>
            <w:tcW w:w="5199" w:type="dxa"/>
            <w:noWrap w:val="0"/>
            <w:vAlign w:val="center"/>
          </w:tcPr>
          <w:p w14:paraId="12F3D85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系统需支持用户选择短信、外呼方式进行管理方案组建，可设定不同节点的执行方式、执行时间。</w:t>
            </w:r>
          </w:p>
        </w:tc>
      </w:tr>
      <w:tr w14:paraId="0B8E9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EC8F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6CC3B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0C82B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5F0E1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8.待办任务配置</w:t>
            </w:r>
          </w:p>
        </w:tc>
        <w:tc>
          <w:tcPr>
            <w:tcW w:w="5199" w:type="dxa"/>
            <w:noWrap w:val="0"/>
            <w:vAlign w:val="center"/>
          </w:tcPr>
          <w:p w14:paraId="59F2AFE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系统需支持用户对确诊建案任务、控制目标任务、健康处方任务进行配置。</w:t>
            </w:r>
          </w:p>
        </w:tc>
      </w:tr>
      <w:tr w14:paraId="7035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E65B7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CB0F0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诊后管理</w:t>
            </w:r>
          </w:p>
        </w:tc>
        <w:tc>
          <w:tcPr>
            <w:tcW w:w="1444" w:type="dxa"/>
            <w:vMerge w:val="restart"/>
            <w:noWrap w:val="0"/>
            <w:vAlign w:val="center"/>
          </w:tcPr>
          <w:p w14:paraId="1986B8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诊后模块是面向医生需要关注的重点任务的待办提醒集合页面，让医生聚焦不同待办任务场景，选择对应居民，快捷完成任务处理。</w:t>
            </w:r>
          </w:p>
        </w:tc>
        <w:tc>
          <w:tcPr>
            <w:tcW w:w="1228" w:type="dxa"/>
            <w:noWrap w:val="0"/>
            <w:vAlign w:val="center"/>
          </w:tcPr>
          <w:p w14:paraId="24D1170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1.待办任务汇总</w:t>
            </w:r>
          </w:p>
        </w:tc>
        <w:tc>
          <w:tcPr>
            <w:tcW w:w="5199" w:type="dxa"/>
            <w:noWrap w:val="0"/>
            <w:vAlign w:val="center"/>
          </w:tcPr>
          <w:p w14:paraId="5EF2836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系统需支持以居民为维度，汇总筛查、随访各项管理任务，实现同一居民的管理任务聚合。</w:t>
            </w:r>
          </w:p>
        </w:tc>
      </w:tr>
      <w:tr w14:paraId="2D6D6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687" w:type="dxa"/>
            <w:vMerge w:val="continue"/>
            <w:noWrap w:val="0"/>
            <w:vAlign w:val="center"/>
          </w:tcPr>
          <w:p w14:paraId="331D1BB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3DF4A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E126BD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AD509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2.疾病随访待办</w:t>
            </w:r>
          </w:p>
        </w:tc>
        <w:tc>
          <w:tcPr>
            <w:tcW w:w="5199" w:type="dxa"/>
            <w:noWrap w:val="0"/>
            <w:vAlign w:val="center"/>
          </w:tcPr>
          <w:p w14:paraId="4F91336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系统需支持汇总随访管理任务进行统一管理，支持按月、季度、病种查询对应的随访任务。</w:t>
            </w:r>
          </w:p>
        </w:tc>
      </w:tr>
      <w:tr w14:paraId="012CF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Merge w:val="continue"/>
            <w:noWrap w:val="0"/>
            <w:vAlign w:val="center"/>
          </w:tcPr>
          <w:p w14:paraId="36C325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6F84B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FD213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BD7F33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3.疾病筛查待办</w:t>
            </w:r>
          </w:p>
        </w:tc>
        <w:tc>
          <w:tcPr>
            <w:tcW w:w="5199" w:type="dxa"/>
            <w:noWrap w:val="0"/>
            <w:vAlign w:val="center"/>
          </w:tcPr>
          <w:p w14:paraId="387B82D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系统需支持汇总筛查管理任务进行统一管理，支持按月、季度、病种查询对应的筛查任务。</w:t>
            </w:r>
          </w:p>
        </w:tc>
      </w:tr>
      <w:tr w14:paraId="3702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Merge w:val="continue"/>
            <w:noWrap w:val="0"/>
            <w:vAlign w:val="center"/>
          </w:tcPr>
          <w:p w14:paraId="73FEB3B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07E8CC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1EB59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A6328C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4.筛查任务批量确认</w:t>
            </w:r>
          </w:p>
        </w:tc>
        <w:tc>
          <w:tcPr>
            <w:tcW w:w="5199" w:type="dxa"/>
            <w:noWrap w:val="0"/>
            <w:vAlign w:val="center"/>
          </w:tcPr>
          <w:p w14:paraId="6BD54DD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系统需支持批量确认由AI外呼完成的筛查任务，对筛查结果进行自动化分类。</w:t>
            </w:r>
          </w:p>
        </w:tc>
      </w:tr>
      <w:tr w14:paraId="622BC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Merge w:val="continue"/>
            <w:noWrap w:val="0"/>
            <w:vAlign w:val="center"/>
          </w:tcPr>
          <w:p w14:paraId="0B81B0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D61F5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C28F4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FA5195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5.筛查任务批量终止</w:t>
            </w:r>
          </w:p>
        </w:tc>
        <w:tc>
          <w:tcPr>
            <w:tcW w:w="5199" w:type="dxa"/>
            <w:noWrap w:val="0"/>
            <w:vAlign w:val="center"/>
          </w:tcPr>
          <w:p w14:paraId="0051FA1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系统需支持用户批量选择终止执行中的筛查任务。</w:t>
            </w:r>
          </w:p>
        </w:tc>
      </w:tr>
      <w:tr w14:paraId="0315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Merge w:val="continue"/>
            <w:noWrap w:val="0"/>
            <w:vAlign w:val="center"/>
          </w:tcPr>
          <w:p w14:paraId="272EF6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6A22F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3D3A7E8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1079D1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6.应管尽管待办</w:t>
            </w:r>
          </w:p>
        </w:tc>
        <w:tc>
          <w:tcPr>
            <w:tcW w:w="5199" w:type="dxa"/>
            <w:noWrap w:val="0"/>
            <w:vAlign w:val="center"/>
          </w:tcPr>
          <w:p w14:paraId="72DE096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系统需支持汇总展示在就诊或筛查过程中发现的已确诊但当前未在管理的慢病患者，方便医生及时确认并纳入慢病管理，促进慢病患者的应管尽管。</w:t>
            </w:r>
          </w:p>
        </w:tc>
      </w:tr>
      <w:tr w14:paraId="655E4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87" w:type="dxa"/>
            <w:vMerge w:val="continue"/>
            <w:noWrap w:val="0"/>
            <w:vAlign w:val="center"/>
          </w:tcPr>
          <w:p w14:paraId="7ED24E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75F021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33505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0ECD65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7.控制目标任务</w:t>
            </w:r>
          </w:p>
        </w:tc>
        <w:tc>
          <w:tcPr>
            <w:tcW w:w="5199" w:type="dxa"/>
            <w:noWrap w:val="0"/>
            <w:vAlign w:val="center"/>
          </w:tcPr>
          <w:p w14:paraId="124FBF3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系统需支持汇总控制目标任务进行统一管理，支持居民信息对应的控制目标任务。</w:t>
            </w:r>
          </w:p>
        </w:tc>
      </w:tr>
      <w:tr w14:paraId="38D11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687" w:type="dxa"/>
            <w:vMerge w:val="continue"/>
            <w:noWrap w:val="0"/>
            <w:vAlign w:val="center"/>
          </w:tcPr>
          <w:p w14:paraId="36C124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896B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EDABB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BEA4C4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8.健康处方任务</w:t>
            </w:r>
          </w:p>
        </w:tc>
        <w:tc>
          <w:tcPr>
            <w:tcW w:w="5199" w:type="dxa"/>
            <w:noWrap w:val="0"/>
            <w:vAlign w:val="center"/>
          </w:tcPr>
          <w:p w14:paraId="18E2C1A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系统需支持汇总健康处方任务进行统一管理，支持居民信息对应的健康处方任务。</w:t>
            </w:r>
          </w:p>
        </w:tc>
      </w:tr>
      <w:tr w14:paraId="329E7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87" w:type="dxa"/>
            <w:vMerge w:val="continue"/>
            <w:noWrap w:val="0"/>
            <w:vAlign w:val="center"/>
          </w:tcPr>
          <w:p w14:paraId="5B18D7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A1565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50AD786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7F1507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9.双向转诊待办</w:t>
            </w:r>
          </w:p>
        </w:tc>
        <w:tc>
          <w:tcPr>
            <w:tcW w:w="5199" w:type="dxa"/>
            <w:noWrap w:val="0"/>
            <w:vAlign w:val="center"/>
          </w:tcPr>
          <w:p w14:paraId="3386864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系统需支持展示上/下级机构转诊至本机构的居民列表。方便医生查看居民转诊详情并录入信息。</w:t>
            </w:r>
          </w:p>
        </w:tc>
      </w:tr>
      <w:tr w14:paraId="1573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687" w:type="dxa"/>
            <w:vMerge w:val="continue"/>
            <w:noWrap w:val="0"/>
            <w:vAlign w:val="center"/>
          </w:tcPr>
          <w:p w14:paraId="4A6D12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256C4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983C6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E5011E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10.协同管理待办</w:t>
            </w:r>
          </w:p>
        </w:tc>
        <w:tc>
          <w:tcPr>
            <w:tcW w:w="5199" w:type="dxa"/>
            <w:noWrap w:val="0"/>
            <w:vAlign w:val="center"/>
          </w:tcPr>
          <w:p w14:paraId="51F6C2D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系统需支持展示上级已进行干预，发出干预意见的居民列表。可选中多名居民进行由AI进行呼叫服务。支持关联系统内居民详情页，点击可查看上级对居民提出的详细干预情况，方便医生根据信息选择采纳与否。</w:t>
            </w:r>
          </w:p>
        </w:tc>
      </w:tr>
      <w:tr w14:paraId="1757E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687" w:type="dxa"/>
            <w:vMerge w:val="continue"/>
            <w:noWrap w:val="0"/>
            <w:vAlign w:val="center"/>
          </w:tcPr>
          <w:p w14:paraId="6A7C7D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09E06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E839C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016D1E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11.脱落患者待办</w:t>
            </w:r>
          </w:p>
        </w:tc>
        <w:tc>
          <w:tcPr>
            <w:tcW w:w="5199" w:type="dxa"/>
            <w:noWrap w:val="0"/>
            <w:vAlign w:val="center"/>
          </w:tcPr>
          <w:p w14:paraId="1D5CD37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w:t>
            </w:r>
            <w:r>
              <w:rPr>
                <w:rFonts w:hint="eastAsia" w:ascii="宋体" w:hAnsi="宋体" w:eastAsia="宋体" w:cs="宋体"/>
                <w:sz w:val="24"/>
                <w:szCs w:val="24"/>
                <w:lang w:val="en-US" w:eastAsia="zh-CN"/>
              </w:rPr>
              <w:t>需</w:t>
            </w:r>
            <w:r>
              <w:rPr>
                <w:rFonts w:hint="eastAsia" w:ascii="宋体" w:hAnsi="宋体" w:eastAsia="宋体" w:cs="宋体"/>
                <w:i w:val="0"/>
                <w:iCs w:val="0"/>
                <w:color w:val="000000"/>
                <w:kern w:val="0"/>
                <w:sz w:val="24"/>
                <w:szCs w:val="24"/>
                <w:u w:val="none"/>
                <w:lang w:val="en-US" w:eastAsia="zh-CN" w:bidi="ar"/>
              </w:rPr>
              <w:t>支持展示连续6个月未有诊疗记录的居民列表。支持对脱落患者进行批量发起随访、AI邀约，方便医生及时将脱落患者纳入管理。</w:t>
            </w:r>
          </w:p>
        </w:tc>
      </w:tr>
      <w:tr w14:paraId="25FDD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687" w:type="dxa"/>
            <w:vMerge w:val="continue"/>
            <w:noWrap w:val="0"/>
            <w:vAlign w:val="center"/>
          </w:tcPr>
          <w:p w14:paraId="61669A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5266E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35A54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F2030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12.血压测量管理</w:t>
            </w:r>
          </w:p>
        </w:tc>
        <w:tc>
          <w:tcPr>
            <w:tcW w:w="5199" w:type="dxa"/>
            <w:noWrap w:val="0"/>
            <w:vAlign w:val="center"/>
          </w:tcPr>
          <w:p w14:paraId="73F6552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系统需支持按连续高危、连续不达标、高危随访异常、超时间未测量逻辑，分类血压测量数据结果。</w:t>
            </w:r>
          </w:p>
        </w:tc>
      </w:tr>
      <w:tr w14:paraId="06B8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87" w:type="dxa"/>
            <w:vMerge w:val="continue"/>
            <w:noWrap w:val="0"/>
            <w:vAlign w:val="center"/>
          </w:tcPr>
          <w:p w14:paraId="7340B6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DEE1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54983A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9F6A7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13.血糖测量管理</w:t>
            </w:r>
          </w:p>
        </w:tc>
        <w:tc>
          <w:tcPr>
            <w:tcW w:w="5199" w:type="dxa"/>
            <w:noWrap w:val="0"/>
            <w:vAlign w:val="center"/>
          </w:tcPr>
          <w:p w14:paraId="4D8DB61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系统需支持按危急、连续不达标、高危随访异常、超时间未测量逻辑，分类血糖测量数据结果。</w:t>
            </w:r>
          </w:p>
        </w:tc>
      </w:tr>
      <w:tr w14:paraId="6D07E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3F13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18C7BEF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诊中患者画像提醒</w:t>
            </w:r>
          </w:p>
        </w:tc>
        <w:tc>
          <w:tcPr>
            <w:tcW w:w="1444" w:type="dxa"/>
            <w:vMerge w:val="restart"/>
            <w:noWrap w:val="0"/>
            <w:vAlign w:val="center"/>
          </w:tcPr>
          <w:p w14:paraId="54DFEC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诊中患者画像提醒是对全科医生在诊中场景下服务患者时的智能画像提醒，通过整合患者关键画像信息，智能为全科医生提供慢病患者画像信息。</w:t>
            </w:r>
          </w:p>
        </w:tc>
        <w:tc>
          <w:tcPr>
            <w:tcW w:w="1228" w:type="dxa"/>
            <w:noWrap w:val="0"/>
            <w:vAlign w:val="center"/>
          </w:tcPr>
          <w:p w14:paraId="0D6A5CA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1.慢病患者提示</w:t>
            </w:r>
          </w:p>
        </w:tc>
        <w:tc>
          <w:tcPr>
            <w:tcW w:w="5199" w:type="dxa"/>
            <w:noWrap w:val="0"/>
            <w:vAlign w:val="center"/>
          </w:tcPr>
          <w:p w14:paraId="3E23E3D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系统需支持在接诊时通过身份证号查询患者信息，当确认是机构在管慢病患者时给出提醒。</w:t>
            </w:r>
          </w:p>
        </w:tc>
      </w:tr>
      <w:tr w14:paraId="317C0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A0552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6BEDA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B368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B0E04A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2.患者危险分析</w:t>
            </w:r>
          </w:p>
        </w:tc>
        <w:tc>
          <w:tcPr>
            <w:tcW w:w="5199" w:type="dxa"/>
            <w:noWrap w:val="0"/>
            <w:vAlign w:val="center"/>
          </w:tcPr>
          <w:p w14:paraId="1BB20BF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系统需支持快速展示患者高血压、糖尿病危险分级结果数据。</w:t>
            </w:r>
          </w:p>
        </w:tc>
      </w:tr>
      <w:tr w14:paraId="71407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CCDD5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6CFCA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4B9D1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D102F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3.最近血压、血糖数据</w:t>
            </w:r>
          </w:p>
        </w:tc>
        <w:tc>
          <w:tcPr>
            <w:tcW w:w="5199" w:type="dxa"/>
            <w:noWrap w:val="0"/>
            <w:vAlign w:val="center"/>
          </w:tcPr>
          <w:p w14:paraId="3CAC94A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系统需支持快速展示患者最近一次血压血糖数据，包括值和对应的时间。</w:t>
            </w:r>
          </w:p>
        </w:tc>
      </w:tr>
      <w:tr w14:paraId="6CE15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3FF6F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462633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8A557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427F83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4.慢病用药评估</w:t>
            </w:r>
          </w:p>
        </w:tc>
        <w:tc>
          <w:tcPr>
            <w:tcW w:w="5199" w:type="dxa"/>
            <w:noWrap w:val="0"/>
            <w:vAlign w:val="center"/>
          </w:tcPr>
          <w:p w14:paraId="00F6C7B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系统需支持快速展示患者用药评估结果信息，针对需要调药的患者给出提醒</w:t>
            </w:r>
          </w:p>
        </w:tc>
      </w:tr>
      <w:tr w14:paraId="02842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BB705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6A98E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23FA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59C340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5.慢病转诊评估</w:t>
            </w:r>
          </w:p>
        </w:tc>
        <w:tc>
          <w:tcPr>
            <w:tcW w:w="5199" w:type="dxa"/>
            <w:noWrap w:val="0"/>
            <w:vAlign w:val="center"/>
          </w:tcPr>
          <w:p w14:paraId="7B87878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系统需支持快速展示患者转诊评估结果信息，针对需要转诊的患者给出提醒</w:t>
            </w:r>
          </w:p>
        </w:tc>
      </w:tr>
      <w:tr w14:paraId="42ED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04FFA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C6D85F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E34E1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DFADDF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6.待办事项</w:t>
            </w:r>
          </w:p>
        </w:tc>
        <w:tc>
          <w:tcPr>
            <w:tcW w:w="5199" w:type="dxa"/>
            <w:noWrap w:val="0"/>
            <w:vAlign w:val="center"/>
          </w:tcPr>
          <w:p w14:paraId="445D639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系统需支持快速展示患者待办事项信息，包括具体项目和应完成时间。</w:t>
            </w:r>
          </w:p>
        </w:tc>
      </w:tr>
      <w:tr w14:paraId="519E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041BE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E0DCB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26761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9E9C8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7.危险因素信息</w:t>
            </w:r>
          </w:p>
        </w:tc>
        <w:tc>
          <w:tcPr>
            <w:tcW w:w="5199" w:type="dxa"/>
            <w:noWrap w:val="0"/>
            <w:vAlign w:val="center"/>
          </w:tcPr>
          <w:p w14:paraId="221F0CF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系统需支持快速展示患者危险因素信息，包括具体的危险因素项目。</w:t>
            </w:r>
          </w:p>
        </w:tc>
      </w:tr>
      <w:tr w14:paraId="501EB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A4922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E6FB5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569B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94E47E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8.调阅患者详情</w:t>
            </w:r>
          </w:p>
        </w:tc>
        <w:tc>
          <w:tcPr>
            <w:tcW w:w="5199" w:type="dxa"/>
            <w:noWrap w:val="0"/>
            <w:vAlign w:val="center"/>
          </w:tcPr>
          <w:p w14:paraId="6EB9107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系统支持点击调阅诊中患者详情信息。</w:t>
            </w:r>
          </w:p>
        </w:tc>
      </w:tr>
      <w:tr w14:paraId="135F6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1EE10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21010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诊中患者详情调阅</w:t>
            </w:r>
          </w:p>
        </w:tc>
        <w:tc>
          <w:tcPr>
            <w:tcW w:w="1444" w:type="dxa"/>
            <w:vMerge w:val="restart"/>
            <w:noWrap w:val="0"/>
            <w:vAlign w:val="center"/>
          </w:tcPr>
          <w:p w14:paraId="6E1CE9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诊中患者详情调阅是对全科医生在诊中场景下想要了解慢病患者详情信息时，可通过系统调阅患者全流程管理信息，包括筛查、随访、生活干预数据内容。</w:t>
            </w:r>
          </w:p>
        </w:tc>
        <w:tc>
          <w:tcPr>
            <w:tcW w:w="1228" w:type="dxa"/>
            <w:noWrap w:val="0"/>
            <w:vAlign w:val="center"/>
          </w:tcPr>
          <w:p w14:paraId="1E50810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9.慢病患者查询</w:t>
            </w:r>
          </w:p>
        </w:tc>
        <w:tc>
          <w:tcPr>
            <w:tcW w:w="5199" w:type="dxa"/>
            <w:noWrap w:val="0"/>
            <w:vAlign w:val="center"/>
          </w:tcPr>
          <w:p w14:paraId="4CB2E5F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系统需支持在诊中客户端通过身份证号查询患者信息调阅患者详情。</w:t>
            </w:r>
          </w:p>
        </w:tc>
      </w:tr>
      <w:tr w14:paraId="7FF33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A5FCB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1A8F8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2AFB82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EF6E4A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10.患者个人首页信息调阅</w:t>
            </w:r>
          </w:p>
        </w:tc>
        <w:tc>
          <w:tcPr>
            <w:tcW w:w="5199" w:type="dxa"/>
            <w:noWrap w:val="0"/>
            <w:vAlign w:val="center"/>
          </w:tcPr>
          <w:p w14:paraId="7789458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系统需支持在诊中客户端调阅居民个人首页信息，展示个人体征数据、AI评估信息、生活干预信息内容。</w:t>
            </w:r>
          </w:p>
        </w:tc>
      </w:tr>
      <w:tr w14:paraId="7C1AA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00EA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770A18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D1E2D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AF549C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11.疾病随访信息调阅</w:t>
            </w:r>
          </w:p>
        </w:tc>
        <w:tc>
          <w:tcPr>
            <w:tcW w:w="5199" w:type="dxa"/>
            <w:noWrap w:val="0"/>
            <w:vAlign w:val="center"/>
          </w:tcPr>
          <w:p w14:paraId="5284D42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系统需支持在诊中客户端调阅居民疾病随访信息，展示个人随访任务、随访记录内容。</w:t>
            </w:r>
          </w:p>
        </w:tc>
      </w:tr>
      <w:tr w14:paraId="20CB4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CDFBA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EE085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66AD0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627250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12.疾病筛查信息调阅</w:t>
            </w:r>
          </w:p>
        </w:tc>
        <w:tc>
          <w:tcPr>
            <w:tcW w:w="5199" w:type="dxa"/>
            <w:noWrap w:val="0"/>
            <w:vAlign w:val="center"/>
          </w:tcPr>
          <w:p w14:paraId="755AE87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系统需支持在诊中客户端调阅居民疾病筛查信息，展示个人筛查任务、筛查记录内容。</w:t>
            </w:r>
          </w:p>
        </w:tc>
      </w:tr>
      <w:tr w14:paraId="1947A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2492A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95DC3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0CBB0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EC41AB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13.诊疗记录信息调阅</w:t>
            </w:r>
          </w:p>
        </w:tc>
        <w:tc>
          <w:tcPr>
            <w:tcW w:w="5199" w:type="dxa"/>
            <w:noWrap w:val="0"/>
            <w:vAlign w:val="center"/>
          </w:tcPr>
          <w:p w14:paraId="71753E4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系统需支持在诊中客户端调阅居民诊疗记录信息，展示就诊记录、转诊记录内容</w:t>
            </w:r>
          </w:p>
        </w:tc>
      </w:tr>
      <w:tr w14:paraId="46DA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401DC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B3663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9F01A0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145AD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14.健康处方</w:t>
            </w:r>
          </w:p>
        </w:tc>
        <w:tc>
          <w:tcPr>
            <w:tcW w:w="5199" w:type="dxa"/>
            <w:noWrap w:val="0"/>
            <w:vAlign w:val="center"/>
          </w:tcPr>
          <w:p w14:paraId="792FDF2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系统需支持在诊中客户端调阅居民生活干预信息，展示饮食管理方案、运动管理方案内容。</w:t>
            </w:r>
          </w:p>
        </w:tc>
      </w:tr>
      <w:tr w14:paraId="63627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restart"/>
            <w:noWrap w:val="0"/>
            <w:vAlign w:val="center"/>
          </w:tcPr>
          <w:p w14:paraId="161ABB7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慢病医生移动子系统</w:t>
            </w:r>
          </w:p>
        </w:tc>
        <w:tc>
          <w:tcPr>
            <w:tcW w:w="710" w:type="dxa"/>
            <w:vMerge w:val="restart"/>
            <w:noWrap w:val="0"/>
            <w:vAlign w:val="center"/>
          </w:tcPr>
          <w:p w14:paraId="52390D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医生登录</w:t>
            </w:r>
          </w:p>
        </w:tc>
        <w:tc>
          <w:tcPr>
            <w:tcW w:w="1444" w:type="dxa"/>
            <w:vMerge w:val="restart"/>
            <w:noWrap w:val="0"/>
            <w:vAlign w:val="center"/>
          </w:tcPr>
          <w:p w14:paraId="28EF2C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医生登录是面向医生在移动端进行账号登录的功能模块，可使用电脑端相同的账号密码进行登录。</w:t>
            </w:r>
          </w:p>
        </w:tc>
        <w:tc>
          <w:tcPr>
            <w:tcW w:w="1228" w:type="dxa"/>
            <w:noWrap w:val="0"/>
            <w:vAlign w:val="center"/>
          </w:tcPr>
          <w:p w14:paraId="3E895A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登录</w:t>
            </w:r>
          </w:p>
        </w:tc>
        <w:tc>
          <w:tcPr>
            <w:tcW w:w="5199" w:type="dxa"/>
            <w:noWrap w:val="0"/>
            <w:vAlign w:val="center"/>
          </w:tcPr>
          <w:p w14:paraId="4F292F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系统需支持通过微信公众号与小程序的组合形式为医生在移动场景下提供慢病管理服务。用户可通过电脑端的账号</w:t>
            </w:r>
            <w:r>
              <w:rPr>
                <w:rFonts w:hint="eastAsia" w:ascii="宋体" w:hAnsi="宋体" w:eastAsia="宋体" w:cs="宋体"/>
                <w:sz w:val="24"/>
                <w:szCs w:val="24"/>
                <w:lang w:eastAsia="zh-CN"/>
              </w:rPr>
              <w:t>登录</w:t>
            </w:r>
            <w:r>
              <w:rPr>
                <w:rFonts w:hint="eastAsia" w:ascii="宋体" w:hAnsi="宋体" w:eastAsia="宋体" w:cs="宋体"/>
                <w:sz w:val="24"/>
                <w:szCs w:val="24"/>
              </w:rPr>
              <w:t>移动端小程序。</w:t>
            </w:r>
          </w:p>
        </w:tc>
      </w:tr>
      <w:tr w14:paraId="1DF84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9B4FE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562E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687AF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C950B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隐私政策</w:t>
            </w:r>
          </w:p>
        </w:tc>
        <w:tc>
          <w:tcPr>
            <w:tcW w:w="5199" w:type="dxa"/>
            <w:noWrap w:val="0"/>
            <w:vAlign w:val="center"/>
          </w:tcPr>
          <w:p w14:paraId="584C82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系统需支持用户进行隐私权协议内容查看与确认。</w:t>
            </w:r>
          </w:p>
        </w:tc>
      </w:tr>
      <w:tr w14:paraId="3DEFE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44045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7C5CF2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移动端待办事项</w:t>
            </w:r>
          </w:p>
        </w:tc>
        <w:tc>
          <w:tcPr>
            <w:tcW w:w="1444" w:type="dxa"/>
            <w:vMerge w:val="restart"/>
            <w:noWrap w:val="0"/>
            <w:vAlign w:val="center"/>
          </w:tcPr>
          <w:p w14:paraId="40D64C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移动端诊后服务是对系统内各项待办管理任务在医生移动端进行汇总展示的页面，让医生快速了解系统内的待办任务内容，便于进行快速执行。</w:t>
            </w:r>
          </w:p>
        </w:tc>
        <w:tc>
          <w:tcPr>
            <w:tcW w:w="1228" w:type="dxa"/>
            <w:noWrap w:val="0"/>
            <w:vAlign w:val="center"/>
          </w:tcPr>
          <w:p w14:paraId="5C31B0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1.医生信息</w:t>
            </w:r>
          </w:p>
        </w:tc>
        <w:tc>
          <w:tcPr>
            <w:tcW w:w="5199" w:type="dxa"/>
            <w:noWrap w:val="0"/>
            <w:vAlign w:val="center"/>
          </w:tcPr>
          <w:p w14:paraId="1E18CA1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系统需支持展示当前医生姓名和单位信息。</w:t>
            </w:r>
          </w:p>
        </w:tc>
      </w:tr>
      <w:tr w14:paraId="6A48A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8888E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C996F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7E284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7EA73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2.公众号关注指引</w:t>
            </w:r>
          </w:p>
        </w:tc>
        <w:tc>
          <w:tcPr>
            <w:tcW w:w="5199" w:type="dxa"/>
            <w:noWrap w:val="0"/>
            <w:vAlign w:val="center"/>
          </w:tcPr>
          <w:p w14:paraId="1A8027C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系统需支持当用户未关注公众号，显示关注指引，引导用户关注医生移动端公众号。</w:t>
            </w:r>
          </w:p>
        </w:tc>
      </w:tr>
      <w:tr w14:paraId="0F07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A5561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17E2E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39568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431A7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3.居民测量高危提醒</w:t>
            </w:r>
          </w:p>
        </w:tc>
        <w:tc>
          <w:tcPr>
            <w:tcW w:w="5199" w:type="dxa"/>
            <w:noWrap w:val="0"/>
            <w:vAlign w:val="center"/>
          </w:tcPr>
          <w:p w14:paraId="3B16462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系统需支持当医生管理的居民通过设备测量血压血糖出现高危时，自动将异常患者信息通过公众号或短信推送给医生，方便其及时关注处理。</w:t>
            </w:r>
          </w:p>
        </w:tc>
      </w:tr>
      <w:tr w14:paraId="29825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83C62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DBC22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F4A7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3FEA5D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4.今日测量信息</w:t>
            </w:r>
          </w:p>
        </w:tc>
        <w:tc>
          <w:tcPr>
            <w:tcW w:w="5199" w:type="dxa"/>
            <w:noWrap w:val="0"/>
            <w:vAlign w:val="center"/>
          </w:tcPr>
          <w:p w14:paraId="1D410E3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系统需支持展示当前在管的高血压患者数、糖尿病患者数，今日测量血压患者数，今日测量血糖患者数。</w:t>
            </w:r>
          </w:p>
        </w:tc>
      </w:tr>
      <w:tr w14:paraId="2B411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F1D3E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8183B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C8C72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57B2E1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5.高血压连续高危待办</w:t>
            </w:r>
          </w:p>
        </w:tc>
        <w:tc>
          <w:tcPr>
            <w:tcW w:w="5199" w:type="dxa"/>
            <w:noWrap w:val="0"/>
            <w:vAlign w:val="center"/>
          </w:tcPr>
          <w:p w14:paraId="7C9D5E6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系统需支持展示当前在管高血压患者中出现高血压连续高危情况的人员。</w:t>
            </w:r>
          </w:p>
        </w:tc>
      </w:tr>
      <w:tr w14:paraId="6154B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BA002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EA594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41620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EA243B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6.高血压连续不达标待办</w:t>
            </w:r>
          </w:p>
        </w:tc>
        <w:tc>
          <w:tcPr>
            <w:tcW w:w="5199" w:type="dxa"/>
            <w:noWrap w:val="0"/>
            <w:vAlign w:val="center"/>
          </w:tcPr>
          <w:p w14:paraId="11A9535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系统需支持展示当前在管高血压患者中出现高血压连续不达标情况的人员。</w:t>
            </w:r>
          </w:p>
        </w:tc>
      </w:tr>
      <w:tr w14:paraId="61C9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F0ED4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1A513C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6C70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F38E7E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7.高血压随访异常待办</w:t>
            </w:r>
          </w:p>
        </w:tc>
        <w:tc>
          <w:tcPr>
            <w:tcW w:w="5199" w:type="dxa"/>
            <w:noWrap w:val="0"/>
            <w:vAlign w:val="center"/>
          </w:tcPr>
          <w:p w14:paraId="193243E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系统需支持展示当前在管高血压患者中出现高血压随访异常情况的人员。</w:t>
            </w:r>
          </w:p>
        </w:tc>
      </w:tr>
      <w:tr w14:paraId="6721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82EFC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6CA96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48B9B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4BB502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8.高血压长期未测量待办</w:t>
            </w:r>
          </w:p>
        </w:tc>
        <w:tc>
          <w:tcPr>
            <w:tcW w:w="5199" w:type="dxa"/>
            <w:noWrap w:val="0"/>
            <w:vAlign w:val="center"/>
          </w:tcPr>
          <w:p w14:paraId="506EA31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系统需支持展示当前在管高血压患者中出现高血压长期未测量情况的人员。</w:t>
            </w:r>
          </w:p>
        </w:tc>
      </w:tr>
      <w:tr w14:paraId="1962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5560F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165FE6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CEB6F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D4D094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9.糖尿病危急待办</w:t>
            </w:r>
          </w:p>
        </w:tc>
        <w:tc>
          <w:tcPr>
            <w:tcW w:w="5199" w:type="dxa"/>
            <w:noWrap w:val="0"/>
            <w:vAlign w:val="center"/>
          </w:tcPr>
          <w:p w14:paraId="16D6C3B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系统需支持展示当前在管糖尿病患者中出现糖尿病危急情况的人员。</w:t>
            </w:r>
          </w:p>
        </w:tc>
      </w:tr>
      <w:tr w14:paraId="264C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AA4EAB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5CC61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70AEA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214B3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10.糖尿病连续不达标待办</w:t>
            </w:r>
          </w:p>
        </w:tc>
        <w:tc>
          <w:tcPr>
            <w:tcW w:w="5199" w:type="dxa"/>
            <w:noWrap w:val="0"/>
            <w:vAlign w:val="center"/>
          </w:tcPr>
          <w:p w14:paraId="19A899C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系统需支持展示当前在管高血压患者中出现糖尿病连续不达标情况的人员。</w:t>
            </w:r>
          </w:p>
        </w:tc>
      </w:tr>
      <w:tr w14:paraId="67A2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A2E0B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99ADC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92D0D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166B12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11.随访异常待办</w:t>
            </w:r>
          </w:p>
        </w:tc>
        <w:tc>
          <w:tcPr>
            <w:tcW w:w="5199" w:type="dxa"/>
            <w:noWrap w:val="0"/>
            <w:vAlign w:val="center"/>
          </w:tcPr>
          <w:p w14:paraId="5D95F67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系统需支持展示当前在管高血压患者中出现糖尿病随访异常情况的人员。</w:t>
            </w:r>
          </w:p>
        </w:tc>
      </w:tr>
      <w:tr w14:paraId="3CC57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A5AB8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F738A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E040AE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7EDED4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12.长期未测量待办</w:t>
            </w:r>
          </w:p>
        </w:tc>
        <w:tc>
          <w:tcPr>
            <w:tcW w:w="5199" w:type="dxa"/>
            <w:noWrap w:val="0"/>
            <w:vAlign w:val="center"/>
          </w:tcPr>
          <w:p w14:paraId="39040FE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系统需支持展示当前在管高血压患者中出现糖尿病长期未测量的人员。</w:t>
            </w:r>
          </w:p>
        </w:tc>
      </w:tr>
      <w:tr w14:paraId="3833B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37851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34BE7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6F254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7CEF9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13.待办事项人员列表</w:t>
            </w:r>
          </w:p>
        </w:tc>
        <w:tc>
          <w:tcPr>
            <w:tcW w:w="5199" w:type="dxa"/>
            <w:noWrap w:val="0"/>
            <w:vAlign w:val="center"/>
          </w:tcPr>
          <w:p w14:paraId="51F2D08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系统需支持展示血压、血糖测量异常待办人员列表，支持按照疾病及异常类型查询。人员信息卡片包括姓名、性别、年龄、异常信息、危险因素。</w:t>
            </w:r>
          </w:p>
        </w:tc>
      </w:tr>
      <w:tr w14:paraId="52222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C846F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9E6727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77A0DF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F5299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14.快捷拨号</w:t>
            </w:r>
          </w:p>
        </w:tc>
        <w:tc>
          <w:tcPr>
            <w:tcW w:w="5199" w:type="dxa"/>
            <w:noWrap w:val="0"/>
            <w:vAlign w:val="center"/>
          </w:tcPr>
          <w:p w14:paraId="46D0344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系统需支持在人员信息卡片上直接一键拨打居民电话。</w:t>
            </w:r>
          </w:p>
        </w:tc>
      </w:tr>
      <w:tr w14:paraId="4709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2258D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60556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93C09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3BF1D1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15.快捷处理</w:t>
            </w:r>
          </w:p>
        </w:tc>
        <w:tc>
          <w:tcPr>
            <w:tcW w:w="5199" w:type="dxa"/>
            <w:noWrap w:val="0"/>
            <w:vAlign w:val="center"/>
          </w:tcPr>
          <w:p w14:paraId="1F33AE8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系统需支持在人员信息卡片上直接一键处理异常待办，记录处理的意见，上传处理图片。</w:t>
            </w:r>
          </w:p>
        </w:tc>
      </w:tr>
      <w:tr w14:paraId="3AFB8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7B5EB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6F423D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移动端居民详情</w:t>
            </w:r>
          </w:p>
        </w:tc>
        <w:tc>
          <w:tcPr>
            <w:tcW w:w="1444" w:type="dxa"/>
            <w:vMerge w:val="restart"/>
            <w:noWrap w:val="0"/>
            <w:vAlign w:val="center"/>
          </w:tcPr>
          <w:p w14:paraId="423AFB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移动端居民详情是在移动端调阅居民详细管理记录和管理信息的模块，便于对居民详细管理情况进行了解。</w:t>
            </w:r>
          </w:p>
        </w:tc>
        <w:tc>
          <w:tcPr>
            <w:tcW w:w="1228" w:type="dxa"/>
            <w:noWrap w:val="0"/>
            <w:vAlign w:val="center"/>
          </w:tcPr>
          <w:p w14:paraId="13C9430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1.基本信息</w:t>
            </w:r>
          </w:p>
        </w:tc>
        <w:tc>
          <w:tcPr>
            <w:tcW w:w="5199" w:type="dxa"/>
            <w:noWrap w:val="0"/>
            <w:vAlign w:val="center"/>
          </w:tcPr>
          <w:p w14:paraId="3C6C6B1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系统需支持展示居民姓名、性别、年龄、危险分级、危险因素信息。</w:t>
            </w:r>
          </w:p>
        </w:tc>
      </w:tr>
      <w:tr w14:paraId="7FCFB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93643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E4B26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291524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A1253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2.异常代办信息</w:t>
            </w:r>
          </w:p>
        </w:tc>
        <w:tc>
          <w:tcPr>
            <w:tcW w:w="5199" w:type="dxa"/>
            <w:noWrap w:val="0"/>
            <w:vAlign w:val="center"/>
          </w:tcPr>
          <w:p w14:paraId="1732CA0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系统需支持展示居民当前存在的血压、血糖测量异常代办，支持点击处理。</w:t>
            </w:r>
          </w:p>
        </w:tc>
      </w:tr>
      <w:tr w14:paraId="4BC5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2DAF4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5FFB2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8D8736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DA2EB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3.测量数据分析</w:t>
            </w:r>
          </w:p>
        </w:tc>
        <w:tc>
          <w:tcPr>
            <w:tcW w:w="5199" w:type="dxa"/>
            <w:noWrap w:val="0"/>
            <w:vAlign w:val="center"/>
          </w:tcPr>
          <w:p w14:paraId="76B6E4F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系统需支持展示居民最新一条血压、血糖信息、目标值及达标情况。</w:t>
            </w:r>
          </w:p>
        </w:tc>
      </w:tr>
      <w:tr w14:paraId="47751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DF942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766E1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571A9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E47016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4.近期血压趋势图概览</w:t>
            </w:r>
          </w:p>
        </w:tc>
        <w:tc>
          <w:tcPr>
            <w:tcW w:w="5199" w:type="dxa"/>
            <w:noWrap w:val="0"/>
            <w:vAlign w:val="center"/>
          </w:tcPr>
          <w:p w14:paraId="02934E4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系统需支持将患者近期月血压数据进行汇总，形成血压水平趋势图，数据来源包括硬件设备数据、居民上传数据、医生录入数据，并给予测量情况总结。</w:t>
            </w:r>
          </w:p>
        </w:tc>
      </w:tr>
      <w:tr w14:paraId="0E88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7FD0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BC8A4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FB08E6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B90A2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5.近期血压明细表概览</w:t>
            </w:r>
          </w:p>
        </w:tc>
        <w:tc>
          <w:tcPr>
            <w:tcW w:w="5199" w:type="dxa"/>
            <w:noWrap w:val="0"/>
            <w:vAlign w:val="center"/>
          </w:tcPr>
          <w:p w14:paraId="70C85C6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系统需支持将患者近期月血压数据进行汇总，形成血压测量数据明细表，数据来源包括硬件设备数据、居民上传数据、医生录入数据，并给予测量情况总结。</w:t>
            </w:r>
          </w:p>
        </w:tc>
      </w:tr>
      <w:tr w14:paraId="6347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5F396B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F7EEC6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3E470E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B37F4D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6.近期血糖趋势图概览</w:t>
            </w:r>
          </w:p>
        </w:tc>
        <w:tc>
          <w:tcPr>
            <w:tcW w:w="5199" w:type="dxa"/>
            <w:noWrap w:val="0"/>
            <w:vAlign w:val="center"/>
          </w:tcPr>
          <w:p w14:paraId="7F6CF2D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系统需支持将患者近期血糖数据进行汇总，形成血压水平趋势图，数据来源包括硬件设备数据、居民上传数据、医生录入数据，并给予测量情况总结。</w:t>
            </w:r>
          </w:p>
        </w:tc>
      </w:tr>
      <w:tr w14:paraId="02226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0485B3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21743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E7AE0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A7D3A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7.近期血糖明细表概览</w:t>
            </w:r>
          </w:p>
        </w:tc>
        <w:tc>
          <w:tcPr>
            <w:tcW w:w="5199" w:type="dxa"/>
            <w:noWrap w:val="0"/>
            <w:vAlign w:val="center"/>
          </w:tcPr>
          <w:p w14:paraId="2B4CC64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系统需支持将患者近期月血糖数据进行汇总，形成血糖测量数据明细表，数据来源包括硬件设备数据、居民上传数据、医生录入数据，并给予测量情况总结。</w:t>
            </w:r>
          </w:p>
        </w:tc>
      </w:tr>
      <w:tr w14:paraId="4DFF0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F3E4E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B0C0E2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33AC0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7B572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8.饮食方案概览</w:t>
            </w:r>
          </w:p>
        </w:tc>
        <w:tc>
          <w:tcPr>
            <w:tcW w:w="5199" w:type="dxa"/>
            <w:noWrap w:val="0"/>
            <w:vAlign w:val="center"/>
          </w:tcPr>
          <w:p w14:paraId="763C5F6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系统需支持抽取为患者制定的饮食方案核心内容进行展示，便于快速了解饮食方案内容。</w:t>
            </w:r>
          </w:p>
        </w:tc>
      </w:tr>
      <w:tr w14:paraId="2554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D410A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3F4C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8B1FE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ED5439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9.运动方案概览</w:t>
            </w:r>
          </w:p>
        </w:tc>
        <w:tc>
          <w:tcPr>
            <w:tcW w:w="5199" w:type="dxa"/>
            <w:noWrap w:val="0"/>
            <w:vAlign w:val="center"/>
          </w:tcPr>
          <w:p w14:paraId="5922331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系统需支持抽取为患者制定的运动方案核心内容进行展示，便于快速了解运动方案内容。</w:t>
            </w:r>
          </w:p>
        </w:tc>
      </w:tr>
      <w:tr w14:paraId="110FE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C7456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7305E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C3F54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B1D793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10.AI服务记录</w:t>
            </w:r>
          </w:p>
        </w:tc>
        <w:tc>
          <w:tcPr>
            <w:tcW w:w="5199" w:type="dxa"/>
            <w:noWrap w:val="0"/>
            <w:vAlign w:val="center"/>
          </w:tcPr>
          <w:p w14:paraId="60324DD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系统需支持展示为患者提供的历次AI服务记录，可直接查看AI服务内容和听取AI服务录音。</w:t>
            </w:r>
          </w:p>
        </w:tc>
      </w:tr>
      <w:tr w14:paraId="54F9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C99724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F692A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AEE3A3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D9D199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11.人工服务记录</w:t>
            </w:r>
          </w:p>
        </w:tc>
        <w:tc>
          <w:tcPr>
            <w:tcW w:w="5199" w:type="dxa"/>
            <w:noWrap w:val="0"/>
            <w:vAlign w:val="center"/>
          </w:tcPr>
          <w:p w14:paraId="2272F9A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系统需支持展示医生为居民提供日常随访管理的服务记录。</w:t>
            </w:r>
          </w:p>
        </w:tc>
      </w:tr>
      <w:tr w14:paraId="22793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86E5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45177A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移动端居民管理</w:t>
            </w:r>
          </w:p>
        </w:tc>
        <w:tc>
          <w:tcPr>
            <w:tcW w:w="1444" w:type="dxa"/>
            <w:vMerge w:val="restart"/>
            <w:noWrap w:val="0"/>
            <w:vAlign w:val="center"/>
          </w:tcPr>
          <w:p w14:paraId="7448C7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移动端居民管理是对所有在管慢病患者进行统一集中管理的模块，可以查询到所有在管慢病居民。</w:t>
            </w:r>
          </w:p>
        </w:tc>
        <w:tc>
          <w:tcPr>
            <w:tcW w:w="1228" w:type="dxa"/>
            <w:noWrap w:val="0"/>
            <w:vAlign w:val="center"/>
          </w:tcPr>
          <w:p w14:paraId="3B77AC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居民列表</w:t>
            </w:r>
          </w:p>
        </w:tc>
        <w:tc>
          <w:tcPr>
            <w:tcW w:w="5199" w:type="dxa"/>
            <w:noWrap w:val="0"/>
            <w:vAlign w:val="center"/>
          </w:tcPr>
          <w:p w14:paraId="5D3D82B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系统需支持展示血压、血糖测量不同危险分级的居民列表，支持按照疾病及分级类型查询。人员信息卡片包括姓名、性别、年龄、异常信息、危险因素。</w:t>
            </w:r>
          </w:p>
        </w:tc>
      </w:tr>
      <w:tr w14:paraId="2AAEF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E9BEF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1777AC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80F319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A1DB3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居民搜索</w:t>
            </w:r>
          </w:p>
        </w:tc>
        <w:tc>
          <w:tcPr>
            <w:tcW w:w="5199" w:type="dxa"/>
            <w:noWrap w:val="0"/>
            <w:vAlign w:val="center"/>
          </w:tcPr>
          <w:p w14:paraId="5D6605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系统需支持在移动端通过居民姓名、手机号、证件号码定向查询在管慢病居民。</w:t>
            </w:r>
          </w:p>
        </w:tc>
      </w:tr>
      <w:tr w14:paraId="4E18D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312FB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74141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496C4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9C4DA3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新增居民</w:t>
            </w:r>
          </w:p>
        </w:tc>
        <w:tc>
          <w:tcPr>
            <w:tcW w:w="5199" w:type="dxa"/>
            <w:noWrap w:val="0"/>
            <w:vAlign w:val="center"/>
          </w:tcPr>
          <w:p w14:paraId="786ED4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系统需支持医生通过移动端新增慢病居民人员。</w:t>
            </w:r>
          </w:p>
        </w:tc>
      </w:tr>
      <w:tr w14:paraId="0CB2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0DE5D2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0D3FA02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移动端个人中心</w:t>
            </w:r>
          </w:p>
        </w:tc>
        <w:tc>
          <w:tcPr>
            <w:tcW w:w="1444" w:type="dxa"/>
            <w:vMerge w:val="restart"/>
            <w:noWrap w:val="0"/>
            <w:vAlign w:val="center"/>
          </w:tcPr>
          <w:p w14:paraId="435FC9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移动端个人中心是医生个人账号信息和设备信息管理的模块，可进行设备和用户信息状态查阅修改。</w:t>
            </w:r>
          </w:p>
        </w:tc>
        <w:tc>
          <w:tcPr>
            <w:tcW w:w="1228" w:type="dxa"/>
            <w:noWrap w:val="0"/>
            <w:vAlign w:val="center"/>
          </w:tcPr>
          <w:p w14:paraId="7469625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设备管理</w:t>
            </w:r>
          </w:p>
        </w:tc>
        <w:tc>
          <w:tcPr>
            <w:tcW w:w="5199" w:type="dxa"/>
            <w:noWrap w:val="0"/>
            <w:vAlign w:val="center"/>
          </w:tcPr>
          <w:p w14:paraId="18455E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系统需支持查看管理居民当前的设备绑定状态，进行绑定与解绑。</w:t>
            </w:r>
          </w:p>
        </w:tc>
      </w:tr>
      <w:tr w14:paraId="13BCF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CB0CD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87361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BC4E6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15551D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联系客服</w:t>
            </w:r>
          </w:p>
        </w:tc>
        <w:tc>
          <w:tcPr>
            <w:tcW w:w="5199" w:type="dxa"/>
            <w:noWrap w:val="0"/>
            <w:vAlign w:val="center"/>
          </w:tcPr>
          <w:p w14:paraId="238BBE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系统需支持联系客服反馈问题与建议。</w:t>
            </w:r>
          </w:p>
        </w:tc>
      </w:tr>
      <w:tr w14:paraId="149E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C0D87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4E90C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69EC5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8368A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退出</w:t>
            </w:r>
            <w:r>
              <w:rPr>
                <w:rFonts w:hint="eastAsia" w:ascii="宋体" w:hAnsi="宋体" w:eastAsia="宋体" w:cs="宋体"/>
                <w:sz w:val="24"/>
                <w:szCs w:val="24"/>
                <w:lang w:eastAsia="zh-CN"/>
              </w:rPr>
              <w:t>登录</w:t>
            </w:r>
          </w:p>
        </w:tc>
        <w:tc>
          <w:tcPr>
            <w:tcW w:w="5199" w:type="dxa"/>
            <w:noWrap w:val="0"/>
            <w:vAlign w:val="center"/>
          </w:tcPr>
          <w:p w14:paraId="52B767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系统需支持点击退出</w:t>
            </w:r>
            <w:r>
              <w:rPr>
                <w:rFonts w:hint="eastAsia" w:ascii="宋体" w:hAnsi="宋体" w:eastAsia="宋体" w:cs="宋体"/>
                <w:sz w:val="24"/>
                <w:szCs w:val="24"/>
                <w:lang w:eastAsia="zh-CN"/>
              </w:rPr>
              <w:t>登录</w:t>
            </w:r>
            <w:r>
              <w:rPr>
                <w:rFonts w:hint="eastAsia" w:ascii="宋体" w:hAnsi="宋体" w:eastAsia="宋体" w:cs="宋体"/>
                <w:sz w:val="24"/>
                <w:szCs w:val="24"/>
              </w:rPr>
              <w:t>状态。</w:t>
            </w:r>
          </w:p>
        </w:tc>
      </w:tr>
      <w:tr w14:paraId="3FA5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restart"/>
            <w:noWrap w:val="0"/>
            <w:vAlign w:val="center"/>
          </w:tcPr>
          <w:p w14:paraId="693F01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慢病患者移动子系统</w:t>
            </w:r>
          </w:p>
        </w:tc>
        <w:tc>
          <w:tcPr>
            <w:tcW w:w="710" w:type="dxa"/>
            <w:vMerge w:val="restart"/>
            <w:noWrap w:val="0"/>
            <w:vAlign w:val="center"/>
          </w:tcPr>
          <w:p w14:paraId="508E98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居民登录注册</w:t>
            </w:r>
          </w:p>
        </w:tc>
        <w:tc>
          <w:tcPr>
            <w:tcW w:w="1444" w:type="dxa"/>
            <w:vMerge w:val="restart"/>
            <w:noWrap w:val="0"/>
            <w:vAlign w:val="center"/>
          </w:tcPr>
          <w:p w14:paraId="1D888F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居民登录注册是居民进行系统使用的首要环节，可通过微信现有信息为居民提供账号注册、档案绑定服务内容，为医患联动打好服务基础。</w:t>
            </w:r>
          </w:p>
        </w:tc>
        <w:tc>
          <w:tcPr>
            <w:tcW w:w="1228" w:type="dxa"/>
            <w:noWrap w:val="0"/>
            <w:vAlign w:val="center"/>
          </w:tcPr>
          <w:p w14:paraId="60B92E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注册登录</w:t>
            </w:r>
          </w:p>
        </w:tc>
        <w:tc>
          <w:tcPr>
            <w:tcW w:w="5199" w:type="dxa"/>
            <w:noWrap w:val="0"/>
            <w:vAlign w:val="center"/>
          </w:tcPr>
          <w:p w14:paraId="02CEB4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系统需支持通过微信公众号与小程序的组合形式为居民提供慢病管理服务，用户通过微信关注，获取微信账号与手机号码信息，自动完成账号注册工作。</w:t>
            </w:r>
          </w:p>
        </w:tc>
      </w:tr>
      <w:tr w14:paraId="66133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A812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3434C9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9B1B3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C4AE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隐私政策</w:t>
            </w:r>
          </w:p>
        </w:tc>
        <w:tc>
          <w:tcPr>
            <w:tcW w:w="5199" w:type="dxa"/>
            <w:noWrap w:val="0"/>
            <w:vAlign w:val="center"/>
          </w:tcPr>
          <w:p w14:paraId="087CDB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系统需支持用户进行隐私权协议内容查看与确认。</w:t>
            </w:r>
          </w:p>
        </w:tc>
      </w:tr>
      <w:tr w14:paraId="2EED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0C4D2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E5379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544A6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110B02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用户档案绑定</w:t>
            </w:r>
          </w:p>
        </w:tc>
        <w:tc>
          <w:tcPr>
            <w:tcW w:w="5199" w:type="dxa"/>
            <w:noWrap w:val="0"/>
            <w:vAlign w:val="center"/>
          </w:tcPr>
          <w:p w14:paraId="401F7A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系统需支持通过用户的手机号、身份证号信息查询患者的健康档案。</w:t>
            </w:r>
          </w:p>
        </w:tc>
      </w:tr>
      <w:tr w14:paraId="46DA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5C9EA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7BF1FCE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个性化管理任务</w:t>
            </w:r>
          </w:p>
        </w:tc>
        <w:tc>
          <w:tcPr>
            <w:tcW w:w="1444" w:type="dxa"/>
            <w:vMerge w:val="restart"/>
            <w:noWrap w:val="0"/>
            <w:vAlign w:val="center"/>
          </w:tcPr>
          <w:p w14:paraId="6BEF12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个性化管理任务是面向慢病居民汇总其可享受服务内容的功能体系，可为患者提供签到、数据上传、打卡提醒</w:t>
            </w:r>
            <w:r>
              <w:rPr>
                <w:rFonts w:hint="eastAsia" w:ascii="宋体" w:hAnsi="宋体" w:cs="宋体"/>
                <w:sz w:val="24"/>
                <w:szCs w:val="24"/>
                <w:lang w:eastAsia="zh-CN"/>
              </w:rPr>
              <w:t>，</w:t>
            </w:r>
            <w:r>
              <w:rPr>
                <w:rFonts w:hint="eastAsia" w:ascii="宋体" w:hAnsi="宋体" w:eastAsia="宋体" w:cs="宋体"/>
                <w:sz w:val="24"/>
                <w:szCs w:val="24"/>
              </w:rPr>
              <w:t>各项服务管理任务，提升慢病管理依从性。</w:t>
            </w:r>
          </w:p>
        </w:tc>
        <w:tc>
          <w:tcPr>
            <w:tcW w:w="1228" w:type="dxa"/>
            <w:noWrap w:val="0"/>
            <w:vAlign w:val="center"/>
          </w:tcPr>
          <w:p w14:paraId="3E24E4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1.每日签到</w:t>
            </w:r>
          </w:p>
        </w:tc>
        <w:tc>
          <w:tcPr>
            <w:tcW w:w="5199" w:type="dxa"/>
            <w:noWrap w:val="0"/>
            <w:vAlign w:val="center"/>
          </w:tcPr>
          <w:p w14:paraId="778D91B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系统需支持用户进行每日签到，获取积分值。连续签到可获取更多积分值。</w:t>
            </w:r>
          </w:p>
        </w:tc>
      </w:tr>
      <w:tr w14:paraId="60406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9941C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0084FE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029D8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16616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2.慢病筛查任务</w:t>
            </w:r>
          </w:p>
        </w:tc>
        <w:tc>
          <w:tcPr>
            <w:tcW w:w="5199" w:type="dxa"/>
            <w:noWrap w:val="0"/>
            <w:vAlign w:val="center"/>
          </w:tcPr>
          <w:p w14:paraId="05F9A36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系统需支持用户进行筛查量表的自助填写，通过查询该居民在院内系统的筛查待办任务，由居民自助填写筛查问卷并将问卷同步到院内系统中。</w:t>
            </w:r>
          </w:p>
        </w:tc>
      </w:tr>
      <w:tr w14:paraId="5F58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25370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35C18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8282F2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5DEC0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3.测量血压任务</w:t>
            </w:r>
          </w:p>
        </w:tc>
        <w:tc>
          <w:tcPr>
            <w:tcW w:w="5199" w:type="dxa"/>
            <w:noWrap w:val="0"/>
            <w:vAlign w:val="center"/>
          </w:tcPr>
          <w:p w14:paraId="02FFFDC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系统需支持对患者档案中患有高血压的居民推送血压测量任务。</w:t>
            </w:r>
          </w:p>
        </w:tc>
      </w:tr>
      <w:tr w14:paraId="15EA8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787478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CF3432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5400F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F7AE2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4.测量血糖任务</w:t>
            </w:r>
          </w:p>
        </w:tc>
        <w:tc>
          <w:tcPr>
            <w:tcW w:w="5199" w:type="dxa"/>
            <w:noWrap w:val="0"/>
            <w:vAlign w:val="center"/>
          </w:tcPr>
          <w:p w14:paraId="16996C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系统需支持对患者档案中患有糖尿病的居民推送血糖测量任务。</w:t>
            </w:r>
          </w:p>
        </w:tc>
      </w:tr>
      <w:tr w14:paraId="2EBA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7D17A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913AAE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B8FC1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6EF6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5.服药打卡任务</w:t>
            </w:r>
          </w:p>
        </w:tc>
        <w:tc>
          <w:tcPr>
            <w:tcW w:w="5199" w:type="dxa"/>
            <w:noWrap w:val="0"/>
            <w:vAlign w:val="center"/>
          </w:tcPr>
          <w:p w14:paraId="770CF81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系统需支持用户每日按时服药提醒，服药完成后用户可在患者端进行用药打卡并获取积分奖励。</w:t>
            </w:r>
          </w:p>
        </w:tc>
      </w:tr>
      <w:tr w14:paraId="7D03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7DC61D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58A9BE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9B560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EE09D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6.饮食打卡</w:t>
            </w:r>
          </w:p>
        </w:tc>
        <w:tc>
          <w:tcPr>
            <w:tcW w:w="5199" w:type="dxa"/>
            <w:noWrap w:val="0"/>
            <w:vAlign w:val="center"/>
          </w:tcPr>
          <w:p w14:paraId="6D5F8EA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系统需支持用户在小程序内进行每日饮食打卡，支持查看历史打卡记录</w:t>
            </w:r>
          </w:p>
        </w:tc>
      </w:tr>
      <w:tr w14:paraId="5E950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43535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CBF4D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F0ED5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B37D15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7.运动打卡</w:t>
            </w:r>
          </w:p>
        </w:tc>
        <w:tc>
          <w:tcPr>
            <w:tcW w:w="5199" w:type="dxa"/>
            <w:noWrap w:val="0"/>
            <w:vAlign w:val="center"/>
          </w:tcPr>
          <w:p w14:paraId="6AF39D1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系统需支持用户在小程序内进行每日运动打卡，支持获取微信运动步数、查看历史打卡记录</w:t>
            </w:r>
          </w:p>
        </w:tc>
      </w:tr>
      <w:tr w14:paraId="06EC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A6989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C0E3B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3D54B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3B65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8.用药信息上传</w:t>
            </w:r>
          </w:p>
        </w:tc>
        <w:tc>
          <w:tcPr>
            <w:tcW w:w="5199" w:type="dxa"/>
            <w:noWrap w:val="0"/>
            <w:vAlign w:val="center"/>
          </w:tcPr>
          <w:p w14:paraId="15481A5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系统需支持用户上传用药信息或从系统内同步用户用药信息，支持通过识别用户药盒图片识别进行药品登记。</w:t>
            </w:r>
          </w:p>
        </w:tc>
      </w:tr>
      <w:tr w14:paraId="77D80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BFC93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B4E9E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620F9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AE440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9.饮食方案调阅</w:t>
            </w:r>
          </w:p>
        </w:tc>
        <w:tc>
          <w:tcPr>
            <w:tcW w:w="5199" w:type="dxa"/>
            <w:noWrap w:val="0"/>
            <w:vAlign w:val="center"/>
          </w:tcPr>
          <w:p w14:paraId="49C3F98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系统需支持患者调阅基层医生为其设定的最近一次饮食方案内容。</w:t>
            </w:r>
          </w:p>
        </w:tc>
      </w:tr>
      <w:tr w14:paraId="4C2A1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A09BF8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A4A6C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B178E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9AFCA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10.运动方案调阅</w:t>
            </w:r>
          </w:p>
        </w:tc>
        <w:tc>
          <w:tcPr>
            <w:tcW w:w="5199" w:type="dxa"/>
            <w:noWrap w:val="0"/>
            <w:vAlign w:val="center"/>
          </w:tcPr>
          <w:p w14:paraId="713E083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系统需支持患者调阅基层医生为其设定的最近一次运动方案内容。</w:t>
            </w:r>
          </w:p>
        </w:tc>
      </w:tr>
      <w:tr w14:paraId="6CBE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0124F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286B7C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0D746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AEF7A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11.知识阅读任务</w:t>
            </w:r>
          </w:p>
        </w:tc>
        <w:tc>
          <w:tcPr>
            <w:tcW w:w="5199" w:type="dxa"/>
            <w:noWrap w:val="0"/>
            <w:vAlign w:val="center"/>
          </w:tcPr>
          <w:p w14:paraId="039D60D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系统需支持用户在系统内阅读健康资讯进行信息记录，完成一定时限的健康资讯资源阅读后，自动完成打卡并获取积分奖励。</w:t>
            </w:r>
          </w:p>
        </w:tc>
      </w:tr>
      <w:tr w14:paraId="3CD0E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5C1A8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67704F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血压血糖测量</w:t>
            </w:r>
          </w:p>
        </w:tc>
        <w:tc>
          <w:tcPr>
            <w:tcW w:w="1444" w:type="dxa"/>
            <w:vMerge w:val="restart"/>
            <w:noWrap w:val="0"/>
            <w:vAlign w:val="center"/>
          </w:tcPr>
          <w:p w14:paraId="14A7DE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血压血糖测量是对居民进行居家测量数据上传的功能模块，居民可将居民设备测量的数据填写进行上传，构成完成数据闭环。</w:t>
            </w:r>
          </w:p>
        </w:tc>
        <w:tc>
          <w:tcPr>
            <w:tcW w:w="1228" w:type="dxa"/>
            <w:noWrap w:val="0"/>
            <w:vAlign w:val="center"/>
          </w:tcPr>
          <w:p w14:paraId="01F1FF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控制目标调阅</w:t>
            </w:r>
          </w:p>
        </w:tc>
        <w:tc>
          <w:tcPr>
            <w:tcW w:w="5199" w:type="dxa"/>
            <w:noWrap w:val="0"/>
            <w:vAlign w:val="center"/>
          </w:tcPr>
          <w:p w14:paraId="5F8417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系统需支持用户调阅基层医生为其设定的控制目标方案内容。</w:t>
            </w:r>
          </w:p>
        </w:tc>
      </w:tr>
      <w:tr w14:paraId="1EEB1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2BDC3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B5AE6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02A16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8BB6D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血压上传</w:t>
            </w:r>
          </w:p>
        </w:tc>
        <w:tc>
          <w:tcPr>
            <w:tcW w:w="5199" w:type="dxa"/>
            <w:noWrap w:val="0"/>
            <w:vAlign w:val="center"/>
          </w:tcPr>
          <w:p w14:paraId="3FE722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系统需支持用户记录自己的血压值内容，并同步到个人监测数据中。</w:t>
            </w:r>
          </w:p>
        </w:tc>
      </w:tr>
      <w:tr w14:paraId="5CBC8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1CE9C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43FD9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D01AE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8E2F3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血压数据解读</w:t>
            </w:r>
          </w:p>
        </w:tc>
        <w:tc>
          <w:tcPr>
            <w:tcW w:w="5199" w:type="dxa"/>
            <w:noWrap w:val="0"/>
            <w:vAlign w:val="center"/>
          </w:tcPr>
          <w:p w14:paraId="00896D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系统需支持对用户上传的血压值数据进行解读，包括偏低、正常、高值、高危的划分。</w:t>
            </w:r>
          </w:p>
        </w:tc>
      </w:tr>
      <w:tr w14:paraId="6AD9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2B9C8B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DFB736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7332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A0E78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血压测量趋势</w:t>
            </w:r>
          </w:p>
        </w:tc>
        <w:tc>
          <w:tcPr>
            <w:tcW w:w="5199" w:type="dxa"/>
            <w:noWrap w:val="0"/>
            <w:vAlign w:val="center"/>
          </w:tcPr>
          <w:p w14:paraId="33D23F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系统需支持展示用户一段时间的血压测量趋势，并对其测量次数、达标率进行统计。</w:t>
            </w:r>
          </w:p>
        </w:tc>
      </w:tr>
      <w:tr w14:paraId="500D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80F20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81D74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082CD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3762B3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血糖上传</w:t>
            </w:r>
          </w:p>
        </w:tc>
        <w:tc>
          <w:tcPr>
            <w:tcW w:w="5199" w:type="dxa"/>
            <w:noWrap w:val="0"/>
            <w:vAlign w:val="center"/>
          </w:tcPr>
          <w:p w14:paraId="1E9622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系统需支持用户记录自己的血糖值内容，并同步到个人监测数据中。</w:t>
            </w:r>
          </w:p>
        </w:tc>
      </w:tr>
      <w:tr w14:paraId="445FB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353C4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D0861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A38AF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E7878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血糖数据解读</w:t>
            </w:r>
          </w:p>
        </w:tc>
        <w:tc>
          <w:tcPr>
            <w:tcW w:w="5199" w:type="dxa"/>
            <w:noWrap w:val="0"/>
            <w:vAlign w:val="center"/>
          </w:tcPr>
          <w:p w14:paraId="70BB9D1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系统需支持对用户上传的血糖值数据进行解读，包括偏低、正常、偏高、危急的划分。</w:t>
            </w:r>
          </w:p>
        </w:tc>
      </w:tr>
      <w:tr w14:paraId="7ADF0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F7453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D92143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6D8CE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4522E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血糖测量趋势</w:t>
            </w:r>
          </w:p>
        </w:tc>
        <w:tc>
          <w:tcPr>
            <w:tcW w:w="5199" w:type="dxa"/>
            <w:noWrap w:val="0"/>
            <w:vAlign w:val="center"/>
          </w:tcPr>
          <w:p w14:paraId="01C5BC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系统需支持展示用户一段时间的血糖测量趋势，并对其测量次数、达标率进行统计。</w:t>
            </w:r>
          </w:p>
        </w:tc>
      </w:tr>
      <w:tr w14:paraId="7BBC7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200F48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03A930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健康知识</w:t>
            </w:r>
          </w:p>
        </w:tc>
        <w:tc>
          <w:tcPr>
            <w:tcW w:w="1444" w:type="dxa"/>
            <w:vMerge w:val="restart"/>
            <w:noWrap w:val="0"/>
            <w:vAlign w:val="center"/>
          </w:tcPr>
          <w:p w14:paraId="496372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健康知识是系统内展示慢病健康知识的功能体系，可展示各类慢病管理的视频、图文知识资讯，进行居民慢病知识的掌握，提升慢病管理效果。</w:t>
            </w:r>
          </w:p>
        </w:tc>
        <w:tc>
          <w:tcPr>
            <w:tcW w:w="1228" w:type="dxa"/>
            <w:noWrap w:val="0"/>
            <w:vAlign w:val="center"/>
          </w:tcPr>
          <w:p w14:paraId="08C2B7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1.图文资讯</w:t>
            </w:r>
          </w:p>
        </w:tc>
        <w:tc>
          <w:tcPr>
            <w:tcW w:w="5199" w:type="dxa"/>
            <w:noWrap w:val="0"/>
            <w:vAlign w:val="center"/>
          </w:tcPr>
          <w:p w14:paraId="2DBE6D2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系统需支持用户查看图文形式的资讯内容。</w:t>
            </w:r>
          </w:p>
        </w:tc>
      </w:tr>
      <w:tr w14:paraId="68978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D9B2F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2A222E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CC933E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1B3311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2.视频资讯</w:t>
            </w:r>
          </w:p>
        </w:tc>
        <w:tc>
          <w:tcPr>
            <w:tcW w:w="5199" w:type="dxa"/>
            <w:noWrap w:val="0"/>
            <w:vAlign w:val="center"/>
          </w:tcPr>
          <w:p w14:paraId="494CAC0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系统需支持用户查阅短视频、长视频多种时长的视频资讯内容。</w:t>
            </w:r>
          </w:p>
        </w:tc>
      </w:tr>
      <w:tr w14:paraId="5D6A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3E4C2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B7FF1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7C0CD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7FB57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3.在线直播</w:t>
            </w:r>
          </w:p>
        </w:tc>
        <w:tc>
          <w:tcPr>
            <w:tcW w:w="5199" w:type="dxa"/>
            <w:noWrap w:val="0"/>
            <w:vAlign w:val="center"/>
          </w:tcPr>
          <w:p w14:paraId="6EFBB50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系统需支持通过微信进行在线直播功能，用户进行直播视频的在线收看。</w:t>
            </w:r>
          </w:p>
        </w:tc>
      </w:tr>
      <w:tr w14:paraId="5A673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FCB053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2F5542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CD7549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3A731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4.直播回放</w:t>
            </w:r>
          </w:p>
        </w:tc>
        <w:tc>
          <w:tcPr>
            <w:tcW w:w="5199" w:type="dxa"/>
            <w:noWrap w:val="0"/>
            <w:vAlign w:val="center"/>
          </w:tcPr>
          <w:p w14:paraId="7C87125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系统需支持通过直播回放查看历史直播回放视频。</w:t>
            </w:r>
          </w:p>
        </w:tc>
      </w:tr>
      <w:tr w14:paraId="34E2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C9FC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71E8D7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7C756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68AF5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5.智能健康问答服务</w:t>
            </w:r>
          </w:p>
        </w:tc>
        <w:tc>
          <w:tcPr>
            <w:tcW w:w="5199" w:type="dxa"/>
            <w:noWrap w:val="0"/>
            <w:vAlign w:val="center"/>
          </w:tcPr>
          <w:p w14:paraId="6BFE268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系统需支持基于医疗大模型技术实现健康问答类应用功能（名称不限），支持居民线上健康咨询对话，包括症状自查、药物查询、报告解读、医院推荐、饮食建议。支持拍照上传药盒、体检报告、检验报告实现健康解读。</w:t>
            </w:r>
          </w:p>
          <w:p w14:paraId="7E848CD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所使用医疗大模型技术需支持医学海量知识问答：针对医学常识、疾病知识、用药知识、症状知识、疾病知识问答、报告解读等场景，提升医疗海量知识问答能力，应用场景的医疗海量知识问答解答率≥85% 。</w:t>
            </w:r>
          </w:p>
        </w:tc>
      </w:tr>
      <w:tr w14:paraId="2021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125A1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D8C06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ACCA1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B36502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6.饮食测评</w:t>
            </w:r>
          </w:p>
        </w:tc>
        <w:tc>
          <w:tcPr>
            <w:tcW w:w="5199" w:type="dxa"/>
            <w:noWrap w:val="0"/>
            <w:vAlign w:val="center"/>
          </w:tcPr>
          <w:p w14:paraId="54649A0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系统需支持通过填写饮食测评问卷进行个性化饮食推荐，提供包括主食类、油脂类、蛋白类的用量推荐。</w:t>
            </w:r>
          </w:p>
        </w:tc>
      </w:tr>
      <w:tr w14:paraId="3BDC5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D22C9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5E80B1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110C8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117A99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7.运动测评</w:t>
            </w:r>
          </w:p>
        </w:tc>
        <w:tc>
          <w:tcPr>
            <w:tcW w:w="5199" w:type="dxa"/>
            <w:noWrap w:val="0"/>
            <w:vAlign w:val="center"/>
          </w:tcPr>
          <w:p w14:paraId="11D127A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系统需支持通过填写饮食测评问卷进行个性化运动推荐，提供包括有氧运动、力量训练运动推荐。</w:t>
            </w:r>
          </w:p>
        </w:tc>
      </w:tr>
      <w:tr w14:paraId="1F504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13D31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68069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A1194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3BB3D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ICVD评估</w:t>
            </w:r>
          </w:p>
        </w:tc>
        <w:tc>
          <w:tcPr>
            <w:tcW w:w="5199" w:type="dxa"/>
            <w:noWrap w:val="0"/>
            <w:vAlign w:val="center"/>
          </w:tcPr>
          <w:p w14:paraId="67D870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系统需支持通过填写ICVD评估问卷，生成ICVD评测报告</w:t>
            </w:r>
            <w:r>
              <w:rPr>
                <w:rFonts w:hint="eastAsia" w:ascii="宋体" w:hAnsi="宋体" w:eastAsia="宋体" w:cs="宋体"/>
                <w:sz w:val="24"/>
                <w:szCs w:val="24"/>
                <w:lang w:eastAsia="zh-CN"/>
              </w:rPr>
              <w:t>并给予</w:t>
            </w:r>
            <w:r>
              <w:rPr>
                <w:rFonts w:hint="eastAsia" w:ascii="宋体" w:hAnsi="宋体" w:eastAsia="宋体" w:cs="宋体"/>
                <w:sz w:val="24"/>
                <w:szCs w:val="24"/>
              </w:rPr>
              <w:t>健康建议。</w:t>
            </w:r>
          </w:p>
        </w:tc>
      </w:tr>
      <w:tr w14:paraId="30A63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4972F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0CC3FD1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用户权益</w:t>
            </w:r>
          </w:p>
        </w:tc>
        <w:tc>
          <w:tcPr>
            <w:tcW w:w="1444" w:type="dxa"/>
            <w:vMerge w:val="restart"/>
            <w:noWrap w:val="0"/>
            <w:vAlign w:val="center"/>
          </w:tcPr>
          <w:p w14:paraId="6FB991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用户权益是对提升慢病居民参与管理积极性的功能体系，通过接受服务获取积分并进行物品兑换的方式，让居民在慢病患者过程中劳有所获，提升居民积极性。</w:t>
            </w:r>
          </w:p>
        </w:tc>
        <w:tc>
          <w:tcPr>
            <w:tcW w:w="1228" w:type="dxa"/>
            <w:noWrap w:val="0"/>
            <w:vAlign w:val="center"/>
          </w:tcPr>
          <w:p w14:paraId="417A63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用户积分</w:t>
            </w:r>
          </w:p>
        </w:tc>
        <w:tc>
          <w:tcPr>
            <w:tcW w:w="5199" w:type="dxa"/>
            <w:noWrap w:val="0"/>
            <w:vAlign w:val="center"/>
          </w:tcPr>
          <w:p w14:paraId="0C5E5F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系统需支持对用户使用</w:t>
            </w:r>
            <w:r>
              <w:rPr>
                <w:rFonts w:hint="eastAsia" w:ascii="宋体" w:hAnsi="宋体" w:cs="宋体"/>
                <w:sz w:val="24"/>
                <w:szCs w:val="24"/>
                <w:lang w:val="en-US" w:eastAsia="zh-CN"/>
              </w:rPr>
              <w:t>系统</w:t>
            </w:r>
            <w:r>
              <w:rPr>
                <w:rFonts w:hint="eastAsia" w:ascii="宋体" w:hAnsi="宋体" w:eastAsia="宋体" w:cs="宋体"/>
                <w:sz w:val="24"/>
                <w:szCs w:val="24"/>
              </w:rPr>
              <w:t>过程中的关键行为进行积分奖励，如签到积分、绑定个人信息积分、阅读积分。</w:t>
            </w:r>
          </w:p>
        </w:tc>
      </w:tr>
      <w:tr w14:paraId="156E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645D0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AB328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271F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7CC4E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积分商城</w:t>
            </w:r>
          </w:p>
        </w:tc>
        <w:tc>
          <w:tcPr>
            <w:tcW w:w="5199" w:type="dxa"/>
            <w:noWrap w:val="0"/>
            <w:vAlign w:val="center"/>
          </w:tcPr>
          <w:p w14:paraId="69072B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系统需支持用户通过使用积分在积分商城内进行产品兑换与购买。</w:t>
            </w:r>
          </w:p>
        </w:tc>
      </w:tr>
      <w:tr w14:paraId="5A62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9C9E4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4E7CC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BB0A1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F48600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基本信息</w:t>
            </w:r>
          </w:p>
        </w:tc>
        <w:tc>
          <w:tcPr>
            <w:tcW w:w="5199" w:type="dxa"/>
            <w:noWrap w:val="0"/>
            <w:vAlign w:val="center"/>
          </w:tcPr>
          <w:p w14:paraId="5C78CD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系统需支持用户个人中心对信息进行管理，包含修改展示信息、进行隐私协议查看、账号注销。</w:t>
            </w:r>
          </w:p>
        </w:tc>
      </w:tr>
      <w:tr w14:paraId="7EA5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A8F92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0109A5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4092D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D903C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订单管理</w:t>
            </w:r>
          </w:p>
        </w:tc>
        <w:tc>
          <w:tcPr>
            <w:tcW w:w="5199" w:type="dxa"/>
            <w:noWrap w:val="0"/>
            <w:vAlign w:val="center"/>
          </w:tcPr>
          <w:p w14:paraId="4D570D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系统需支持用户查看个人在积分商城中兑换或购买的订单执行情况，包括待支付、待发货、待收货。</w:t>
            </w:r>
          </w:p>
        </w:tc>
      </w:tr>
      <w:tr w14:paraId="1B220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67007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431F33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BD5D4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ADA5B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设备管理</w:t>
            </w:r>
          </w:p>
        </w:tc>
        <w:tc>
          <w:tcPr>
            <w:tcW w:w="5199" w:type="dxa"/>
            <w:noWrap w:val="0"/>
            <w:vAlign w:val="center"/>
          </w:tcPr>
          <w:p w14:paraId="5A1602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系统需支持用户通过扫码或填写SN码形式，绑定智能硬件设备信息，完成绑定后可实现硬件设备数据的自动获取。</w:t>
            </w:r>
          </w:p>
        </w:tc>
      </w:tr>
      <w:tr w14:paraId="12C2F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E1FAB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74C936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A00AF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058EC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联系客服</w:t>
            </w:r>
          </w:p>
        </w:tc>
        <w:tc>
          <w:tcPr>
            <w:tcW w:w="5199" w:type="dxa"/>
            <w:noWrap w:val="0"/>
            <w:vAlign w:val="center"/>
          </w:tcPr>
          <w:p w14:paraId="5C4E520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系统需支持用户联系客服反馈应用过程中的建议</w:t>
            </w:r>
            <w:r>
              <w:rPr>
                <w:rFonts w:hint="eastAsia" w:ascii="宋体" w:hAnsi="宋体" w:eastAsia="宋体" w:cs="宋体"/>
                <w:sz w:val="24"/>
                <w:szCs w:val="24"/>
                <w:lang w:val="en-US" w:eastAsia="zh-CN"/>
              </w:rPr>
              <w:t>和</w:t>
            </w:r>
            <w:r>
              <w:rPr>
                <w:rFonts w:hint="eastAsia" w:ascii="宋体" w:hAnsi="宋体" w:eastAsia="宋体" w:cs="宋体"/>
                <w:sz w:val="24"/>
                <w:szCs w:val="24"/>
              </w:rPr>
              <w:t>问题，提交到后台由</w:t>
            </w:r>
            <w:r>
              <w:rPr>
                <w:rFonts w:hint="eastAsia" w:ascii="宋体" w:hAnsi="宋体" w:eastAsia="宋体" w:cs="宋体"/>
                <w:sz w:val="24"/>
                <w:szCs w:val="24"/>
                <w:lang w:val="en-US" w:eastAsia="zh-CN"/>
              </w:rPr>
              <w:t>客服</w:t>
            </w:r>
            <w:r>
              <w:rPr>
                <w:rFonts w:hint="eastAsia" w:ascii="宋体" w:hAnsi="宋体" w:eastAsia="宋体" w:cs="宋体"/>
                <w:sz w:val="24"/>
                <w:szCs w:val="24"/>
              </w:rPr>
              <w:t>人员进行跟进解决。</w:t>
            </w:r>
          </w:p>
        </w:tc>
      </w:tr>
      <w:tr w14:paraId="2B6B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12180E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263F3A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09534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AD277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疾病筛查</w:t>
            </w:r>
          </w:p>
        </w:tc>
        <w:tc>
          <w:tcPr>
            <w:tcW w:w="5199" w:type="dxa"/>
            <w:noWrap w:val="0"/>
            <w:vAlign w:val="center"/>
          </w:tcPr>
          <w:p w14:paraId="1CE0D4F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系统需支持用户自助填写高血压、糖尿病的疾病筛查表，完成筛查后</w:t>
            </w:r>
            <w:r>
              <w:rPr>
                <w:rFonts w:hint="eastAsia" w:ascii="宋体" w:hAnsi="宋体" w:eastAsia="宋体" w:cs="宋体"/>
                <w:sz w:val="24"/>
                <w:szCs w:val="24"/>
                <w:lang w:eastAsia="zh-CN"/>
              </w:rPr>
              <w:t>给予</w:t>
            </w:r>
            <w:r>
              <w:rPr>
                <w:rFonts w:hint="eastAsia" w:ascii="宋体" w:hAnsi="宋体" w:eastAsia="宋体" w:cs="宋体"/>
                <w:sz w:val="24"/>
                <w:szCs w:val="24"/>
              </w:rPr>
              <w:t>结果说明，包括结果分类、风险分析、健康建议。</w:t>
            </w:r>
          </w:p>
        </w:tc>
      </w:tr>
      <w:tr w14:paraId="7C826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E23C45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restart"/>
            <w:noWrap w:val="0"/>
            <w:vAlign w:val="center"/>
          </w:tcPr>
          <w:p w14:paraId="213839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亲友管理</w:t>
            </w:r>
          </w:p>
        </w:tc>
        <w:tc>
          <w:tcPr>
            <w:tcW w:w="1444" w:type="dxa"/>
            <w:vMerge w:val="restart"/>
            <w:noWrap w:val="0"/>
            <w:vAlign w:val="center"/>
          </w:tcPr>
          <w:p w14:paraId="078443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亲友管理是对亲友进行关注和亲友管理信息调阅的功能模块，便于实现家庭共管体系。</w:t>
            </w:r>
          </w:p>
        </w:tc>
        <w:tc>
          <w:tcPr>
            <w:tcW w:w="1228" w:type="dxa"/>
            <w:noWrap w:val="0"/>
            <w:vAlign w:val="center"/>
          </w:tcPr>
          <w:p w14:paraId="41B6C5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邀请亲友关注</w:t>
            </w:r>
          </w:p>
        </w:tc>
        <w:tc>
          <w:tcPr>
            <w:tcW w:w="5199" w:type="dxa"/>
            <w:noWrap w:val="0"/>
            <w:vAlign w:val="center"/>
          </w:tcPr>
          <w:p w14:paraId="38B4D4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系统需支持通过扫码、分享方式邀请亲友关注。</w:t>
            </w:r>
          </w:p>
        </w:tc>
      </w:tr>
      <w:tr w14:paraId="605D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BC402E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1A0F28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6D126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9C4928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关注亲友</w:t>
            </w:r>
          </w:p>
        </w:tc>
        <w:tc>
          <w:tcPr>
            <w:tcW w:w="5199" w:type="dxa"/>
            <w:noWrap w:val="0"/>
            <w:vAlign w:val="center"/>
          </w:tcPr>
          <w:p w14:paraId="48E51B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系统需支持通过输入亲友姓名、手机号码信息完成对亲友的关注。</w:t>
            </w:r>
          </w:p>
        </w:tc>
      </w:tr>
      <w:tr w14:paraId="77608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7BD77C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39B048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2FB10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8C636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已关注亲友信息</w:t>
            </w:r>
          </w:p>
        </w:tc>
        <w:tc>
          <w:tcPr>
            <w:tcW w:w="5199" w:type="dxa"/>
            <w:noWrap w:val="0"/>
            <w:vAlign w:val="center"/>
          </w:tcPr>
          <w:p w14:paraId="244718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系统需支持展示已关注的亲友人员列表。</w:t>
            </w:r>
          </w:p>
        </w:tc>
      </w:tr>
      <w:tr w14:paraId="7391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6BBD6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vMerge w:val="continue"/>
            <w:noWrap w:val="0"/>
            <w:vAlign w:val="center"/>
          </w:tcPr>
          <w:p w14:paraId="6C6EA43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D9F3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668D0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亲友信息详情</w:t>
            </w:r>
          </w:p>
        </w:tc>
        <w:tc>
          <w:tcPr>
            <w:tcW w:w="5199" w:type="dxa"/>
            <w:noWrap w:val="0"/>
            <w:vAlign w:val="center"/>
          </w:tcPr>
          <w:p w14:paraId="6DC2BA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系统需支持展示亲友详情信息，包括最新血压、最新血糖、绑定的健康设备。</w:t>
            </w:r>
          </w:p>
        </w:tc>
      </w:tr>
      <w:tr w14:paraId="04108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EADE7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710" w:type="dxa"/>
            <w:noWrap w:val="0"/>
            <w:vAlign w:val="center"/>
          </w:tcPr>
          <w:p w14:paraId="1D1754D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消息提醒</w:t>
            </w:r>
          </w:p>
        </w:tc>
        <w:tc>
          <w:tcPr>
            <w:tcW w:w="1444" w:type="dxa"/>
            <w:noWrap w:val="0"/>
            <w:vAlign w:val="center"/>
          </w:tcPr>
          <w:p w14:paraId="43795D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消息提醒</w:t>
            </w:r>
            <w:r>
              <w:rPr>
                <w:rFonts w:hint="eastAsia" w:ascii="宋体" w:hAnsi="宋体" w:eastAsia="宋体" w:cs="宋体"/>
                <w:sz w:val="24"/>
                <w:szCs w:val="24"/>
                <w:lang w:eastAsia="zh-CN"/>
              </w:rPr>
              <w:t>是</w:t>
            </w:r>
            <w:r>
              <w:rPr>
                <w:rFonts w:hint="eastAsia" w:ascii="宋体" w:hAnsi="宋体" w:eastAsia="宋体" w:cs="宋体"/>
                <w:sz w:val="24"/>
                <w:szCs w:val="24"/>
              </w:rPr>
              <w:t>通过微信现有渠道对居民进行各项消息内容提醒的功能模块。</w:t>
            </w:r>
          </w:p>
        </w:tc>
        <w:tc>
          <w:tcPr>
            <w:tcW w:w="1228" w:type="dxa"/>
            <w:noWrap w:val="0"/>
            <w:vAlign w:val="center"/>
          </w:tcPr>
          <w:p w14:paraId="762995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消息提醒</w:t>
            </w:r>
          </w:p>
        </w:tc>
        <w:tc>
          <w:tcPr>
            <w:tcW w:w="5199" w:type="dxa"/>
            <w:noWrap w:val="0"/>
            <w:vAlign w:val="center"/>
          </w:tcPr>
          <w:p w14:paraId="23BC55E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系统需支持使用微信公众号或小程序消息对患者进行各项管理任务、活动的消息提醒。</w:t>
            </w:r>
          </w:p>
        </w:tc>
      </w:tr>
      <w:tr w14:paraId="4ABE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restart"/>
            <w:noWrap w:val="0"/>
            <w:vAlign w:val="center"/>
          </w:tcPr>
          <w:p w14:paraId="549990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后台管理子系统</w:t>
            </w:r>
          </w:p>
        </w:tc>
        <w:tc>
          <w:tcPr>
            <w:tcW w:w="710" w:type="dxa"/>
            <w:vMerge w:val="restart"/>
            <w:noWrap w:val="0"/>
            <w:vAlign w:val="center"/>
          </w:tcPr>
          <w:p w14:paraId="499375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资讯管理</w:t>
            </w:r>
          </w:p>
        </w:tc>
        <w:tc>
          <w:tcPr>
            <w:tcW w:w="1444" w:type="dxa"/>
            <w:vMerge w:val="restart"/>
            <w:noWrap w:val="0"/>
            <w:vAlign w:val="center"/>
          </w:tcPr>
          <w:p w14:paraId="6443CC1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资讯管理是对系统居民端资讯信息进行管理的功能模块，支持对资讯信息的发布、管理、下线。</w:t>
            </w:r>
          </w:p>
        </w:tc>
        <w:tc>
          <w:tcPr>
            <w:tcW w:w="1228" w:type="dxa"/>
            <w:noWrap w:val="0"/>
            <w:vAlign w:val="center"/>
          </w:tcPr>
          <w:p w14:paraId="026AD8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2.新增资讯</w:t>
            </w:r>
          </w:p>
        </w:tc>
        <w:tc>
          <w:tcPr>
            <w:tcW w:w="5199" w:type="dxa"/>
            <w:noWrap w:val="0"/>
            <w:vAlign w:val="center"/>
          </w:tcPr>
          <w:p w14:paraId="604E94C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系统需支持对居民端资讯内容内容进行新增发布，可添加资讯类型、标题、摘要、封面、正文内容。</w:t>
            </w:r>
          </w:p>
        </w:tc>
      </w:tr>
      <w:tr w14:paraId="45CCD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9C134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6762B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EC507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7EFD57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3.资讯详情管理</w:t>
            </w:r>
          </w:p>
        </w:tc>
        <w:tc>
          <w:tcPr>
            <w:tcW w:w="5199" w:type="dxa"/>
            <w:noWrap w:val="0"/>
            <w:vAlign w:val="center"/>
          </w:tcPr>
          <w:p w14:paraId="1A56235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系统需支持对上线的资讯详情内容进行管理，包括图文、视频资源的发布情况，下线情况。</w:t>
            </w:r>
          </w:p>
        </w:tc>
      </w:tr>
      <w:tr w14:paraId="52D7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ABC526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561597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7CC26E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AF615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4.直播视频下载获取</w:t>
            </w:r>
          </w:p>
        </w:tc>
        <w:tc>
          <w:tcPr>
            <w:tcW w:w="5199" w:type="dxa"/>
            <w:noWrap w:val="0"/>
            <w:vAlign w:val="center"/>
          </w:tcPr>
          <w:p w14:paraId="3787CD3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系统需支持对微信小程序健康直播视频进行地址获取同步，实现健康直播视频下载。</w:t>
            </w:r>
          </w:p>
        </w:tc>
      </w:tr>
      <w:tr w14:paraId="6FE4D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358C8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497B19F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广告位管理</w:t>
            </w:r>
          </w:p>
        </w:tc>
        <w:tc>
          <w:tcPr>
            <w:tcW w:w="1444" w:type="dxa"/>
            <w:vMerge w:val="restart"/>
            <w:noWrap w:val="0"/>
            <w:vAlign w:val="center"/>
          </w:tcPr>
          <w:p w14:paraId="10C48E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广告位管理是对系统居民端广告位信息进行管理的功能模块，支持对广告位信息的发布、管理、下线。</w:t>
            </w:r>
          </w:p>
        </w:tc>
        <w:tc>
          <w:tcPr>
            <w:tcW w:w="1228" w:type="dxa"/>
            <w:noWrap w:val="0"/>
            <w:vAlign w:val="center"/>
          </w:tcPr>
          <w:p w14:paraId="1A913DD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1.新增广告</w:t>
            </w:r>
          </w:p>
        </w:tc>
        <w:tc>
          <w:tcPr>
            <w:tcW w:w="5199" w:type="dxa"/>
            <w:noWrap w:val="0"/>
            <w:vAlign w:val="center"/>
          </w:tcPr>
          <w:p w14:paraId="1979D9E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系统需支持对居民端广告内容进行新增发布，可添加广告的类型、标题、封面，支持资讯、商城、直播类广告展示。</w:t>
            </w:r>
          </w:p>
        </w:tc>
      </w:tr>
      <w:tr w14:paraId="6246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21319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68BF0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8CF01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F6570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2.广告位详情管理</w:t>
            </w:r>
          </w:p>
        </w:tc>
        <w:tc>
          <w:tcPr>
            <w:tcW w:w="5199" w:type="dxa"/>
            <w:noWrap w:val="0"/>
            <w:vAlign w:val="center"/>
          </w:tcPr>
          <w:p w14:paraId="0E1957F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系统需支持对上线的广告位详情内容进行管理，包括已发布和下线的广告内容。</w:t>
            </w:r>
          </w:p>
        </w:tc>
      </w:tr>
      <w:tr w14:paraId="04111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81531D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511239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商品管理</w:t>
            </w:r>
          </w:p>
        </w:tc>
        <w:tc>
          <w:tcPr>
            <w:tcW w:w="1444" w:type="dxa"/>
            <w:vMerge w:val="restart"/>
            <w:noWrap w:val="0"/>
            <w:vAlign w:val="center"/>
          </w:tcPr>
          <w:p w14:paraId="3C318E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商品管理是对系统居民端商品信息进行管理的功能模块，支持对商品信息的发布、管理、下架。</w:t>
            </w:r>
          </w:p>
        </w:tc>
        <w:tc>
          <w:tcPr>
            <w:tcW w:w="1228" w:type="dxa"/>
            <w:noWrap w:val="0"/>
            <w:vAlign w:val="center"/>
          </w:tcPr>
          <w:p w14:paraId="5F3960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1.新增商品</w:t>
            </w:r>
          </w:p>
        </w:tc>
        <w:tc>
          <w:tcPr>
            <w:tcW w:w="5199" w:type="dxa"/>
            <w:noWrap w:val="0"/>
            <w:vAlign w:val="center"/>
          </w:tcPr>
          <w:p w14:paraId="36EBE27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系统需支持对居民端商品内容进行新增发布，可添加商品的名称、价格、封面、发布区域内容。</w:t>
            </w:r>
          </w:p>
        </w:tc>
      </w:tr>
      <w:tr w14:paraId="4B10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5A25D2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3A7379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9E976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E913E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2.商品详情管理</w:t>
            </w:r>
          </w:p>
        </w:tc>
        <w:tc>
          <w:tcPr>
            <w:tcW w:w="5199" w:type="dxa"/>
            <w:noWrap w:val="0"/>
            <w:vAlign w:val="center"/>
          </w:tcPr>
          <w:p w14:paraId="3519505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系统需支持对上线的商品详情内容进行管理，包括售卖中和已售罄的商品内容。</w:t>
            </w:r>
          </w:p>
        </w:tc>
      </w:tr>
      <w:tr w14:paraId="56C45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175A6A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1B560A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问卷配置</w:t>
            </w:r>
          </w:p>
        </w:tc>
        <w:tc>
          <w:tcPr>
            <w:tcW w:w="1444" w:type="dxa"/>
            <w:vMerge w:val="restart"/>
            <w:noWrap w:val="0"/>
            <w:vAlign w:val="center"/>
          </w:tcPr>
          <w:p w14:paraId="59E3189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问卷配置是对系统居民端问卷配置信息进行管理的功能模块，支持对问卷信息的编辑、上线、删除。</w:t>
            </w:r>
          </w:p>
        </w:tc>
        <w:tc>
          <w:tcPr>
            <w:tcW w:w="1228" w:type="dxa"/>
            <w:noWrap w:val="0"/>
            <w:vAlign w:val="center"/>
          </w:tcPr>
          <w:p w14:paraId="0BD5D2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1.新增问卷配置</w:t>
            </w:r>
          </w:p>
        </w:tc>
        <w:tc>
          <w:tcPr>
            <w:tcW w:w="5199" w:type="dxa"/>
            <w:noWrap w:val="0"/>
            <w:vAlign w:val="center"/>
          </w:tcPr>
          <w:p w14:paraId="4FAF59A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系统需支持对问卷进行新增发布，可添加小程序AppID、问卷链接内容。</w:t>
            </w:r>
          </w:p>
        </w:tc>
      </w:tr>
      <w:tr w14:paraId="0A2E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642D0A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FA494C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72CB1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99B88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2.问卷配置详情管理</w:t>
            </w:r>
          </w:p>
        </w:tc>
        <w:tc>
          <w:tcPr>
            <w:tcW w:w="5199" w:type="dxa"/>
            <w:noWrap w:val="0"/>
            <w:vAlign w:val="center"/>
          </w:tcPr>
          <w:p w14:paraId="7BAC909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系统需支持对问卷配置详情内容进行管理，包括已下线和在线的内容。</w:t>
            </w:r>
          </w:p>
        </w:tc>
      </w:tr>
      <w:tr w14:paraId="7728B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EA06B6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noWrap w:val="0"/>
            <w:vAlign w:val="center"/>
          </w:tcPr>
          <w:p w14:paraId="16C19D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直播回放</w:t>
            </w:r>
          </w:p>
        </w:tc>
        <w:tc>
          <w:tcPr>
            <w:tcW w:w="1444" w:type="dxa"/>
            <w:noWrap w:val="0"/>
            <w:vAlign w:val="center"/>
          </w:tcPr>
          <w:p w14:paraId="59B93C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直播回放是对系统居民端直播信息进行管理的功能模块，支持对直播信息的查看。</w:t>
            </w:r>
          </w:p>
        </w:tc>
        <w:tc>
          <w:tcPr>
            <w:tcW w:w="1228" w:type="dxa"/>
            <w:noWrap w:val="0"/>
            <w:vAlign w:val="center"/>
          </w:tcPr>
          <w:p w14:paraId="1CE5DE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1.直播回放详情管理</w:t>
            </w:r>
          </w:p>
        </w:tc>
        <w:tc>
          <w:tcPr>
            <w:tcW w:w="5199" w:type="dxa"/>
            <w:noWrap w:val="0"/>
            <w:vAlign w:val="center"/>
          </w:tcPr>
          <w:p w14:paraId="18F85BA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系统需支持展示直播详情，包括直播标题、时间，点击可查看链接或推送直播。</w:t>
            </w:r>
          </w:p>
        </w:tc>
      </w:tr>
      <w:tr w14:paraId="0E29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D324FA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noWrap w:val="0"/>
            <w:vAlign w:val="center"/>
          </w:tcPr>
          <w:p w14:paraId="3F505D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订单管理</w:t>
            </w:r>
          </w:p>
        </w:tc>
        <w:tc>
          <w:tcPr>
            <w:tcW w:w="1444" w:type="dxa"/>
            <w:noWrap w:val="0"/>
            <w:vAlign w:val="center"/>
          </w:tcPr>
          <w:p w14:paraId="22B872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订单管理是对系统居民端订单信息进行管理的功能模块，支持对订单信息的查看、发货。</w:t>
            </w:r>
          </w:p>
        </w:tc>
        <w:tc>
          <w:tcPr>
            <w:tcW w:w="1228" w:type="dxa"/>
            <w:noWrap w:val="0"/>
            <w:vAlign w:val="center"/>
          </w:tcPr>
          <w:p w14:paraId="52D610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1.订单详情管理</w:t>
            </w:r>
          </w:p>
        </w:tc>
        <w:tc>
          <w:tcPr>
            <w:tcW w:w="5199" w:type="dxa"/>
            <w:noWrap w:val="0"/>
            <w:vAlign w:val="center"/>
          </w:tcPr>
          <w:p w14:paraId="42366EA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系统需支持对订单详情内容进行管理，包括待发货、待收货和已完成的订单内容。</w:t>
            </w:r>
          </w:p>
        </w:tc>
      </w:tr>
      <w:tr w14:paraId="6AB02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4384D8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1C2D754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系统设置</w:t>
            </w:r>
          </w:p>
        </w:tc>
        <w:tc>
          <w:tcPr>
            <w:tcW w:w="1444" w:type="dxa"/>
            <w:vMerge w:val="restart"/>
            <w:noWrap w:val="0"/>
            <w:vAlign w:val="center"/>
          </w:tcPr>
          <w:p w14:paraId="17AECF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系统设置是对系统居民端设置信息进行管理的功能模块，支持对字典库和小程序进行配置。</w:t>
            </w:r>
          </w:p>
        </w:tc>
        <w:tc>
          <w:tcPr>
            <w:tcW w:w="1228" w:type="dxa"/>
            <w:noWrap w:val="0"/>
            <w:vAlign w:val="center"/>
          </w:tcPr>
          <w:p w14:paraId="71FFD3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1.字典库管理</w:t>
            </w:r>
          </w:p>
        </w:tc>
        <w:tc>
          <w:tcPr>
            <w:tcW w:w="5199" w:type="dxa"/>
            <w:noWrap w:val="0"/>
            <w:vAlign w:val="center"/>
          </w:tcPr>
          <w:p w14:paraId="6EDDB1C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系统需支持对字典内容进行查看、修改和删除，同时支持对字典添加子字典和父级字典。</w:t>
            </w:r>
          </w:p>
        </w:tc>
      </w:tr>
      <w:tr w14:paraId="3B6B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9C1DF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9FBCEC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5BF5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25764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2.小程序配置管理</w:t>
            </w:r>
          </w:p>
        </w:tc>
        <w:tc>
          <w:tcPr>
            <w:tcW w:w="5199" w:type="dxa"/>
            <w:noWrap w:val="0"/>
            <w:vAlign w:val="center"/>
          </w:tcPr>
          <w:p w14:paraId="0C361E6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系统需支持对小程序配置详情内容进行管理，支持上传小程序附件、配置小程序表单。</w:t>
            </w:r>
          </w:p>
        </w:tc>
      </w:tr>
      <w:tr w14:paraId="268C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25ED0B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141B58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用户和机构管理</w:t>
            </w:r>
          </w:p>
        </w:tc>
        <w:tc>
          <w:tcPr>
            <w:tcW w:w="1444" w:type="dxa"/>
            <w:vMerge w:val="restart"/>
            <w:noWrap w:val="0"/>
            <w:vAlign w:val="center"/>
          </w:tcPr>
          <w:p w14:paraId="40CF25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用户和机构管理是对慢病管理系统中用户账号、角色、功能权限进行配置管理的模块</w:t>
            </w:r>
          </w:p>
        </w:tc>
        <w:tc>
          <w:tcPr>
            <w:tcW w:w="1228" w:type="dxa"/>
            <w:noWrap w:val="0"/>
            <w:vAlign w:val="center"/>
          </w:tcPr>
          <w:p w14:paraId="65F3D5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1.用户管理</w:t>
            </w:r>
          </w:p>
        </w:tc>
        <w:tc>
          <w:tcPr>
            <w:tcW w:w="5199" w:type="dxa"/>
            <w:noWrap w:val="0"/>
            <w:vAlign w:val="center"/>
          </w:tcPr>
          <w:p w14:paraId="21E5F50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系统需支持对系统内用户进行新增、搜索、编辑、重置密码、设置机构、角色授权。</w:t>
            </w:r>
          </w:p>
        </w:tc>
      </w:tr>
      <w:tr w14:paraId="3E6C8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822D7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0D2A25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9E3CC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747DD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2.机构管理</w:t>
            </w:r>
          </w:p>
        </w:tc>
        <w:tc>
          <w:tcPr>
            <w:tcW w:w="5199" w:type="dxa"/>
            <w:noWrap w:val="0"/>
            <w:vAlign w:val="center"/>
          </w:tcPr>
          <w:p w14:paraId="13A3824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系统需支持对系统内机构进行新增、导入、配置机构关系、行政区划。</w:t>
            </w:r>
          </w:p>
        </w:tc>
      </w:tr>
      <w:tr w14:paraId="3723C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3FEE7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27453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EE487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F53536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3.权限管理</w:t>
            </w:r>
          </w:p>
        </w:tc>
        <w:tc>
          <w:tcPr>
            <w:tcW w:w="5199" w:type="dxa"/>
            <w:noWrap w:val="0"/>
            <w:vAlign w:val="center"/>
          </w:tcPr>
          <w:p w14:paraId="0A36B83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系统需支持对系统内用户进行角色分配，可一次分配多个系统用户角色，可设定功能权限。</w:t>
            </w:r>
          </w:p>
        </w:tc>
      </w:tr>
      <w:tr w14:paraId="00765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A659AF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47101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AE5FB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A8862F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4.系统管理</w:t>
            </w:r>
          </w:p>
        </w:tc>
        <w:tc>
          <w:tcPr>
            <w:tcW w:w="5199" w:type="dxa"/>
            <w:noWrap w:val="0"/>
            <w:vAlign w:val="center"/>
          </w:tcPr>
          <w:p w14:paraId="03C73D5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系统需支持用户和机构的维度、属性字典进行配置管理，包括新增、编辑、删除相关内容。</w:t>
            </w:r>
          </w:p>
        </w:tc>
      </w:tr>
      <w:tr w14:paraId="5315C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0BF29F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9784D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173894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3DA14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5.字典管理</w:t>
            </w:r>
          </w:p>
        </w:tc>
        <w:tc>
          <w:tcPr>
            <w:tcW w:w="5199" w:type="dxa"/>
            <w:noWrap w:val="0"/>
            <w:vAlign w:val="center"/>
          </w:tcPr>
          <w:p w14:paraId="45151D0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系统需支持系统中数据字段进行配置管理，包括新增、编辑、删除相关字典内容。</w:t>
            </w:r>
          </w:p>
        </w:tc>
      </w:tr>
      <w:tr w14:paraId="7623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1300F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072EA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7C524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5ACB7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6.应用管理</w:t>
            </w:r>
          </w:p>
        </w:tc>
        <w:tc>
          <w:tcPr>
            <w:tcW w:w="5199" w:type="dxa"/>
            <w:noWrap w:val="0"/>
            <w:vAlign w:val="center"/>
          </w:tcPr>
          <w:p w14:paraId="61280D8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系统需支持对系统中各个子系统进行配置，包括新增、编辑相关子系统信息内容。</w:t>
            </w:r>
          </w:p>
        </w:tc>
      </w:tr>
      <w:tr w14:paraId="17E61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5B864D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02834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CA814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86DE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7.设备管理</w:t>
            </w:r>
          </w:p>
        </w:tc>
        <w:tc>
          <w:tcPr>
            <w:tcW w:w="5199" w:type="dxa"/>
            <w:noWrap w:val="0"/>
            <w:vAlign w:val="center"/>
          </w:tcPr>
          <w:p w14:paraId="23EFECA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系统需支持对对接过的硬件设备进行配置，包括上传设备图片、维护设备名称内容</w:t>
            </w:r>
          </w:p>
        </w:tc>
      </w:tr>
      <w:tr w14:paraId="136B3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87" w:type="dxa"/>
            <w:vMerge w:val="continue"/>
            <w:noWrap w:val="0"/>
            <w:vAlign w:val="center"/>
          </w:tcPr>
          <w:p w14:paraId="33B75F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174246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6A633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D91CC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8.日志管理</w:t>
            </w:r>
          </w:p>
        </w:tc>
        <w:tc>
          <w:tcPr>
            <w:tcW w:w="5199" w:type="dxa"/>
            <w:noWrap w:val="0"/>
            <w:vAlign w:val="center"/>
          </w:tcPr>
          <w:p w14:paraId="606A19B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系统需支持查看系统登录日志、授权日志及操作日志，根据选择时间查看到该时间段所有日志信息。</w:t>
            </w:r>
          </w:p>
        </w:tc>
      </w:tr>
    </w:tbl>
    <w:p w14:paraId="4E8035D2">
      <w:pPr>
        <w:spacing w:line="360" w:lineRule="auto"/>
        <w:rPr>
          <w:rFonts w:hint="eastAsia" w:ascii="宋体" w:hAnsi="宋体" w:eastAsia="宋体" w:cs="宋体"/>
          <w:b/>
          <w:sz w:val="24"/>
          <w:szCs w:val="24"/>
        </w:rPr>
      </w:pPr>
    </w:p>
    <w:p w14:paraId="40AB7082">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rPr>
        <w:t>2、</w:t>
      </w:r>
      <w:r>
        <w:rPr>
          <w:rFonts w:hint="eastAsia" w:ascii="宋体" w:hAnsi="宋体" w:eastAsia="宋体" w:cs="宋体"/>
          <w:b/>
          <w:sz w:val="24"/>
          <w:szCs w:val="24"/>
          <w:lang w:val="en-US" w:eastAsia="zh-CN"/>
        </w:rPr>
        <w:t>上级医院慢病管理系统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02"/>
        <w:gridCol w:w="1404"/>
        <w:gridCol w:w="1198"/>
        <w:gridCol w:w="4507"/>
      </w:tblGrid>
      <w:tr w14:paraId="6641E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noWrap w:val="0"/>
            <w:vAlign w:val="center"/>
          </w:tcPr>
          <w:p w14:paraId="18945945">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一级模块</w:t>
            </w:r>
          </w:p>
        </w:tc>
        <w:tc>
          <w:tcPr>
            <w:tcW w:w="738" w:type="dxa"/>
            <w:noWrap w:val="0"/>
            <w:vAlign w:val="center"/>
          </w:tcPr>
          <w:p w14:paraId="2F4BEBD1">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w:t>
            </w:r>
          </w:p>
        </w:tc>
        <w:tc>
          <w:tcPr>
            <w:tcW w:w="1508" w:type="dxa"/>
            <w:noWrap w:val="0"/>
            <w:vAlign w:val="center"/>
          </w:tcPr>
          <w:p w14:paraId="5A4D035A">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二级模块概述</w:t>
            </w:r>
          </w:p>
        </w:tc>
        <w:tc>
          <w:tcPr>
            <w:tcW w:w="1272" w:type="dxa"/>
            <w:noWrap w:val="0"/>
            <w:vAlign w:val="center"/>
          </w:tcPr>
          <w:p w14:paraId="53FC0B9C">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三级模块</w:t>
            </w:r>
          </w:p>
        </w:tc>
        <w:tc>
          <w:tcPr>
            <w:tcW w:w="5051" w:type="dxa"/>
            <w:noWrap w:val="0"/>
            <w:vAlign w:val="center"/>
          </w:tcPr>
          <w:p w14:paraId="6C868CC4">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功能参数</w:t>
            </w:r>
          </w:p>
        </w:tc>
      </w:tr>
      <w:tr w14:paraId="6CD81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restart"/>
            <w:noWrap w:val="0"/>
            <w:vAlign w:val="center"/>
          </w:tcPr>
          <w:p w14:paraId="12C704D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上级医院慢病管理系统 </w:t>
            </w:r>
          </w:p>
        </w:tc>
        <w:tc>
          <w:tcPr>
            <w:tcW w:w="738" w:type="dxa"/>
            <w:noWrap w:val="0"/>
            <w:vAlign w:val="center"/>
          </w:tcPr>
          <w:p w14:paraId="5A6CB67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专家管区配置</w:t>
            </w:r>
          </w:p>
        </w:tc>
        <w:tc>
          <w:tcPr>
            <w:tcW w:w="1508" w:type="dxa"/>
            <w:noWrap w:val="0"/>
            <w:vAlign w:val="center"/>
          </w:tcPr>
          <w:p w14:paraId="7D1C9C6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专家管区配置</w:t>
            </w:r>
            <w:r>
              <w:rPr>
                <w:rFonts w:hint="eastAsia" w:ascii="宋体" w:hAnsi="宋体" w:eastAsia="宋体" w:cs="宋体"/>
                <w:sz w:val="24"/>
                <w:szCs w:val="24"/>
              </w:rPr>
              <w:t>是上级用户对协同管理的下级各医疗机构数据进行定向筛选、查阅的功能模块。</w:t>
            </w:r>
          </w:p>
        </w:tc>
        <w:tc>
          <w:tcPr>
            <w:tcW w:w="1272" w:type="dxa"/>
            <w:noWrap w:val="0"/>
            <w:vAlign w:val="center"/>
          </w:tcPr>
          <w:p w14:paraId="77EA364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5051" w:type="dxa"/>
            <w:noWrap w:val="0"/>
            <w:vAlign w:val="center"/>
          </w:tcPr>
          <w:p w14:paraId="3C2B0F5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选择配置的协同管理下级单位，选择后可定向查阅某一下级机构的管理情况和居民信息。</w:t>
            </w:r>
          </w:p>
        </w:tc>
      </w:tr>
      <w:tr w14:paraId="3A97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38DE9644">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noWrap w:val="0"/>
            <w:vAlign w:val="center"/>
          </w:tcPr>
          <w:p w14:paraId="01F4B5D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系统首页</w:t>
            </w:r>
          </w:p>
        </w:tc>
        <w:tc>
          <w:tcPr>
            <w:tcW w:w="1508" w:type="dxa"/>
            <w:noWrap w:val="0"/>
            <w:vAlign w:val="center"/>
          </w:tcPr>
          <w:p w14:paraId="2E17E7A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rPr>
              <w:t>首页是对各下级医疗机构管理的人员信息数据、服务结果数据进行汇总查阅、管理的功能模块。</w:t>
            </w:r>
          </w:p>
        </w:tc>
        <w:tc>
          <w:tcPr>
            <w:tcW w:w="1272" w:type="dxa"/>
            <w:noWrap w:val="0"/>
            <w:vAlign w:val="center"/>
          </w:tcPr>
          <w:p w14:paraId="5FEF3B8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协同管理首页</w:t>
            </w:r>
          </w:p>
        </w:tc>
        <w:tc>
          <w:tcPr>
            <w:tcW w:w="5051" w:type="dxa"/>
            <w:noWrap w:val="0"/>
            <w:vAlign w:val="center"/>
          </w:tcPr>
          <w:p w14:paraId="0F4159B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通过首页展示下属各级机构居民管理信息，包括各病种人员管理信息、共患信息、居民分布信息。</w:t>
            </w:r>
          </w:p>
        </w:tc>
      </w:tr>
      <w:tr w14:paraId="6CEA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6808E31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restart"/>
            <w:noWrap w:val="0"/>
            <w:vAlign w:val="center"/>
          </w:tcPr>
          <w:p w14:paraId="6AC7EF2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待办事项</w:t>
            </w:r>
          </w:p>
        </w:tc>
        <w:tc>
          <w:tcPr>
            <w:tcW w:w="1508" w:type="dxa"/>
            <w:vMerge w:val="restart"/>
            <w:noWrap w:val="0"/>
            <w:vAlign w:val="center"/>
          </w:tcPr>
          <w:p w14:paraId="00AC983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rPr>
              <w:t>待办</w:t>
            </w:r>
            <w:r>
              <w:rPr>
                <w:rFonts w:hint="eastAsia" w:ascii="宋体" w:hAnsi="宋体" w:eastAsia="宋体" w:cs="宋体"/>
                <w:sz w:val="24"/>
                <w:szCs w:val="24"/>
                <w:lang w:val="en-US" w:eastAsia="zh-CN"/>
              </w:rPr>
              <w:t>事项</w:t>
            </w:r>
            <w:r>
              <w:rPr>
                <w:rFonts w:hint="eastAsia" w:ascii="宋体" w:hAnsi="宋体" w:eastAsia="宋体" w:cs="宋体"/>
                <w:sz w:val="24"/>
                <w:szCs w:val="24"/>
              </w:rPr>
              <w:t>是系统内容待做任务汇总展示的功能模块，帮助上级医生快速掌握和执行需要操作的内容，提升用户系统使用的效率。</w:t>
            </w:r>
          </w:p>
        </w:tc>
        <w:tc>
          <w:tcPr>
            <w:tcW w:w="1272" w:type="dxa"/>
            <w:noWrap w:val="0"/>
            <w:vAlign w:val="center"/>
          </w:tcPr>
          <w:p w14:paraId="336A669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1.协同管理待办</w:t>
            </w:r>
          </w:p>
        </w:tc>
        <w:tc>
          <w:tcPr>
            <w:tcW w:w="5051" w:type="dxa"/>
            <w:noWrap w:val="0"/>
            <w:vAlign w:val="center"/>
          </w:tcPr>
          <w:p w14:paraId="07F2998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以居民为维度，展示由基层医生提交需要协同管理的居民，对其添加答复干预建议</w:t>
            </w:r>
            <w:r>
              <w:rPr>
                <w:rFonts w:hint="eastAsia" w:ascii="宋体" w:hAnsi="宋体" w:eastAsia="宋体" w:cs="宋体"/>
                <w:sz w:val="24"/>
                <w:szCs w:val="24"/>
                <w:lang w:eastAsia="zh-CN"/>
              </w:rPr>
              <w:t>。</w:t>
            </w:r>
          </w:p>
        </w:tc>
      </w:tr>
      <w:tr w14:paraId="168A2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20588004">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56A6154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65DD164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1B86E3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双向转诊待办</w:t>
            </w:r>
          </w:p>
        </w:tc>
        <w:tc>
          <w:tcPr>
            <w:tcW w:w="5051" w:type="dxa"/>
            <w:noWrap w:val="0"/>
            <w:vAlign w:val="center"/>
          </w:tcPr>
          <w:p w14:paraId="66C1BF2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以居民为维度，展示由基层医生提交需要双向转诊的居民，对其添加转诊处理建议。</w:t>
            </w:r>
          </w:p>
        </w:tc>
      </w:tr>
      <w:tr w14:paraId="69CCF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43E41D71">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93F054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3AABAD8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5B22B01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血压测量管理</w:t>
            </w:r>
          </w:p>
        </w:tc>
        <w:tc>
          <w:tcPr>
            <w:tcW w:w="5051" w:type="dxa"/>
            <w:noWrap w:val="0"/>
            <w:vAlign w:val="center"/>
          </w:tcPr>
          <w:p w14:paraId="69625E5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按连续高危、连续不达标、高危随访异常、超时间未测量逻辑，汇总下辖机构的血压计测量数据结果。</w:t>
            </w:r>
          </w:p>
        </w:tc>
      </w:tr>
      <w:tr w14:paraId="1E851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3045D3C1">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1A1D68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689CE44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4E750B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4.血糖</w:t>
            </w:r>
            <w:r>
              <w:rPr>
                <w:rFonts w:hint="eastAsia" w:ascii="宋体" w:hAnsi="宋体" w:eastAsia="宋体" w:cs="宋体"/>
                <w:sz w:val="24"/>
                <w:szCs w:val="24"/>
              </w:rPr>
              <w:t>测量管理</w:t>
            </w:r>
          </w:p>
        </w:tc>
        <w:tc>
          <w:tcPr>
            <w:tcW w:w="5051" w:type="dxa"/>
            <w:noWrap w:val="0"/>
            <w:vAlign w:val="center"/>
          </w:tcPr>
          <w:p w14:paraId="615BC0E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系统支持</w:t>
            </w:r>
            <w:r>
              <w:rPr>
                <w:rFonts w:hint="eastAsia" w:ascii="宋体" w:hAnsi="宋体" w:eastAsia="宋体" w:cs="宋体"/>
                <w:sz w:val="24"/>
                <w:szCs w:val="24"/>
              </w:rPr>
              <w:t>按危急、连续不达标、高危随访异常、超时间未测量逻辑，汇总下辖机构的血糖仪测量数据结果</w:t>
            </w:r>
            <w:r>
              <w:rPr>
                <w:rFonts w:hint="eastAsia" w:ascii="宋体" w:hAnsi="宋体" w:eastAsia="宋体" w:cs="宋体"/>
                <w:sz w:val="24"/>
                <w:szCs w:val="24"/>
                <w:lang w:eastAsia="zh-CN"/>
              </w:rPr>
              <w:t>。</w:t>
            </w:r>
          </w:p>
        </w:tc>
      </w:tr>
      <w:tr w14:paraId="79E7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62650B49">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1AE138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26C1DE3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3FD1E9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5.疾病筛查待办</w:t>
            </w:r>
          </w:p>
        </w:tc>
        <w:tc>
          <w:tcPr>
            <w:tcW w:w="5051" w:type="dxa"/>
            <w:noWrap w:val="0"/>
            <w:vAlign w:val="center"/>
          </w:tcPr>
          <w:p w14:paraId="5153295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汇总下辖机构的</w:t>
            </w:r>
            <w:r>
              <w:rPr>
                <w:rFonts w:hint="eastAsia" w:ascii="宋体" w:hAnsi="宋体" w:eastAsia="宋体" w:cs="宋体"/>
                <w:sz w:val="24"/>
                <w:szCs w:val="24"/>
                <w:lang w:val="en-US" w:eastAsia="zh-CN"/>
              </w:rPr>
              <w:t>待处理和已处理的筛查任务</w:t>
            </w:r>
            <w:r>
              <w:rPr>
                <w:rFonts w:hint="eastAsia" w:ascii="宋体" w:hAnsi="宋体" w:eastAsia="宋体" w:cs="宋体"/>
                <w:sz w:val="24"/>
                <w:szCs w:val="24"/>
                <w:lang w:eastAsia="zh-CN"/>
              </w:rPr>
              <w:t>。</w:t>
            </w:r>
          </w:p>
        </w:tc>
      </w:tr>
      <w:tr w14:paraId="2AE05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4C017ACE">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35488FC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14A89C0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38A446E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rPr>
            </w:pPr>
            <w:r>
              <w:rPr>
                <w:rFonts w:hint="eastAsia" w:ascii="宋体" w:hAnsi="宋体" w:eastAsia="宋体" w:cs="宋体"/>
                <w:sz w:val="24"/>
                <w:szCs w:val="24"/>
                <w:lang w:val="en-US" w:eastAsia="zh-CN"/>
              </w:rPr>
              <w:t>6.疾病随访待办</w:t>
            </w:r>
          </w:p>
        </w:tc>
        <w:tc>
          <w:tcPr>
            <w:tcW w:w="5051" w:type="dxa"/>
            <w:noWrap w:val="0"/>
            <w:vAlign w:val="center"/>
          </w:tcPr>
          <w:p w14:paraId="3EA315D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汇总下辖机构的</w:t>
            </w:r>
            <w:r>
              <w:rPr>
                <w:rFonts w:hint="eastAsia" w:ascii="宋体" w:hAnsi="宋体" w:eastAsia="宋体" w:cs="宋体"/>
                <w:sz w:val="24"/>
                <w:szCs w:val="24"/>
                <w:lang w:val="en-US" w:eastAsia="zh-CN"/>
              </w:rPr>
              <w:t>待处理和已处理的随访任务</w:t>
            </w:r>
            <w:r>
              <w:rPr>
                <w:rFonts w:hint="eastAsia" w:ascii="宋体" w:hAnsi="宋体" w:eastAsia="宋体" w:cs="宋体"/>
                <w:sz w:val="24"/>
                <w:szCs w:val="24"/>
                <w:lang w:eastAsia="zh-CN"/>
              </w:rPr>
              <w:t>。</w:t>
            </w:r>
          </w:p>
        </w:tc>
      </w:tr>
      <w:tr w14:paraId="1F49C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1A9FF096">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92C4E1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70984AB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625915D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7.控制目标任务</w:t>
            </w:r>
          </w:p>
        </w:tc>
        <w:tc>
          <w:tcPr>
            <w:tcW w:w="5051" w:type="dxa"/>
            <w:noWrap w:val="0"/>
            <w:vAlign w:val="center"/>
          </w:tcPr>
          <w:p w14:paraId="273F8E3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汇总下辖机构的</w:t>
            </w:r>
            <w:r>
              <w:rPr>
                <w:rFonts w:hint="eastAsia" w:ascii="宋体" w:hAnsi="宋体" w:eastAsia="宋体" w:cs="宋体"/>
                <w:sz w:val="24"/>
                <w:szCs w:val="24"/>
                <w:lang w:val="en-US" w:eastAsia="zh-CN"/>
              </w:rPr>
              <w:t>控制目标任务。并支持配置控制目标。</w:t>
            </w:r>
          </w:p>
        </w:tc>
      </w:tr>
      <w:tr w14:paraId="7124B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239DA3F5">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7321A6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14AC366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7227BB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8.应管尽管待办</w:t>
            </w:r>
          </w:p>
        </w:tc>
        <w:tc>
          <w:tcPr>
            <w:tcW w:w="5051" w:type="dxa"/>
            <w:noWrap w:val="0"/>
            <w:vAlign w:val="center"/>
          </w:tcPr>
          <w:p w14:paraId="697C252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汇总下辖机构的</w:t>
            </w:r>
            <w:r>
              <w:rPr>
                <w:rFonts w:hint="eastAsia" w:ascii="宋体" w:hAnsi="宋体" w:eastAsia="宋体" w:cs="宋体"/>
                <w:sz w:val="24"/>
                <w:szCs w:val="24"/>
                <w:lang w:val="en-US" w:eastAsia="zh-CN"/>
              </w:rPr>
              <w:t>应管尽管待办任务。</w:t>
            </w:r>
          </w:p>
        </w:tc>
      </w:tr>
      <w:tr w14:paraId="62571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099F494E">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A5C522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5447A00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0CCAA3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9.健康处方任务</w:t>
            </w:r>
          </w:p>
        </w:tc>
        <w:tc>
          <w:tcPr>
            <w:tcW w:w="5051" w:type="dxa"/>
            <w:noWrap w:val="0"/>
            <w:vAlign w:val="center"/>
          </w:tcPr>
          <w:p w14:paraId="44B31FE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汇总下辖机构的</w:t>
            </w:r>
            <w:r>
              <w:rPr>
                <w:rFonts w:hint="eastAsia" w:ascii="宋体" w:hAnsi="宋体" w:eastAsia="宋体" w:cs="宋体"/>
                <w:sz w:val="24"/>
                <w:szCs w:val="24"/>
                <w:lang w:val="en-US" w:eastAsia="zh-CN"/>
              </w:rPr>
              <w:t>健康处方任务。并支持配置健康处方。</w:t>
            </w:r>
          </w:p>
        </w:tc>
      </w:tr>
      <w:tr w14:paraId="14D3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714" w:type="dxa"/>
            <w:vMerge w:val="continue"/>
            <w:noWrap w:val="0"/>
            <w:vAlign w:val="center"/>
          </w:tcPr>
          <w:p w14:paraId="6B80D618">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restart"/>
            <w:noWrap w:val="0"/>
            <w:vAlign w:val="center"/>
          </w:tcPr>
          <w:p w14:paraId="32A2955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居民管理</w:t>
            </w:r>
          </w:p>
        </w:tc>
        <w:tc>
          <w:tcPr>
            <w:tcW w:w="1508" w:type="dxa"/>
            <w:vMerge w:val="restart"/>
            <w:noWrap w:val="0"/>
            <w:vAlign w:val="center"/>
          </w:tcPr>
          <w:p w14:paraId="70E6E61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居民</w:t>
            </w:r>
            <w:r>
              <w:rPr>
                <w:rFonts w:hint="eastAsia" w:ascii="宋体" w:hAnsi="宋体" w:eastAsia="宋体" w:cs="宋体"/>
                <w:sz w:val="24"/>
                <w:szCs w:val="24"/>
              </w:rPr>
              <w:t>管理是将上级医生下辖管理区域在管慢病居民汇总展示的功能模块，便于上级专家在服务过程中能快速找到</w:t>
            </w:r>
            <w:r>
              <w:rPr>
                <w:rFonts w:hint="eastAsia" w:ascii="宋体" w:hAnsi="宋体" w:eastAsia="宋体" w:cs="宋体"/>
                <w:sz w:val="24"/>
                <w:szCs w:val="24"/>
                <w:lang w:eastAsia="zh-CN"/>
              </w:rPr>
              <w:t>慢性病</w:t>
            </w:r>
            <w:r>
              <w:rPr>
                <w:rFonts w:hint="eastAsia" w:ascii="宋体" w:hAnsi="宋体" w:eastAsia="宋体" w:cs="宋体"/>
                <w:sz w:val="24"/>
                <w:szCs w:val="24"/>
              </w:rPr>
              <w:t>居民并开展服务。</w:t>
            </w:r>
          </w:p>
        </w:tc>
        <w:tc>
          <w:tcPr>
            <w:tcW w:w="1272" w:type="dxa"/>
            <w:noWrap w:val="0"/>
            <w:vAlign w:val="center"/>
          </w:tcPr>
          <w:p w14:paraId="1559ADD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1.聚合档案展示</w:t>
            </w:r>
          </w:p>
        </w:tc>
        <w:tc>
          <w:tcPr>
            <w:tcW w:w="5051" w:type="dxa"/>
            <w:noWrap w:val="0"/>
            <w:vAlign w:val="center"/>
          </w:tcPr>
          <w:p w14:paraId="479C68D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查看下级基层医疗机构的全部在管慢病患者数据，进行居民数据统一汇集。</w:t>
            </w:r>
            <w:r>
              <w:rPr>
                <w:rFonts w:hint="eastAsia" w:ascii="宋体" w:hAnsi="宋体" w:eastAsia="宋体" w:cs="宋体"/>
                <w:sz w:val="24"/>
                <w:szCs w:val="24"/>
                <w:lang w:val="en-US" w:eastAsia="zh-CN"/>
              </w:rPr>
              <w:t>能按照管区专家专病配置显示所管辖病种病人（支持共病）。</w:t>
            </w:r>
          </w:p>
        </w:tc>
      </w:tr>
      <w:tr w14:paraId="27962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14" w:type="dxa"/>
            <w:vMerge w:val="continue"/>
            <w:noWrap w:val="0"/>
            <w:vAlign w:val="center"/>
          </w:tcPr>
          <w:p w14:paraId="114B266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6348B8E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6C21070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5FE16AE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2.居民查询</w:t>
            </w:r>
          </w:p>
        </w:tc>
        <w:tc>
          <w:tcPr>
            <w:tcW w:w="5051" w:type="dxa"/>
            <w:noWrap w:val="0"/>
            <w:vAlign w:val="center"/>
          </w:tcPr>
          <w:p w14:paraId="08B47FE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按照居民姓名、联系电话、疾病标签、危险分级、档案状态条件定向查询。</w:t>
            </w:r>
          </w:p>
        </w:tc>
      </w:tr>
      <w:tr w14:paraId="4AA0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14" w:type="dxa"/>
            <w:vMerge w:val="continue"/>
            <w:noWrap w:val="0"/>
            <w:vAlign w:val="center"/>
          </w:tcPr>
          <w:p w14:paraId="6CDBD45C">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EBFDD7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35465F9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130996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3.干预指导</w:t>
            </w:r>
          </w:p>
        </w:tc>
        <w:tc>
          <w:tcPr>
            <w:tcW w:w="5051" w:type="dxa"/>
            <w:noWrap w:val="0"/>
            <w:vAlign w:val="center"/>
          </w:tcPr>
          <w:p w14:paraId="67E4016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系统需支持对所管理下级社区卫生服务中心的患者下达指导意见。包括建议用药调整、生活干预、专家提交干预建议后，会同步到医生端。</w:t>
            </w:r>
          </w:p>
        </w:tc>
      </w:tr>
      <w:tr w14:paraId="6400B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5F37DCD9">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restart"/>
            <w:noWrap w:val="0"/>
            <w:vAlign w:val="center"/>
          </w:tcPr>
          <w:p w14:paraId="130A189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居民详情调阅</w:t>
            </w:r>
          </w:p>
        </w:tc>
        <w:tc>
          <w:tcPr>
            <w:tcW w:w="1508" w:type="dxa"/>
            <w:vMerge w:val="restart"/>
            <w:noWrap w:val="0"/>
            <w:vAlign w:val="center"/>
          </w:tcPr>
          <w:p w14:paraId="7A31179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居民</w:t>
            </w:r>
            <w:r>
              <w:rPr>
                <w:rFonts w:hint="eastAsia" w:ascii="宋体" w:hAnsi="宋体" w:eastAsia="宋体" w:cs="宋体"/>
                <w:sz w:val="24"/>
                <w:szCs w:val="24"/>
              </w:rPr>
              <w:t>详情调阅是展示下辖区域在管慢病患者详细信息的</w:t>
            </w:r>
            <w:r>
              <w:rPr>
                <w:rFonts w:hint="eastAsia" w:ascii="宋体" w:hAnsi="宋体" w:eastAsia="宋体" w:cs="宋体"/>
                <w:sz w:val="24"/>
                <w:szCs w:val="24"/>
                <w:lang w:eastAsia="zh-CN"/>
              </w:rPr>
              <w:t>功能模块</w:t>
            </w:r>
            <w:r>
              <w:rPr>
                <w:rFonts w:hint="eastAsia" w:ascii="宋体" w:hAnsi="宋体" w:eastAsia="宋体" w:cs="宋体"/>
                <w:sz w:val="24"/>
                <w:szCs w:val="24"/>
              </w:rPr>
              <w:t>，帮助上级专家有效了解患者在基层的服务记录，掌握患者的整体健康状况。</w:t>
            </w:r>
          </w:p>
        </w:tc>
        <w:tc>
          <w:tcPr>
            <w:tcW w:w="1272" w:type="dxa"/>
            <w:noWrap w:val="0"/>
            <w:vAlign w:val="center"/>
          </w:tcPr>
          <w:p w14:paraId="57CFF00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患者个人首页信息调阅</w:t>
            </w:r>
          </w:p>
        </w:tc>
        <w:tc>
          <w:tcPr>
            <w:tcW w:w="5051" w:type="dxa"/>
            <w:noWrap w:val="0"/>
            <w:vAlign w:val="center"/>
          </w:tcPr>
          <w:p w14:paraId="78F9E7D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在专家端调阅居民个人首页信息，展示个人体征数据、随访异常指标、AI评估信息、生活干预信息内容</w:t>
            </w:r>
            <w:r>
              <w:rPr>
                <w:rFonts w:hint="eastAsia" w:ascii="宋体" w:hAnsi="宋体" w:eastAsia="宋体" w:cs="宋体"/>
                <w:sz w:val="24"/>
                <w:szCs w:val="24"/>
                <w:lang w:eastAsia="zh-CN"/>
              </w:rPr>
              <w:t>。</w:t>
            </w:r>
          </w:p>
        </w:tc>
      </w:tr>
      <w:tr w14:paraId="630AE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14" w:type="dxa"/>
            <w:vMerge w:val="continue"/>
            <w:noWrap w:val="0"/>
            <w:vAlign w:val="center"/>
          </w:tcPr>
          <w:p w14:paraId="18FD9B05">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46E5699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5DF49B6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EAB297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2.疾病筛查信息调阅</w:t>
            </w:r>
          </w:p>
        </w:tc>
        <w:tc>
          <w:tcPr>
            <w:tcW w:w="5051" w:type="dxa"/>
            <w:noWrap w:val="0"/>
            <w:vAlign w:val="center"/>
          </w:tcPr>
          <w:p w14:paraId="0FBA48C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w:t>
            </w:r>
            <w:r>
              <w:rPr>
                <w:rFonts w:hint="eastAsia" w:ascii="宋体" w:hAnsi="宋体" w:eastAsia="宋体" w:cs="宋体"/>
                <w:sz w:val="24"/>
                <w:szCs w:val="24"/>
              </w:rPr>
              <w:t>在专家端调阅居民疾病筛查信息，展示个人筛查任务、筛查记录内容。</w:t>
            </w:r>
          </w:p>
        </w:tc>
      </w:tr>
      <w:tr w14:paraId="663A9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14" w:type="dxa"/>
            <w:vMerge w:val="continue"/>
            <w:noWrap w:val="0"/>
            <w:vAlign w:val="center"/>
          </w:tcPr>
          <w:p w14:paraId="55884B6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65EEFD5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0C39CCD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824C71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3.健康监测信息调阅</w:t>
            </w:r>
          </w:p>
        </w:tc>
        <w:tc>
          <w:tcPr>
            <w:tcW w:w="5051" w:type="dxa"/>
            <w:noWrap w:val="0"/>
            <w:vAlign w:val="center"/>
          </w:tcPr>
          <w:p w14:paraId="1239682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支持在专家端调阅居民健康监测信息，展示控制目标、血压测量记录、血糖测量记录、检查检验记录内容。</w:t>
            </w:r>
          </w:p>
        </w:tc>
      </w:tr>
      <w:tr w14:paraId="49BA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14" w:type="dxa"/>
            <w:vMerge w:val="continue"/>
            <w:noWrap w:val="0"/>
            <w:vAlign w:val="center"/>
          </w:tcPr>
          <w:p w14:paraId="2758051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E67467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38674D8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5FDECF4">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4.生活干预信息调阅</w:t>
            </w:r>
          </w:p>
        </w:tc>
        <w:tc>
          <w:tcPr>
            <w:tcW w:w="5051" w:type="dxa"/>
            <w:noWrap w:val="0"/>
            <w:vAlign w:val="center"/>
          </w:tcPr>
          <w:p w14:paraId="467789B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w:t>
            </w:r>
            <w:r>
              <w:rPr>
                <w:rFonts w:hint="eastAsia" w:ascii="宋体" w:hAnsi="宋体" w:eastAsia="宋体" w:cs="宋体"/>
                <w:sz w:val="24"/>
                <w:szCs w:val="24"/>
                <w:lang w:val="en-US" w:eastAsia="zh-CN"/>
              </w:rPr>
              <w:t>需</w:t>
            </w:r>
            <w:r>
              <w:rPr>
                <w:rFonts w:hint="eastAsia" w:ascii="宋体" w:hAnsi="宋体" w:eastAsia="宋体" w:cs="宋体"/>
                <w:sz w:val="24"/>
                <w:szCs w:val="24"/>
                <w:lang w:eastAsia="zh-CN"/>
              </w:rPr>
              <w:t>支持在专家端调阅居民生活干预信息，展示饮食管理方案、运动管理方案内容。</w:t>
            </w:r>
          </w:p>
        </w:tc>
      </w:tr>
      <w:tr w14:paraId="18BA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714" w:type="dxa"/>
            <w:vMerge w:val="continue"/>
            <w:noWrap w:val="0"/>
            <w:vAlign w:val="center"/>
          </w:tcPr>
          <w:p w14:paraId="299C1679">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5279D8F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3E538F1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47EA6C9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5.AI服务记录调阅</w:t>
            </w:r>
          </w:p>
        </w:tc>
        <w:tc>
          <w:tcPr>
            <w:tcW w:w="5051" w:type="dxa"/>
            <w:noWrap w:val="0"/>
            <w:vAlign w:val="center"/>
          </w:tcPr>
          <w:p w14:paraId="34F77EB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系统支持在专家端调阅居民AI服务记录信息，展示高危随访、未测量提醒、趋势判断内容。</w:t>
            </w:r>
          </w:p>
        </w:tc>
      </w:tr>
      <w:tr w14:paraId="4A640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5118789A">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restart"/>
            <w:noWrap w:val="0"/>
            <w:vAlign w:val="center"/>
          </w:tcPr>
          <w:p w14:paraId="3397BD4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统计分析</w:t>
            </w:r>
          </w:p>
        </w:tc>
        <w:tc>
          <w:tcPr>
            <w:tcW w:w="1508" w:type="dxa"/>
            <w:vMerge w:val="restart"/>
            <w:noWrap w:val="0"/>
            <w:vAlign w:val="center"/>
          </w:tcPr>
          <w:p w14:paraId="5B4C2BD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rPr>
              <w:t>统计分析是对系统内各项</w:t>
            </w:r>
            <w:r>
              <w:rPr>
                <w:rFonts w:hint="eastAsia" w:ascii="宋体" w:hAnsi="宋体" w:eastAsia="宋体" w:cs="宋体"/>
                <w:sz w:val="24"/>
                <w:szCs w:val="24"/>
                <w:lang w:val="en-US" w:eastAsia="zh-CN"/>
              </w:rPr>
              <w:t>协同</w:t>
            </w:r>
            <w:r>
              <w:rPr>
                <w:rFonts w:hint="eastAsia" w:ascii="宋体" w:hAnsi="宋体" w:eastAsia="宋体" w:cs="宋体"/>
                <w:sz w:val="24"/>
                <w:szCs w:val="24"/>
              </w:rPr>
              <w:t>服务数据进行统计分析的功能模块</w:t>
            </w:r>
            <w:r>
              <w:rPr>
                <w:rFonts w:hint="eastAsia" w:ascii="宋体" w:hAnsi="宋体" w:eastAsia="宋体" w:cs="宋体"/>
                <w:sz w:val="24"/>
                <w:szCs w:val="24"/>
                <w:lang w:eastAsia="zh-CN"/>
              </w:rPr>
              <w:t>。</w:t>
            </w:r>
          </w:p>
        </w:tc>
        <w:tc>
          <w:tcPr>
            <w:tcW w:w="1272" w:type="dxa"/>
            <w:noWrap w:val="0"/>
            <w:vAlign w:val="center"/>
          </w:tcPr>
          <w:p w14:paraId="3915B311">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1.高血压管理成效统计</w:t>
            </w:r>
          </w:p>
        </w:tc>
        <w:tc>
          <w:tcPr>
            <w:tcW w:w="5051" w:type="dxa"/>
            <w:noWrap w:val="0"/>
            <w:vAlign w:val="center"/>
          </w:tcPr>
          <w:p w14:paraId="3E65F42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系统支持</w:t>
            </w:r>
            <w:r>
              <w:rPr>
                <w:rFonts w:hint="eastAsia" w:ascii="宋体" w:hAnsi="宋体" w:eastAsia="宋体" w:cs="宋体"/>
                <w:sz w:val="24"/>
                <w:szCs w:val="24"/>
              </w:rPr>
              <w:t>统计下级各机构高血压统计数据，包括血压控制率、危险分层、血压水平分析</w:t>
            </w:r>
            <w:r>
              <w:rPr>
                <w:rFonts w:hint="eastAsia" w:ascii="宋体" w:hAnsi="宋体" w:eastAsia="宋体" w:cs="宋体"/>
                <w:sz w:val="24"/>
                <w:szCs w:val="24"/>
                <w:lang w:eastAsia="zh-CN"/>
              </w:rPr>
              <w:t>。</w:t>
            </w:r>
          </w:p>
        </w:tc>
      </w:tr>
      <w:tr w14:paraId="34A17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7C8B5528">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5135365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0EC4514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B9FE35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2.糖尿病管理成效统计</w:t>
            </w:r>
          </w:p>
        </w:tc>
        <w:tc>
          <w:tcPr>
            <w:tcW w:w="5051" w:type="dxa"/>
            <w:noWrap w:val="0"/>
            <w:vAlign w:val="center"/>
          </w:tcPr>
          <w:p w14:paraId="3E7B1F7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eastAsia="zh-CN"/>
              </w:rPr>
              <w:t>系统支持</w:t>
            </w:r>
            <w:r>
              <w:rPr>
                <w:rFonts w:hint="eastAsia" w:ascii="宋体" w:hAnsi="宋体" w:eastAsia="宋体" w:cs="宋体"/>
                <w:sz w:val="24"/>
                <w:szCs w:val="24"/>
              </w:rPr>
              <w:t>统计下级各机构糖尿病统计数据，包括血糖控制率、危险分层、血糖水平分析。</w:t>
            </w:r>
          </w:p>
        </w:tc>
      </w:tr>
      <w:tr w14:paraId="5BED7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continue"/>
            <w:noWrap w:val="0"/>
            <w:vAlign w:val="center"/>
          </w:tcPr>
          <w:p w14:paraId="4DF19D5E">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43D14DE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8" w:type="dxa"/>
            <w:vMerge w:val="continue"/>
            <w:noWrap w:val="0"/>
            <w:vAlign w:val="center"/>
          </w:tcPr>
          <w:p w14:paraId="555109F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D66D61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3.双向转诊人次统计</w:t>
            </w:r>
          </w:p>
        </w:tc>
        <w:tc>
          <w:tcPr>
            <w:tcW w:w="5051" w:type="dxa"/>
            <w:noWrap w:val="0"/>
            <w:vAlign w:val="center"/>
          </w:tcPr>
          <w:p w14:paraId="0593388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rPr>
              <w:t>系统需支持</w:t>
            </w:r>
            <w:r>
              <w:rPr>
                <w:rFonts w:hint="eastAsia" w:ascii="宋体" w:hAnsi="宋体" w:eastAsia="宋体" w:cs="宋体"/>
                <w:sz w:val="24"/>
                <w:szCs w:val="24"/>
                <w:lang w:val="en-US" w:eastAsia="zh-CN"/>
              </w:rPr>
              <w:t>统计转入转出人次。</w:t>
            </w:r>
          </w:p>
        </w:tc>
      </w:tr>
    </w:tbl>
    <w:p w14:paraId="13A312B9">
      <w:pPr>
        <w:spacing w:line="360" w:lineRule="auto"/>
        <w:rPr>
          <w:rFonts w:hint="eastAsia" w:ascii="宋体" w:hAnsi="宋体" w:eastAsia="宋体" w:cs="宋体"/>
          <w:b/>
          <w:sz w:val="24"/>
          <w:szCs w:val="24"/>
        </w:rPr>
      </w:pPr>
    </w:p>
    <w:p w14:paraId="1FBC62A4">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3</w:t>
      </w:r>
      <w:r>
        <w:rPr>
          <w:rFonts w:hint="eastAsia" w:ascii="宋体" w:hAnsi="宋体" w:eastAsia="宋体" w:cs="宋体"/>
          <w:b/>
          <w:sz w:val="24"/>
          <w:szCs w:val="24"/>
        </w:rPr>
        <w:t>、</w:t>
      </w:r>
      <w:r>
        <w:rPr>
          <w:rFonts w:hint="eastAsia" w:ascii="宋体" w:hAnsi="宋体" w:eastAsia="宋体" w:cs="宋体"/>
          <w:b/>
          <w:sz w:val="24"/>
          <w:szCs w:val="24"/>
          <w:lang w:val="en-US" w:eastAsia="zh-CN"/>
        </w:rPr>
        <w:t>运行监管系统</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685"/>
        <w:gridCol w:w="1370"/>
        <w:gridCol w:w="1176"/>
        <w:gridCol w:w="4627"/>
      </w:tblGrid>
      <w:tr w14:paraId="26B60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noWrap w:val="0"/>
            <w:vAlign w:val="center"/>
          </w:tcPr>
          <w:p w14:paraId="72DED8E6">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rPr>
            </w:pPr>
            <w:r>
              <w:rPr>
                <w:rFonts w:hint="eastAsia" w:ascii="宋体" w:hAnsi="宋体" w:eastAsia="宋体" w:cs="宋体"/>
                <w:b/>
                <w:bCs/>
                <w:sz w:val="24"/>
                <w:szCs w:val="24"/>
              </w:rPr>
              <w:t>一级模块</w:t>
            </w:r>
          </w:p>
        </w:tc>
        <w:tc>
          <w:tcPr>
            <w:tcW w:w="710" w:type="dxa"/>
            <w:noWrap w:val="0"/>
            <w:vAlign w:val="center"/>
          </w:tcPr>
          <w:p w14:paraId="014AC726">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rPr>
            </w:pPr>
            <w:r>
              <w:rPr>
                <w:rFonts w:hint="eastAsia" w:ascii="宋体" w:hAnsi="宋体" w:eastAsia="宋体" w:cs="宋体"/>
                <w:b/>
                <w:bCs/>
                <w:sz w:val="24"/>
                <w:szCs w:val="24"/>
              </w:rPr>
              <w:t>二级模块</w:t>
            </w:r>
          </w:p>
        </w:tc>
        <w:tc>
          <w:tcPr>
            <w:tcW w:w="1444" w:type="dxa"/>
            <w:noWrap w:val="0"/>
            <w:vAlign w:val="center"/>
          </w:tcPr>
          <w:p w14:paraId="2FE279B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rPr>
            </w:pPr>
            <w:r>
              <w:rPr>
                <w:rFonts w:hint="eastAsia" w:ascii="宋体" w:hAnsi="宋体" w:eastAsia="宋体" w:cs="宋体"/>
                <w:b/>
                <w:bCs/>
                <w:sz w:val="24"/>
                <w:szCs w:val="24"/>
              </w:rPr>
              <w:t>二级模块概述</w:t>
            </w:r>
          </w:p>
        </w:tc>
        <w:tc>
          <w:tcPr>
            <w:tcW w:w="1228" w:type="dxa"/>
            <w:noWrap w:val="0"/>
            <w:vAlign w:val="center"/>
          </w:tcPr>
          <w:p w14:paraId="17FB14C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三级模块</w:t>
            </w:r>
          </w:p>
        </w:tc>
        <w:tc>
          <w:tcPr>
            <w:tcW w:w="5044" w:type="dxa"/>
            <w:noWrap w:val="0"/>
            <w:vAlign w:val="center"/>
          </w:tcPr>
          <w:p w14:paraId="465452A0">
            <w:pPr>
              <w:keepNext w:val="0"/>
              <w:keepLines w:val="0"/>
              <w:suppressLineNumbers w:val="0"/>
              <w:spacing w:before="0" w:beforeAutospacing="0" w:after="0" w:afterAutospacing="0" w:line="240" w:lineRule="auto"/>
              <w:ind w:left="0" w:right="0"/>
              <w:jc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sz w:val="24"/>
                <w:szCs w:val="24"/>
              </w:rPr>
              <w:t>功能参数</w:t>
            </w:r>
          </w:p>
        </w:tc>
      </w:tr>
      <w:tr w14:paraId="24CB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restart"/>
            <w:noWrap w:val="0"/>
            <w:vAlign w:val="center"/>
          </w:tcPr>
          <w:p w14:paraId="17B575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运行监管系统</w:t>
            </w:r>
          </w:p>
        </w:tc>
        <w:tc>
          <w:tcPr>
            <w:tcW w:w="710" w:type="dxa"/>
            <w:vMerge w:val="restart"/>
            <w:noWrap w:val="0"/>
            <w:vAlign w:val="center"/>
          </w:tcPr>
          <w:p w14:paraId="11DC679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综合监管</w:t>
            </w:r>
          </w:p>
        </w:tc>
        <w:tc>
          <w:tcPr>
            <w:tcW w:w="1444" w:type="dxa"/>
            <w:vMerge w:val="restart"/>
            <w:noWrap w:val="0"/>
            <w:vAlign w:val="center"/>
          </w:tcPr>
          <w:p w14:paraId="035C7F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综合监管屏是对区域慢病管理数据进行汇总和动态展示的功能模块，围绕业务流程配合区域地图，便于管理人员对区域慢病管理效果进行有效展示。</w:t>
            </w:r>
          </w:p>
        </w:tc>
        <w:tc>
          <w:tcPr>
            <w:tcW w:w="1228" w:type="dxa"/>
            <w:noWrap w:val="0"/>
            <w:vAlign w:val="center"/>
          </w:tcPr>
          <w:p w14:paraId="253DC0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1.综合数据统计</w:t>
            </w:r>
          </w:p>
        </w:tc>
        <w:tc>
          <w:tcPr>
            <w:tcW w:w="5044" w:type="dxa"/>
            <w:noWrap w:val="0"/>
            <w:vAlign w:val="center"/>
          </w:tcPr>
          <w:p w14:paraId="76C9C55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系统需支持按照所在区域整体情况进行综合指标数据统计。</w:t>
            </w:r>
          </w:p>
        </w:tc>
      </w:tr>
      <w:tr w14:paraId="64A20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01B6F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865A6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70B74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4E0AA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2.管理成效分析</w:t>
            </w:r>
          </w:p>
        </w:tc>
        <w:tc>
          <w:tcPr>
            <w:tcW w:w="5044" w:type="dxa"/>
            <w:noWrap w:val="0"/>
            <w:vAlign w:val="center"/>
          </w:tcPr>
          <w:p w14:paraId="7A9EF96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系统需支持对多个全部人群、高血压、糖尿病管理数据进行分析。</w:t>
            </w:r>
          </w:p>
        </w:tc>
      </w:tr>
      <w:tr w14:paraId="0CAB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DE7F31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E17BE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542BF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B75B2D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3.血压血糖周控制趋势</w:t>
            </w:r>
          </w:p>
        </w:tc>
        <w:tc>
          <w:tcPr>
            <w:tcW w:w="5044" w:type="dxa"/>
            <w:noWrap w:val="0"/>
            <w:vAlign w:val="center"/>
          </w:tcPr>
          <w:p w14:paraId="303C633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系统需支持展示各周高血压、高血糖控制率及其趋势。</w:t>
            </w:r>
          </w:p>
        </w:tc>
      </w:tr>
      <w:tr w14:paraId="23E4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B6901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447FC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1DCEB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DB9C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4.慢病患者人群分布</w:t>
            </w:r>
          </w:p>
        </w:tc>
        <w:tc>
          <w:tcPr>
            <w:tcW w:w="5044" w:type="dxa"/>
            <w:noWrap w:val="0"/>
            <w:vAlign w:val="center"/>
          </w:tcPr>
          <w:p w14:paraId="00CEB2D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系统需支持按性别、年龄段展示慢病患者人群分布。</w:t>
            </w:r>
          </w:p>
        </w:tc>
      </w:tr>
      <w:tr w14:paraId="26A2F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17591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69B83B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881C99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94845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5.AI服务类型统计</w:t>
            </w:r>
          </w:p>
        </w:tc>
        <w:tc>
          <w:tcPr>
            <w:tcW w:w="5044" w:type="dxa"/>
            <w:noWrap w:val="0"/>
            <w:vAlign w:val="center"/>
          </w:tcPr>
          <w:p w14:paraId="28E8D22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系统需支持统计AI服务的服务数据，包括慢病筛查、慢病随访、测量提醒、健康宣教。</w:t>
            </w:r>
          </w:p>
        </w:tc>
      </w:tr>
      <w:tr w14:paraId="3130F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3AFDC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13A90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5CA9B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8490E3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6.地图数据切换</w:t>
            </w:r>
          </w:p>
        </w:tc>
        <w:tc>
          <w:tcPr>
            <w:tcW w:w="5044" w:type="dxa"/>
            <w:noWrap w:val="0"/>
            <w:vAlign w:val="center"/>
          </w:tcPr>
          <w:p w14:paraId="2E95522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系统需支持用户通过点击地图方式进行区域统计数据的切换。</w:t>
            </w:r>
          </w:p>
        </w:tc>
      </w:tr>
      <w:tr w14:paraId="344A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3B004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70AD67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高血压</w:t>
            </w:r>
            <w:r>
              <w:rPr>
                <w:rFonts w:hint="eastAsia" w:ascii="宋体" w:hAnsi="宋体" w:eastAsia="宋体" w:cs="宋体"/>
                <w:sz w:val="24"/>
                <w:szCs w:val="24"/>
                <w:lang w:val="en-US" w:eastAsia="zh-CN"/>
              </w:rPr>
              <w:t>管理分析</w:t>
            </w:r>
          </w:p>
        </w:tc>
        <w:tc>
          <w:tcPr>
            <w:tcW w:w="1444" w:type="dxa"/>
            <w:vMerge w:val="restart"/>
            <w:noWrap w:val="0"/>
            <w:vAlign w:val="center"/>
          </w:tcPr>
          <w:p w14:paraId="7EC677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围绕区域高血压管理信息进行专项监管的功能模块，可对在管高血压的数据、水平、来源、分层情况进行全方位监管。</w:t>
            </w:r>
          </w:p>
        </w:tc>
        <w:tc>
          <w:tcPr>
            <w:tcW w:w="1228" w:type="dxa"/>
            <w:noWrap w:val="0"/>
            <w:vAlign w:val="center"/>
          </w:tcPr>
          <w:p w14:paraId="46F537C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1.高血压数据动态展示</w:t>
            </w:r>
          </w:p>
        </w:tc>
        <w:tc>
          <w:tcPr>
            <w:tcW w:w="5044" w:type="dxa"/>
            <w:noWrap w:val="0"/>
            <w:vAlign w:val="center"/>
          </w:tcPr>
          <w:p w14:paraId="5395017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系统需支持按照所在区域整体情况进行关键管理数据展示，如在管患者数、控制达标率、AI服务人次。</w:t>
            </w:r>
          </w:p>
        </w:tc>
      </w:tr>
      <w:tr w14:paraId="39F6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B2327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BD14B9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6841D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3A7BE5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2.血压测量水平分析</w:t>
            </w:r>
          </w:p>
        </w:tc>
        <w:tc>
          <w:tcPr>
            <w:tcW w:w="5044" w:type="dxa"/>
            <w:noWrap w:val="0"/>
            <w:vAlign w:val="center"/>
          </w:tcPr>
          <w:p w14:paraId="17551F9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系统需支持按照正常、一级、二级、三级分类展示血压测量人群分布。</w:t>
            </w:r>
          </w:p>
        </w:tc>
      </w:tr>
      <w:tr w14:paraId="6023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016A2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87C23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FF463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1AEAB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3.高血压患者危险分层</w:t>
            </w:r>
          </w:p>
        </w:tc>
        <w:tc>
          <w:tcPr>
            <w:tcW w:w="5044" w:type="dxa"/>
            <w:noWrap w:val="0"/>
            <w:vAlign w:val="center"/>
          </w:tcPr>
          <w:p w14:paraId="223C546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系统需支持按照高、中、低危、未知对应红标、黄标、绿标、紫色未知标展示高血压患者危险分层统计。</w:t>
            </w:r>
          </w:p>
        </w:tc>
      </w:tr>
      <w:tr w14:paraId="088E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78818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AD186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47939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30B45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4.高血压控制分析</w:t>
            </w:r>
          </w:p>
        </w:tc>
        <w:tc>
          <w:tcPr>
            <w:tcW w:w="5044" w:type="dxa"/>
            <w:noWrap w:val="0"/>
            <w:vAlign w:val="center"/>
          </w:tcPr>
          <w:p w14:paraId="3F82CE9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系统需支持统计高血压患者的控制率。</w:t>
            </w:r>
          </w:p>
        </w:tc>
      </w:tr>
      <w:tr w14:paraId="67D5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5D924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0DD967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64B40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3E4EE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5.血压数据来源分析</w:t>
            </w:r>
          </w:p>
        </w:tc>
        <w:tc>
          <w:tcPr>
            <w:tcW w:w="5044" w:type="dxa"/>
            <w:noWrap w:val="0"/>
            <w:vAlign w:val="center"/>
          </w:tcPr>
          <w:p w14:paraId="5DA8918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系统需支持按照不同的血压数据来源方式，如设备上传、居民录入、医生录入，统计各来源下的数据量。</w:t>
            </w:r>
          </w:p>
        </w:tc>
      </w:tr>
      <w:tr w14:paraId="2D36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CA5196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BFB00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2696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D12E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6.AI服务分析</w:t>
            </w:r>
          </w:p>
        </w:tc>
        <w:tc>
          <w:tcPr>
            <w:tcW w:w="5044" w:type="dxa"/>
            <w:noWrap w:val="0"/>
            <w:vAlign w:val="center"/>
          </w:tcPr>
          <w:p w14:paraId="46BD4E5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系统需支持展示AI服务的数据量。包括服务人次和占比，其类型包括健康播报、测量提醒、危急随访。</w:t>
            </w:r>
          </w:p>
        </w:tc>
      </w:tr>
      <w:tr w14:paraId="5906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62168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63021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72A6B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E0773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7.各级地区高血压管理分析</w:t>
            </w:r>
          </w:p>
        </w:tc>
        <w:tc>
          <w:tcPr>
            <w:tcW w:w="5044" w:type="dxa"/>
            <w:noWrap w:val="0"/>
            <w:vAlign w:val="center"/>
          </w:tcPr>
          <w:p w14:paraId="5B2F219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系统需支持对区域所属的下级机构高血压管理情况进行统计。</w:t>
            </w:r>
          </w:p>
        </w:tc>
      </w:tr>
      <w:tr w14:paraId="0F653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F5AD0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E646C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A5B07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8DFF63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8.高血压患者明细</w:t>
            </w:r>
          </w:p>
        </w:tc>
        <w:tc>
          <w:tcPr>
            <w:tcW w:w="5044" w:type="dxa"/>
            <w:noWrap w:val="0"/>
            <w:vAlign w:val="center"/>
          </w:tcPr>
          <w:p w14:paraId="270462E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系统需支持展示区域在管的高血压患者，包括其姓名、疾病类型、服务次数、服务类型，支持点击查看居民详情。</w:t>
            </w:r>
          </w:p>
        </w:tc>
      </w:tr>
      <w:tr w14:paraId="4FBF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04DEC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3857A6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糖尿病</w:t>
            </w:r>
            <w:r>
              <w:rPr>
                <w:rFonts w:hint="eastAsia" w:ascii="宋体" w:hAnsi="宋体" w:eastAsia="宋体" w:cs="宋体"/>
                <w:sz w:val="24"/>
                <w:szCs w:val="24"/>
                <w:lang w:val="en-US" w:eastAsia="zh-CN"/>
              </w:rPr>
              <w:t>管理分析</w:t>
            </w:r>
          </w:p>
        </w:tc>
        <w:tc>
          <w:tcPr>
            <w:tcW w:w="1444" w:type="dxa"/>
            <w:vMerge w:val="restart"/>
            <w:noWrap w:val="0"/>
            <w:vAlign w:val="center"/>
          </w:tcPr>
          <w:p w14:paraId="4DFC8E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围绕区域糖尿病管理信息进行专项监管的功能模块，可对在管糖尿病的数据、水平、来源、分层情况进行全方位监管。</w:t>
            </w:r>
          </w:p>
        </w:tc>
        <w:tc>
          <w:tcPr>
            <w:tcW w:w="1228" w:type="dxa"/>
            <w:noWrap w:val="0"/>
            <w:vAlign w:val="center"/>
          </w:tcPr>
          <w:p w14:paraId="3DEFBB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1.糖尿病数据动态展示</w:t>
            </w:r>
          </w:p>
        </w:tc>
        <w:tc>
          <w:tcPr>
            <w:tcW w:w="5044" w:type="dxa"/>
            <w:noWrap w:val="0"/>
            <w:vAlign w:val="center"/>
          </w:tcPr>
          <w:p w14:paraId="1002B5B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系统需支持按照所在区域整体情况进行关键管理数据展示，如在管患者数、控制达标率、AI服务人次。</w:t>
            </w:r>
          </w:p>
        </w:tc>
      </w:tr>
      <w:tr w14:paraId="1AA18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B40C9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7E75A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581C4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075924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2.血糖测量水平分析</w:t>
            </w:r>
          </w:p>
        </w:tc>
        <w:tc>
          <w:tcPr>
            <w:tcW w:w="5044" w:type="dxa"/>
            <w:noWrap w:val="0"/>
            <w:vAlign w:val="center"/>
          </w:tcPr>
          <w:p w14:paraId="3030F4C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系统需支持按照偏低、正常、偏高、危急类型展示血糖测量人群分布。</w:t>
            </w:r>
          </w:p>
        </w:tc>
      </w:tr>
      <w:tr w14:paraId="72AC2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FA373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8A24D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9BEA3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EE1F0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3.糖尿病患者危险分层</w:t>
            </w:r>
          </w:p>
        </w:tc>
        <w:tc>
          <w:tcPr>
            <w:tcW w:w="5044" w:type="dxa"/>
            <w:noWrap w:val="0"/>
            <w:vAlign w:val="center"/>
          </w:tcPr>
          <w:p w14:paraId="341F68F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系统需支持按照极高、高、中、低危、未知对应红标、黄标、绿标、紫色未知标展示糖尿病患者危险分层统计。</w:t>
            </w:r>
          </w:p>
        </w:tc>
      </w:tr>
      <w:tr w14:paraId="1DDAF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D74CA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690A9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BD708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C5179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4.糖尿病控制分析</w:t>
            </w:r>
          </w:p>
        </w:tc>
        <w:tc>
          <w:tcPr>
            <w:tcW w:w="5044" w:type="dxa"/>
            <w:noWrap w:val="0"/>
            <w:vAlign w:val="center"/>
          </w:tcPr>
          <w:p w14:paraId="404D25A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系统需支持统计糖尿病患者的控制率。</w:t>
            </w:r>
          </w:p>
        </w:tc>
      </w:tr>
      <w:tr w14:paraId="169C7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D7E45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0EC575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DB66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B4C2C7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5.血糖数据来源分析</w:t>
            </w:r>
          </w:p>
        </w:tc>
        <w:tc>
          <w:tcPr>
            <w:tcW w:w="5044" w:type="dxa"/>
            <w:noWrap w:val="0"/>
            <w:vAlign w:val="center"/>
          </w:tcPr>
          <w:p w14:paraId="74B822EC">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系统需支持按照不同的血糖数据来源方式，如设备上传、居民录入、医生录入，统计各来源下的数据量。</w:t>
            </w:r>
          </w:p>
        </w:tc>
      </w:tr>
      <w:tr w14:paraId="12155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EF05B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2640F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17E01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64C83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6.AI服务分析</w:t>
            </w:r>
          </w:p>
        </w:tc>
        <w:tc>
          <w:tcPr>
            <w:tcW w:w="5044" w:type="dxa"/>
            <w:noWrap w:val="0"/>
            <w:vAlign w:val="center"/>
          </w:tcPr>
          <w:p w14:paraId="64AE1FB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系统需支持展示AI服务的数据量。包括服务人次和占比，其类型包括健康播报、测量提醒、危急随访。</w:t>
            </w:r>
          </w:p>
        </w:tc>
      </w:tr>
      <w:tr w14:paraId="4086B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4AF6F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E908A4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A7DE0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9A64A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7.各级地区糖尿病管理分析</w:t>
            </w:r>
          </w:p>
        </w:tc>
        <w:tc>
          <w:tcPr>
            <w:tcW w:w="5044" w:type="dxa"/>
            <w:noWrap w:val="0"/>
            <w:vAlign w:val="center"/>
          </w:tcPr>
          <w:p w14:paraId="10D596A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系统需支持对区域所属的下级机构糖尿病管理情况进行统计。</w:t>
            </w:r>
          </w:p>
        </w:tc>
      </w:tr>
      <w:tr w14:paraId="39750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C7BF9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37BFE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D5D2B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2D904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8.糖尿病患者明细</w:t>
            </w:r>
          </w:p>
        </w:tc>
        <w:tc>
          <w:tcPr>
            <w:tcW w:w="5044" w:type="dxa"/>
            <w:noWrap w:val="0"/>
            <w:vAlign w:val="center"/>
          </w:tcPr>
          <w:p w14:paraId="729F273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系统需支持展示区域在管的高血压患者，包括其姓名、疾病类型、服务次数、服务类型，支持点击查看居民详情。</w:t>
            </w:r>
          </w:p>
        </w:tc>
      </w:tr>
      <w:tr w14:paraId="5F1DA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85FB8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3E8718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高脂血症管理分析</w:t>
            </w:r>
          </w:p>
        </w:tc>
        <w:tc>
          <w:tcPr>
            <w:tcW w:w="1444" w:type="dxa"/>
            <w:vMerge w:val="restart"/>
            <w:noWrap w:val="0"/>
            <w:vAlign w:val="center"/>
          </w:tcPr>
          <w:p w14:paraId="223F5A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w:t>
            </w:r>
            <w:r>
              <w:rPr>
                <w:rFonts w:hint="eastAsia" w:ascii="宋体" w:hAnsi="宋体" w:eastAsia="宋体" w:cs="宋体"/>
                <w:sz w:val="24"/>
                <w:szCs w:val="24"/>
                <w:lang w:val="en-US" w:eastAsia="zh-CN"/>
              </w:rPr>
              <w:t>高脂血症</w:t>
            </w:r>
            <w:r>
              <w:rPr>
                <w:rFonts w:hint="eastAsia" w:ascii="宋体" w:hAnsi="宋体" w:eastAsia="宋体" w:cs="宋体"/>
                <w:sz w:val="24"/>
                <w:szCs w:val="24"/>
              </w:rPr>
              <w:t>管理信息进行专项监管的功能模块，可</w:t>
            </w:r>
            <w:r>
              <w:rPr>
                <w:rFonts w:hint="eastAsia" w:ascii="宋体" w:hAnsi="宋体" w:eastAsia="宋体" w:cs="宋体"/>
                <w:sz w:val="24"/>
                <w:szCs w:val="24"/>
                <w:lang w:eastAsia="zh-CN"/>
              </w:rPr>
              <w:t>对</w:t>
            </w:r>
            <w:r>
              <w:rPr>
                <w:rFonts w:hint="eastAsia" w:ascii="宋体" w:hAnsi="宋体" w:eastAsia="宋体" w:cs="宋体"/>
                <w:sz w:val="24"/>
                <w:szCs w:val="24"/>
                <w:lang w:val="en-US" w:eastAsia="zh-CN"/>
              </w:rPr>
              <w:t>高脂血症患者</w:t>
            </w:r>
            <w:r>
              <w:rPr>
                <w:rFonts w:hint="eastAsia" w:ascii="宋体" w:hAnsi="宋体" w:eastAsia="宋体" w:cs="宋体"/>
                <w:sz w:val="24"/>
                <w:szCs w:val="24"/>
              </w:rPr>
              <w:t>的数据、分层情况进行全方位监管。</w:t>
            </w:r>
          </w:p>
        </w:tc>
        <w:tc>
          <w:tcPr>
            <w:tcW w:w="1228" w:type="dxa"/>
            <w:noWrap w:val="0"/>
            <w:vAlign w:val="center"/>
          </w:tcPr>
          <w:p w14:paraId="3CA07C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1.高血脂症数据动态展示</w:t>
            </w:r>
          </w:p>
        </w:tc>
        <w:tc>
          <w:tcPr>
            <w:tcW w:w="5044" w:type="dxa"/>
            <w:noWrap w:val="0"/>
            <w:vAlign w:val="center"/>
          </w:tcPr>
          <w:p w14:paraId="5D8B00C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系统需支持按照所在区域整体情况进行关键管理数据展示，如确诊患者数、AI服务人次、已筛查人数。</w:t>
            </w:r>
          </w:p>
        </w:tc>
      </w:tr>
      <w:tr w14:paraId="0CAE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B9522A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4B616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B3D64E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56653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2.高血脂症筛查分析</w:t>
            </w:r>
          </w:p>
        </w:tc>
        <w:tc>
          <w:tcPr>
            <w:tcW w:w="5044" w:type="dxa"/>
            <w:noWrap w:val="0"/>
            <w:vAlign w:val="center"/>
          </w:tcPr>
          <w:p w14:paraId="56C79B7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系统需支持按周按照正常、低危、中危、高危、疑似确诊、确诊展示高血脂症筛查分析人数。</w:t>
            </w:r>
          </w:p>
        </w:tc>
      </w:tr>
      <w:tr w14:paraId="27DE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57017E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FF8CF5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5A00B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2B3A8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3.高血脂症患者分析</w:t>
            </w:r>
          </w:p>
        </w:tc>
        <w:tc>
          <w:tcPr>
            <w:tcW w:w="5044" w:type="dxa"/>
            <w:noWrap w:val="0"/>
            <w:vAlign w:val="center"/>
          </w:tcPr>
          <w:p w14:paraId="4CA3F91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系统需支持统计高血脂症患者的累计确诊人数、筛查易患人数和年度新增确诊数，并按周展示确诊人数统计。</w:t>
            </w:r>
          </w:p>
        </w:tc>
      </w:tr>
      <w:tr w14:paraId="4272C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97818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7904E0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4CAF29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F2A63F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4.AI服务分析</w:t>
            </w:r>
          </w:p>
        </w:tc>
        <w:tc>
          <w:tcPr>
            <w:tcW w:w="5044" w:type="dxa"/>
            <w:noWrap w:val="0"/>
            <w:vAlign w:val="center"/>
          </w:tcPr>
          <w:p w14:paraId="01C0D7A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系统需支持展示AI服务的数据量。包括服务人次和占比，其类型包括健康播报、测量提醒、危急随访。</w:t>
            </w:r>
          </w:p>
        </w:tc>
      </w:tr>
      <w:tr w14:paraId="66A77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8B2AE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92A47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34D71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9D073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5.各级地区高血脂症管理分析</w:t>
            </w:r>
          </w:p>
        </w:tc>
        <w:tc>
          <w:tcPr>
            <w:tcW w:w="5044" w:type="dxa"/>
            <w:noWrap w:val="0"/>
            <w:vAlign w:val="center"/>
          </w:tcPr>
          <w:p w14:paraId="1ECFBD5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系统需支持对区域所属的下级机构高血脂症管理情况进行统计。</w:t>
            </w:r>
          </w:p>
        </w:tc>
      </w:tr>
      <w:tr w14:paraId="7AA80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968F1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EF48C7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B16ED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B0F53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6.高血脂症患者明细</w:t>
            </w:r>
          </w:p>
        </w:tc>
        <w:tc>
          <w:tcPr>
            <w:tcW w:w="5044" w:type="dxa"/>
            <w:noWrap w:val="0"/>
            <w:vAlign w:val="center"/>
          </w:tcPr>
          <w:p w14:paraId="46574E9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系统需支持展示区域在管的高血脂症患者，包括其姓名、疾病类型、服务次数、服务类型，支持点击查看居民详情。</w:t>
            </w:r>
          </w:p>
        </w:tc>
      </w:tr>
      <w:tr w14:paraId="09A83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6556C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794A139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脑卒中管理分析</w:t>
            </w:r>
          </w:p>
        </w:tc>
        <w:tc>
          <w:tcPr>
            <w:tcW w:w="1444" w:type="dxa"/>
            <w:vMerge w:val="restart"/>
            <w:noWrap w:val="0"/>
            <w:vAlign w:val="center"/>
          </w:tcPr>
          <w:p w14:paraId="7B9B2D9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w:t>
            </w:r>
            <w:r>
              <w:rPr>
                <w:rFonts w:hint="eastAsia" w:ascii="宋体" w:hAnsi="宋体" w:eastAsia="宋体" w:cs="宋体"/>
                <w:sz w:val="24"/>
                <w:szCs w:val="24"/>
                <w:lang w:val="en-US" w:eastAsia="zh-CN"/>
              </w:rPr>
              <w:t>脑卒中</w:t>
            </w:r>
            <w:r>
              <w:rPr>
                <w:rFonts w:hint="eastAsia" w:ascii="宋体" w:hAnsi="宋体" w:eastAsia="宋体" w:cs="宋体"/>
                <w:sz w:val="24"/>
                <w:szCs w:val="24"/>
              </w:rPr>
              <w:t>管理信息进行专项监管的功能模块，可</w:t>
            </w:r>
            <w:r>
              <w:rPr>
                <w:rFonts w:hint="eastAsia" w:ascii="宋体" w:hAnsi="宋体" w:eastAsia="宋体" w:cs="宋体"/>
                <w:sz w:val="24"/>
                <w:szCs w:val="24"/>
                <w:lang w:eastAsia="zh-CN"/>
              </w:rPr>
              <w:t>对</w:t>
            </w:r>
            <w:r>
              <w:rPr>
                <w:rFonts w:hint="eastAsia" w:ascii="宋体" w:hAnsi="宋体" w:eastAsia="宋体" w:cs="宋体"/>
                <w:sz w:val="24"/>
                <w:szCs w:val="24"/>
                <w:lang w:val="en-US" w:eastAsia="zh-CN"/>
              </w:rPr>
              <w:t>脑卒中患者</w:t>
            </w:r>
            <w:r>
              <w:rPr>
                <w:rFonts w:hint="eastAsia" w:ascii="宋体" w:hAnsi="宋体" w:eastAsia="宋体" w:cs="宋体"/>
                <w:sz w:val="24"/>
                <w:szCs w:val="24"/>
              </w:rPr>
              <w:t>的数据、分层情况进行全方位监管。</w:t>
            </w:r>
          </w:p>
        </w:tc>
        <w:tc>
          <w:tcPr>
            <w:tcW w:w="1228" w:type="dxa"/>
            <w:noWrap w:val="0"/>
            <w:vAlign w:val="center"/>
          </w:tcPr>
          <w:p w14:paraId="7880D8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1.脑卒中数</w:t>
            </w:r>
            <w:r>
              <w:rPr>
                <w:rFonts w:hint="eastAsia" w:ascii="宋体" w:hAnsi="宋体" w:eastAsia="宋体" w:cs="宋体"/>
                <w:sz w:val="24"/>
                <w:szCs w:val="24"/>
              </w:rPr>
              <w:t>据动态展示</w:t>
            </w:r>
          </w:p>
        </w:tc>
        <w:tc>
          <w:tcPr>
            <w:tcW w:w="5044" w:type="dxa"/>
            <w:noWrap w:val="0"/>
            <w:vAlign w:val="center"/>
          </w:tcPr>
          <w:p w14:paraId="773E30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系统需支持按照所在区域整体情况进行关键管理数据展示，如在管患者数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筛查数</w:t>
            </w:r>
            <w:r>
              <w:rPr>
                <w:rFonts w:hint="eastAsia" w:ascii="宋体" w:hAnsi="宋体" w:eastAsia="宋体" w:cs="宋体"/>
                <w:sz w:val="24"/>
                <w:szCs w:val="24"/>
              </w:rPr>
              <w:t>、AI服务人次。</w:t>
            </w:r>
          </w:p>
        </w:tc>
      </w:tr>
      <w:tr w14:paraId="1C94E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CF77E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57FBE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30B22F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E24E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2.脑卒中</w:t>
            </w:r>
            <w:r>
              <w:rPr>
                <w:rFonts w:hint="eastAsia" w:ascii="宋体" w:hAnsi="宋体" w:eastAsia="宋体" w:cs="宋体"/>
                <w:sz w:val="24"/>
                <w:szCs w:val="24"/>
              </w:rPr>
              <w:t>患者危险分层</w:t>
            </w:r>
          </w:p>
        </w:tc>
        <w:tc>
          <w:tcPr>
            <w:tcW w:w="5044" w:type="dxa"/>
            <w:noWrap w:val="0"/>
            <w:vAlign w:val="center"/>
          </w:tcPr>
          <w:p w14:paraId="299D4D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w:t>
            </w:r>
            <w:r>
              <w:rPr>
                <w:rFonts w:hint="eastAsia" w:ascii="宋体" w:hAnsi="宋体" w:eastAsia="宋体" w:cs="宋体"/>
                <w:sz w:val="24"/>
                <w:szCs w:val="24"/>
                <w:lang w:val="en-US" w:eastAsia="zh-CN"/>
              </w:rPr>
              <w:t>脑卒中</w:t>
            </w:r>
            <w:r>
              <w:rPr>
                <w:rFonts w:hint="eastAsia" w:ascii="宋体" w:hAnsi="宋体" w:eastAsia="宋体" w:cs="宋体"/>
                <w:sz w:val="24"/>
                <w:szCs w:val="24"/>
              </w:rPr>
              <w:t>展示患者危险分层统计。</w:t>
            </w:r>
          </w:p>
        </w:tc>
      </w:tr>
      <w:tr w14:paraId="3508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77A1E3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61A78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E5696C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9EF93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各级地区</w:t>
            </w:r>
            <w:r>
              <w:rPr>
                <w:rFonts w:hint="eastAsia" w:ascii="宋体" w:hAnsi="宋体" w:eastAsia="宋体" w:cs="宋体"/>
                <w:sz w:val="24"/>
                <w:szCs w:val="24"/>
                <w:lang w:val="en-US" w:eastAsia="zh-CN"/>
              </w:rPr>
              <w:t>脑卒中</w:t>
            </w:r>
            <w:r>
              <w:rPr>
                <w:rFonts w:hint="eastAsia" w:ascii="宋体" w:hAnsi="宋体" w:eastAsia="宋体" w:cs="宋体"/>
                <w:sz w:val="24"/>
                <w:szCs w:val="24"/>
              </w:rPr>
              <w:t>管理分析</w:t>
            </w:r>
          </w:p>
        </w:tc>
        <w:tc>
          <w:tcPr>
            <w:tcW w:w="5044" w:type="dxa"/>
            <w:noWrap w:val="0"/>
            <w:vAlign w:val="center"/>
          </w:tcPr>
          <w:p w14:paraId="30AED8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系统需支持对区域所属的下级机构</w:t>
            </w:r>
            <w:r>
              <w:rPr>
                <w:rFonts w:hint="eastAsia" w:ascii="宋体" w:hAnsi="宋体" w:eastAsia="宋体" w:cs="宋体"/>
                <w:sz w:val="24"/>
                <w:szCs w:val="24"/>
                <w:lang w:val="en-US" w:eastAsia="zh-CN"/>
              </w:rPr>
              <w:t>脑卒中</w:t>
            </w:r>
            <w:r>
              <w:rPr>
                <w:rFonts w:hint="eastAsia" w:ascii="宋体" w:hAnsi="宋体" w:eastAsia="宋体" w:cs="宋体"/>
                <w:sz w:val="24"/>
                <w:szCs w:val="24"/>
              </w:rPr>
              <w:t>管理情况进行统计。</w:t>
            </w:r>
          </w:p>
        </w:tc>
      </w:tr>
      <w:tr w14:paraId="29AB9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1AC819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AE80F5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1D4645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3ACDB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4.脑卒中</w:t>
            </w:r>
            <w:r>
              <w:rPr>
                <w:rFonts w:hint="eastAsia" w:ascii="宋体" w:hAnsi="宋体" w:eastAsia="宋体" w:cs="宋体"/>
                <w:sz w:val="24"/>
                <w:szCs w:val="24"/>
              </w:rPr>
              <w:t>患者明细</w:t>
            </w:r>
          </w:p>
        </w:tc>
        <w:tc>
          <w:tcPr>
            <w:tcW w:w="5044" w:type="dxa"/>
            <w:noWrap w:val="0"/>
            <w:vAlign w:val="center"/>
          </w:tcPr>
          <w:p w14:paraId="3CBD087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系统需支持展示区域在管的</w:t>
            </w:r>
            <w:r>
              <w:rPr>
                <w:rFonts w:hint="eastAsia" w:ascii="宋体" w:hAnsi="宋体" w:eastAsia="宋体" w:cs="宋体"/>
                <w:sz w:val="24"/>
                <w:szCs w:val="24"/>
                <w:lang w:val="en-US" w:eastAsia="zh-CN"/>
              </w:rPr>
              <w:t>脑卒中患</w:t>
            </w:r>
            <w:r>
              <w:rPr>
                <w:rFonts w:hint="eastAsia" w:ascii="宋体" w:hAnsi="宋体" w:eastAsia="宋体" w:cs="宋体"/>
                <w:sz w:val="24"/>
                <w:szCs w:val="24"/>
              </w:rPr>
              <w:t>者，包括其姓名、疾病类型、服务次数、服务类型，支持点击查看居民详情。</w:t>
            </w:r>
          </w:p>
        </w:tc>
      </w:tr>
      <w:tr w14:paraId="0A6C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0AC38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39AED02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慢阻肺管理分析</w:t>
            </w:r>
          </w:p>
        </w:tc>
        <w:tc>
          <w:tcPr>
            <w:tcW w:w="1444" w:type="dxa"/>
            <w:vMerge w:val="restart"/>
            <w:noWrap w:val="0"/>
            <w:vAlign w:val="center"/>
          </w:tcPr>
          <w:p w14:paraId="16F528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w:t>
            </w:r>
            <w:r>
              <w:rPr>
                <w:rFonts w:hint="eastAsia" w:ascii="宋体" w:hAnsi="宋体" w:eastAsia="宋体" w:cs="宋体"/>
                <w:sz w:val="24"/>
                <w:szCs w:val="24"/>
                <w:lang w:val="en-US" w:eastAsia="zh-CN"/>
              </w:rPr>
              <w:t>慢阻肺</w:t>
            </w:r>
            <w:r>
              <w:rPr>
                <w:rFonts w:hint="eastAsia" w:ascii="宋体" w:hAnsi="宋体" w:eastAsia="宋体" w:cs="宋体"/>
                <w:sz w:val="24"/>
                <w:szCs w:val="24"/>
              </w:rPr>
              <w:t>管理信息进行专项监管的功能模块，可</w:t>
            </w:r>
            <w:r>
              <w:rPr>
                <w:rFonts w:hint="eastAsia" w:ascii="宋体" w:hAnsi="宋体" w:eastAsia="宋体" w:cs="宋体"/>
                <w:sz w:val="24"/>
                <w:szCs w:val="24"/>
                <w:lang w:eastAsia="zh-CN"/>
              </w:rPr>
              <w:t>对</w:t>
            </w:r>
            <w:r>
              <w:rPr>
                <w:rFonts w:hint="eastAsia" w:ascii="宋体" w:hAnsi="宋体" w:eastAsia="宋体" w:cs="宋体"/>
                <w:sz w:val="24"/>
                <w:szCs w:val="24"/>
                <w:lang w:val="en-US" w:eastAsia="zh-CN"/>
              </w:rPr>
              <w:t>慢阻肺患者</w:t>
            </w:r>
            <w:r>
              <w:rPr>
                <w:rFonts w:hint="eastAsia" w:ascii="宋体" w:hAnsi="宋体" w:eastAsia="宋体" w:cs="宋体"/>
                <w:sz w:val="24"/>
                <w:szCs w:val="24"/>
              </w:rPr>
              <w:t>的数据、分层情况进行全方位监管。</w:t>
            </w:r>
          </w:p>
        </w:tc>
        <w:tc>
          <w:tcPr>
            <w:tcW w:w="1228" w:type="dxa"/>
            <w:noWrap w:val="0"/>
            <w:vAlign w:val="center"/>
          </w:tcPr>
          <w:p w14:paraId="2FA517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1.慢阻肺数据动态展示</w:t>
            </w:r>
          </w:p>
        </w:tc>
        <w:tc>
          <w:tcPr>
            <w:tcW w:w="5044" w:type="dxa"/>
            <w:noWrap w:val="0"/>
            <w:vAlign w:val="center"/>
          </w:tcPr>
          <w:p w14:paraId="222EEE6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系统需支持按照所在区域整体情况进行关键管理数据展示，如确诊患者数、AI服务人次、已筛查人数。</w:t>
            </w:r>
          </w:p>
        </w:tc>
      </w:tr>
      <w:tr w14:paraId="4CE8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BE763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C06287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1B6400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32740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2.慢阻肺筛查分析</w:t>
            </w:r>
          </w:p>
        </w:tc>
        <w:tc>
          <w:tcPr>
            <w:tcW w:w="5044" w:type="dxa"/>
            <w:noWrap w:val="0"/>
            <w:vAlign w:val="center"/>
          </w:tcPr>
          <w:p w14:paraId="45AB89E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系统需支持按周按照正常、高危、疑似确诊、确诊展示慢阻肺筛查分析人数。</w:t>
            </w:r>
          </w:p>
        </w:tc>
      </w:tr>
      <w:tr w14:paraId="24AE2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E1784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AE055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BEF9DF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B878A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3.慢阻肺患者分析</w:t>
            </w:r>
          </w:p>
        </w:tc>
        <w:tc>
          <w:tcPr>
            <w:tcW w:w="5044" w:type="dxa"/>
            <w:noWrap w:val="0"/>
            <w:vAlign w:val="center"/>
          </w:tcPr>
          <w:p w14:paraId="743D673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系统需支持统计慢阻肺患者的累计确诊人数、筛查易患人数和年度新增确诊数，并按周展示确诊人数统计。</w:t>
            </w:r>
          </w:p>
        </w:tc>
      </w:tr>
      <w:tr w14:paraId="6B20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60BED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3DC1D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5AAC559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F4ABE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4.AI服务分析</w:t>
            </w:r>
          </w:p>
        </w:tc>
        <w:tc>
          <w:tcPr>
            <w:tcW w:w="5044" w:type="dxa"/>
            <w:noWrap w:val="0"/>
            <w:vAlign w:val="center"/>
          </w:tcPr>
          <w:p w14:paraId="5C42ADB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系统需支持展示AI服务的数据量。包括服务人次和占比，其类型包括健康播报、测量提醒、危急随访。</w:t>
            </w:r>
          </w:p>
        </w:tc>
      </w:tr>
      <w:tr w14:paraId="24299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74A12C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070C2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7888C81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456EA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5.各级地区慢阻肺管理分析</w:t>
            </w:r>
          </w:p>
        </w:tc>
        <w:tc>
          <w:tcPr>
            <w:tcW w:w="5044" w:type="dxa"/>
            <w:noWrap w:val="0"/>
            <w:vAlign w:val="center"/>
          </w:tcPr>
          <w:p w14:paraId="6A96283F">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系统需支持对区域所属的下级机构慢阻肺管理情况进行统计。</w:t>
            </w:r>
          </w:p>
        </w:tc>
      </w:tr>
      <w:tr w14:paraId="6C9C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8A2E0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D328B9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2D896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8B97A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6.慢阻肺患者明细</w:t>
            </w:r>
          </w:p>
        </w:tc>
        <w:tc>
          <w:tcPr>
            <w:tcW w:w="5044" w:type="dxa"/>
            <w:noWrap w:val="0"/>
            <w:vAlign w:val="center"/>
          </w:tcPr>
          <w:p w14:paraId="3E770FB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系统需支持展示区域在管的慢阻肺患者，包括其姓名、疾病类型、服务次数、服务类型，支持点击查看居民详情。</w:t>
            </w:r>
          </w:p>
        </w:tc>
      </w:tr>
      <w:tr w14:paraId="02B3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18661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BC34E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1A01AC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DDF2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7.慢阻肺数据动态展示</w:t>
            </w:r>
          </w:p>
        </w:tc>
        <w:tc>
          <w:tcPr>
            <w:tcW w:w="5044" w:type="dxa"/>
            <w:noWrap w:val="0"/>
            <w:vAlign w:val="center"/>
          </w:tcPr>
          <w:p w14:paraId="0FEF845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系统需支持按照所在区域整体情况进行关键管理数据展示，如确诊患者数、AI服务人次、已筛查人数。</w:t>
            </w:r>
          </w:p>
        </w:tc>
      </w:tr>
      <w:tr w14:paraId="18AB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C49D6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0EC775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冠心病管理分析</w:t>
            </w:r>
          </w:p>
        </w:tc>
        <w:tc>
          <w:tcPr>
            <w:tcW w:w="1444" w:type="dxa"/>
            <w:vMerge w:val="restart"/>
            <w:noWrap w:val="0"/>
            <w:vAlign w:val="center"/>
          </w:tcPr>
          <w:p w14:paraId="4E4076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w:t>
            </w:r>
            <w:r>
              <w:rPr>
                <w:rFonts w:hint="eastAsia" w:ascii="宋体" w:hAnsi="宋体" w:eastAsia="宋体" w:cs="宋体"/>
                <w:sz w:val="24"/>
                <w:szCs w:val="24"/>
                <w:lang w:val="en-US" w:eastAsia="zh-CN"/>
              </w:rPr>
              <w:t>冠心病</w:t>
            </w:r>
            <w:r>
              <w:rPr>
                <w:rFonts w:hint="eastAsia" w:ascii="宋体" w:hAnsi="宋体" w:eastAsia="宋体" w:cs="宋体"/>
                <w:sz w:val="24"/>
                <w:szCs w:val="24"/>
              </w:rPr>
              <w:t>管理信息进行专项监管的功能模块，可</w:t>
            </w:r>
            <w:r>
              <w:rPr>
                <w:rFonts w:hint="eastAsia" w:ascii="宋体" w:hAnsi="宋体" w:eastAsia="宋体" w:cs="宋体"/>
                <w:sz w:val="24"/>
                <w:szCs w:val="24"/>
                <w:lang w:eastAsia="zh-CN"/>
              </w:rPr>
              <w:t>对</w:t>
            </w:r>
            <w:r>
              <w:rPr>
                <w:rFonts w:hint="eastAsia" w:ascii="宋体" w:hAnsi="宋体" w:eastAsia="宋体" w:cs="宋体"/>
                <w:sz w:val="24"/>
                <w:szCs w:val="24"/>
                <w:lang w:val="en-US" w:eastAsia="zh-CN"/>
              </w:rPr>
              <w:t>冠心病患者</w:t>
            </w:r>
            <w:r>
              <w:rPr>
                <w:rFonts w:hint="eastAsia" w:ascii="宋体" w:hAnsi="宋体" w:eastAsia="宋体" w:cs="宋体"/>
                <w:sz w:val="24"/>
                <w:szCs w:val="24"/>
              </w:rPr>
              <w:t>的数据、分层情况进行全方位监管。</w:t>
            </w:r>
          </w:p>
        </w:tc>
        <w:tc>
          <w:tcPr>
            <w:tcW w:w="1228" w:type="dxa"/>
            <w:noWrap w:val="0"/>
            <w:vAlign w:val="center"/>
          </w:tcPr>
          <w:p w14:paraId="18BA85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1.冠心病数</w:t>
            </w:r>
            <w:r>
              <w:rPr>
                <w:rFonts w:hint="eastAsia" w:ascii="宋体" w:hAnsi="宋体" w:eastAsia="宋体" w:cs="宋体"/>
                <w:sz w:val="24"/>
                <w:szCs w:val="24"/>
              </w:rPr>
              <w:t>据动态展示</w:t>
            </w:r>
          </w:p>
        </w:tc>
        <w:tc>
          <w:tcPr>
            <w:tcW w:w="5044" w:type="dxa"/>
            <w:noWrap w:val="0"/>
            <w:vAlign w:val="center"/>
          </w:tcPr>
          <w:p w14:paraId="62A014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系统需支持按照所在区域整体情况进行关键管理数据展示，如在管患者数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筛查数</w:t>
            </w:r>
            <w:r>
              <w:rPr>
                <w:rFonts w:hint="eastAsia" w:ascii="宋体" w:hAnsi="宋体" w:eastAsia="宋体" w:cs="宋体"/>
                <w:sz w:val="24"/>
                <w:szCs w:val="24"/>
              </w:rPr>
              <w:t>、AI服务人次。</w:t>
            </w:r>
          </w:p>
        </w:tc>
      </w:tr>
      <w:tr w14:paraId="6AF7F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88B02B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30955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52677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1E291F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2.冠心病</w:t>
            </w:r>
            <w:r>
              <w:rPr>
                <w:rFonts w:hint="eastAsia" w:ascii="宋体" w:hAnsi="宋体" w:eastAsia="宋体" w:cs="宋体"/>
                <w:sz w:val="24"/>
                <w:szCs w:val="24"/>
              </w:rPr>
              <w:t>患者危险分层</w:t>
            </w:r>
          </w:p>
        </w:tc>
        <w:tc>
          <w:tcPr>
            <w:tcW w:w="5044" w:type="dxa"/>
            <w:noWrap w:val="0"/>
            <w:vAlign w:val="center"/>
          </w:tcPr>
          <w:p w14:paraId="507016A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w:t>
            </w:r>
            <w:r>
              <w:rPr>
                <w:rFonts w:hint="eastAsia" w:ascii="宋体" w:hAnsi="宋体" w:eastAsia="宋体" w:cs="宋体"/>
                <w:sz w:val="24"/>
                <w:szCs w:val="24"/>
                <w:lang w:val="en-US" w:eastAsia="zh-CN"/>
              </w:rPr>
              <w:t>冠心病</w:t>
            </w:r>
            <w:r>
              <w:rPr>
                <w:rFonts w:hint="eastAsia" w:ascii="宋体" w:hAnsi="宋体" w:eastAsia="宋体" w:cs="宋体"/>
                <w:sz w:val="24"/>
                <w:szCs w:val="24"/>
              </w:rPr>
              <w:t>展示患者危险分层统计。</w:t>
            </w:r>
          </w:p>
        </w:tc>
      </w:tr>
      <w:tr w14:paraId="6A65A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DD2B30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0754F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D79509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C29D30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各级地区</w:t>
            </w:r>
            <w:r>
              <w:rPr>
                <w:rFonts w:hint="eastAsia" w:ascii="宋体" w:hAnsi="宋体" w:eastAsia="宋体" w:cs="宋体"/>
                <w:sz w:val="24"/>
                <w:szCs w:val="24"/>
                <w:lang w:val="en-US" w:eastAsia="zh-CN"/>
              </w:rPr>
              <w:t>冠心病</w:t>
            </w:r>
            <w:r>
              <w:rPr>
                <w:rFonts w:hint="eastAsia" w:ascii="宋体" w:hAnsi="宋体" w:eastAsia="宋体" w:cs="宋体"/>
                <w:sz w:val="24"/>
                <w:szCs w:val="24"/>
              </w:rPr>
              <w:t>管理分析</w:t>
            </w:r>
          </w:p>
        </w:tc>
        <w:tc>
          <w:tcPr>
            <w:tcW w:w="5044" w:type="dxa"/>
            <w:noWrap w:val="0"/>
            <w:vAlign w:val="center"/>
          </w:tcPr>
          <w:p w14:paraId="2D0D89B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系统需支持对区域所属的下级机构</w:t>
            </w:r>
            <w:r>
              <w:rPr>
                <w:rFonts w:hint="eastAsia" w:ascii="宋体" w:hAnsi="宋体" w:eastAsia="宋体" w:cs="宋体"/>
                <w:sz w:val="24"/>
                <w:szCs w:val="24"/>
                <w:lang w:val="en-US" w:eastAsia="zh-CN"/>
              </w:rPr>
              <w:t>冠心病</w:t>
            </w:r>
            <w:r>
              <w:rPr>
                <w:rFonts w:hint="eastAsia" w:ascii="宋体" w:hAnsi="宋体" w:eastAsia="宋体" w:cs="宋体"/>
                <w:sz w:val="24"/>
                <w:szCs w:val="24"/>
              </w:rPr>
              <w:t>管理情况进行统计。</w:t>
            </w:r>
          </w:p>
        </w:tc>
      </w:tr>
      <w:tr w14:paraId="05D8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vMerge w:val="continue"/>
            <w:noWrap w:val="0"/>
            <w:vAlign w:val="center"/>
          </w:tcPr>
          <w:p w14:paraId="22CDE4B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77C4E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5DE72A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1F249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4.冠心病</w:t>
            </w:r>
            <w:r>
              <w:rPr>
                <w:rFonts w:hint="eastAsia" w:ascii="宋体" w:hAnsi="宋体" w:eastAsia="宋体" w:cs="宋体"/>
                <w:sz w:val="24"/>
                <w:szCs w:val="24"/>
              </w:rPr>
              <w:t>患者明细</w:t>
            </w:r>
          </w:p>
        </w:tc>
        <w:tc>
          <w:tcPr>
            <w:tcW w:w="5044" w:type="dxa"/>
            <w:noWrap w:val="0"/>
            <w:vAlign w:val="center"/>
          </w:tcPr>
          <w:p w14:paraId="022EA3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系统需支持展示区域在管的</w:t>
            </w:r>
            <w:r>
              <w:rPr>
                <w:rFonts w:hint="eastAsia" w:ascii="宋体" w:hAnsi="宋体" w:eastAsia="宋体" w:cs="宋体"/>
                <w:sz w:val="24"/>
                <w:szCs w:val="24"/>
                <w:lang w:val="en-US" w:eastAsia="zh-CN"/>
              </w:rPr>
              <w:t>冠心病</w:t>
            </w:r>
            <w:r>
              <w:rPr>
                <w:rFonts w:hint="eastAsia" w:ascii="宋体" w:hAnsi="宋体" w:eastAsia="宋体" w:cs="宋体"/>
                <w:sz w:val="24"/>
                <w:szCs w:val="24"/>
              </w:rPr>
              <w:t>患者，包括其姓名、疾病类型、服务次数、服务类型，支持点击查看居民详情。</w:t>
            </w:r>
          </w:p>
        </w:tc>
      </w:tr>
      <w:tr w14:paraId="224A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30A7BD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6DA138C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慢性肾病管理分析</w:t>
            </w:r>
          </w:p>
        </w:tc>
        <w:tc>
          <w:tcPr>
            <w:tcW w:w="1444" w:type="dxa"/>
            <w:vMerge w:val="restart"/>
            <w:noWrap w:val="0"/>
            <w:vAlign w:val="center"/>
          </w:tcPr>
          <w:p w14:paraId="2FB94B4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围绕区域</w:t>
            </w:r>
            <w:r>
              <w:rPr>
                <w:rFonts w:hint="eastAsia" w:ascii="宋体" w:hAnsi="宋体" w:eastAsia="宋体" w:cs="宋体"/>
                <w:sz w:val="24"/>
                <w:szCs w:val="24"/>
                <w:lang w:val="en-US" w:eastAsia="zh-CN"/>
              </w:rPr>
              <w:t>慢性肾病</w:t>
            </w:r>
            <w:r>
              <w:rPr>
                <w:rFonts w:hint="eastAsia" w:ascii="宋体" w:hAnsi="宋体" w:eastAsia="宋体" w:cs="宋体"/>
                <w:sz w:val="24"/>
                <w:szCs w:val="24"/>
              </w:rPr>
              <w:t>管理信息进行专项监管的功能模块，可</w:t>
            </w:r>
            <w:r>
              <w:rPr>
                <w:rFonts w:hint="eastAsia" w:ascii="宋体" w:hAnsi="宋体" w:eastAsia="宋体" w:cs="宋体"/>
                <w:sz w:val="24"/>
                <w:szCs w:val="24"/>
                <w:lang w:eastAsia="zh-CN"/>
              </w:rPr>
              <w:t>对</w:t>
            </w:r>
            <w:r>
              <w:rPr>
                <w:rFonts w:hint="eastAsia" w:ascii="宋体" w:hAnsi="宋体" w:eastAsia="宋体" w:cs="宋体"/>
                <w:sz w:val="24"/>
                <w:szCs w:val="24"/>
                <w:lang w:val="en-US" w:eastAsia="zh-CN"/>
              </w:rPr>
              <w:t>慢性肾病患者</w:t>
            </w:r>
            <w:r>
              <w:rPr>
                <w:rFonts w:hint="eastAsia" w:ascii="宋体" w:hAnsi="宋体" w:eastAsia="宋体" w:cs="宋体"/>
                <w:sz w:val="24"/>
                <w:szCs w:val="24"/>
              </w:rPr>
              <w:t>的数据、分层情况进行全方位监管。</w:t>
            </w:r>
          </w:p>
        </w:tc>
        <w:tc>
          <w:tcPr>
            <w:tcW w:w="1228" w:type="dxa"/>
            <w:noWrap w:val="0"/>
            <w:vAlign w:val="center"/>
          </w:tcPr>
          <w:p w14:paraId="690F95A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1.慢性肾病数</w:t>
            </w:r>
            <w:r>
              <w:rPr>
                <w:rFonts w:hint="eastAsia" w:ascii="宋体" w:hAnsi="宋体" w:eastAsia="宋体" w:cs="宋体"/>
                <w:sz w:val="24"/>
                <w:szCs w:val="24"/>
              </w:rPr>
              <w:t>据动态展示</w:t>
            </w:r>
          </w:p>
        </w:tc>
        <w:tc>
          <w:tcPr>
            <w:tcW w:w="5044" w:type="dxa"/>
            <w:noWrap w:val="0"/>
            <w:vAlign w:val="center"/>
          </w:tcPr>
          <w:p w14:paraId="3D89C0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系统需支持按照所在区域整体情况进行关键管理数据展示，如在管患者数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筛查数</w:t>
            </w:r>
            <w:r>
              <w:rPr>
                <w:rFonts w:hint="eastAsia" w:ascii="宋体" w:hAnsi="宋体" w:eastAsia="宋体" w:cs="宋体"/>
                <w:sz w:val="24"/>
                <w:szCs w:val="24"/>
              </w:rPr>
              <w:t>、AI服务人次。</w:t>
            </w:r>
          </w:p>
        </w:tc>
      </w:tr>
      <w:tr w14:paraId="4B95C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3F0EE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78B25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CAF52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12469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2.慢性肾病</w:t>
            </w:r>
            <w:r>
              <w:rPr>
                <w:rFonts w:hint="eastAsia" w:ascii="宋体" w:hAnsi="宋体" w:eastAsia="宋体" w:cs="宋体"/>
                <w:sz w:val="24"/>
                <w:szCs w:val="24"/>
              </w:rPr>
              <w:t>患者危险分层</w:t>
            </w:r>
          </w:p>
        </w:tc>
        <w:tc>
          <w:tcPr>
            <w:tcW w:w="5044" w:type="dxa"/>
            <w:noWrap w:val="0"/>
            <w:vAlign w:val="center"/>
          </w:tcPr>
          <w:p w14:paraId="00C8C1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w:t>
            </w:r>
            <w:r>
              <w:rPr>
                <w:rFonts w:hint="eastAsia" w:ascii="宋体" w:hAnsi="宋体" w:eastAsia="宋体" w:cs="宋体"/>
                <w:sz w:val="24"/>
                <w:szCs w:val="24"/>
                <w:lang w:val="en-US" w:eastAsia="zh-CN"/>
              </w:rPr>
              <w:t>慢性肾病</w:t>
            </w:r>
            <w:r>
              <w:rPr>
                <w:rFonts w:hint="eastAsia" w:ascii="宋体" w:hAnsi="宋体" w:eastAsia="宋体" w:cs="宋体"/>
                <w:sz w:val="24"/>
                <w:szCs w:val="24"/>
              </w:rPr>
              <w:t>展示患者危险分层统计。</w:t>
            </w:r>
          </w:p>
        </w:tc>
      </w:tr>
      <w:tr w14:paraId="7A20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909CF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B606B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2AA112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FD4365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各级地区</w:t>
            </w:r>
            <w:r>
              <w:rPr>
                <w:rFonts w:hint="eastAsia" w:ascii="宋体" w:hAnsi="宋体" w:eastAsia="宋体" w:cs="宋体"/>
                <w:sz w:val="24"/>
                <w:szCs w:val="24"/>
                <w:lang w:val="en-US" w:eastAsia="zh-CN"/>
              </w:rPr>
              <w:t>慢性肾病</w:t>
            </w:r>
            <w:r>
              <w:rPr>
                <w:rFonts w:hint="eastAsia" w:ascii="宋体" w:hAnsi="宋体" w:eastAsia="宋体" w:cs="宋体"/>
                <w:sz w:val="24"/>
                <w:szCs w:val="24"/>
              </w:rPr>
              <w:t>管理分析</w:t>
            </w:r>
          </w:p>
        </w:tc>
        <w:tc>
          <w:tcPr>
            <w:tcW w:w="5044" w:type="dxa"/>
            <w:noWrap w:val="0"/>
            <w:vAlign w:val="center"/>
          </w:tcPr>
          <w:p w14:paraId="112921F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系统需支持对区域所属的下级机构</w:t>
            </w:r>
            <w:r>
              <w:rPr>
                <w:rFonts w:hint="eastAsia" w:ascii="宋体" w:hAnsi="宋体" w:eastAsia="宋体" w:cs="宋体"/>
                <w:sz w:val="24"/>
                <w:szCs w:val="24"/>
                <w:lang w:val="en-US" w:eastAsia="zh-CN"/>
              </w:rPr>
              <w:t>慢性肾病</w:t>
            </w:r>
            <w:r>
              <w:rPr>
                <w:rFonts w:hint="eastAsia" w:ascii="宋体" w:hAnsi="宋体" w:eastAsia="宋体" w:cs="宋体"/>
                <w:sz w:val="24"/>
                <w:szCs w:val="24"/>
              </w:rPr>
              <w:t>管理情况进行统计。</w:t>
            </w:r>
          </w:p>
        </w:tc>
      </w:tr>
      <w:tr w14:paraId="776C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60475E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81FD49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7C9894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2C0EDA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4.慢性肾病</w:t>
            </w:r>
            <w:r>
              <w:rPr>
                <w:rFonts w:hint="eastAsia" w:ascii="宋体" w:hAnsi="宋体" w:eastAsia="宋体" w:cs="宋体"/>
                <w:sz w:val="24"/>
                <w:szCs w:val="24"/>
              </w:rPr>
              <w:t>患者明细</w:t>
            </w:r>
          </w:p>
        </w:tc>
        <w:tc>
          <w:tcPr>
            <w:tcW w:w="5044" w:type="dxa"/>
            <w:noWrap w:val="0"/>
            <w:vAlign w:val="center"/>
          </w:tcPr>
          <w:p w14:paraId="6B6512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系统需支持展示区域在管的</w:t>
            </w:r>
            <w:r>
              <w:rPr>
                <w:rFonts w:hint="eastAsia" w:ascii="宋体" w:hAnsi="宋体" w:eastAsia="宋体" w:cs="宋体"/>
                <w:sz w:val="24"/>
                <w:szCs w:val="24"/>
                <w:lang w:val="en-US" w:eastAsia="zh-CN"/>
              </w:rPr>
              <w:t>慢性肾病</w:t>
            </w:r>
            <w:r>
              <w:rPr>
                <w:rFonts w:hint="eastAsia" w:ascii="宋体" w:hAnsi="宋体" w:eastAsia="宋体" w:cs="宋体"/>
                <w:sz w:val="24"/>
                <w:szCs w:val="24"/>
              </w:rPr>
              <w:t>患者，包括其姓名、疾病类型、服务次数、服务类型，支持点击查看居民详情。</w:t>
            </w:r>
          </w:p>
        </w:tc>
      </w:tr>
      <w:tr w14:paraId="09A4B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FBBD0A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332C4CD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患者明细</w:t>
            </w:r>
          </w:p>
        </w:tc>
        <w:tc>
          <w:tcPr>
            <w:tcW w:w="1444" w:type="dxa"/>
            <w:vMerge w:val="restart"/>
            <w:noWrap w:val="0"/>
            <w:vAlign w:val="center"/>
          </w:tcPr>
          <w:p w14:paraId="56204E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患者明细</w:t>
            </w:r>
            <w:r>
              <w:rPr>
                <w:rFonts w:hint="eastAsia" w:ascii="宋体" w:hAnsi="宋体" w:eastAsia="宋体" w:cs="宋体"/>
                <w:sz w:val="24"/>
                <w:szCs w:val="24"/>
              </w:rPr>
              <w:t>是对某位在管居民进行专项信息调阅的监管模块，可查阅居民的历史管理记录和关键管理信息。</w:t>
            </w:r>
          </w:p>
        </w:tc>
        <w:tc>
          <w:tcPr>
            <w:tcW w:w="1228" w:type="dxa"/>
            <w:noWrap w:val="0"/>
            <w:vAlign w:val="center"/>
          </w:tcPr>
          <w:p w14:paraId="460273D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1.个人信息展示</w:t>
            </w:r>
          </w:p>
        </w:tc>
        <w:tc>
          <w:tcPr>
            <w:tcW w:w="5044" w:type="dxa"/>
            <w:noWrap w:val="0"/>
            <w:vAlign w:val="center"/>
          </w:tcPr>
          <w:p w14:paraId="62B7CEF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系统需支持展示居民关键个人信息，包括性别、年龄、疾病、管档医生、管理单位、危险因素。</w:t>
            </w:r>
          </w:p>
        </w:tc>
      </w:tr>
      <w:tr w14:paraId="3C0C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76ECF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7173F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05A8B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339E2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2.服务情况展示</w:t>
            </w:r>
          </w:p>
        </w:tc>
        <w:tc>
          <w:tcPr>
            <w:tcW w:w="5044" w:type="dxa"/>
            <w:noWrap w:val="0"/>
            <w:vAlign w:val="center"/>
          </w:tcPr>
          <w:p w14:paraId="34DC06F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系统需支持展示AI服务与人工服务的次数与占比。</w:t>
            </w:r>
          </w:p>
        </w:tc>
      </w:tr>
      <w:tr w14:paraId="04BAE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893E02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54E782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C6F87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433EB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3.个人服务记录展示</w:t>
            </w:r>
          </w:p>
        </w:tc>
        <w:tc>
          <w:tcPr>
            <w:tcW w:w="5044" w:type="dxa"/>
            <w:noWrap w:val="0"/>
            <w:vAlign w:val="center"/>
          </w:tcPr>
          <w:p w14:paraId="75787A8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系统需支持按时间倒序展示居民的服务记录，点击其中一条服务，可查看其具体内容。</w:t>
            </w:r>
          </w:p>
        </w:tc>
      </w:tr>
      <w:tr w14:paraId="6B6C1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2BD4B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3DBFE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8C1F3E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262605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4.体征数据展示</w:t>
            </w:r>
          </w:p>
        </w:tc>
        <w:tc>
          <w:tcPr>
            <w:tcW w:w="5044" w:type="dxa"/>
            <w:noWrap w:val="0"/>
            <w:vAlign w:val="center"/>
          </w:tcPr>
          <w:p w14:paraId="7BCD8E2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系统需支持展示居民最新的体征管理数据，包括居民的身高、体重、BMI、腰围、血压、血糖。</w:t>
            </w:r>
          </w:p>
        </w:tc>
      </w:tr>
      <w:tr w14:paraId="22C7E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C855C3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B7C1D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CABA1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61979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5.主要健康问题显示</w:t>
            </w:r>
          </w:p>
        </w:tc>
        <w:tc>
          <w:tcPr>
            <w:tcW w:w="5044" w:type="dxa"/>
            <w:noWrap w:val="0"/>
            <w:vAlign w:val="center"/>
          </w:tcPr>
          <w:p w14:paraId="7671C73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系统需显示居民如高血压的主要健康问题。</w:t>
            </w:r>
          </w:p>
        </w:tc>
      </w:tr>
      <w:tr w14:paraId="28835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14187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F8B341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772D93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D5D35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6.近3个月血压趋势图</w:t>
            </w:r>
          </w:p>
        </w:tc>
        <w:tc>
          <w:tcPr>
            <w:tcW w:w="5044" w:type="dxa"/>
            <w:noWrap w:val="0"/>
            <w:vAlign w:val="center"/>
          </w:tcPr>
          <w:p w14:paraId="3E7151E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系统需支持展示居民近3个月的血压趋势变化。</w:t>
            </w:r>
          </w:p>
        </w:tc>
      </w:tr>
      <w:tr w14:paraId="71FD9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20E6E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6119C6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64832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EBA96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7.近3个月血糖趋势图</w:t>
            </w:r>
          </w:p>
        </w:tc>
        <w:tc>
          <w:tcPr>
            <w:tcW w:w="5044" w:type="dxa"/>
            <w:noWrap w:val="0"/>
            <w:vAlign w:val="center"/>
          </w:tcPr>
          <w:p w14:paraId="3471124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系统需支持展示居民近3个月的血糖趋势变化。</w:t>
            </w:r>
          </w:p>
        </w:tc>
      </w:tr>
      <w:tr w14:paraId="33FB5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75D5C0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543898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基础数据统计</w:t>
            </w:r>
          </w:p>
        </w:tc>
        <w:tc>
          <w:tcPr>
            <w:tcW w:w="1444" w:type="dxa"/>
            <w:vMerge w:val="restart"/>
            <w:noWrap w:val="0"/>
            <w:vAlign w:val="center"/>
          </w:tcPr>
          <w:p w14:paraId="53238F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基础数据统计是对在管慢病患者的人数、分布、分类基础统计数据进行查询分析的功能模块</w:t>
            </w:r>
          </w:p>
        </w:tc>
        <w:tc>
          <w:tcPr>
            <w:tcW w:w="1228" w:type="dxa"/>
            <w:noWrap w:val="0"/>
            <w:vAlign w:val="center"/>
          </w:tcPr>
          <w:p w14:paraId="69B178F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总量查看</w:t>
            </w:r>
          </w:p>
        </w:tc>
        <w:tc>
          <w:tcPr>
            <w:tcW w:w="5044" w:type="dxa"/>
            <w:noWrap w:val="0"/>
            <w:vAlign w:val="center"/>
          </w:tcPr>
          <w:p w14:paraId="460BC41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系统需支持总览查看的功能，系统能够系统需支持实时反映区域整体应用情况。</w:t>
            </w:r>
          </w:p>
        </w:tc>
      </w:tr>
      <w:tr w14:paraId="667DF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4C97F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CD693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A7CCC1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7CC28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定向查看</w:t>
            </w:r>
          </w:p>
        </w:tc>
        <w:tc>
          <w:tcPr>
            <w:tcW w:w="5044" w:type="dxa"/>
            <w:noWrap w:val="0"/>
            <w:vAlign w:val="center"/>
          </w:tcPr>
          <w:p w14:paraId="67AA53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系统需支持按时间、区域查看各项数据的功能，系统能够按照多级单位结构进行定向数据查询功能。</w:t>
            </w:r>
          </w:p>
        </w:tc>
      </w:tr>
      <w:tr w14:paraId="3991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7D503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738F77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高血压数据分析</w:t>
            </w:r>
          </w:p>
        </w:tc>
        <w:tc>
          <w:tcPr>
            <w:tcW w:w="1444" w:type="dxa"/>
            <w:vMerge w:val="restart"/>
            <w:noWrap w:val="0"/>
            <w:vAlign w:val="center"/>
          </w:tcPr>
          <w:p w14:paraId="728176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高血压管理数据是对系统内高血压疾病进行专项数据分析的功能模块，可细致分析高血压患者的年龄、性别、服务、管理效果管理数据。</w:t>
            </w:r>
          </w:p>
        </w:tc>
        <w:tc>
          <w:tcPr>
            <w:tcW w:w="1228" w:type="dxa"/>
            <w:noWrap w:val="0"/>
            <w:vAlign w:val="center"/>
          </w:tcPr>
          <w:p w14:paraId="2AF855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人员数据</w:t>
            </w:r>
          </w:p>
        </w:tc>
        <w:tc>
          <w:tcPr>
            <w:tcW w:w="5044" w:type="dxa"/>
            <w:noWrap w:val="0"/>
            <w:vAlign w:val="center"/>
          </w:tcPr>
          <w:p w14:paraId="567CCEF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系统需支持从各维度统计高血压管理人员数据情况，如人员性别、年龄分布、人员分层结果统计。</w:t>
            </w:r>
          </w:p>
        </w:tc>
      </w:tr>
      <w:tr w14:paraId="4279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FF10B6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ED471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E53E5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D2D2EB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管理成效数据分析</w:t>
            </w:r>
          </w:p>
        </w:tc>
        <w:tc>
          <w:tcPr>
            <w:tcW w:w="5044" w:type="dxa"/>
            <w:noWrap w:val="0"/>
            <w:vAlign w:val="center"/>
          </w:tcPr>
          <w:p w14:paraId="62FB740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系统需支持按照区域管理要求，抽取相关任务指标的完成情况，自动生成管理成效的情况分析。</w:t>
            </w:r>
          </w:p>
        </w:tc>
      </w:tr>
      <w:tr w14:paraId="36890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46BD2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1BA142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FA116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050A97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AI自动干预数据分析</w:t>
            </w:r>
          </w:p>
        </w:tc>
        <w:tc>
          <w:tcPr>
            <w:tcW w:w="5044" w:type="dxa"/>
            <w:noWrap w:val="0"/>
            <w:vAlign w:val="center"/>
          </w:tcPr>
          <w:p w14:paraId="2BDD6E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系统需支持对AI自动干预的任务进行统计分析，区分短信、外呼、健康宣教的次数与使用内容分析。</w:t>
            </w:r>
          </w:p>
        </w:tc>
      </w:tr>
      <w:tr w14:paraId="4680C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25612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55D0121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糖尿病管理分析</w:t>
            </w:r>
          </w:p>
        </w:tc>
        <w:tc>
          <w:tcPr>
            <w:tcW w:w="1444" w:type="dxa"/>
            <w:vMerge w:val="restart"/>
            <w:noWrap w:val="0"/>
            <w:vAlign w:val="center"/>
          </w:tcPr>
          <w:p w14:paraId="5AB2574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糖尿病管理数据是对系统内</w:t>
            </w:r>
            <w:r>
              <w:rPr>
                <w:rFonts w:hint="eastAsia" w:ascii="宋体" w:hAnsi="宋体" w:eastAsia="宋体" w:cs="宋体"/>
                <w:sz w:val="24"/>
                <w:szCs w:val="24"/>
                <w:lang w:val="en-US" w:eastAsia="zh-CN"/>
              </w:rPr>
              <w:t>糖尿病</w:t>
            </w:r>
            <w:r>
              <w:rPr>
                <w:rFonts w:hint="eastAsia" w:ascii="宋体" w:hAnsi="宋体" w:eastAsia="宋体" w:cs="宋体"/>
                <w:sz w:val="24"/>
                <w:szCs w:val="24"/>
              </w:rPr>
              <w:t>疾病进行专项数据分析的功能模块，可细致分析糖尿病患者的年龄、性别、服务、管理效果管理数据。</w:t>
            </w:r>
          </w:p>
        </w:tc>
        <w:tc>
          <w:tcPr>
            <w:tcW w:w="1228" w:type="dxa"/>
            <w:noWrap w:val="0"/>
            <w:vAlign w:val="center"/>
          </w:tcPr>
          <w:p w14:paraId="56852A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人员数据</w:t>
            </w:r>
          </w:p>
        </w:tc>
        <w:tc>
          <w:tcPr>
            <w:tcW w:w="5044" w:type="dxa"/>
            <w:noWrap w:val="0"/>
            <w:vAlign w:val="center"/>
          </w:tcPr>
          <w:p w14:paraId="42DA5DF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系统需支持从各维度统计糖尿病管理人员数据情况，如人员性别、年龄分布、人员分层结果统计。</w:t>
            </w:r>
          </w:p>
        </w:tc>
      </w:tr>
      <w:tr w14:paraId="6FDC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8B657B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5ADF3A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314576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DA23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管理成效数据分析</w:t>
            </w:r>
          </w:p>
        </w:tc>
        <w:tc>
          <w:tcPr>
            <w:tcW w:w="5044" w:type="dxa"/>
            <w:noWrap w:val="0"/>
            <w:vAlign w:val="center"/>
          </w:tcPr>
          <w:p w14:paraId="371A4D3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系统需支持按照区域管理要求，抽取相关任务指标的完成情况，自动生成管理成效的情况分析。</w:t>
            </w:r>
          </w:p>
        </w:tc>
      </w:tr>
      <w:tr w14:paraId="3E2F7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10DC08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9E476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8AD5C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951F99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AI自动干预数据分析</w:t>
            </w:r>
          </w:p>
        </w:tc>
        <w:tc>
          <w:tcPr>
            <w:tcW w:w="5044" w:type="dxa"/>
            <w:noWrap w:val="0"/>
            <w:vAlign w:val="center"/>
          </w:tcPr>
          <w:p w14:paraId="1D2900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系统需支持对AI自动干预的任务进行统计分析，区分短信、外呼、健康宣教的次数与使用内容分析。</w:t>
            </w:r>
          </w:p>
        </w:tc>
      </w:tr>
    </w:tbl>
    <w:p w14:paraId="00D13FC9">
      <w:pPr>
        <w:spacing w:line="360" w:lineRule="auto"/>
        <w:ind w:firstLine="482" w:firstLineChars="200"/>
        <w:rPr>
          <w:rFonts w:hint="eastAsia" w:ascii="宋体" w:hAnsi="宋体" w:eastAsia="宋体" w:cs="宋体"/>
          <w:b/>
          <w:sz w:val="24"/>
          <w:szCs w:val="24"/>
          <w:lang w:val="en-US" w:eastAsia="zh-CN"/>
        </w:rPr>
      </w:pPr>
    </w:p>
    <w:p w14:paraId="0D4E01E4">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lang w:val="en-US" w:eastAsia="zh-CN"/>
        </w:rPr>
        <w:t>4</w:t>
      </w:r>
      <w:r>
        <w:rPr>
          <w:rFonts w:hint="eastAsia" w:ascii="宋体" w:hAnsi="宋体" w:eastAsia="宋体" w:cs="宋体"/>
          <w:b/>
          <w:sz w:val="24"/>
          <w:szCs w:val="24"/>
        </w:rPr>
        <w:t>、</w:t>
      </w:r>
      <w:r>
        <w:rPr>
          <w:rFonts w:hint="eastAsia" w:ascii="宋体" w:hAnsi="宋体" w:eastAsia="宋体" w:cs="宋体"/>
          <w:b/>
          <w:sz w:val="24"/>
          <w:szCs w:val="24"/>
          <w:lang w:val="en-US" w:eastAsia="zh-CN"/>
        </w:rPr>
        <w:t>智能外呼系统系统</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674"/>
        <w:gridCol w:w="1338"/>
        <w:gridCol w:w="1170"/>
        <w:gridCol w:w="4686"/>
      </w:tblGrid>
      <w:tr w14:paraId="25FA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noWrap w:val="0"/>
            <w:vAlign w:val="center"/>
          </w:tcPr>
          <w:p w14:paraId="34927E42">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一级模块</w:t>
            </w:r>
          </w:p>
        </w:tc>
        <w:tc>
          <w:tcPr>
            <w:tcW w:w="710" w:type="dxa"/>
            <w:noWrap w:val="0"/>
            <w:vAlign w:val="center"/>
          </w:tcPr>
          <w:p w14:paraId="2D07105C">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二级模块</w:t>
            </w:r>
          </w:p>
        </w:tc>
        <w:tc>
          <w:tcPr>
            <w:tcW w:w="1444" w:type="dxa"/>
            <w:noWrap w:val="0"/>
            <w:vAlign w:val="center"/>
          </w:tcPr>
          <w:p w14:paraId="5CEC7A3F">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二级模块概述</w:t>
            </w:r>
          </w:p>
        </w:tc>
        <w:tc>
          <w:tcPr>
            <w:tcW w:w="1228" w:type="dxa"/>
            <w:noWrap w:val="0"/>
            <w:vAlign w:val="center"/>
          </w:tcPr>
          <w:p w14:paraId="3725CDF5">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三级模块</w:t>
            </w:r>
          </w:p>
        </w:tc>
        <w:tc>
          <w:tcPr>
            <w:tcW w:w="5304" w:type="dxa"/>
            <w:noWrap w:val="0"/>
            <w:vAlign w:val="center"/>
          </w:tcPr>
          <w:p w14:paraId="4ABAC9F5">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4"/>
                <w:lang w:val="en-US" w:eastAsia="zh-CN"/>
              </w:rPr>
            </w:pPr>
            <w:r>
              <w:rPr>
                <w:rFonts w:hint="eastAsia" w:ascii="宋体" w:hAnsi="宋体" w:eastAsia="宋体" w:cs="宋体"/>
                <w:b/>
                <w:bCs/>
                <w:sz w:val="24"/>
                <w:szCs w:val="24"/>
              </w:rPr>
              <w:t>功能参数</w:t>
            </w:r>
          </w:p>
        </w:tc>
      </w:tr>
      <w:tr w14:paraId="66D7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restart"/>
            <w:noWrap w:val="0"/>
            <w:vAlign w:val="center"/>
          </w:tcPr>
          <w:p w14:paraId="4CEEBB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智能外呼</w:t>
            </w:r>
            <w:r>
              <w:rPr>
                <w:rFonts w:hint="eastAsia" w:ascii="宋体" w:hAnsi="宋体" w:eastAsia="宋体" w:cs="宋体"/>
                <w:sz w:val="24"/>
                <w:szCs w:val="24"/>
              </w:rPr>
              <w:t>系统</w:t>
            </w:r>
          </w:p>
        </w:tc>
        <w:tc>
          <w:tcPr>
            <w:tcW w:w="710" w:type="dxa"/>
            <w:vMerge w:val="restart"/>
            <w:noWrap w:val="0"/>
            <w:vAlign w:val="center"/>
          </w:tcPr>
          <w:p w14:paraId="0FE1A1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系统首页</w:t>
            </w:r>
          </w:p>
        </w:tc>
        <w:tc>
          <w:tcPr>
            <w:tcW w:w="1444" w:type="dxa"/>
            <w:vMerge w:val="restart"/>
            <w:noWrap w:val="0"/>
            <w:vAlign w:val="center"/>
          </w:tcPr>
          <w:p w14:paraId="6F29446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针对智能外呼系统关键数据进行展示</w:t>
            </w:r>
          </w:p>
        </w:tc>
        <w:tc>
          <w:tcPr>
            <w:tcW w:w="1228" w:type="dxa"/>
            <w:noWrap w:val="0"/>
            <w:vAlign w:val="center"/>
          </w:tcPr>
          <w:p w14:paraId="2C26439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1.今日使用数据统计</w:t>
            </w:r>
          </w:p>
        </w:tc>
        <w:tc>
          <w:tcPr>
            <w:tcW w:w="5304" w:type="dxa"/>
            <w:noWrap w:val="0"/>
            <w:vAlign w:val="center"/>
          </w:tcPr>
          <w:p w14:paraId="3D3363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系统需支持根据今日医生使用系统的数据进行自动归类分析</w:t>
            </w:r>
          </w:p>
        </w:tc>
      </w:tr>
      <w:tr w14:paraId="6EB2E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E3A097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10F43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50E0F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228" w:type="dxa"/>
            <w:noWrap w:val="0"/>
            <w:vAlign w:val="center"/>
          </w:tcPr>
          <w:p w14:paraId="11CA5C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2.历史使用数据统计</w:t>
            </w:r>
          </w:p>
        </w:tc>
        <w:tc>
          <w:tcPr>
            <w:tcW w:w="5304" w:type="dxa"/>
            <w:noWrap w:val="0"/>
            <w:vAlign w:val="center"/>
          </w:tcPr>
          <w:p w14:paraId="70CFD7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系统需支持单个医生账号的历史使用数据进行归纳分析。</w:t>
            </w:r>
          </w:p>
        </w:tc>
      </w:tr>
      <w:tr w14:paraId="2902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B50F1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7307B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16B433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690A38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3.智能提醒</w:t>
            </w:r>
          </w:p>
        </w:tc>
        <w:tc>
          <w:tcPr>
            <w:tcW w:w="5304" w:type="dxa"/>
            <w:noWrap w:val="0"/>
            <w:vAlign w:val="center"/>
          </w:tcPr>
          <w:p w14:paraId="5126832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系统需支持对完成批次任务数、号码异常数量数据进行提醒。</w:t>
            </w:r>
          </w:p>
        </w:tc>
      </w:tr>
      <w:tr w14:paraId="7F1F8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CDA9A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665618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居民管理</w:t>
            </w:r>
          </w:p>
        </w:tc>
        <w:tc>
          <w:tcPr>
            <w:tcW w:w="1444" w:type="dxa"/>
            <w:vMerge w:val="restart"/>
            <w:noWrap w:val="0"/>
            <w:vAlign w:val="center"/>
          </w:tcPr>
          <w:p w14:paraId="1CA225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对需要随访的居民名单进行管理，导入和导出管理</w:t>
            </w:r>
          </w:p>
        </w:tc>
        <w:tc>
          <w:tcPr>
            <w:tcW w:w="1228" w:type="dxa"/>
            <w:noWrap w:val="0"/>
            <w:vAlign w:val="center"/>
          </w:tcPr>
          <w:p w14:paraId="55343F1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1.居民信息管理</w:t>
            </w:r>
          </w:p>
        </w:tc>
        <w:tc>
          <w:tcPr>
            <w:tcW w:w="5304" w:type="dxa"/>
            <w:noWrap w:val="0"/>
            <w:vAlign w:val="center"/>
          </w:tcPr>
          <w:p w14:paraId="66B25B5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系统需支持医生新增或批量导入居民的信息进行管理。</w:t>
            </w:r>
          </w:p>
        </w:tc>
      </w:tr>
      <w:tr w14:paraId="248D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61517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ECD56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79360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3CBC03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2.居民详情信息</w:t>
            </w:r>
          </w:p>
        </w:tc>
        <w:tc>
          <w:tcPr>
            <w:tcW w:w="5304" w:type="dxa"/>
            <w:noWrap w:val="0"/>
            <w:vAlign w:val="center"/>
          </w:tcPr>
          <w:p w14:paraId="5B1B9E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系统需支持点击查看居民详细信息，包括居民基础信息、随访记录。</w:t>
            </w:r>
          </w:p>
        </w:tc>
      </w:tr>
      <w:tr w14:paraId="0ECAE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39076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1B4759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模板管理</w:t>
            </w:r>
          </w:p>
          <w:p w14:paraId="40D4AE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restart"/>
            <w:noWrap w:val="0"/>
            <w:vAlign w:val="center"/>
          </w:tcPr>
          <w:p w14:paraId="11B6CD8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用于配置方案、电话、语音、问卷模版</w:t>
            </w:r>
          </w:p>
        </w:tc>
        <w:tc>
          <w:tcPr>
            <w:tcW w:w="1228" w:type="dxa"/>
            <w:noWrap w:val="0"/>
            <w:vAlign w:val="center"/>
          </w:tcPr>
          <w:p w14:paraId="7F961A3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1.我的方案</w:t>
            </w:r>
          </w:p>
        </w:tc>
        <w:tc>
          <w:tcPr>
            <w:tcW w:w="5304" w:type="dxa"/>
            <w:noWrap w:val="0"/>
            <w:vAlign w:val="center"/>
          </w:tcPr>
          <w:p w14:paraId="3F6368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系统需支持针对不同的应用场景自定义制定随访方案。</w:t>
            </w:r>
          </w:p>
        </w:tc>
      </w:tr>
      <w:tr w14:paraId="3372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CB87EF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A70C0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DC1F1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62589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2.电话模板</w:t>
            </w:r>
          </w:p>
        </w:tc>
        <w:tc>
          <w:tcPr>
            <w:tcW w:w="5304" w:type="dxa"/>
            <w:noWrap w:val="0"/>
            <w:vAlign w:val="center"/>
          </w:tcPr>
          <w:p w14:paraId="25B841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系统需支持通用的AI随访话术，可以预留随访流程。</w:t>
            </w:r>
          </w:p>
        </w:tc>
      </w:tr>
      <w:tr w14:paraId="5AD9B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AC2AE6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AF8A5A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B82CA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5DA18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3.短信模板</w:t>
            </w:r>
          </w:p>
        </w:tc>
        <w:tc>
          <w:tcPr>
            <w:tcW w:w="5304" w:type="dxa"/>
            <w:noWrap w:val="0"/>
            <w:vAlign w:val="center"/>
          </w:tcPr>
          <w:p w14:paraId="14BE09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系统需支持系医生查看短信模板，新增短信随访方案。</w:t>
            </w:r>
          </w:p>
        </w:tc>
      </w:tr>
      <w:tr w14:paraId="3AFE0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vMerge w:val="continue"/>
            <w:noWrap w:val="0"/>
            <w:vAlign w:val="center"/>
          </w:tcPr>
          <w:p w14:paraId="370B33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2CCD22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0088E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7C3247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4.问卷模版</w:t>
            </w:r>
          </w:p>
        </w:tc>
        <w:tc>
          <w:tcPr>
            <w:tcW w:w="5304" w:type="dxa"/>
            <w:noWrap w:val="0"/>
            <w:vAlign w:val="center"/>
          </w:tcPr>
          <w:p w14:paraId="5F42BD5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系统需支持按照随访需要，自定义创建问卷内容。</w:t>
            </w:r>
          </w:p>
        </w:tc>
      </w:tr>
      <w:tr w14:paraId="0F92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87" w:type="dxa"/>
            <w:vMerge w:val="continue"/>
            <w:noWrap w:val="0"/>
            <w:vAlign w:val="center"/>
          </w:tcPr>
          <w:p w14:paraId="2B983FB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E75C98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D83155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4457BF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5.服务场景</w:t>
            </w:r>
          </w:p>
        </w:tc>
        <w:tc>
          <w:tcPr>
            <w:tcW w:w="5304" w:type="dxa"/>
            <w:noWrap w:val="0"/>
            <w:vAlign w:val="center"/>
          </w:tcPr>
          <w:p w14:paraId="3B4294A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default" w:ascii="宋体" w:hAnsi="宋体" w:eastAsia="宋体" w:cs="宋体"/>
                <w:kern w:val="0"/>
                <w:sz w:val="24"/>
                <w:szCs w:val="24"/>
                <w:lang w:val="en-US" w:eastAsia="zh-CN" w:bidi="ar"/>
              </w:rPr>
              <w:t>系统</w:t>
            </w:r>
            <w:r>
              <w:rPr>
                <w:rFonts w:hint="eastAsia" w:ascii="宋体" w:hAnsi="宋体" w:eastAsia="宋体" w:cs="宋体"/>
                <w:kern w:val="0"/>
                <w:sz w:val="24"/>
                <w:szCs w:val="24"/>
                <w:lang w:val="en-US" w:eastAsia="zh-CN" w:bidi="ar"/>
              </w:rPr>
              <w:t>需</w:t>
            </w:r>
            <w:r>
              <w:rPr>
                <w:rFonts w:hint="default" w:ascii="宋体" w:hAnsi="宋体" w:eastAsia="宋体" w:cs="宋体"/>
                <w:kern w:val="0"/>
                <w:sz w:val="24"/>
                <w:szCs w:val="24"/>
                <w:lang w:val="en-US" w:eastAsia="zh-CN" w:bidi="ar"/>
              </w:rPr>
              <w:t>覆盖《国家基本公共卫生服务规范（第三版）》</w:t>
            </w:r>
            <w:r>
              <w:rPr>
                <w:rFonts w:hint="eastAsia" w:ascii="宋体" w:hAnsi="宋体" w:cs="宋体"/>
                <w:kern w:val="0"/>
                <w:sz w:val="24"/>
                <w:szCs w:val="24"/>
                <w:lang w:val="en-US" w:eastAsia="zh-CN" w:bidi="ar"/>
              </w:rPr>
              <w:t>部分</w:t>
            </w:r>
            <w:r>
              <w:rPr>
                <w:rFonts w:hint="default" w:ascii="宋体" w:hAnsi="宋体" w:eastAsia="宋体" w:cs="宋体"/>
                <w:kern w:val="0"/>
                <w:sz w:val="24"/>
                <w:szCs w:val="24"/>
                <w:lang w:val="en-US" w:eastAsia="zh-CN" w:bidi="ar"/>
              </w:rPr>
              <w:t>场景，系统内置电话模板数≥</w:t>
            </w:r>
            <w:r>
              <w:rPr>
                <w:rFonts w:hint="eastAsia" w:ascii="宋体" w:hAnsi="宋体" w:cs="宋体"/>
                <w:kern w:val="0"/>
                <w:sz w:val="24"/>
                <w:szCs w:val="24"/>
                <w:lang w:val="en-US" w:eastAsia="zh-CN" w:bidi="ar"/>
              </w:rPr>
              <w:t>100</w:t>
            </w:r>
            <w:r>
              <w:rPr>
                <w:rFonts w:hint="default" w:ascii="宋体" w:hAnsi="宋体" w:eastAsia="宋体" w:cs="宋体"/>
                <w:kern w:val="0"/>
                <w:sz w:val="24"/>
                <w:szCs w:val="24"/>
                <w:lang w:val="en-US" w:eastAsia="zh-CN" w:bidi="ar"/>
              </w:rPr>
              <w:t xml:space="preserve"> 种。</w:t>
            </w:r>
            <w:r>
              <w:rPr>
                <w:rFonts w:hint="eastAsia" w:ascii="宋体" w:hAnsi="宋体" w:eastAsia="宋体" w:cs="宋体"/>
                <w:i w:val="0"/>
                <w:iCs w:val="0"/>
                <w:color w:val="000000"/>
                <w:kern w:val="0"/>
                <w:sz w:val="24"/>
                <w:szCs w:val="24"/>
                <w:u w:val="none"/>
                <w:lang w:val="en-US" w:eastAsia="zh-CN" w:bidi="ar"/>
              </w:rPr>
              <w:t>(需提供国家认证认可机构（具有CMA或CNAS标志）出具的</w:t>
            </w:r>
            <w:r>
              <w:rPr>
                <w:rFonts w:hint="eastAsia" w:ascii="宋体" w:hAnsi="宋体" w:cs="宋体"/>
                <w:i w:val="0"/>
                <w:iCs w:val="0"/>
                <w:color w:val="000000"/>
                <w:kern w:val="0"/>
                <w:sz w:val="24"/>
                <w:szCs w:val="24"/>
                <w:u w:val="none"/>
                <w:lang w:val="en-US" w:eastAsia="zh-CN" w:bidi="ar"/>
              </w:rPr>
              <w:t>检验报告</w:t>
            </w:r>
            <w:r>
              <w:rPr>
                <w:rFonts w:hint="eastAsia" w:ascii="宋体" w:hAnsi="宋体" w:eastAsia="宋体" w:cs="宋体"/>
                <w:i w:val="0"/>
                <w:iCs w:val="0"/>
                <w:color w:val="000000"/>
                <w:kern w:val="0"/>
                <w:sz w:val="24"/>
                <w:szCs w:val="24"/>
                <w:u w:val="none"/>
                <w:lang w:val="en-US" w:eastAsia="zh-CN" w:bidi="ar"/>
              </w:rPr>
              <w:t>扫描件或影印件并加盖公章)</w:t>
            </w:r>
          </w:p>
        </w:tc>
      </w:tr>
      <w:tr w14:paraId="7ABF6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16C5D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1FDBDEE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随访任务管理</w:t>
            </w:r>
          </w:p>
        </w:tc>
        <w:tc>
          <w:tcPr>
            <w:tcW w:w="1444" w:type="dxa"/>
            <w:vMerge w:val="restart"/>
            <w:noWrap w:val="0"/>
            <w:vAlign w:val="center"/>
          </w:tcPr>
          <w:p w14:paraId="70B57E4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管理日常随访任务。</w:t>
            </w:r>
          </w:p>
        </w:tc>
        <w:tc>
          <w:tcPr>
            <w:tcW w:w="1228" w:type="dxa"/>
            <w:noWrap w:val="0"/>
            <w:vAlign w:val="center"/>
          </w:tcPr>
          <w:p w14:paraId="387CD6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创建电话任务</w:t>
            </w:r>
          </w:p>
        </w:tc>
        <w:tc>
          <w:tcPr>
            <w:tcW w:w="5304" w:type="dxa"/>
            <w:noWrap w:val="0"/>
            <w:vAlign w:val="center"/>
          </w:tcPr>
          <w:p w14:paraId="58C2786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系统需支持设定对应的电话随访话术后、可批量导入呼叫的人群，由系统自动执行外呼。</w:t>
            </w:r>
          </w:p>
        </w:tc>
      </w:tr>
      <w:tr w14:paraId="083D4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9AB4A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E01C29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11CAE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D8883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随访播报内容设置</w:t>
            </w:r>
          </w:p>
        </w:tc>
        <w:tc>
          <w:tcPr>
            <w:tcW w:w="5304" w:type="dxa"/>
            <w:noWrap w:val="0"/>
            <w:vAlign w:val="center"/>
          </w:tcPr>
          <w:p w14:paraId="7E4A228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系统需支持话术变量内容填写，如体检预约类填写体检时间、地点；</w:t>
            </w:r>
          </w:p>
        </w:tc>
      </w:tr>
      <w:tr w14:paraId="721A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CDB9A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2132E7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14566E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258B0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3.未接通自动重拨</w:t>
            </w:r>
          </w:p>
        </w:tc>
        <w:tc>
          <w:tcPr>
            <w:tcW w:w="5304" w:type="dxa"/>
            <w:noWrap w:val="0"/>
            <w:vAlign w:val="center"/>
          </w:tcPr>
          <w:p w14:paraId="5D7FEA5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系统需支持针对电话拨打后居民可能没接通，系统支持设定自动重拨。</w:t>
            </w:r>
          </w:p>
        </w:tc>
      </w:tr>
      <w:tr w14:paraId="331C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7F1F0B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4A9DC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2EDC98D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30F0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4.防骚扰过滤</w:t>
            </w:r>
          </w:p>
        </w:tc>
        <w:tc>
          <w:tcPr>
            <w:tcW w:w="5304" w:type="dxa"/>
            <w:noWrap w:val="0"/>
            <w:vAlign w:val="center"/>
          </w:tcPr>
          <w:p w14:paraId="322A94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系统需支持针对7天内有过呼叫记录的号码，进行自动过滤，避免骚扰。</w:t>
            </w:r>
          </w:p>
        </w:tc>
      </w:tr>
      <w:tr w14:paraId="38ABC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0213C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2804E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2D987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E59C08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创建短信任务</w:t>
            </w:r>
          </w:p>
        </w:tc>
        <w:tc>
          <w:tcPr>
            <w:tcW w:w="5304" w:type="dxa"/>
            <w:noWrap w:val="0"/>
            <w:vAlign w:val="center"/>
          </w:tcPr>
          <w:p w14:paraId="4C42B65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系统需支持</w:t>
            </w:r>
            <w:r>
              <w:rPr>
                <w:rFonts w:hint="eastAsia" w:ascii="宋体" w:hAnsi="宋体" w:eastAsia="宋体" w:cs="宋体"/>
                <w:sz w:val="24"/>
                <w:szCs w:val="24"/>
              </w:rPr>
              <w:t>针对宣教内容</w:t>
            </w:r>
            <w:r>
              <w:rPr>
                <w:rFonts w:hint="eastAsia" w:ascii="宋体" w:hAnsi="宋体" w:eastAsia="宋体" w:cs="宋体"/>
                <w:sz w:val="24"/>
                <w:szCs w:val="24"/>
                <w:lang w:val="en-US" w:eastAsia="zh-CN"/>
              </w:rPr>
              <w:t>通过</w:t>
            </w:r>
            <w:r>
              <w:rPr>
                <w:rFonts w:hint="eastAsia" w:ascii="宋体" w:hAnsi="宋体" w:eastAsia="宋体" w:cs="宋体"/>
                <w:sz w:val="24"/>
                <w:szCs w:val="24"/>
              </w:rPr>
              <w:t>短信方式进行随访</w:t>
            </w:r>
          </w:p>
        </w:tc>
      </w:tr>
      <w:tr w14:paraId="180A5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5F94C4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35DE7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436C88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D1C80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创建问卷任务</w:t>
            </w:r>
          </w:p>
        </w:tc>
        <w:tc>
          <w:tcPr>
            <w:tcW w:w="5304" w:type="dxa"/>
            <w:noWrap w:val="0"/>
            <w:vAlign w:val="center"/>
          </w:tcPr>
          <w:p w14:paraId="3B0E5D8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系统需支持支持创建问卷任务，选择对应的问卷模板后，可通过短信方式将问卷定向发送给居民随访。</w:t>
            </w:r>
          </w:p>
        </w:tc>
      </w:tr>
      <w:tr w14:paraId="2E8FF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A16286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D0F73C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366191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3D92B3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任务定时功能</w:t>
            </w:r>
          </w:p>
        </w:tc>
        <w:tc>
          <w:tcPr>
            <w:tcW w:w="5304" w:type="dxa"/>
            <w:noWrap w:val="0"/>
            <w:vAlign w:val="center"/>
          </w:tcPr>
          <w:p w14:paraId="7CD8F7E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系统需支持支持设置定时任务随访。</w:t>
            </w:r>
          </w:p>
        </w:tc>
      </w:tr>
      <w:tr w14:paraId="517BA930">
        <w:tblPrEx>
          <w:tblCellMar>
            <w:top w:w="0" w:type="dxa"/>
            <w:left w:w="108" w:type="dxa"/>
            <w:bottom w:w="0" w:type="dxa"/>
            <w:right w:w="108" w:type="dxa"/>
          </w:tblCellMar>
        </w:tblPrEx>
        <w:trPr>
          <w:trHeight w:val="465" w:hRule="atLeast"/>
          <w:jc w:val="center"/>
        </w:trPr>
        <w:tc>
          <w:tcPr>
            <w:tcW w:w="687" w:type="dxa"/>
            <w:vMerge w:val="continue"/>
            <w:noWrap w:val="0"/>
            <w:vAlign w:val="center"/>
          </w:tcPr>
          <w:p w14:paraId="2AAA1C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6B39650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随访结果分析</w:t>
            </w:r>
          </w:p>
        </w:tc>
        <w:tc>
          <w:tcPr>
            <w:tcW w:w="1444" w:type="dxa"/>
            <w:vMerge w:val="restart"/>
            <w:noWrap w:val="0"/>
            <w:vAlign w:val="center"/>
          </w:tcPr>
          <w:p w14:paraId="18D2985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用于针对随访结果进行专项分析</w:t>
            </w:r>
          </w:p>
        </w:tc>
        <w:tc>
          <w:tcPr>
            <w:tcW w:w="1228" w:type="dxa"/>
            <w:noWrap w:val="0"/>
            <w:vAlign w:val="center"/>
          </w:tcPr>
          <w:p w14:paraId="42FE57D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1.电话结果分析</w:t>
            </w:r>
          </w:p>
        </w:tc>
        <w:tc>
          <w:tcPr>
            <w:tcW w:w="5304" w:type="dxa"/>
            <w:noWrap w:val="0"/>
            <w:vAlign w:val="center"/>
          </w:tcPr>
          <w:p w14:paraId="62971F5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支持展示历次的电话随访批次任务数据</w:t>
            </w:r>
            <w:r>
              <w:rPr>
                <w:rFonts w:hint="eastAsia" w:ascii="宋体" w:hAnsi="宋体" w:eastAsia="宋体" w:cs="宋体"/>
                <w:sz w:val="24"/>
                <w:szCs w:val="24"/>
                <w:lang w:val="en-US" w:eastAsia="zh-CN"/>
              </w:rPr>
              <w:t>进行分析。</w:t>
            </w:r>
          </w:p>
        </w:tc>
      </w:tr>
      <w:tr w14:paraId="05CDD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A6DA8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DF3A3A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36800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A7187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2.电话结果明细统计</w:t>
            </w:r>
          </w:p>
        </w:tc>
        <w:tc>
          <w:tcPr>
            <w:tcW w:w="5304" w:type="dxa"/>
            <w:noWrap w:val="0"/>
            <w:vAlign w:val="center"/>
          </w:tcPr>
          <w:p w14:paraId="495752D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系统需支持查看居民随访回答的明细列表，并支持导出。</w:t>
            </w:r>
          </w:p>
        </w:tc>
      </w:tr>
      <w:tr w14:paraId="0049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A6435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716C3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B1493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09AAC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3.随访录音回听</w:t>
            </w:r>
          </w:p>
        </w:tc>
        <w:tc>
          <w:tcPr>
            <w:tcW w:w="5304" w:type="dxa"/>
            <w:noWrap w:val="0"/>
            <w:vAlign w:val="center"/>
          </w:tcPr>
          <w:p w14:paraId="3F6513F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系统需支持保留随访音频，支持回听交互录音。</w:t>
            </w:r>
          </w:p>
          <w:p w14:paraId="5BCBADE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p>
        </w:tc>
      </w:tr>
      <w:tr w14:paraId="1FB9A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447ADC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656020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9B400D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11FB57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4.人机对话文本查阅</w:t>
            </w:r>
          </w:p>
        </w:tc>
        <w:tc>
          <w:tcPr>
            <w:tcW w:w="5304" w:type="dxa"/>
            <w:noWrap w:val="0"/>
            <w:vAlign w:val="center"/>
          </w:tcPr>
          <w:p w14:paraId="46ED9BC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系统需支持将人机交互音频转换成识别文本进行展示。</w:t>
            </w:r>
          </w:p>
        </w:tc>
      </w:tr>
      <w:tr w14:paraId="356BF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BE7FBC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C1A513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0B92E8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05E87C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5.电话未接通原因分析</w:t>
            </w:r>
          </w:p>
        </w:tc>
        <w:tc>
          <w:tcPr>
            <w:tcW w:w="5304" w:type="dxa"/>
            <w:noWrap w:val="0"/>
            <w:vAlign w:val="center"/>
          </w:tcPr>
          <w:p w14:paraId="25C4C39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系统需支持自动对未接通的电话进行原因分析。</w:t>
            </w:r>
          </w:p>
        </w:tc>
      </w:tr>
      <w:tr w14:paraId="5C02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4C5831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5D1C742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2A5699F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4609D2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6.电话汇总分析</w:t>
            </w:r>
          </w:p>
        </w:tc>
        <w:tc>
          <w:tcPr>
            <w:tcW w:w="5304" w:type="dxa"/>
            <w:noWrap w:val="0"/>
            <w:vAlign w:val="center"/>
          </w:tcPr>
          <w:p w14:paraId="1F59263D">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系统需支持对使用相同电话模板的电话任务进行汇总统计。</w:t>
            </w:r>
          </w:p>
        </w:tc>
      </w:tr>
      <w:tr w14:paraId="2AC3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A70F18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A47F3A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379291E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6D42A5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7.短信结果分析</w:t>
            </w:r>
          </w:p>
        </w:tc>
        <w:tc>
          <w:tcPr>
            <w:tcW w:w="5304" w:type="dxa"/>
            <w:noWrap w:val="0"/>
            <w:vAlign w:val="center"/>
          </w:tcPr>
          <w:p w14:paraId="020EADF0">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系统需支持按照任务时间段、任务状态筛选，展示随访情况。</w:t>
            </w:r>
          </w:p>
        </w:tc>
      </w:tr>
      <w:tr w14:paraId="03AE9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278FCD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C8E65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43F4E75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3D32A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8.问卷结果分析</w:t>
            </w:r>
          </w:p>
        </w:tc>
        <w:tc>
          <w:tcPr>
            <w:tcW w:w="5304" w:type="dxa"/>
            <w:noWrap w:val="0"/>
            <w:vAlign w:val="center"/>
          </w:tcPr>
          <w:p w14:paraId="20F85CF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系统需支持按照任务时间段、任务状态、问卷模板筛选，展示随访情况。</w:t>
            </w:r>
          </w:p>
        </w:tc>
      </w:tr>
      <w:tr w14:paraId="11D79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48221CC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6C38A79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限呼管理</w:t>
            </w:r>
          </w:p>
        </w:tc>
        <w:tc>
          <w:tcPr>
            <w:tcW w:w="1444" w:type="dxa"/>
            <w:vMerge w:val="restart"/>
            <w:noWrap w:val="0"/>
            <w:vAlign w:val="center"/>
          </w:tcPr>
          <w:p w14:paraId="64C1B4A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针对限呼名单进行管理，控制限制呼叫</w:t>
            </w:r>
          </w:p>
        </w:tc>
        <w:tc>
          <w:tcPr>
            <w:tcW w:w="1228" w:type="dxa"/>
            <w:noWrap w:val="0"/>
            <w:vAlign w:val="center"/>
          </w:tcPr>
          <w:p w14:paraId="733192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1.异常自动过滤</w:t>
            </w:r>
          </w:p>
        </w:tc>
        <w:tc>
          <w:tcPr>
            <w:tcW w:w="5304" w:type="dxa"/>
            <w:noWrap w:val="0"/>
            <w:vAlign w:val="center"/>
          </w:tcPr>
          <w:p w14:paraId="1C7A5E0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系统需支持将不愿配合接听电话的居民，加入限呼名单，自动进行过滤不再外呼。</w:t>
            </w:r>
          </w:p>
        </w:tc>
      </w:tr>
      <w:tr w14:paraId="65075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687" w:type="dxa"/>
            <w:vMerge w:val="continue"/>
            <w:noWrap w:val="0"/>
            <w:vAlign w:val="center"/>
          </w:tcPr>
          <w:p w14:paraId="6E44E4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BBC88C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32D4EBA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4B1ACC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2.限呼名单增删改</w:t>
            </w:r>
          </w:p>
        </w:tc>
        <w:tc>
          <w:tcPr>
            <w:tcW w:w="5304" w:type="dxa"/>
            <w:noWrap w:val="0"/>
            <w:vAlign w:val="center"/>
          </w:tcPr>
          <w:p w14:paraId="00E4E6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系统需支持根据实际情况对限呼名单进行信息调整。</w:t>
            </w:r>
          </w:p>
        </w:tc>
      </w:tr>
      <w:tr w14:paraId="5C22B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E2516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7FA5D8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后台管理</w:t>
            </w:r>
          </w:p>
        </w:tc>
        <w:tc>
          <w:tcPr>
            <w:tcW w:w="1444" w:type="dxa"/>
            <w:vMerge w:val="restart"/>
            <w:noWrap w:val="0"/>
            <w:vAlign w:val="center"/>
          </w:tcPr>
          <w:p w14:paraId="0A1400DC">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用于配置外呼系统各类设置。</w:t>
            </w:r>
          </w:p>
        </w:tc>
        <w:tc>
          <w:tcPr>
            <w:tcW w:w="1228" w:type="dxa"/>
            <w:noWrap w:val="0"/>
            <w:vAlign w:val="center"/>
          </w:tcPr>
          <w:p w14:paraId="03DFBF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1.电话模板管理</w:t>
            </w:r>
          </w:p>
        </w:tc>
        <w:tc>
          <w:tcPr>
            <w:tcW w:w="5304" w:type="dxa"/>
            <w:noWrap w:val="0"/>
            <w:vAlign w:val="center"/>
          </w:tcPr>
          <w:p w14:paraId="5C6E50F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系统需支持系统管理员在电话模板库管理中所有的可使用的电话模板。</w:t>
            </w:r>
          </w:p>
        </w:tc>
      </w:tr>
      <w:tr w14:paraId="64C9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628B8E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1CB9E0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00F431C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BAC1B8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2.短信模板管理</w:t>
            </w:r>
          </w:p>
        </w:tc>
        <w:tc>
          <w:tcPr>
            <w:tcW w:w="5304" w:type="dxa"/>
            <w:noWrap w:val="0"/>
            <w:vAlign w:val="center"/>
          </w:tcPr>
          <w:p w14:paraId="57EDBA87">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系统需支持系统管理员在短信模板库管理中所有的可使用的短信模板。</w:t>
            </w:r>
          </w:p>
        </w:tc>
      </w:tr>
      <w:tr w14:paraId="3080B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EBD71C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04A3B15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6CF2DC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4F90E6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3.问卷模板设置</w:t>
            </w:r>
          </w:p>
        </w:tc>
        <w:tc>
          <w:tcPr>
            <w:tcW w:w="5304" w:type="dxa"/>
            <w:noWrap w:val="0"/>
            <w:vAlign w:val="center"/>
          </w:tcPr>
          <w:p w14:paraId="6639CF8B">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系统需支持系统管理员在问卷模板管理所有可以使用的问卷模板，进行设置</w:t>
            </w:r>
            <w:r>
              <w:rPr>
                <w:rFonts w:hint="eastAsia" w:ascii="宋体" w:hAnsi="宋体" w:eastAsia="宋体" w:cs="宋体"/>
                <w:sz w:val="24"/>
                <w:szCs w:val="24"/>
                <w:lang w:eastAsia="zh-CN" w:bidi="ar"/>
              </w:rPr>
              <w:t>。</w:t>
            </w:r>
          </w:p>
        </w:tc>
      </w:tr>
      <w:tr w14:paraId="18E1F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5EF9BB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2F8D61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39290B7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E8C69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4.电话结果分析</w:t>
            </w:r>
          </w:p>
        </w:tc>
        <w:tc>
          <w:tcPr>
            <w:tcW w:w="5304" w:type="dxa"/>
            <w:noWrap w:val="0"/>
            <w:vAlign w:val="center"/>
          </w:tcPr>
          <w:p w14:paraId="26E3B2A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系统需支持系统管理员查看辖区内的历史电话随访记录并进行分析。</w:t>
            </w:r>
          </w:p>
        </w:tc>
      </w:tr>
      <w:tr w14:paraId="2234E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8B6764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026D44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588376A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5AAFE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5.短信结果分析</w:t>
            </w:r>
          </w:p>
        </w:tc>
        <w:tc>
          <w:tcPr>
            <w:tcW w:w="5304" w:type="dxa"/>
            <w:noWrap w:val="0"/>
            <w:vAlign w:val="center"/>
          </w:tcPr>
          <w:p w14:paraId="3795546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系统需支持系统管理员查看辖区内的历史短信随访记录。</w:t>
            </w:r>
          </w:p>
        </w:tc>
      </w:tr>
      <w:tr w14:paraId="2F07A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87" w:type="dxa"/>
            <w:vMerge w:val="continue"/>
            <w:noWrap w:val="0"/>
            <w:vAlign w:val="center"/>
          </w:tcPr>
          <w:p w14:paraId="0011F40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51047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1B7C8C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03BDC1A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6.问卷结果分析</w:t>
            </w:r>
          </w:p>
        </w:tc>
        <w:tc>
          <w:tcPr>
            <w:tcW w:w="5304" w:type="dxa"/>
            <w:noWrap w:val="0"/>
            <w:vAlign w:val="center"/>
          </w:tcPr>
          <w:p w14:paraId="49F796A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系统需支持系统管理员查看辖区内的历史问卷随访记录。</w:t>
            </w:r>
          </w:p>
        </w:tc>
      </w:tr>
      <w:tr w14:paraId="45C5E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1E8F17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4FA7566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44F5624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25235B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7.单位模板配置</w:t>
            </w:r>
          </w:p>
        </w:tc>
        <w:tc>
          <w:tcPr>
            <w:tcW w:w="5304" w:type="dxa"/>
            <w:noWrap w:val="0"/>
            <w:vAlign w:val="center"/>
          </w:tcPr>
          <w:p w14:paraId="695A0BE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系统需支持系统管理员对电话模板、短信模板、问卷模板与单位的关系配置。</w:t>
            </w:r>
          </w:p>
        </w:tc>
      </w:tr>
      <w:tr w14:paraId="197F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58CD8E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432D2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6D0A9F8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19435A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8.单位号码配置</w:t>
            </w:r>
          </w:p>
        </w:tc>
        <w:tc>
          <w:tcPr>
            <w:tcW w:w="5304" w:type="dxa"/>
            <w:noWrap w:val="0"/>
            <w:vAlign w:val="center"/>
          </w:tcPr>
          <w:p w14:paraId="16AFE64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系统需</w:t>
            </w:r>
            <w:r>
              <w:rPr>
                <w:rFonts w:hint="eastAsia" w:ascii="宋体" w:hAnsi="宋体" w:eastAsia="宋体" w:cs="宋体"/>
                <w:sz w:val="24"/>
                <w:szCs w:val="24"/>
              </w:rPr>
              <w:t>支持系统管理员对辖区内的外呼号码进行管理以及分配</w:t>
            </w:r>
          </w:p>
        </w:tc>
      </w:tr>
      <w:tr w14:paraId="480D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2F1783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2236C5F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D8BE7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6708AE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9.单位个性化配置</w:t>
            </w:r>
          </w:p>
        </w:tc>
        <w:tc>
          <w:tcPr>
            <w:tcW w:w="5304" w:type="dxa"/>
            <w:noWrap w:val="0"/>
            <w:vAlign w:val="center"/>
          </w:tcPr>
          <w:p w14:paraId="5FE3BB28">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系统需支持系统管理员新增单位logo以及设置系统的显示名称</w:t>
            </w:r>
            <w:r>
              <w:rPr>
                <w:rFonts w:hint="eastAsia" w:ascii="宋体" w:hAnsi="宋体" w:eastAsia="宋体" w:cs="宋体"/>
                <w:sz w:val="24"/>
                <w:szCs w:val="24"/>
                <w:lang w:eastAsia="zh-CN" w:bidi="ar"/>
              </w:rPr>
              <w:t>。</w:t>
            </w:r>
          </w:p>
        </w:tc>
      </w:tr>
      <w:tr w14:paraId="1C633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63FA5F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noWrap w:val="0"/>
            <w:vAlign w:val="center"/>
          </w:tcPr>
          <w:p w14:paraId="1D1979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noWrap w:val="0"/>
            <w:vAlign w:val="center"/>
          </w:tcPr>
          <w:p w14:paraId="16B0E14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60BA03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10.外呼并发能力</w:t>
            </w:r>
          </w:p>
        </w:tc>
        <w:tc>
          <w:tcPr>
            <w:tcW w:w="5304" w:type="dxa"/>
            <w:noWrap w:val="0"/>
            <w:vAlign w:val="center"/>
          </w:tcPr>
          <w:p w14:paraId="07204C35">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系统需支持多路数的同时外呼交互并发，外呼并发数≥2000路。(</w:t>
            </w:r>
            <w:r>
              <w:rPr>
                <w:rFonts w:hint="eastAsia" w:ascii="宋体" w:hAnsi="宋体" w:cs="宋体"/>
                <w:sz w:val="24"/>
                <w:szCs w:val="24"/>
                <w:lang w:val="en-US" w:eastAsia="zh-CN"/>
              </w:rPr>
              <w:t>需提供国家认证认可机构（具有CMA或CNAS标志）出具的检验报告扫描件或影印件并加盖公章</w:t>
            </w:r>
            <w:r>
              <w:rPr>
                <w:rFonts w:hint="eastAsia" w:ascii="宋体" w:hAnsi="宋体" w:eastAsia="宋体" w:cs="宋体"/>
                <w:sz w:val="24"/>
                <w:szCs w:val="24"/>
                <w:lang w:val="en-US" w:eastAsia="zh-CN"/>
              </w:rPr>
              <w:t>)</w:t>
            </w:r>
          </w:p>
        </w:tc>
      </w:tr>
      <w:tr w14:paraId="7DBDE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7B6DA21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restart"/>
            <w:noWrap w:val="0"/>
            <w:vAlign w:val="center"/>
          </w:tcPr>
          <w:p w14:paraId="36529C4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外呼统计分析</w:t>
            </w:r>
          </w:p>
        </w:tc>
        <w:tc>
          <w:tcPr>
            <w:tcW w:w="1444" w:type="dxa"/>
            <w:vMerge w:val="restart"/>
            <w:noWrap w:val="0"/>
            <w:vAlign w:val="center"/>
          </w:tcPr>
          <w:p w14:paraId="72C125E1">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r>
              <w:rPr>
                <w:rFonts w:hint="eastAsia" w:ascii="宋体" w:hAnsi="宋体" w:eastAsia="宋体" w:cs="宋体"/>
                <w:sz w:val="24"/>
                <w:szCs w:val="24"/>
              </w:rPr>
              <w:t>在电话完成后，系统通过自然语言理解将随访的内容进行结构化处理，自动生成随访报表。</w:t>
            </w:r>
          </w:p>
          <w:p w14:paraId="3C4AFA3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56394A2">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1.随访使用量统计</w:t>
            </w:r>
          </w:p>
        </w:tc>
        <w:tc>
          <w:tcPr>
            <w:tcW w:w="5304" w:type="dxa"/>
            <w:noWrap w:val="0"/>
            <w:vAlign w:val="center"/>
          </w:tcPr>
          <w:p w14:paraId="1221015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支持将各层级机构使用数据进行统计，并可支持各层级管理员查看辖区内电话、短信、问卷、呼叫时长使用量数据；</w:t>
            </w:r>
          </w:p>
        </w:tc>
      </w:tr>
      <w:tr w14:paraId="3ED8A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B43CFC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6137C7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303288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52DC2A3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2.话术使用量统计</w:t>
            </w:r>
          </w:p>
        </w:tc>
        <w:tc>
          <w:tcPr>
            <w:tcW w:w="5304" w:type="dxa"/>
            <w:noWrap w:val="0"/>
            <w:vAlign w:val="center"/>
          </w:tcPr>
          <w:p w14:paraId="5319C2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支持将AI随访话术使用场景进行归类分析，统计相关使用频次数据，协助各级管理员查看辖区内随访话术使用情况及分布情况。</w:t>
            </w:r>
          </w:p>
        </w:tc>
      </w:tr>
      <w:tr w14:paraId="617CD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182E2F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6C503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565C373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7917B5F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3.随访接通率分析</w:t>
            </w:r>
          </w:p>
        </w:tc>
        <w:tc>
          <w:tcPr>
            <w:tcW w:w="5304" w:type="dxa"/>
            <w:noWrap w:val="0"/>
            <w:vAlign w:val="center"/>
          </w:tcPr>
          <w:p w14:paraId="7BC347A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支持各级单位查看随访接通率数据，了解居民接通依从性的情况，其中系统支持按照行政范围、外呼号码、随访场景进行数据筛选并且展示。</w:t>
            </w:r>
          </w:p>
        </w:tc>
      </w:tr>
      <w:tr w14:paraId="16FC5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284D0C2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1EEFE2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722B49D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1B70F5C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4.随访接通效果分析</w:t>
            </w:r>
          </w:p>
        </w:tc>
        <w:tc>
          <w:tcPr>
            <w:tcW w:w="5304" w:type="dxa"/>
            <w:noWrap w:val="0"/>
            <w:vAlign w:val="center"/>
          </w:tcPr>
          <w:p w14:paraId="2BBAFA96">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支持将各机构使用的随访效果数据进行汇总统计。</w:t>
            </w:r>
          </w:p>
        </w:tc>
      </w:tr>
      <w:tr w14:paraId="2C6A4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2CBF4D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14B12F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p>
        </w:tc>
        <w:tc>
          <w:tcPr>
            <w:tcW w:w="1444" w:type="dxa"/>
            <w:vMerge w:val="continue"/>
            <w:noWrap w:val="0"/>
            <w:vAlign w:val="center"/>
          </w:tcPr>
          <w:p w14:paraId="65D02DF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3FBE749">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5.单位服务量统计</w:t>
            </w:r>
          </w:p>
        </w:tc>
        <w:tc>
          <w:tcPr>
            <w:tcW w:w="5304" w:type="dxa"/>
            <w:noWrap w:val="0"/>
            <w:vAlign w:val="center"/>
          </w:tcPr>
          <w:p w14:paraId="23C59341">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支持将各级单位及其下属单位数据进行汇总统计</w:t>
            </w:r>
            <w:r>
              <w:rPr>
                <w:rFonts w:hint="eastAsia" w:ascii="宋体" w:hAnsi="宋体" w:eastAsia="宋体" w:cs="宋体"/>
                <w:sz w:val="24"/>
                <w:szCs w:val="24"/>
                <w:lang w:eastAsia="zh-CN"/>
              </w:rPr>
              <w:t>。</w:t>
            </w:r>
          </w:p>
        </w:tc>
      </w:tr>
      <w:tr w14:paraId="3C7B6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092FA4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707EAE1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166FD0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6BFD690A">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6.部属单位数统计</w:t>
            </w:r>
          </w:p>
        </w:tc>
        <w:tc>
          <w:tcPr>
            <w:tcW w:w="5304" w:type="dxa"/>
            <w:noWrap w:val="0"/>
            <w:vAlign w:val="center"/>
          </w:tcPr>
          <w:p w14:paraId="56BE8354">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w:t>
            </w:r>
            <w:r>
              <w:rPr>
                <w:rFonts w:hint="eastAsia" w:ascii="宋体" w:hAnsi="宋体" w:eastAsia="宋体" w:cs="宋体"/>
                <w:sz w:val="24"/>
                <w:szCs w:val="24"/>
              </w:rPr>
              <w:t>支持将部署的各级单位数进行统计</w:t>
            </w:r>
            <w:r>
              <w:rPr>
                <w:rFonts w:hint="eastAsia" w:ascii="宋体" w:hAnsi="宋体" w:eastAsia="宋体" w:cs="宋体"/>
                <w:sz w:val="24"/>
                <w:szCs w:val="24"/>
                <w:lang w:eastAsia="zh-CN"/>
              </w:rPr>
              <w:t>。</w:t>
            </w:r>
          </w:p>
        </w:tc>
      </w:tr>
      <w:tr w14:paraId="5850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7" w:type="dxa"/>
            <w:vMerge w:val="continue"/>
            <w:noWrap w:val="0"/>
            <w:vAlign w:val="center"/>
          </w:tcPr>
          <w:p w14:paraId="3914C88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b/>
                <w:bCs/>
                <w:sz w:val="24"/>
                <w:szCs w:val="24"/>
              </w:rPr>
            </w:pPr>
          </w:p>
        </w:tc>
        <w:tc>
          <w:tcPr>
            <w:tcW w:w="710" w:type="dxa"/>
            <w:vMerge w:val="continue"/>
            <w:noWrap w:val="0"/>
            <w:vAlign w:val="center"/>
          </w:tcPr>
          <w:p w14:paraId="3C0AF38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444" w:type="dxa"/>
            <w:vMerge w:val="continue"/>
            <w:noWrap w:val="0"/>
            <w:vAlign w:val="center"/>
          </w:tcPr>
          <w:p w14:paraId="0F8B07E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rPr>
            </w:pPr>
          </w:p>
        </w:tc>
        <w:tc>
          <w:tcPr>
            <w:tcW w:w="1228" w:type="dxa"/>
            <w:noWrap w:val="0"/>
            <w:vAlign w:val="center"/>
          </w:tcPr>
          <w:p w14:paraId="3C0DFAAE">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7.未使用机构分析</w:t>
            </w:r>
          </w:p>
        </w:tc>
        <w:tc>
          <w:tcPr>
            <w:tcW w:w="5304" w:type="dxa"/>
            <w:noWrap w:val="0"/>
            <w:vAlign w:val="center"/>
          </w:tcPr>
          <w:p w14:paraId="75DE1EF3">
            <w:pPr>
              <w:keepNext w:val="0"/>
              <w:keepLines w:val="0"/>
              <w:widowControl/>
              <w:suppressLineNumbers w:val="0"/>
              <w:spacing w:before="0" w:beforeAutospacing="0" w:after="0" w:afterAutospacing="0" w:line="240" w:lineRule="auto"/>
              <w:ind w:left="0" w:right="0"/>
              <w:jc w:val="both"/>
              <w:textAlignment w:val="center"/>
              <w:rPr>
                <w:rFonts w:hint="eastAsia" w:ascii="宋体" w:hAnsi="宋体" w:eastAsia="宋体" w:cs="宋体"/>
                <w:sz w:val="24"/>
                <w:szCs w:val="24"/>
              </w:rPr>
            </w:pPr>
            <w:r>
              <w:rPr>
                <w:rFonts w:hint="eastAsia" w:ascii="宋体" w:hAnsi="宋体" w:eastAsia="宋体" w:cs="宋体"/>
                <w:sz w:val="24"/>
                <w:szCs w:val="24"/>
              </w:rPr>
              <w:t>系统</w:t>
            </w:r>
            <w:r>
              <w:rPr>
                <w:rFonts w:hint="eastAsia" w:ascii="宋体" w:hAnsi="宋体" w:eastAsia="宋体" w:cs="宋体"/>
                <w:sz w:val="24"/>
                <w:szCs w:val="24"/>
                <w:lang w:val="en-US" w:eastAsia="zh-CN"/>
              </w:rPr>
              <w:t>需支持</w:t>
            </w:r>
            <w:r>
              <w:rPr>
                <w:rFonts w:hint="eastAsia" w:ascii="宋体" w:hAnsi="宋体" w:eastAsia="宋体" w:cs="宋体"/>
                <w:sz w:val="24"/>
                <w:szCs w:val="24"/>
              </w:rPr>
              <w:t>针对系统中的各级机构未使用情况会进行分类统计，</w:t>
            </w:r>
          </w:p>
        </w:tc>
      </w:tr>
    </w:tbl>
    <w:p w14:paraId="424DAE62">
      <w:pPr>
        <w:pStyle w:val="7"/>
        <w:spacing w:line="360" w:lineRule="auto"/>
        <w:ind w:left="0" w:leftChars="0" w:firstLine="0" w:firstLineChars="0"/>
        <w:rPr>
          <w:rFonts w:hint="eastAsia" w:ascii="宋体" w:hAnsi="宋体" w:eastAsia="宋体" w:cs="宋体"/>
          <w:b/>
          <w:sz w:val="24"/>
          <w:szCs w:val="24"/>
        </w:rPr>
      </w:pPr>
    </w:p>
    <w:p w14:paraId="4251A65C">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5</w:t>
      </w:r>
      <w:r>
        <w:rPr>
          <w:rFonts w:hint="eastAsia" w:ascii="宋体" w:hAnsi="宋体" w:eastAsia="宋体" w:cs="宋体"/>
          <w:b/>
          <w:sz w:val="24"/>
          <w:szCs w:val="24"/>
        </w:rPr>
        <w:t>、</w:t>
      </w:r>
      <w:bookmarkStart w:id="9" w:name="_Toc1483223911"/>
      <w:bookmarkStart w:id="10" w:name="_Toc469725641"/>
      <w:bookmarkStart w:id="11" w:name="_Toc522489362"/>
      <w:bookmarkStart w:id="12" w:name="_Toc77229092"/>
      <w:bookmarkStart w:id="13" w:name="_Toc431500291"/>
      <w:r>
        <w:rPr>
          <w:rFonts w:hint="eastAsia" w:ascii="宋体" w:hAnsi="宋体" w:eastAsia="宋体" w:cs="宋体"/>
          <w:b/>
          <w:sz w:val="24"/>
          <w:szCs w:val="24"/>
          <w:lang w:val="en-US" w:eastAsia="zh-CN"/>
        </w:rPr>
        <w:t>慢病设备集成与</w:t>
      </w:r>
      <w:r>
        <w:rPr>
          <w:rFonts w:hint="eastAsia" w:ascii="宋体" w:hAnsi="宋体" w:eastAsia="宋体" w:cs="宋体"/>
          <w:b/>
          <w:sz w:val="24"/>
          <w:szCs w:val="24"/>
        </w:rPr>
        <w:t>数据集成</w:t>
      </w:r>
      <w:bookmarkEnd w:id="9"/>
      <w:bookmarkEnd w:id="10"/>
      <w:bookmarkEnd w:id="11"/>
      <w:bookmarkEnd w:id="12"/>
      <w:r>
        <w:rPr>
          <w:rFonts w:hint="eastAsia" w:ascii="宋体" w:hAnsi="宋体" w:eastAsia="宋体" w:cs="宋体"/>
          <w:b/>
          <w:sz w:val="24"/>
          <w:szCs w:val="24"/>
          <w:lang w:val="en-US" w:eastAsia="zh-CN"/>
        </w:rPr>
        <w:t>系统</w:t>
      </w:r>
      <w:bookmarkEnd w:id="13"/>
    </w:p>
    <w:p w14:paraId="2E8B3DC1">
      <w:pPr>
        <w:spacing w:line="360" w:lineRule="auto"/>
        <w:rPr>
          <w:rFonts w:hint="eastAsia" w:ascii="宋体" w:hAnsi="宋体" w:eastAsia="宋体" w:cs="宋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688"/>
        <w:gridCol w:w="1656"/>
        <w:gridCol w:w="1148"/>
        <w:gridCol w:w="4363"/>
      </w:tblGrid>
      <w:tr w14:paraId="7B488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noWrap w:val="0"/>
            <w:vAlign w:val="center"/>
          </w:tcPr>
          <w:p w14:paraId="7E9C27FF">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一级模块</w:t>
            </w:r>
          </w:p>
        </w:tc>
        <w:tc>
          <w:tcPr>
            <w:tcW w:w="738" w:type="dxa"/>
            <w:noWrap w:val="0"/>
            <w:vAlign w:val="center"/>
          </w:tcPr>
          <w:p w14:paraId="715EC872">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w:t>
            </w:r>
          </w:p>
        </w:tc>
        <w:tc>
          <w:tcPr>
            <w:tcW w:w="1656" w:type="dxa"/>
            <w:noWrap w:val="0"/>
            <w:vAlign w:val="center"/>
          </w:tcPr>
          <w:p w14:paraId="083FC696">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二级模块概述</w:t>
            </w:r>
          </w:p>
        </w:tc>
        <w:tc>
          <w:tcPr>
            <w:tcW w:w="1272" w:type="dxa"/>
            <w:noWrap w:val="0"/>
            <w:vAlign w:val="center"/>
          </w:tcPr>
          <w:p w14:paraId="688F735E">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三级模块</w:t>
            </w:r>
          </w:p>
        </w:tc>
        <w:tc>
          <w:tcPr>
            <w:tcW w:w="5083" w:type="dxa"/>
            <w:noWrap w:val="0"/>
            <w:vAlign w:val="center"/>
          </w:tcPr>
          <w:p w14:paraId="272B1514">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功能参数</w:t>
            </w:r>
          </w:p>
        </w:tc>
      </w:tr>
      <w:tr w14:paraId="6C51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4" w:type="dxa"/>
            <w:vMerge w:val="restart"/>
            <w:noWrap w:val="0"/>
            <w:vAlign w:val="center"/>
          </w:tcPr>
          <w:p w14:paraId="175D4B8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慢病设备集成与数据集成系统</w:t>
            </w:r>
          </w:p>
        </w:tc>
        <w:tc>
          <w:tcPr>
            <w:tcW w:w="738" w:type="dxa"/>
            <w:vMerge w:val="restart"/>
            <w:noWrap w:val="0"/>
            <w:vAlign w:val="center"/>
          </w:tcPr>
          <w:p w14:paraId="3188612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数字化集成</w:t>
            </w:r>
          </w:p>
        </w:tc>
        <w:tc>
          <w:tcPr>
            <w:tcW w:w="1656" w:type="dxa"/>
            <w:vMerge w:val="restart"/>
            <w:noWrap w:val="0"/>
            <w:vAlign w:val="center"/>
          </w:tcPr>
          <w:p w14:paraId="5F7FDF1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rPr>
              <w:t>数字化集成是能够提供可视化的界面，完成各个接口的数据交换流程配置，能够满足单接口、多接口对接应用场景，支持HTTP、webservice、数据库视图三种对接方式。统一数据接入平台易操作，降低交付项目对接门槛，提高数据对接的效率和质量，缩短对接周期，从而提高交付效能。</w:t>
            </w:r>
          </w:p>
        </w:tc>
        <w:tc>
          <w:tcPr>
            <w:tcW w:w="1272" w:type="dxa"/>
            <w:noWrap w:val="0"/>
            <w:vAlign w:val="center"/>
          </w:tcPr>
          <w:p w14:paraId="055D9F6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1.服务注册</w:t>
            </w:r>
          </w:p>
        </w:tc>
        <w:tc>
          <w:tcPr>
            <w:tcW w:w="5083" w:type="dxa"/>
            <w:noWrap w:val="0"/>
            <w:vAlign w:val="center"/>
          </w:tcPr>
          <w:p w14:paraId="78E3F9B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rPr>
            </w:pPr>
            <w:r>
              <w:rPr>
                <w:rFonts w:hint="eastAsia" w:ascii="宋体" w:hAnsi="宋体" w:eastAsia="宋体" w:cs="宋体"/>
                <w:i w:val="0"/>
                <w:iCs w:val="0"/>
                <w:color w:val="000000"/>
                <w:kern w:val="0"/>
                <w:sz w:val="24"/>
                <w:szCs w:val="24"/>
                <w:u w:val="none"/>
                <w:lang w:val="en-US" w:eastAsia="zh-CN" w:bidi="ar"/>
              </w:rPr>
              <w:t>将三方需要进行映射的接口统一注册到平台，并用于与标准接口间进行映射转换并统一管理，从而避免了为每个项目搭建独立的接口管理平台和编写离线的接口文档</w:t>
            </w:r>
          </w:p>
        </w:tc>
      </w:tr>
      <w:tr w14:paraId="2948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jc w:val="center"/>
        </w:trPr>
        <w:tc>
          <w:tcPr>
            <w:tcW w:w="714" w:type="dxa"/>
            <w:vMerge w:val="continue"/>
            <w:noWrap w:val="0"/>
            <w:vAlign w:val="center"/>
          </w:tcPr>
          <w:p w14:paraId="740C8D85">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66C0E6E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6717412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33B7272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2.接口转换</w:t>
            </w:r>
          </w:p>
        </w:tc>
        <w:tc>
          <w:tcPr>
            <w:tcW w:w="5083" w:type="dxa"/>
            <w:noWrap w:val="0"/>
            <w:vAlign w:val="center"/>
          </w:tcPr>
          <w:p w14:paraId="1E49484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平台通过解析输入的示例文件自动解析映射关系，并自动生成请求参数映射脚本和返回结果映射脚本，提供本地码表对照功能或配套使用“智能映射”组件，实现请求参数码表、返回结果码表映射转换</w:t>
            </w:r>
            <w:r>
              <w:rPr>
                <w:rFonts w:hint="eastAsia" w:ascii="宋体" w:hAnsi="宋体" w:cs="宋体"/>
                <w:i w:val="0"/>
                <w:iCs w:val="0"/>
                <w:color w:val="000000"/>
                <w:kern w:val="0"/>
                <w:sz w:val="24"/>
                <w:szCs w:val="24"/>
                <w:u w:val="none"/>
                <w:lang w:val="en-US" w:eastAsia="zh-CN" w:bidi="ar"/>
              </w:rPr>
              <w:t>。</w:t>
            </w:r>
          </w:p>
        </w:tc>
      </w:tr>
      <w:tr w14:paraId="7820B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14" w:type="dxa"/>
            <w:vMerge w:val="continue"/>
            <w:noWrap w:val="0"/>
            <w:vAlign w:val="center"/>
          </w:tcPr>
          <w:p w14:paraId="40DEAFC7">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F40706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2D0E166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4225620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3.数据库映射</w:t>
            </w:r>
          </w:p>
        </w:tc>
        <w:tc>
          <w:tcPr>
            <w:tcW w:w="5083" w:type="dxa"/>
            <w:noWrap w:val="0"/>
            <w:vAlign w:val="center"/>
          </w:tcPr>
          <w:p w14:paraId="7049AA5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将标准接口与数据源进行映射，通过在MyBatis中注册SQL语句和结果映射的过程，实现数据服务化，同时针对源API的请求过程和目标数据源返回结果进行分段调试，确保参数映射脚本正确无误</w:t>
            </w:r>
          </w:p>
        </w:tc>
      </w:tr>
      <w:tr w14:paraId="05A65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jc w:val="center"/>
        </w:trPr>
        <w:tc>
          <w:tcPr>
            <w:tcW w:w="714" w:type="dxa"/>
            <w:vMerge w:val="continue"/>
            <w:noWrap w:val="0"/>
            <w:vAlign w:val="center"/>
          </w:tcPr>
          <w:p w14:paraId="0752A5FA">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12054A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7522D4B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500956B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4.服务编排</w:t>
            </w:r>
          </w:p>
        </w:tc>
        <w:tc>
          <w:tcPr>
            <w:tcW w:w="5083" w:type="dxa"/>
            <w:noWrap w:val="0"/>
            <w:vAlign w:val="center"/>
          </w:tcPr>
          <w:p w14:paraId="7216377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服务编排的目的是将多个独立的服务组合起来，以完成特定的业务功能。平台提供Grovy脚本能力解决流程控制、数据传输和错误处理问题</w:t>
            </w:r>
          </w:p>
        </w:tc>
      </w:tr>
      <w:tr w14:paraId="2CAA9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14" w:type="dxa"/>
            <w:vMerge w:val="continue"/>
            <w:noWrap w:val="0"/>
            <w:vAlign w:val="center"/>
          </w:tcPr>
          <w:p w14:paraId="3038DFB7">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5FE91E0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7F93840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BF3435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5.服务调试</w:t>
            </w:r>
          </w:p>
        </w:tc>
        <w:tc>
          <w:tcPr>
            <w:tcW w:w="5083" w:type="dxa"/>
            <w:noWrap w:val="0"/>
            <w:vAlign w:val="center"/>
          </w:tcPr>
          <w:p w14:paraId="09DC822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API接口调试是确保API正确运行并返回预期结果的关键步骤，无需复制粘贴各种URL或参数可快速完成调试。如果API开启Mock插件，返回结果会默认使用Mock数据。</w:t>
            </w:r>
          </w:p>
        </w:tc>
      </w:tr>
      <w:tr w14:paraId="6AA51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714" w:type="dxa"/>
            <w:vMerge w:val="continue"/>
            <w:noWrap w:val="0"/>
            <w:vAlign w:val="center"/>
          </w:tcPr>
          <w:p w14:paraId="3E00DBE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0F327D3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33E19C3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864EE7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6.服务发布</w:t>
            </w:r>
          </w:p>
        </w:tc>
        <w:tc>
          <w:tcPr>
            <w:tcW w:w="5083" w:type="dxa"/>
            <w:noWrap w:val="0"/>
            <w:vAlign w:val="center"/>
          </w:tcPr>
          <w:p w14:paraId="7424461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API服务发布成功后，其他服务可调用该API，同时可以上架到信息资源共享平台的服务开放板块，帮助机构快速实现数据开放共享，模块支持发布、取消发布、查询服务及下载接口文档</w:t>
            </w:r>
          </w:p>
        </w:tc>
      </w:tr>
      <w:tr w14:paraId="69CE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714" w:type="dxa"/>
            <w:vMerge w:val="continue"/>
            <w:noWrap w:val="0"/>
            <w:vAlign w:val="center"/>
          </w:tcPr>
          <w:p w14:paraId="672B9030">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3C4E79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157D0D3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36D2C7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7.服务授权</w:t>
            </w:r>
          </w:p>
        </w:tc>
        <w:tc>
          <w:tcPr>
            <w:tcW w:w="5083" w:type="dxa"/>
            <w:noWrap w:val="0"/>
            <w:vAlign w:val="center"/>
          </w:tcPr>
          <w:p w14:paraId="4F934183">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通过应用（APP）调用某个API时，必须获得API的授权才能调用该API。平台对应用、应用授权码进行统一管理和颁发，服务访问授权的管理可以实现通过鉴权机制对用户接口访问权限进行控制</w:t>
            </w:r>
          </w:p>
        </w:tc>
      </w:tr>
      <w:tr w14:paraId="18BA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jc w:val="center"/>
        </w:trPr>
        <w:tc>
          <w:tcPr>
            <w:tcW w:w="714" w:type="dxa"/>
            <w:vMerge w:val="continue"/>
            <w:noWrap w:val="0"/>
            <w:vAlign w:val="center"/>
          </w:tcPr>
          <w:p w14:paraId="6DE2BF84">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93776F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0C45F8F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FFA866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8.服务监控概览</w:t>
            </w:r>
          </w:p>
        </w:tc>
        <w:tc>
          <w:tcPr>
            <w:tcW w:w="5083" w:type="dxa"/>
            <w:noWrap w:val="0"/>
            <w:vAlign w:val="center"/>
          </w:tcPr>
          <w:p w14:paraId="0EE2FFF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支持平台发布的所有服务统计情况以及服务调用分析情况展示。同时支持对服务调用数据处理的流程记录、详细信息进行展示</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 xml:space="preserve"> </w:t>
            </w:r>
          </w:p>
        </w:tc>
      </w:tr>
      <w:tr w14:paraId="093FE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714" w:type="dxa"/>
            <w:vMerge w:val="continue"/>
            <w:noWrap w:val="0"/>
            <w:vAlign w:val="center"/>
          </w:tcPr>
          <w:p w14:paraId="4B3A409F">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00F01B2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0C6FEDA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C2E3DA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9.调用日志</w:t>
            </w:r>
          </w:p>
        </w:tc>
        <w:tc>
          <w:tcPr>
            <w:tcW w:w="5083" w:type="dxa"/>
            <w:noWrap w:val="0"/>
            <w:vAlign w:val="center"/>
          </w:tcPr>
          <w:p w14:paraId="6E3ABDC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收集、存储和分析平台发布的所有服务的运行日志，帮助用户快速定位问题和排查故障</w:t>
            </w:r>
          </w:p>
        </w:tc>
      </w:tr>
      <w:tr w14:paraId="38A8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714" w:type="dxa"/>
            <w:vMerge w:val="continue"/>
            <w:noWrap w:val="0"/>
            <w:vAlign w:val="center"/>
          </w:tcPr>
          <w:p w14:paraId="186A52F2">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0DAF9B5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292065A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5E9E4FE2">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10.异常告警</w:t>
            </w:r>
          </w:p>
        </w:tc>
        <w:tc>
          <w:tcPr>
            <w:tcW w:w="5083" w:type="dxa"/>
            <w:noWrap w:val="0"/>
            <w:vAlign w:val="center"/>
          </w:tcPr>
          <w:p w14:paraId="1C456E4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平台发布的所有服务被监控到出现异常情况时，如调用失败、响应超时，及时向相关人员发送告警通知，以便尽快采取措施解决问题</w:t>
            </w:r>
          </w:p>
        </w:tc>
      </w:tr>
      <w:tr w14:paraId="25FA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714" w:type="dxa"/>
            <w:vMerge w:val="continue"/>
            <w:noWrap w:val="0"/>
            <w:vAlign w:val="center"/>
          </w:tcPr>
          <w:p w14:paraId="5256F93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5B7E9A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0CC3DA9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608CDDB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11.插件管理</w:t>
            </w:r>
          </w:p>
        </w:tc>
        <w:tc>
          <w:tcPr>
            <w:tcW w:w="5083" w:type="dxa"/>
            <w:noWrap w:val="0"/>
            <w:vAlign w:val="center"/>
          </w:tcPr>
          <w:p w14:paraId="4EB4B0B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插件可以被视为高级功能配置，系统内置安全认证，熔断限流、身份认证、Mock能力项，完善插件数据并启用后，对系统发布的全部API生效，直至停用插件或启用API级插件</w:t>
            </w:r>
          </w:p>
        </w:tc>
      </w:tr>
      <w:tr w14:paraId="6A9F5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714" w:type="dxa"/>
            <w:vMerge w:val="continue"/>
            <w:noWrap w:val="0"/>
            <w:vAlign w:val="center"/>
          </w:tcPr>
          <w:p w14:paraId="030A6A28">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C568F1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656" w:type="dxa"/>
            <w:vMerge w:val="continue"/>
            <w:noWrap w:val="0"/>
            <w:vAlign w:val="center"/>
          </w:tcPr>
          <w:p w14:paraId="0EA2713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6DC19DB8">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12.配置管理</w:t>
            </w:r>
          </w:p>
        </w:tc>
        <w:tc>
          <w:tcPr>
            <w:tcW w:w="5083" w:type="dxa"/>
            <w:noWrap w:val="0"/>
            <w:vAlign w:val="center"/>
          </w:tcPr>
          <w:p w14:paraId="5287CE7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模块包含标准接口管理、接入源管理、Grovy脚本管理及系统设置</w:t>
            </w:r>
          </w:p>
        </w:tc>
      </w:tr>
      <w:tr w14:paraId="2696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14" w:type="dxa"/>
            <w:vMerge w:val="continue"/>
            <w:noWrap w:val="0"/>
            <w:vAlign w:val="center"/>
          </w:tcPr>
          <w:p w14:paraId="6CB562F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restart"/>
            <w:noWrap w:val="0"/>
            <w:vAlign w:val="center"/>
          </w:tcPr>
          <w:p w14:paraId="2E5758F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设备集成</w:t>
            </w:r>
          </w:p>
        </w:tc>
        <w:tc>
          <w:tcPr>
            <w:tcW w:w="1656" w:type="dxa"/>
            <w:vMerge w:val="restart"/>
            <w:noWrap w:val="0"/>
            <w:vAlign w:val="center"/>
          </w:tcPr>
          <w:p w14:paraId="486F4B5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r>
              <w:rPr>
                <w:rFonts w:hint="eastAsia" w:ascii="宋体" w:hAnsi="宋体" w:eastAsia="宋体" w:cs="宋体"/>
                <w:sz w:val="24"/>
                <w:szCs w:val="24"/>
                <w:lang w:val="en-US" w:eastAsia="zh-CN"/>
              </w:rPr>
              <w:t>设备</w:t>
            </w:r>
            <w:r>
              <w:rPr>
                <w:rFonts w:hint="eastAsia" w:ascii="宋体" w:hAnsi="宋体" w:eastAsia="宋体" w:cs="宋体"/>
                <w:sz w:val="24"/>
                <w:szCs w:val="24"/>
              </w:rPr>
              <w:t>集成是对慢病管理系统中对接的硬件进行统一管理的功能模块，支持对设备分类、管理、对接和统计。</w:t>
            </w:r>
          </w:p>
        </w:tc>
        <w:tc>
          <w:tcPr>
            <w:tcW w:w="1272" w:type="dxa"/>
            <w:noWrap w:val="0"/>
            <w:vAlign w:val="center"/>
          </w:tcPr>
          <w:p w14:paraId="3013A92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1.平台概览</w:t>
            </w:r>
          </w:p>
        </w:tc>
        <w:tc>
          <w:tcPr>
            <w:tcW w:w="5083" w:type="dxa"/>
            <w:noWrap w:val="0"/>
            <w:vAlign w:val="center"/>
          </w:tcPr>
          <w:p w14:paraId="2BCBE5BE">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系统需支持对设备接入的信息进行统计分析，包括厂商、产品、物模型、协议、设备信息和设备上报信息。</w:t>
            </w:r>
          </w:p>
        </w:tc>
      </w:tr>
      <w:tr w14:paraId="5E105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714" w:type="dxa"/>
            <w:vMerge w:val="continue"/>
            <w:noWrap w:val="0"/>
            <w:vAlign w:val="center"/>
          </w:tcPr>
          <w:p w14:paraId="7596C68C">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376484A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345153C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4D6651D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2.物模型管理</w:t>
            </w:r>
          </w:p>
        </w:tc>
        <w:tc>
          <w:tcPr>
            <w:tcW w:w="5083" w:type="dxa"/>
            <w:noWrap w:val="0"/>
            <w:vAlign w:val="center"/>
          </w:tcPr>
          <w:p w14:paraId="7008D41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系统需支持通过产品型号的属性来管理物模型，可添加、修改、删除和检索物模型。</w:t>
            </w:r>
          </w:p>
        </w:tc>
      </w:tr>
      <w:tr w14:paraId="24491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714" w:type="dxa"/>
            <w:vMerge w:val="continue"/>
            <w:noWrap w:val="0"/>
            <w:vAlign w:val="center"/>
          </w:tcPr>
          <w:p w14:paraId="4E4CABF7">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042C91A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2EE7707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55A009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3.协议管理</w:t>
            </w:r>
          </w:p>
        </w:tc>
        <w:tc>
          <w:tcPr>
            <w:tcW w:w="5083" w:type="dxa"/>
            <w:noWrap w:val="0"/>
            <w:vAlign w:val="center"/>
          </w:tcPr>
          <w:p w14:paraId="57AFE9B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系统需支持对协议内容进行管理和发布，包括名称、产品型号、物模型、类型、接入方式、安全策略内容。</w:t>
            </w:r>
          </w:p>
        </w:tc>
      </w:tr>
      <w:tr w14:paraId="642E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714" w:type="dxa"/>
            <w:vMerge w:val="continue"/>
            <w:noWrap w:val="0"/>
            <w:vAlign w:val="center"/>
          </w:tcPr>
          <w:p w14:paraId="2844B2B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51907D5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574352D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49E29BF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4.协议模型转换管理</w:t>
            </w:r>
          </w:p>
        </w:tc>
        <w:tc>
          <w:tcPr>
            <w:tcW w:w="5083" w:type="dxa"/>
            <w:noWrap w:val="0"/>
            <w:vAlign w:val="center"/>
          </w:tcPr>
          <w:p w14:paraId="359A8316">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系统需支持对模型配置转换规则，并提供调试验证功能。</w:t>
            </w:r>
          </w:p>
        </w:tc>
      </w:tr>
      <w:tr w14:paraId="4E3AC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714" w:type="dxa"/>
            <w:vMerge w:val="continue"/>
            <w:noWrap w:val="0"/>
            <w:vAlign w:val="center"/>
          </w:tcPr>
          <w:p w14:paraId="250EEDB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2F8B173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30C9B99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754967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5.厂商管理</w:t>
            </w:r>
          </w:p>
        </w:tc>
        <w:tc>
          <w:tcPr>
            <w:tcW w:w="5083" w:type="dxa"/>
            <w:noWrap w:val="0"/>
            <w:vAlign w:val="center"/>
          </w:tcPr>
          <w:p w14:paraId="605CBCF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系统需支持厂商信息的管理，可添加、修改、删除和检索厂商。</w:t>
            </w:r>
          </w:p>
        </w:tc>
      </w:tr>
      <w:tr w14:paraId="258F5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714" w:type="dxa"/>
            <w:vMerge w:val="continue"/>
            <w:noWrap w:val="0"/>
            <w:vAlign w:val="center"/>
          </w:tcPr>
          <w:p w14:paraId="449D09D5">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4C57559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1CA4D39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B045DD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6.产品管理</w:t>
            </w:r>
          </w:p>
        </w:tc>
        <w:tc>
          <w:tcPr>
            <w:tcW w:w="5083" w:type="dxa"/>
            <w:noWrap w:val="0"/>
            <w:vAlign w:val="center"/>
          </w:tcPr>
          <w:p w14:paraId="251A2E6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系统需支持对各厂商下的产品信息进行管理，包括可添加、修改、删除和检索产品。</w:t>
            </w:r>
          </w:p>
        </w:tc>
      </w:tr>
      <w:tr w14:paraId="15DB9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714" w:type="dxa"/>
            <w:vMerge w:val="continue"/>
            <w:noWrap w:val="0"/>
            <w:vAlign w:val="center"/>
          </w:tcPr>
          <w:p w14:paraId="69444BA0">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D253F4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56E38CD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588C58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7.型号管理</w:t>
            </w:r>
          </w:p>
        </w:tc>
        <w:tc>
          <w:tcPr>
            <w:tcW w:w="5083" w:type="dxa"/>
            <w:noWrap w:val="0"/>
            <w:vAlign w:val="center"/>
          </w:tcPr>
          <w:p w14:paraId="408AA8DF">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系统需支持对各产品下的型号信息进行管理，包括可添加、修改、删除和检索型号。</w:t>
            </w:r>
          </w:p>
        </w:tc>
      </w:tr>
      <w:tr w14:paraId="62415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714" w:type="dxa"/>
            <w:vMerge w:val="continue"/>
            <w:noWrap w:val="0"/>
            <w:vAlign w:val="center"/>
          </w:tcPr>
          <w:p w14:paraId="00686B18">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1A1C2C5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6DBBE28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2505BEB7">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8.新增设备</w:t>
            </w:r>
          </w:p>
        </w:tc>
        <w:tc>
          <w:tcPr>
            <w:tcW w:w="5083" w:type="dxa"/>
            <w:noWrap w:val="0"/>
            <w:vAlign w:val="center"/>
          </w:tcPr>
          <w:p w14:paraId="5001082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系统需支持添加各型号的设备，包括设备名称、设备编号、厂商、产品、型号和生产批次。并且支持设置设备归属的机构。</w:t>
            </w:r>
          </w:p>
        </w:tc>
      </w:tr>
      <w:tr w14:paraId="22A0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714" w:type="dxa"/>
            <w:vMerge w:val="continue"/>
            <w:noWrap w:val="0"/>
            <w:vAlign w:val="center"/>
          </w:tcPr>
          <w:p w14:paraId="3109F23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738" w:type="dxa"/>
            <w:vMerge w:val="continue"/>
            <w:noWrap w:val="0"/>
            <w:vAlign w:val="center"/>
          </w:tcPr>
          <w:p w14:paraId="78F79E2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656" w:type="dxa"/>
            <w:vMerge w:val="continue"/>
            <w:noWrap w:val="0"/>
            <w:vAlign w:val="center"/>
          </w:tcPr>
          <w:p w14:paraId="621726C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72" w:type="dxa"/>
            <w:noWrap w:val="0"/>
            <w:vAlign w:val="center"/>
          </w:tcPr>
          <w:p w14:paraId="1667929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9.设备详情管理</w:t>
            </w:r>
          </w:p>
        </w:tc>
        <w:tc>
          <w:tcPr>
            <w:tcW w:w="5083" w:type="dxa"/>
            <w:noWrap w:val="0"/>
            <w:vAlign w:val="center"/>
          </w:tcPr>
          <w:p w14:paraId="4E780EE8">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系统需支持查看设备上报的原始数据报文和解析成物模型后的数据，并且支持查看传输状态，方便链路追踪。</w:t>
            </w:r>
          </w:p>
        </w:tc>
      </w:tr>
    </w:tbl>
    <w:p w14:paraId="3B29A0EA">
      <w:pPr>
        <w:spacing w:line="360" w:lineRule="auto"/>
        <w:rPr>
          <w:rFonts w:hint="eastAsia" w:ascii="宋体" w:hAnsi="宋体" w:eastAsia="宋体" w:cs="宋体"/>
          <w:b/>
          <w:sz w:val="24"/>
          <w:szCs w:val="24"/>
        </w:rPr>
      </w:pPr>
    </w:p>
    <w:p w14:paraId="6674B266">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6</w:t>
      </w:r>
      <w:r>
        <w:rPr>
          <w:rFonts w:hint="eastAsia" w:ascii="宋体" w:hAnsi="宋体" w:eastAsia="宋体" w:cs="宋体"/>
          <w:b/>
          <w:sz w:val="24"/>
          <w:szCs w:val="24"/>
        </w:rPr>
        <w:t>、</w:t>
      </w:r>
      <w:r>
        <w:rPr>
          <w:rFonts w:hint="eastAsia" w:ascii="宋体" w:hAnsi="宋体" w:eastAsia="宋体" w:cs="宋体"/>
          <w:b/>
          <w:sz w:val="24"/>
          <w:szCs w:val="24"/>
          <w:lang w:val="en-US" w:eastAsia="zh-CN"/>
        </w:rPr>
        <w:t>家庭医生签约服务系统</w:t>
      </w:r>
    </w:p>
    <w:tbl>
      <w:tblPr>
        <w:tblStyle w:val="8"/>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816"/>
        <w:gridCol w:w="1502"/>
        <w:gridCol w:w="1266"/>
        <w:gridCol w:w="5201"/>
      </w:tblGrid>
      <w:tr w14:paraId="0439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2" w:type="dxa"/>
            <w:noWrap w:val="0"/>
            <w:vAlign w:val="center"/>
          </w:tcPr>
          <w:p w14:paraId="0B14C816">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一级模块</w:t>
            </w:r>
          </w:p>
        </w:tc>
        <w:tc>
          <w:tcPr>
            <w:tcW w:w="816" w:type="dxa"/>
            <w:noWrap w:val="0"/>
            <w:vAlign w:val="center"/>
          </w:tcPr>
          <w:p w14:paraId="70D09653">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w:t>
            </w:r>
          </w:p>
        </w:tc>
        <w:tc>
          <w:tcPr>
            <w:tcW w:w="1502" w:type="dxa"/>
            <w:noWrap w:val="0"/>
            <w:vAlign w:val="center"/>
          </w:tcPr>
          <w:p w14:paraId="2676EF6D">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二级模块概述</w:t>
            </w:r>
          </w:p>
        </w:tc>
        <w:tc>
          <w:tcPr>
            <w:tcW w:w="1266" w:type="dxa"/>
            <w:noWrap w:val="0"/>
            <w:vAlign w:val="center"/>
          </w:tcPr>
          <w:p w14:paraId="5D9C5AC7">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三级模块</w:t>
            </w:r>
          </w:p>
        </w:tc>
        <w:tc>
          <w:tcPr>
            <w:tcW w:w="5201" w:type="dxa"/>
            <w:noWrap w:val="0"/>
            <w:vAlign w:val="center"/>
          </w:tcPr>
          <w:p w14:paraId="6B2B79CC">
            <w:pPr>
              <w:keepNext w:val="0"/>
              <w:keepLines w:val="0"/>
              <w:suppressLineNumbers w:val="0"/>
              <w:spacing w:before="0" w:beforeAutospacing="0" w:after="0" w:afterAutospacing="0" w:line="240" w:lineRule="auto"/>
              <w:ind w:left="0" w:right="0"/>
              <w:jc w:val="center"/>
              <w:rPr>
                <w:rFonts w:hint="eastAsia" w:ascii="宋体" w:hAnsi="宋体" w:eastAsia="宋体" w:cs="宋体"/>
                <w:b/>
                <w:bCs/>
                <w:sz w:val="24"/>
                <w:szCs w:val="24"/>
              </w:rPr>
            </w:pPr>
            <w:r>
              <w:rPr>
                <w:rFonts w:hint="eastAsia" w:ascii="宋体" w:hAnsi="宋体" w:eastAsia="宋体" w:cs="宋体"/>
                <w:b/>
                <w:bCs/>
                <w:sz w:val="24"/>
                <w:szCs w:val="24"/>
              </w:rPr>
              <w:t>功能参数</w:t>
            </w:r>
          </w:p>
        </w:tc>
      </w:tr>
      <w:tr w14:paraId="2AB73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2" w:type="dxa"/>
            <w:vMerge w:val="restart"/>
            <w:noWrap w:val="0"/>
            <w:vAlign w:val="center"/>
          </w:tcPr>
          <w:p w14:paraId="4BF3CFE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家庭医生签约服务</w:t>
            </w:r>
          </w:p>
        </w:tc>
        <w:tc>
          <w:tcPr>
            <w:tcW w:w="816" w:type="dxa"/>
            <w:vMerge w:val="restart"/>
            <w:noWrap w:val="0"/>
            <w:vAlign w:val="center"/>
          </w:tcPr>
          <w:p w14:paraId="357876A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家庭医生签约系统（PC端）</w:t>
            </w:r>
          </w:p>
        </w:tc>
        <w:tc>
          <w:tcPr>
            <w:tcW w:w="1502" w:type="dxa"/>
            <w:vMerge w:val="restart"/>
            <w:noWrap w:val="0"/>
            <w:vAlign w:val="center"/>
          </w:tcPr>
          <w:p w14:paraId="2A56441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用于家庭医生服务团队管理、家庭医生管理、服务包管理。</w:t>
            </w:r>
          </w:p>
        </w:tc>
        <w:tc>
          <w:tcPr>
            <w:tcW w:w="1266" w:type="dxa"/>
            <w:noWrap w:val="0"/>
            <w:vAlign w:val="center"/>
          </w:tcPr>
          <w:p w14:paraId="3E3E664D">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1.家医医生管理</w:t>
            </w:r>
          </w:p>
        </w:tc>
        <w:tc>
          <w:tcPr>
            <w:tcW w:w="5201" w:type="dxa"/>
            <w:noWrap w:val="0"/>
            <w:vAlign w:val="center"/>
          </w:tcPr>
          <w:p w14:paraId="71C671C0">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rPr>
            </w:pPr>
            <w:r>
              <w:rPr>
                <w:rFonts w:hint="eastAsia" w:ascii="宋体" w:hAnsi="宋体" w:eastAsia="宋体" w:cs="宋体"/>
                <w:i w:val="0"/>
                <w:iCs w:val="0"/>
                <w:color w:val="000000"/>
                <w:kern w:val="0"/>
                <w:sz w:val="24"/>
                <w:szCs w:val="24"/>
                <w:u w:val="none"/>
                <w:lang w:val="en-US" w:eastAsia="zh-CN" w:bidi="ar"/>
              </w:rPr>
              <w:t>系统需支持维护家庭医生基本信息</w:t>
            </w:r>
          </w:p>
        </w:tc>
      </w:tr>
      <w:tr w14:paraId="1131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2" w:type="dxa"/>
            <w:vMerge w:val="continue"/>
            <w:noWrap w:val="0"/>
            <w:vAlign w:val="center"/>
          </w:tcPr>
          <w:p w14:paraId="7C89DF1B">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68CC300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5184A0CD">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24D5361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2.家医团队管理</w:t>
            </w:r>
          </w:p>
        </w:tc>
        <w:tc>
          <w:tcPr>
            <w:tcW w:w="5201" w:type="dxa"/>
            <w:noWrap w:val="0"/>
            <w:vAlign w:val="center"/>
          </w:tcPr>
          <w:p w14:paraId="254D95F7">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系统需支持配置家庭医生团队。</w:t>
            </w:r>
          </w:p>
        </w:tc>
      </w:tr>
      <w:tr w14:paraId="0A72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12" w:type="dxa"/>
            <w:vMerge w:val="continue"/>
            <w:noWrap w:val="0"/>
            <w:vAlign w:val="center"/>
          </w:tcPr>
          <w:p w14:paraId="6DA02E77">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038FAFE7">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31146D1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203B940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3.服务项目管理</w:t>
            </w:r>
          </w:p>
        </w:tc>
        <w:tc>
          <w:tcPr>
            <w:tcW w:w="5201" w:type="dxa"/>
            <w:noWrap w:val="0"/>
            <w:vAlign w:val="center"/>
          </w:tcPr>
          <w:p w14:paraId="4BEEE45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系统需支持配置服务项目。</w:t>
            </w:r>
          </w:p>
        </w:tc>
      </w:tr>
      <w:tr w14:paraId="4658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jc w:val="center"/>
        </w:trPr>
        <w:tc>
          <w:tcPr>
            <w:tcW w:w="712" w:type="dxa"/>
            <w:vMerge w:val="continue"/>
            <w:noWrap w:val="0"/>
            <w:vAlign w:val="center"/>
          </w:tcPr>
          <w:p w14:paraId="65E968E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5F37EB9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13AA26BB">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65F2C305">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4.家庭医生服务包管理</w:t>
            </w:r>
          </w:p>
        </w:tc>
        <w:tc>
          <w:tcPr>
            <w:tcW w:w="5201" w:type="dxa"/>
            <w:noWrap w:val="0"/>
            <w:vAlign w:val="center"/>
          </w:tcPr>
          <w:p w14:paraId="4AAEDF79">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系统需支持家庭医生服务构建。</w:t>
            </w:r>
          </w:p>
        </w:tc>
      </w:tr>
      <w:tr w14:paraId="5535F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12" w:type="dxa"/>
            <w:vMerge w:val="continue"/>
            <w:noWrap w:val="0"/>
            <w:vAlign w:val="center"/>
          </w:tcPr>
          <w:p w14:paraId="47A60C61">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5F913F3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6EEAC1F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0E23CB49">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5.签约管理</w:t>
            </w:r>
          </w:p>
        </w:tc>
        <w:tc>
          <w:tcPr>
            <w:tcW w:w="5201" w:type="dxa"/>
            <w:noWrap w:val="0"/>
            <w:vAlign w:val="center"/>
          </w:tcPr>
          <w:p w14:paraId="3992B8F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系统需支持查看家庭医服务签约记录。需支持签约。</w:t>
            </w:r>
          </w:p>
        </w:tc>
      </w:tr>
      <w:tr w14:paraId="062FB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712" w:type="dxa"/>
            <w:vMerge w:val="continue"/>
            <w:noWrap w:val="0"/>
            <w:vAlign w:val="center"/>
          </w:tcPr>
          <w:p w14:paraId="2DE06BC1">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7925A80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3091475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13EAF4D3">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6.续约管理</w:t>
            </w:r>
          </w:p>
        </w:tc>
        <w:tc>
          <w:tcPr>
            <w:tcW w:w="5201" w:type="dxa"/>
            <w:noWrap w:val="0"/>
            <w:vAlign w:val="center"/>
          </w:tcPr>
          <w:p w14:paraId="2326FA3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系统需支持查看家庭医服务续约记录。需支持续约。</w:t>
            </w:r>
          </w:p>
        </w:tc>
      </w:tr>
      <w:tr w14:paraId="2C01F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712" w:type="dxa"/>
            <w:vMerge w:val="continue"/>
            <w:noWrap w:val="0"/>
            <w:vAlign w:val="center"/>
          </w:tcPr>
          <w:p w14:paraId="09119923">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62599D9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502" w:type="dxa"/>
            <w:vMerge w:val="continue"/>
            <w:noWrap w:val="0"/>
            <w:vAlign w:val="center"/>
          </w:tcPr>
          <w:p w14:paraId="24368943">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72CF3A1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7.解约记录</w:t>
            </w:r>
          </w:p>
        </w:tc>
        <w:tc>
          <w:tcPr>
            <w:tcW w:w="5201" w:type="dxa"/>
            <w:noWrap w:val="0"/>
            <w:vAlign w:val="center"/>
          </w:tcPr>
          <w:p w14:paraId="22AA8AE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系统需支持查看家庭医生服务解约记录。需支持解约。</w:t>
            </w:r>
          </w:p>
        </w:tc>
      </w:tr>
      <w:tr w14:paraId="216FE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12" w:type="dxa"/>
            <w:vMerge w:val="continue"/>
            <w:noWrap w:val="0"/>
            <w:vAlign w:val="center"/>
          </w:tcPr>
          <w:p w14:paraId="4004404E">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restart"/>
            <w:noWrap w:val="0"/>
            <w:vAlign w:val="center"/>
          </w:tcPr>
          <w:p w14:paraId="2F1F6E4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家庭医生签约服务移动端（App或小程序）</w:t>
            </w:r>
          </w:p>
        </w:tc>
        <w:tc>
          <w:tcPr>
            <w:tcW w:w="1502" w:type="dxa"/>
            <w:vMerge w:val="restart"/>
            <w:noWrap w:val="0"/>
            <w:vAlign w:val="center"/>
          </w:tcPr>
          <w:p w14:paraId="08180F2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用于家庭医生审核居民签约、续约、解约申请。以及查看居民签约信息。</w:t>
            </w:r>
          </w:p>
        </w:tc>
        <w:tc>
          <w:tcPr>
            <w:tcW w:w="1266" w:type="dxa"/>
            <w:noWrap w:val="0"/>
            <w:vAlign w:val="center"/>
          </w:tcPr>
          <w:p w14:paraId="61247BBE">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1.签约居民列表</w:t>
            </w:r>
          </w:p>
        </w:tc>
        <w:tc>
          <w:tcPr>
            <w:tcW w:w="5201" w:type="dxa"/>
            <w:noWrap w:val="0"/>
            <w:vAlign w:val="center"/>
          </w:tcPr>
          <w:p w14:paraId="06D7A00D">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系统需支持查看当前签约居民列表。</w:t>
            </w:r>
          </w:p>
        </w:tc>
      </w:tr>
      <w:tr w14:paraId="313ED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12" w:type="dxa"/>
            <w:vMerge w:val="continue"/>
            <w:noWrap w:val="0"/>
            <w:vAlign w:val="center"/>
          </w:tcPr>
          <w:p w14:paraId="472F096A">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2E05CC0A">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1E835265">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701C217F">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2.签约</w:t>
            </w:r>
          </w:p>
        </w:tc>
        <w:tc>
          <w:tcPr>
            <w:tcW w:w="5201" w:type="dxa"/>
            <w:noWrap w:val="0"/>
            <w:vAlign w:val="center"/>
          </w:tcPr>
          <w:p w14:paraId="69A6447B">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系统需支持为居民签约。</w:t>
            </w:r>
          </w:p>
        </w:tc>
      </w:tr>
      <w:tr w14:paraId="00A6A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12" w:type="dxa"/>
            <w:vMerge w:val="continue"/>
            <w:noWrap w:val="0"/>
            <w:vAlign w:val="center"/>
          </w:tcPr>
          <w:p w14:paraId="7F43412C">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21025B06">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73F3A82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540E21BB">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3.解约</w:t>
            </w:r>
          </w:p>
        </w:tc>
        <w:tc>
          <w:tcPr>
            <w:tcW w:w="5201" w:type="dxa"/>
            <w:noWrap w:val="0"/>
            <w:vAlign w:val="center"/>
          </w:tcPr>
          <w:p w14:paraId="2615E714">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eastAsia="zh-CN"/>
              </w:rPr>
            </w:pPr>
            <w:r>
              <w:rPr>
                <w:rFonts w:hint="eastAsia" w:ascii="宋体" w:hAnsi="宋体" w:eastAsia="宋体" w:cs="宋体"/>
                <w:i w:val="0"/>
                <w:iCs w:val="0"/>
                <w:color w:val="000000"/>
                <w:kern w:val="0"/>
                <w:sz w:val="24"/>
                <w:szCs w:val="24"/>
                <w:u w:val="none"/>
                <w:lang w:val="en-US" w:eastAsia="zh-CN" w:bidi="ar"/>
              </w:rPr>
              <w:t>系统需支持为居民解约。</w:t>
            </w:r>
          </w:p>
        </w:tc>
      </w:tr>
      <w:tr w14:paraId="7FC6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712" w:type="dxa"/>
            <w:vMerge w:val="continue"/>
            <w:noWrap w:val="0"/>
            <w:vAlign w:val="center"/>
          </w:tcPr>
          <w:p w14:paraId="04E2A694">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0FFE1C3F">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6970830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46363C74">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4.续签</w:t>
            </w:r>
          </w:p>
        </w:tc>
        <w:tc>
          <w:tcPr>
            <w:tcW w:w="5201" w:type="dxa"/>
            <w:noWrap w:val="0"/>
            <w:vAlign w:val="center"/>
          </w:tcPr>
          <w:p w14:paraId="46FC296C">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系统需支持为居民续约。</w:t>
            </w:r>
          </w:p>
        </w:tc>
      </w:tr>
      <w:tr w14:paraId="1FE87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712" w:type="dxa"/>
            <w:vMerge w:val="continue"/>
            <w:noWrap w:val="0"/>
            <w:vAlign w:val="center"/>
          </w:tcPr>
          <w:p w14:paraId="2E9FBD58">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restart"/>
            <w:noWrap w:val="0"/>
            <w:vAlign w:val="center"/>
          </w:tcPr>
          <w:p w14:paraId="5C7B04F2">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居民签约服务移动端（App或小程序）</w:t>
            </w:r>
          </w:p>
        </w:tc>
        <w:tc>
          <w:tcPr>
            <w:tcW w:w="1502" w:type="dxa"/>
            <w:vMerge w:val="restart"/>
            <w:noWrap w:val="0"/>
            <w:vAlign w:val="center"/>
          </w:tcPr>
          <w:p w14:paraId="2FB617E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用于居民签约、续约、解约申请。以及查看家医签约信息。</w:t>
            </w:r>
          </w:p>
        </w:tc>
        <w:tc>
          <w:tcPr>
            <w:tcW w:w="1266" w:type="dxa"/>
            <w:noWrap w:val="0"/>
            <w:vAlign w:val="center"/>
          </w:tcPr>
          <w:p w14:paraId="2722A8B0">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1.签约</w:t>
            </w:r>
          </w:p>
        </w:tc>
        <w:tc>
          <w:tcPr>
            <w:tcW w:w="5201" w:type="dxa"/>
            <w:noWrap w:val="0"/>
            <w:vAlign w:val="center"/>
          </w:tcPr>
          <w:p w14:paraId="212978D1">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系统需支持居民移动端进行签约。</w:t>
            </w:r>
          </w:p>
        </w:tc>
      </w:tr>
      <w:tr w14:paraId="2BC8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12" w:type="dxa"/>
            <w:vMerge w:val="continue"/>
            <w:noWrap w:val="0"/>
            <w:vAlign w:val="center"/>
          </w:tcPr>
          <w:p w14:paraId="19CF5A96">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27C023A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681C7670">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266" w:type="dxa"/>
            <w:noWrap w:val="0"/>
            <w:vAlign w:val="center"/>
          </w:tcPr>
          <w:p w14:paraId="363308FA">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2.续约</w:t>
            </w:r>
          </w:p>
        </w:tc>
        <w:tc>
          <w:tcPr>
            <w:tcW w:w="5201" w:type="dxa"/>
            <w:noWrap w:val="0"/>
            <w:vAlign w:val="center"/>
          </w:tcPr>
          <w:p w14:paraId="5EC8F6B5">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系统需支持居民移动端进行续约。</w:t>
            </w:r>
          </w:p>
        </w:tc>
      </w:tr>
      <w:tr w14:paraId="5E50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712" w:type="dxa"/>
            <w:vMerge w:val="continue"/>
            <w:noWrap w:val="0"/>
            <w:vAlign w:val="center"/>
          </w:tcPr>
          <w:p w14:paraId="00388EFD">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0FC7BF98">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5B66D4EC">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1266" w:type="dxa"/>
            <w:noWrap w:val="0"/>
            <w:vAlign w:val="center"/>
          </w:tcPr>
          <w:p w14:paraId="5CD6E646">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3.签约服务包查看</w:t>
            </w:r>
          </w:p>
        </w:tc>
        <w:tc>
          <w:tcPr>
            <w:tcW w:w="5201" w:type="dxa"/>
            <w:noWrap w:val="0"/>
            <w:vAlign w:val="center"/>
          </w:tcPr>
          <w:p w14:paraId="1432A41A">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sz w:val="24"/>
                <w:szCs w:val="24"/>
                <w:lang w:val="en-US" w:eastAsia="zh-CN"/>
              </w:rPr>
            </w:pPr>
            <w:r>
              <w:rPr>
                <w:rFonts w:hint="eastAsia" w:ascii="宋体" w:hAnsi="宋体" w:eastAsia="宋体" w:cs="宋体"/>
                <w:i w:val="0"/>
                <w:iCs w:val="0"/>
                <w:color w:val="000000"/>
                <w:kern w:val="0"/>
                <w:sz w:val="24"/>
                <w:szCs w:val="24"/>
                <w:u w:val="none"/>
                <w:lang w:val="en-US" w:eastAsia="zh-CN" w:bidi="ar"/>
              </w:rPr>
              <w:t>系统需支持居民查看当前签约的家庭医生服务信息。</w:t>
            </w:r>
          </w:p>
        </w:tc>
      </w:tr>
      <w:tr w14:paraId="6F72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712" w:type="dxa"/>
            <w:vMerge w:val="continue"/>
            <w:noWrap w:val="0"/>
            <w:vAlign w:val="center"/>
          </w:tcPr>
          <w:p w14:paraId="21D333BF">
            <w:pPr>
              <w:keepNext w:val="0"/>
              <w:keepLines w:val="0"/>
              <w:suppressLineNumbers w:val="0"/>
              <w:spacing w:before="0" w:beforeAutospacing="0" w:after="0" w:afterAutospacing="0" w:line="240" w:lineRule="auto"/>
              <w:ind w:left="0" w:right="0"/>
              <w:jc w:val="both"/>
              <w:rPr>
                <w:rFonts w:hint="eastAsia" w:ascii="宋体" w:hAnsi="宋体" w:eastAsia="宋体" w:cs="宋体"/>
                <w:b/>
                <w:bCs/>
                <w:sz w:val="24"/>
                <w:szCs w:val="24"/>
              </w:rPr>
            </w:pPr>
          </w:p>
        </w:tc>
        <w:tc>
          <w:tcPr>
            <w:tcW w:w="816" w:type="dxa"/>
            <w:vMerge w:val="continue"/>
            <w:noWrap w:val="0"/>
            <w:vAlign w:val="center"/>
          </w:tcPr>
          <w:p w14:paraId="0199AE9E">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lang w:val="en-US" w:eastAsia="zh-CN"/>
              </w:rPr>
            </w:pPr>
          </w:p>
        </w:tc>
        <w:tc>
          <w:tcPr>
            <w:tcW w:w="1502" w:type="dxa"/>
            <w:vMerge w:val="continue"/>
            <w:noWrap w:val="0"/>
            <w:vAlign w:val="center"/>
          </w:tcPr>
          <w:p w14:paraId="5DAD8709">
            <w:pPr>
              <w:keepNext w:val="0"/>
              <w:keepLines w:val="0"/>
              <w:suppressLineNumbers w:val="0"/>
              <w:spacing w:before="0" w:beforeAutospacing="0" w:after="0" w:afterAutospacing="0" w:line="240" w:lineRule="auto"/>
              <w:ind w:left="0" w:right="0"/>
              <w:jc w:val="both"/>
              <w:rPr>
                <w:rFonts w:hint="eastAsia" w:ascii="宋体" w:hAnsi="宋体" w:eastAsia="宋体" w:cs="宋体"/>
                <w:sz w:val="24"/>
                <w:szCs w:val="24"/>
              </w:rPr>
            </w:pPr>
          </w:p>
        </w:tc>
        <w:tc>
          <w:tcPr>
            <w:tcW w:w="6467" w:type="dxa"/>
            <w:gridSpan w:val="2"/>
            <w:noWrap w:val="0"/>
            <w:vAlign w:val="center"/>
          </w:tcPr>
          <w:p w14:paraId="29238522">
            <w:pPr>
              <w:keepNext w:val="0"/>
              <w:keepLines w:val="0"/>
              <w:widowControl/>
              <w:suppressLineNumbers w:val="0"/>
              <w:spacing w:before="0" w:beforeAutospacing="0" w:after="0" w:afterAutospacing="0" w:line="240" w:lineRule="auto"/>
              <w:ind w:left="0" w:right="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4.系统需支持居民端签约服务与</w:t>
            </w:r>
            <w:r>
              <w:rPr>
                <w:rFonts w:hint="eastAsia" w:ascii="宋体" w:hAnsi="宋体" w:eastAsia="宋体" w:cs="宋体"/>
                <w:sz w:val="24"/>
                <w:szCs w:val="24"/>
              </w:rPr>
              <w:t>慢病患者移动子系统</w:t>
            </w:r>
            <w:r>
              <w:rPr>
                <w:rFonts w:hint="eastAsia" w:ascii="宋体" w:hAnsi="宋体" w:eastAsia="宋体" w:cs="宋体"/>
                <w:sz w:val="24"/>
                <w:szCs w:val="24"/>
                <w:lang w:val="en-US" w:eastAsia="zh-CN"/>
              </w:rPr>
              <w:t>进行整合。</w:t>
            </w:r>
          </w:p>
        </w:tc>
      </w:tr>
    </w:tbl>
    <w:p w14:paraId="16AACF56">
      <w:pPr>
        <w:pStyle w:val="7"/>
        <w:spacing w:line="360" w:lineRule="auto"/>
        <w:ind w:left="0" w:leftChars="0" w:firstLine="0" w:firstLineChars="0"/>
        <w:rPr>
          <w:rFonts w:hint="eastAsia" w:ascii="宋体" w:hAnsi="宋体" w:eastAsia="宋体" w:cs="宋体"/>
          <w:b/>
          <w:sz w:val="24"/>
          <w:szCs w:val="24"/>
        </w:rPr>
      </w:pPr>
    </w:p>
    <w:p w14:paraId="6CC9E599">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7、接口开发</w:t>
      </w:r>
    </w:p>
    <w:p w14:paraId="11F1FC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需提供与全民健康平台、基本HIS系统、基本公卫系统、云LIS、云PACS系统对接服务，同步慢病系统所需的健康档案数据、慢病随访记、门诊记录、出院记录、医技报告记录。</w:t>
      </w:r>
    </w:p>
    <w:p w14:paraId="6F4F9C81">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jc w:val="both"/>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8、现有健康筛查类设备接入</w:t>
      </w:r>
    </w:p>
    <w:p w14:paraId="2A24E6D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sz w:val="24"/>
          <w:szCs w:val="24"/>
        </w:rPr>
      </w:pPr>
      <w:r>
        <w:rPr>
          <w:rFonts w:hint="eastAsia" w:ascii="宋体" w:hAnsi="宋体" w:eastAsia="宋体" w:cs="宋体"/>
          <w:sz w:val="24"/>
          <w:szCs w:val="24"/>
          <w:lang w:val="en-US" w:eastAsia="zh-CN"/>
        </w:rPr>
        <w:t>需提供与社区卫生服务中心现有健康筛查设备对接的技术方案。在健康筛查设备支持接口对接的前提下，实现健康筛查设备与慢病一体化系统的数据接入。</w:t>
      </w:r>
    </w:p>
    <w:p w14:paraId="5110520D">
      <w:pPr>
        <w:spacing w:line="360" w:lineRule="auto"/>
        <w:rPr>
          <w:rFonts w:hint="eastAsia" w:ascii="宋体" w:hAnsi="宋体" w:eastAsia="宋体" w:cs="宋体"/>
          <w:b/>
          <w:sz w:val="24"/>
          <w:szCs w:val="24"/>
        </w:rPr>
      </w:pPr>
    </w:p>
    <w:p w14:paraId="13D48CBF">
      <w:pPr>
        <w:numPr>
          <w:ilvl w:val="0"/>
          <w:numId w:val="0"/>
        </w:numPr>
        <w:spacing w:line="360" w:lineRule="auto"/>
        <w:ind w:firstLine="482" w:firstLineChars="200"/>
        <w:outlineLvl w:val="1"/>
        <w:rPr>
          <w:rFonts w:hint="eastAsia" w:ascii="宋体" w:hAnsi="宋体" w:eastAsia="宋体" w:cs="宋体"/>
          <w:b/>
          <w:sz w:val="24"/>
          <w:szCs w:val="24"/>
        </w:rPr>
      </w:pPr>
      <w:r>
        <w:rPr>
          <w:rFonts w:hint="eastAsia" w:ascii="宋体" w:hAnsi="宋体" w:eastAsia="宋体" w:cs="宋体"/>
          <w:b/>
          <w:kern w:val="2"/>
          <w:sz w:val="24"/>
          <w:szCs w:val="24"/>
          <w:lang w:val="en-US" w:eastAsia="zh-CN" w:bidi="ar-SA"/>
        </w:rPr>
        <w:t>（二）</w:t>
      </w:r>
      <w:r>
        <w:rPr>
          <w:rFonts w:hint="eastAsia" w:ascii="宋体" w:hAnsi="宋体" w:eastAsia="宋体" w:cs="宋体"/>
          <w:b/>
          <w:sz w:val="24"/>
          <w:szCs w:val="24"/>
          <w:lang w:val="en-US" w:eastAsia="zh-CN"/>
        </w:rPr>
        <w:t>慢病</w:t>
      </w:r>
      <w:r>
        <w:rPr>
          <w:rFonts w:hint="eastAsia" w:ascii="宋体" w:hAnsi="宋体" w:eastAsia="宋体" w:cs="宋体"/>
          <w:b/>
          <w:sz w:val="24"/>
          <w:szCs w:val="24"/>
        </w:rPr>
        <w:t>设备</w:t>
      </w:r>
    </w:p>
    <w:p w14:paraId="363CBBDB">
      <w:pPr>
        <w:numPr>
          <w:ilvl w:val="0"/>
          <w:numId w:val="3"/>
        </w:numPr>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中心版健康一体机</w:t>
      </w:r>
    </w:p>
    <w:p w14:paraId="08609345">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 xml:space="preserve"> 1.整体要求</w:t>
      </w:r>
    </w:p>
    <w:p w14:paraId="70BB7E1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健康一体机是把人体各项健康指标的设备集成到一台设备上，可以通过身份证、社保卡进行自主登记、自主建档、自助体检、自动生成体检报告各项功能。检测者可以按照机器屏幕引导和语音提示自助完成一系列健康检测项目，体检完成后自动生成健康体检报告，并给予检测者者健康指导、膳食指导。</w:t>
      </w:r>
    </w:p>
    <w:p w14:paraId="1AAB8BE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同时具有家庭医生签约、慢病管理、基础诊疗功能，配置灵活，适用于广大社区卫生服务中心家庭医生为辖区居民提供家庭医生服务、基本公卫服务。</w:t>
      </w:r>
    </w:p>
    <w:p w14:paraId="7C9DC41A">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2.产品配置要求</w:t>
      </w:r>
    </w:p>
    <w:p w14:paraId="7384841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2.1、标准检测项目：身份识别、血压、脉率、血氧饱和度、体温、腰臀围、腰臀比、身高、体重、BMI、血糖、尿酸、总胆固醇，中医体质辨识，全科问诊；</w:t>
      </w:r>
    </w:p>
    <w:p w14:paraId="3899295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2.2、操作平台：安卓触摸屏触控操作；</w:t>
      </w:r>
    </w:p>
    <w:p w14:paraId="2AFD953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2.3、所有医疗器械均有医疗器械注册证；</w:t>
      </w:r>
    </w:p>
    <w:p w14:paraId="6ED6D94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3.软件功能</w:t>
      </w:r>
    </w:p>
    <w:p w14:paraId="0065A7C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3.1、</w:t>
      </w:r>
      <w:r>
        <w:rPr>
          <w:rFonts w:hint="eastAsia" w:ascii="宋体" w:hAnsi="宋体" w:eastAsia="宋体" w:cs="宋体"/>
          <w:b/>
          <w:bCs/>
          <w:sz w:val="24"/>
          <w:szCs w:val="24"/>
          <w:lang w:val="en-US" w:eastAsia="zh-CN"/>
        </w:rPr>
        <w:t>健康一体机管理系统软件</w:t>
      </w:r>
    </w:p>
    <w:p w14:paraId="30F943C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3.1.1、</w:t>
      </w:r>
      <w:r>
        <w:rPr>
          <w:rFonts w:hint="eastAsia" w:ascii="宋体" w:hAnsi="宋体" w:eastAsia="宋体" w:cs="宋体"/>
          <w:b w:val="0"/>
          <w:bCs w:val="0"/>
          <w:sz w:val="24"/>
          <w:szCs w:val="24"/>
          <w:lang w:val="en-US" w:eastAsia="zh-CN"/>
        </w:rPr>
        <w:t>自助建档</w:t>
      </w:r>
    </w:p>
    <w:p w14:paraId="4E9A640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3.1.1.1、初次使用的居民，在所有的健康一体机显示屏上可提示并引导居民自助建档，建档数据自动归入个人健康档案库。</w:t>
      </w:r>
    </w:p>
    <w:p w14:paraId="2725D5F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3.1.1.2、自助建档支持通过身份证、IC卡(医保卡、健康卡)、微信扫码、条形码、人脸识别方式采集人员信息（人员姓名、性别、出身日期、住址身份证号码基础信息）并自动形成个人健康档案。</w:t>
      </w:r>
    </w:p>
    <w:p w14:paraId="66040BB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3.1.2、</w:t>
      </w:r>
      <w:r>
        <w:rPr>
          <w:rFonts w:hint="eastAsia" w:ascii="宋体" w:hAnsi="宋体" w:eastAsia="宋体" w:cs="宋体"/>
          <w:b w:val="0"/>
          <w:bCs w:val="0"/>
          <w:sz w:val="24"/>
          <w:szCs w:val="24"/>
          <w:lang w:val="en-US" w:eastAsia="zh-CN"/>
        </w:rPr>
        <w:t>自助体检</w:t>
      </w:r>
    </w:p>
    <w:p w14:paraId="70E665D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sz w:val="24"/>
          <w:szCs w:val="24"/>
          <w:lang w:val="en-US" w:eastAsia="zh-CN"/>
        </w:rPr>
        <w:t>3.1.2.1、从登记到集成体检报告，各设备均可由检测者自助或自动完成，用户可以</w:t>
      </w:r>
      <w:r>
        <w:rPr>
          <w:rFonts w:hint="eastAsia" w:ascii="宋体" w:hAnsi="宋体" w:eastAsia="宋体" w:cs="宋体"/>
          <w:i w:val="0"/>
          <w:iCs w:val="0"/>
          <w:sz w:val="24"/>
          <w:szCs w:val="24"/>
          <w:lang w:val="en-US" w:eastAsia="zh-CN"/>
        </w:rPr>
        <w:t>对检测指标进行查看，实现全程自助理念。</w:t>
      </w:r>
    </w:p>
    <w:p w14:paraId="79DCF75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3.1.2.2、软件数据处理模块可以把测量的项目：身高、体重、BMI、血压、血氧、血糖、尿酸、总胆固醇、体温、腰臀比例、中医体质辨识检测数据自动上传到系统，无需手动输入，数据结果汇总并生成体检报告，方便医护人员查看检测者信息。</w:t>
      </w:r>
    </w:p>
    <w:p w14:paraId="6620FD1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3.1.2.3、每个检查项目都配有专业的动画操作说明，通过指导客户达到自助检测的目的。</w:t>
      </w:r>
    </w:p>
    <w:p w14:paraId="3BFC98D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i w:val="0"/>
          <w:iCs w:val="0"/>
          <w:sz w:val="24"/>
          <w:szCs w:val="24"/>
          <w:lang w:val="en-US" w:eastAsia="zh-CN"/>
        </w:rPr>
        <w:t>3.1.2.4、每个检查项目都配有真人语音讲解说明，指导客户达到自助使用目的。</w:t>
      </w:r>
    </w:p>
    <w:p w14:paraId="7BBBB12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bCs/>
          <w:i w:val="0"/>
          <w:iCs w:val="0"/>
          <w:sz w:val="24"/>
          <w:szCs w:val="24"/>
          <w:lang w:val="en-US" w:eastAsia="zh-CN"/>
        </w:rPr>
      </w:pPr>
      <w:r>
        <w:rPr>
          <w:rFonts w:hint="eastAsia" w:ascii="宋体" w:hAnsi="宋体" w:eastAsia="宋体" w:cs="宋体"/>
          <w:i w:val="0"/>
          <w:iCs w:val="0"/>
          <w:sz w:val="24"/>
          <w:szCs w:val="24"/>
          <w:lang w:val="en-US" w:eastAsia="zh-CN"/>
        </w:rPr>
        <w:t>3</w:t>
      </w:r>
      <w:r>
        <w:rPr>
          <w:rFonts w:hint="eastAsia" w:ascii="宋体" w:hAnsi="宋体" w:eastAsia="宋体" w:cs="宋体"/>
          <w:b w:val="0"/>
          <w:bCs w:val="0"/>
          <w:i w:val="0"/>
          <w:iCs w:val="0"/>
          <w:sz w:val="24"/>
          <w:szCs w:val="24"/>
          <w:lang w:val="en-US" w:eastAsia="zh-CN"/>
        </w:rPr>
        <w:t>.1.3、数据传输</w:t>
      </w:r>
    </w:p>
    <w:p w14:paraId="6FCCB93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设备开机后通过蓝牙/USB连接，采用先进的通讯模式，传输稳定、高效；每个设备连接情况在系统主界面显示。</w:t>
      </w:r>
    </w:p>
    <w:p w14:paraId="5DD7E902">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b/>
          <w:bCs/>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eastAsia="宋体" w:cs="宋体"/>
          <w:b w:val="0"/>
          <w:bCs w:val="0"/>
          <w:i w:val="0"/>
          <w:iCs w:val="0"/>
          <w:sz w:val="24"/>
          <w:szCs w:val="24"/>
          <w:lang w:val="en-US" w:eastAsia="zh-CN"/>
        </w:rPr>
        <w:t>.4、报告查看</w:t>
      </w:r>
    </w:p>
    <w:p w14:paraId="281B1C7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3.1.4.1、在未联网单机使用的情况下，可打印纸质报告单；</w:t>
      </w:r>
    </w:p>
    <w:p w14:paraId="765BD2F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3.1.4.2、接入网络后，可实现数据共享，电子报告单健康服务工作。</w:t>
      </w:r>
    </w:p>
    <w:p w14:paraId="1A329E8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3.1.4.3、结合测量结果，从饮食、运动、养生方面给出健康指导建议。</w:t>
      </w:r>
    </w:p>
    <w:p w14:paraId="2B4F7B6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3.1.4.3、提供微信端查询功能，体检者可通过公众号自助查询个人体检报告。</w:t>
      </w:r>
    </w:p>
    <w:p w14:paraId="5EB09E4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3.1.5、支持测量项目拓展。</w:t>
      </w:r>
    </w:p>
    <w:p w14:paraId="7746E18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3.1.6、可对系统参数自行设置。</w:t>
      </w:r>
    </w:p>
    <w:p w14:paraId="717CC95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w:t>
      </w:r>
      <w:r>
        <w:rPr>
          <w:rFonts w:hint="eastAsia" w:ascii="宋体" w:hAnsi="宋体" w:eastAsia="宋体" w:cs="宋体"/>
          <w:b w:val="0"/>
          <w:bCs w:val="0"/>
          <w:i w:val="0"/>
          <w:iCs w:val="0"/>
          <w:sz w:val="24"/>
          <w:szCs w:val="24"/>
          <w:lang w:val="en-US" w:eastAsia="zh-CN"/>
        </w:rPr>
        <w:t>.1.7、数据对接</w:t>
      </w:r>
    </w:p>
    <w:p w14:paraId="20210F3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支持数据对接，提供完整的数据传输接口协议，支持多种联网传输方式（数据库直连、HTTP、Webservice以及xml文件）。也可根据第三方软件系统接口协议，做定制接口开发，最终实现与His系统，公卫系统、体检系统第三方系统对接。</w:t>
      </w:r>
    </w:p>
    <w:p w14:paraId="73354CC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eastAsia="宋体" w:cs="宋体"/>
          <w:b w:val="0"/>
          <w:bCs w:val="0"/>
          <w:i w:val="0"/>
          <w:iCs w:val="0"/>
          <w:sz w:val="24"/>
          <w:szCs w:val="24"/>
          <w:lang w:val="en-US" w:eastAsia="zh-CN"/>
        </w:rPr>
        <w:t>.8、升级维护：</w:t>
      </w:r>
      <w:r>
        <w:rPr>
          <w:rFonts w:hint="eastAsia" w:ascii="宋体" w:hAnsi="宋体" w:eastAsia="宋体" w:cs="宋体"/>
          <w:i w:val="0"/>
          <w:iCs w:val="0"/>
          <w:sz w:val="24"/>
          <w:szCs w:val="24"/>
          <w:lang w:val="en-US" w:eastAsia="zh-CN"/>
        </w:rPr>
        <w:t>联网后支持远程升级，故障上报，数据备份，软件更新服务。</w:t>
      </w:r>
    </w:p>
    <w:p w14:paraId="76E7FB0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3.1.9、具有健康一体机管理系统的计算机软件著作权证书。</w:t>
      </w:r>
    </w:p>
    <w:p w14:paraId="187C4092">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i w:val="0"/>
          <w:iCs w:val="0"/>
          <w:sz w:val="24"/>
          <w:szCs w:val="24"/>
          <w:lang w:val="en-US" w:eastAsia="zh-CN"/>
        </w:rPr>
      </w:pPr>
    </w:p>
    <w:p w14:paraId="02104569">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i w:val="0"/>
          <w:iCs w:val="0"/>
          <w:sz w:val="24"/>
          <w:szCs w:val="24"/>
          <w:lang w:val="en-US" w:eastAsia="zh-CN"/>
        </w:rPr>
      </w:pPr>
      <w:r>
        <w:rPr>
          <w:rFonts w:hint="eastAsia" w:ascii="宋体" w:hAnsi="宋体" w:eastAsia="宋体" w:cs="宋体"/>
          <w:b/>
          <w:bCs/>
          <w:i w:val="0"/>
          <w:iCs w:val="0"/>
          <w:sz w:val="24"/>
          <w:szCs w:val="24"/>
          <w:lang w:val="en-US" w:eastAsia="zh-CN"/>
        </w:rPr>
        <w:t>3.2、全科问诊系统</w:t>
      </w:r>
    </w:p>
    <w:p w14:paraId="0D9DC26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3.2.1、按照《国家基本公共卫生服务规范（第三版）》要求，包括居民健康档案、个人基本信息表、健康体检表、新生儿家庭访视记录表、1-8月龄儿童健康检查记录表、12-30月龄儿童健康检查记录表、3-6岁儿童健康检查记录表、老年人生活自理能力评估表、高血压患者随访服务记录表、2型糖尿病患者随访服务记录表、老年人中医药健康管理服务记录表表单；</w:t>
      </w:r>
    </w:p>
    <w:p w14:paraId="51B2A2D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3.2.2、支持健康随诊箱测量结果自动填入相应表单，提升用户体验，提高填写效率；</w:t>
      </w:r>
    </w:p>
    <w:p w14:paraId="31FCAA0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3.2.3、支持联网自动获取公卫体检数据并自动填写至相应表单，避免重复填写，节省时间，提高填写效率；</w:t>
      </w:r>
    </w:p>
    <w:p w14:paraId="249C3A1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3.2.4、支持表单数据的本地存储与查询，方便用户查看历史检测数据。</w:t>
      </w:r>
    </w:p>
    <w:p w14:paraId="4B6F4735">
      <w:pPr>
        <w:keepNext w:val="0"/>
        <w:keepLines w:val="0"/>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i w:val="0"/>
          <w:iCs w:val="0"/>
          <w:sz w:val="24"/>
          <w:szCs w:val="24"/>
          <w:lang w:val="en-US" w:eastAsia="zh-CN"/>
        </w:rPr>
      </w:pPr>
    </w:p>
    <w:p w14:paraId="1F22E850">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i w:val="0"/>
          <w:iCs w:val="0"/>
          <w:sz w:val="24"/>
          <w:szCs w:val="24"/>
          <w:lang w:val="en-US" w:eastAsia="zh-CN"/>
        </w:rPr>
      </w:pPr>
      <w:r>
        <w:rPr>
          <w:rFonts w:hint="eastAsia" w:ascii="宋体" w:hAnsi="宋体" w:eastAsia="宋体" w:cs="宋体"/>
          <w:b/>
          <w:bCs/>
          <w:i w:val="0"/>
          <w:iCs w:val="0"/>
          <w:sz w:val="24"/>
          <w:szCs w:val="24"/>
          <w:lang w:val="en-US" w:eastAsia="zh-CN"/>
        </w:rPr>
        <w:t>3.3、中医体质辨识系统软件</w:t>
      </w:r>
    </w:p>
    <w:p w14:paraId="74B2277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b w:val="0"/>
          <w:bCs w:val="0"/>
          <w:i w:val="0"/>
          <w:iCs w:val="0"/>
          <w:sz w:val="24"/>
          <w:szCs w:val="24"/>
          <w:lang w:val="en-US" w:eastAsia="zh-CN"/>
        </w:rPr>
        <w:t>3.3.1、同时支持66道题和33道题，根据实际临床需求可自主选择。</w:t>
      </w:r>
      <w:r>
        <w:rPr>
          <w:rFonts w:hint="eastAsia" w:ascii="宋体" w:hAnsi="宋体" w:eastAsia="宋体" w:cs="宋体"/>
          <w:i w:val="0"/>
          <w:iCs w:val="0"/>
          <w:sz w:val="24"/>
          <w:szCs w:val="24"/>
          <w:lang w:val="en-US" w:eastAsia="zh-CN"/>
        </w:rPr>
        <w:t>（需附软件截图并加盖公章）</w:t>
      </w:r>
    </w:p>
    <w:p w14:paraId="2DD53DF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i w:val="0"/>
          <w:iCs w:val="0"/>
          <w:sz w:val="24"/>
          <w:szCs w:val="24"/>
          <w:lang w:val="en-US" w:eastAsia="zh-CN"/>
        </w:rPr>
        <w:t>3.3.2、体质类型：9种</w:t>
      </w:r>
      <w:r>
        <w:rPr>
          <w:rFonts w:hint="eastAsia" w:ascii="宋体" w:hAnsi="宋体" w:eastAsia="宋体" w:cs="宋体"/>
          <w:b w:val="0"/>
          <w:bCs w:val="0"/>
          <w:sz w:val="24"/>
          <w:szCs w:val="24"/>
          <w:lang w:val="en-US" w:eastAsia="zh-CN"/>
        </w:rPr>
        <w:t>，符合国家中医药管理局颁布的标准；</w:t>
      </w:r>
    </w:p>
    <w:p w14:paraId="5AF0723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3.3.3、软件有体质辨识判定功能，可以判定具体个人的个性体质的偏颇；</w:t>
      </w:r>
    </w:p>
    <w:p w14:paraId="6BD9EBD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3.3.4、软件有个性化指导功能（针对不同的个人体质可以进行膳食、运动、养生和生活方式针对性建议）。 </w:t>
      </w:r>
    </w:p>
    <w:p w14:paraId="1B58A31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3.3.5、</w:t>
      </w:r>
      <w:r>
        <w:rPr>
          <w:rFonts w:hint="eastAsia" w:ascii="宋体" w:hAnsi="宋体" w:eastAsia="宋体" w:cs="宋体"/>
          <w:sz w:val="24"/>
          <w:szCs w:val="24"/>
          <w:lang w:val="en-US" w:eastAsia="zh-CN"/>
        </w:rPr>
        <w:t>具有中医体质辨识系统软件的计算机软件著作权证书。</w:t>
      </w:r>
    </w:p>
    <w:p w14:paraId="55EF4572">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rPr>
      </w:pPr>
    </w:p>
    <w:p w14:paraId="2965882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4.配备检测功能参数</w:t>
      </w:r>
    </w:p>
    <w:p w14:paraId="646CD614">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4.1、脉搏血氧仪</w:t>
      </w:r>
    </w:p>
    <w:p w14:paraId="5024959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（1）血氧饱和度测量范围：35%～100%； </w:t>
      </w:r>
    </w:p>
    <w:p w14:paraId="21C9557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（2）血氧饱和度测量精度：80%～100%：±2%；70%～79%：±3%；精准率：1%；</w:t>
      </w:r>
    </w:p>
    <w:p w14:paraId="00D2800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（3）脉率测量范围：25bpm～250bpm；测量精度：±3bpm；</w:t>
      </w:r>
    </w:p>
    <w:p w14:paraId="1C99972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（4）显示屏：OLED屏；</w:t>
      </w:r>
    </w:p>
    <w:p w14:paraId="37FAE06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（5）可显示血氧波形； </w:t>
      </w:r>
    </w:p>
    <w:p w14:paraId="497AB65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（6）可连接蓝牙，对接APP“OXICARE”，实现数据管理；</w:t>
      </w:r>
    </w:p>
    <w:p w14:paraId="53C50DD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（7）认证：FDA、510k、CE、ISO13485、NMPA（二类医疗器械注册证）；</w:t>
      </w:r>
    </w:p>
    <w:p w14:paraId="14BB9E9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（8）环境要求：温度范围：工作：+5℃~+40℃；运输和贮存：-10℃~+50℃；</w:t>
      </w:r>
    </w:p>
    <w:p w14:paraId="27F58BF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4DCF5DB7">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4.2、全自动电子血压计</w:t>
      </w:r>
    </w:p>
    <w:p w14:paraId="5CC8B39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（1）测量原理：示波法；</w:t>
      </w:r>
    </w:p>
    <w:p w14:paraId="5632B96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（2）测量范围：血压:0mmHg～300mmHg；  脉率：35 bpm～185 bpm</w:t>
      </w:r>
    </w:p>
    <w:p w14:paraId="404C16E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（3）测量精准度:</w:t>
      </w:r>
    </w:p>
    <w:p w14:paraId="05D6B34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血压测量精度：±3mmHg；   </w:t>
      </w:r>
    </w:p>
    <w:p w14:paraId="6647027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脉率测量精度：35bpm～100bpm范围内，误差≤±2bpm；</w:t>
      </w:r>
    </w:p>
    <w:p w14:paraId="7965450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100bpm～185bpm范围内，误差≤±3bpm；</w:t>
      </w:r>
    </w:p>
    <w:p w14:paraId="6E8105D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（4）测量分辨率:压力测量分辨率：1mmHg；  脉率测量分辨率：1bpm；</w:t>
      </w:r>
    </w:p>
    <w:p w14:paraId="4BD8EA5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（5）适用臂围：16cm～43cm；</w:t>
      </w:r>
    </w:p>
    <w:p w14:paraId="0F52252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（6）病例存储容量：≥2000例；</w:t>
      </w:r>
    </w:p>
    <w:p w14:paraId="116BA57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（7）数字式LED屏显示：根据《中国高血压防治指南》自动对测量结果进行评估并显示，测量可信度的显示；</w:t>
      </w:r>
    </w:p>
    <w:p w14:paraId="439FD97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（8）袖带驱动方式：电机自动裹袖带，模拟人工绑袖带；</w:t>
      </w:r>
    </w:p>
    <w:p w14:paraId="314B944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（9）血压计工作模式：智能充气、线性放气。</w:t>
      </w:r>
    </w:p>
    <w:p w14:paraId="67FD88E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（10）臂姿确认功能：具备臂姿检测按钮和红外传感器。</w:t>
      </w:r>
    </w:p>
    <w:p w14:paraId="7FAFF45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（11）数据联网功能：USB接口、WIFI联网、有线联网；</w:t>
      </w:r>
    </w:p>
    <w:p w14:paraId="0BB5EBF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（12）语音提示功能：真人语音对操作指导、注意事项、测量结果进行播报以及血压计异常状态进行提示；</w:t>
      </w:r>
    </w:p>
    <w:p w14:paraId="02E37DB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（13）病例管理功能：可通过配套数据管理软件上对存储的病例进行管理；</w:t>
      </w:r>
    </w:p>
    <w:p w14:paraId="6174F96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（14）卷筒角度可调：可适应不同高度的人群以及修正不同坐姿带来的测量影响；</w:t>
      </w:r>
    </w:p>
    <w:p w14:paraId="79A6CF4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（15）多外置接口开放：可外接扫码枪（选配）、身份证读卡器（选配），实现病人信息快速录入；</w:t>
      </w:r>
    </w:p>
    <w:p w14:paraId="5C0863D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iCs/>
          <w:sz w:val="24"/>
          <w:szCs w:val="24"/>
          <w:lang w:val="en-US" w:eastAsia="zh-CN"/>
        </w:rPr>
      </w:pPr>
      <w:r>
        <w:rPr>
          <w:rFonts w:hint="eastAsia" w:ascii="宋体" w:hAnsi="宋体" w:eastAsia="宋体" w:cs="宋体"/>
          <w:b w:val="0"/>
          <w:bCs w:val="0"/>
          <w:sz w:val="24"/>
          <w:szCs w:val="24"/>
          <w:lang w:val="en-US" w:eastAsia="zh-CN"/>
        </w:rPr>
        <w:t>（16）电磁兼容性：射频发射水平达到B类标准。</w:t>
      </w:r>
    </w:p>
    <w:p w14:paraId="672CC78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iCs/>
          <w:sz w:val="24"/>
          <w:szCs w:val="24"/>
          <w:lang w:val="en-US" w:eastAsia="zh-CN"/>
        </w:rPr>
      </w:pPr>
    </w:p>
    <w:p w14:paraId="43EFBC18">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4.3、红外体温计</w:t>
      </w:r>
    </w:p>
    <w:p w14:paraId="3B096B8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（1）工作电压：USB供电：DC5V；</w:t>
      </w:r>
    </w:p>
    <w:p w14:paraId="660F734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（2）使用环境温度：10~40℃；</w:t>
      </w:r>
    </w:p>
    <w:p w14:paraId="7351D81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（3）温度的测量范围（包括人体、表面、室温）人体模式：32.0~42.9℃，表面模式0~100℃，室温模式：5~40℃；</w:t>
      </w:r>
    </w:p>
    <w:p w14:paraId="5095DD7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（4）测量距离</w:t>
      </w:r>
      <w:r>
        <w:rPr>
          <w:rFonts w:hint="eastAsia"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（3cm）；</w:t>
      </w:r>
    </w:p>
    <w:p w14:paraId="1970C34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（5）分辨率：0.1℃；</w:t>
      </w:r>
    </w:p>
    <w:p w14:paraId="44963AF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（6）感温部：非接触式红外传感器；</w:t>
      </w:r>
    </w:p>
    <w:p w14:paraId="2F7C5B5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（7）温度测量误差（包括人体、表面）：人体模式：±0.2℃；表面模式：±0.2℃（33.0-41.0℃）</w:t>
      </w:r>
    </w:p>
    <w:p w14:paraId="07CAB6B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（8）测量人体时高温报警温度：警示温度：38.0℃；背光亮红色；</w:t>
      </w:r>
    </w:p>
    <w:p w14:paraId="55524A1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（9）可储存</w:t>
      </w:r>
      <w:r>
        <w:rPr>
          <w:rFonts w:hint="eastAsia"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99组数据</w:t>
      </w:r>
    </w:p>
    <w:p w14:paraId="340B1E1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（10）可删除记忆；</w:t>
      </w:r>
    </w:p>
    <w:p w14:paraId="096B2F9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（11）按键寿命：</w:t>
      </w:r>
      <w:r>
        <w:rPr>
          <w:rFonts w:hint="eastAsia"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10W次</w:t>
      </w:r>
    </w:p>
    <w:p w14:paraId="136C3D4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（12）USB功能：①白色USB弹簧线；②波特率9600；③支持PC、安卓一体机设备；</w:t>
      </w:r>
    </w:p>
    <w:p w14:paraId="0CCE547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20661759">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4.4、超声波身高体重测量仪</w:t>
      </w:r>
    </w:p>
    <w:p w14:paraId="4AFE429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（1）身高测量范围：70cm～200cm，分辨率≤0.1 cm</w:t>
      </w:r>
    </w:p>
    <w:p w14:paraId="7E1F7F7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（2）体重测量范围：2kg～200kg，最大误差≤±0.1kg</w:t>
      </w:r>
    </w:p>
    <w:p w14:paraId="4CB5A89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（3）外形尺寸：</w:t>
      </w:r>
      <w:bookmarkStart w:id="14" w:name="_Hlk1031187"/>
      <w:r>
        <w:rPr>
          <w:rFonts w:hint="eastAsia" w:ascii="宋体" w:hAnsi="宋体" w:eastAsia="宋体" w:cs="宋体"/>
          <w:b w:val="0"/>
          <w:bCs w:val="0"/>
          <w:sz w:val="24"/>
          <w:szCs w:val="24"/>
          <w:lang w:val="en-US" w:eastAsia="zh-CN"/>
        </w:rPr>
        <w:t>长约520mm，宽约405mm，高约1400mm（min）</w:t>
      </w:r>
      <w:bookmarkEnd w:id="14"/>
      <w:r>
        <w:rPr>
          <w:rFonts w:hint="eastAsia" w:ascii="宋体" w:hAnsi="宋体" w:eastAsia="宋体" w:cs="宋体"/>
          <w:b w:val="0"/>
          <w:bCs w:val="0"/>
          <w:sz w:val="24"/>
          <w:szCs w:val="24"/>
          <w:lang w:val="en-US" w:eastAsia="zh-CN"/>
        </w:rPr>
        <w:t>～ 2350mm（max）</w:t>
      </w:r>
    </w:p>
    <w:p w14:paraId="5505536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（4）本体重量：净重≤22Kg</w:t>
      </w:r>
    </w:p>
    <w:p w14:paraId="3E5CEFA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（5）通过计量认证：提供计量院出具的计量认证证明资料。</w:t>
      </w:r>
    </w:p>
    <w:p w14:paraId="13375C5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（6）测量方式：手动﹑自动﹑遥控三种方式可随意选择</w:t>
      </w:r>
      <w:bookmarkStart w:id="15" w:name="page40"/>
      <w:bookmarkEnd w:id="15"/>
      <w:r>
        <w:rPr>
          <w:rFonts w:hint="eastAsia" w:ascii="宋体" w:hAnsi="宋体" w:eastAsia="宋体" w:cs="宋体"/>
          <w:b w:val="0"/>
          <w:bCs w:val="0"/>
          <w:sz w:val="24"/>
          <w:szCs w:val="24"/>
          <w:lang w:val="en-US" w:eastAsia="zh-CN"/>
        </w:rPr>
        <w:t>。</w:t>
      </w:r>
    </w:p>
    <w:p w14:paraId="12DD3D3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（7）温度补偿功能：双温度传感器，具有温度补偿功能。</w:t>
      </w:r>
    </w:p>
    <w:p w14:paraId="33FAA71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（8）检测参数：可检测身高、体重，可计算BMI、体表面积、男性超重百分比、女性超重百分比。</w:t>
      </w:r>
    </w:p>
    <w:p w14:paraId="55D7B5E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（9）语音播报功能：可播报操作指导、注意事项、测量结果、异常提示，并可对播报内容进行选择设置。</w:t>
      </w:r>
    </w:p>
    <w:p w14:paraId="7BFFE22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（10）打印结果：可进行测量结果数值打印、条码打印、体重指数BMI参照表打印（中国卫生行业标准（WS/T428-2013）参照表、WHD标准-2004参照表）多种结果显示打印。</w:t>
      </w:r>
    </w:p>
    <w:p w14:paraId="05E87F6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（11）离线保存测量结果：</w:t>
      </w:r>
      <w:r>
        <w:rPr>
          <w:rFonts w:hint="eastAsia"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2000例测量结果。</w:t>
      </w:r>
    </w:p>
    <w:p w14:paraId="2A284B2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（12）网络直连功能：可通过网线、WIFI以及移动网络模块（选配）方式直接将设备的检测数据传输至医院各个网络系统，不在需要单独传输至PC端。</w:t>
      </w:r>
    </w:p>
    <w:p w14:paraId="4B381C6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（13）可伸缩结构：为方便运输以及适应不同高度的房屋，设备具有伸缩功能，收缩状态高度为1.4m左右；伸展状态高度为2.35m左右。</w:t>
      </w:r>
    </w:p>
    <w:p w14:paraId="1BD8B0A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149C243C">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4.5、血糖、尿酸、总胆固醇监测系统</w:t>
      </w:r>
    </w:p>
    <w:p w14:paraId="7952D07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（1）原理：电化学生物感测原理。</w:t>
      </w:r>
    </w:p>
    <w:p w14:paraId="06EF5BC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（2）标定：以生化分析仪对血浆标定。</w:t>
      </w:r>
    </w:p>
    <w:p w14:paraId="7ADCDA3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（3）血样：新鲜指尖全血。</w:t>
      </w:r>
    </w:p>
    <w:p w14:paraId="7613A22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（4）测试时间：血糖 5 秒±2秒；尿酸 15 秒±2秒 ；总胆固醇 25 秒±2秒。</w:t>
      </w:r>
    </w:p>
    <w:p w14:paraId="5AAD06E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（5）血球容积：30%-55%（血糖、尿酸） 35%-50%(总胆固醇)。</w:t>
      </w:r>
    </w:p>
    <w:p w14:paraId="211C9DB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（6）记忆容量 ：≥460 组检测结果（血糖 350组；尿酸 50 组；总胆固醇 50 组）。</w:t>
      </w:r>
    </w:p>
    <w:p w14:paraId="64F9CBF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（7）系统正确±20% 当血糖浓度≥4.17mmol/L(75mg/dL)，±20% 当尿酸浓度≥0.30mmol/L(5mg/dL)，±20% 当总胆固醇浓度≥3.88mmol/L(150mg/dL)。</w:t>
      </w:r>
    </w:p>
    <w:p w14:paraId="2FB2C51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（8）电池种类：一枚 3V 锂电池（CR2032）约可测1000 次。</w:t>
      </w:r>
    </w:p>
    <w:p w14:paraId="219ED2C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（9）自动关闭：3 分钟内无任何操作自动关闭。</w:t>
      </w:r>
    </w:p>
    <w:p w14:paraId="4D06ABD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（10）具有无线传输功能，可对接APP，实现数据管理。</w:t>
      </w:r>
    </w:p>
    <w:p w14:paraId="250FA24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56D68237">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4.6、脂肪模组</w:t>
      </w:r>
    </w:p>
    <w:p w14:paraId="1780FBB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（1）模组类型：四电极。</w:t>
      </w:r>
    </w:p>
    <w:p w14:paraId="0DF25B2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（2）测验频率：50kHz。</w:t>
      </w:r>
    </w:p>
    <w:p w14:paraId="6D9262F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（3）测量电流：≤90μA。</w:t>
      </w:r>
    </w:p>
    <w:p w14:paraId="09691EA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（4）电极材料：电镀材料。</w:t>
      </w:r>
    </w:p>
    <w:p w14:paraId="0F13B81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（5）测量方部位：右臂、左臂。</w:t>
      </w:r>
    </w:p>
    <w:p w14:paraId="0459421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（6）测量范围：75.0-1500.00Ω（0.1Ω单位）。</w:t>
      </w:r>
    </w:p>
    <w:p w14:paraId="250D1EB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（7）阻抗测量时间：2-4秒。</w:t>
      </w:r>
    </w:p>
    <w:p w14:paraId="2FD3F2D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（8）输入参数：身高、体重、年龄、性别。</w:t>
      </w:r>
    </w:p>
    <w:p w14:paraId="0AF4265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（9）应答参数：脂肪率、水分率、肌肉量、骨量、基础代谢（BMR）、内脏脂肪、人体质量指数（BMI）、蛋白质率、皮下脂肪量、体年龄。</w:t>
      </w:r>
    </w:p>
    <w:p w14:paraId="4F48874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7E6F1484">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5、</w:t>
      </w:r>
      <w:r>
        <w:rPr>
          <w:rFonts w:hint="eastAsia" w:ascii="宋体" w:hAnsi="宋体" w:eastAsia="宋体" w:cs="宋体"/>
          <w:b/>
          <w:bCs/>
          <w:sz w:val="24"/>
          <w:szCs w:val="24"/>
          <w:lang w:val="en-US" w:eastAsia="zh-CN"/>
        </w:rPr>
        <w:t>腰围尺</w:t>
      </w:r>
    </w:p>
    <w:p w14:paraId="0750E6D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（1）测量范围：0m～1.5m；</w:t>
      </w:r>
    </w:p>
    <w:p w14:paraId="5EE32C3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（2）精度：±0.1m；</w:t>
      </w:r>
    </w:p>
    <w:p w14:paraId="03E5176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（3）附带BMI显示功能，可将身体肥胖划分等级，降低，正常，偏重，肥胖。</w:t>
      </w:r>
    </w:p>
    <w:p w14:paraId="68B41C0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615CC32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5、配件参数</w:t>
      </w:r>
    </w:p>
    <w:p w14:paraId="51B57C0D">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5.1、安卓一体机</w:t>
      </w:r>
    </w:p>
    <w:p w14:paraId="2FF2A8E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（1）CPU：四核处理器、主频1.8G；</w:t>
      </w:r>
    </w:p>
    <w:p w14:paraId="42274B6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（2）LED 屏：≥21英寸IPS屏；分辨率:1920*1080；</w:t>
      </w:r>
    </w:p>
    <w:p w14:paraId="1D546D7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（3）RAM（内存）：2GB；容量8GB；</w:t>
      </w:r>
    </w:p>
    <w:p w14:paraId="1AE08E4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（4）操作系统：不低于Android 5.1；</w:t>
      </w:r>
    </w:p>
    <w:p w14:paraId="7E8D8D9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（5）网络：支持WIFI、以太网；配备蓝牙4.0，支持外置3G；</w:t>
      </w:r>
    </w:p>
    <w:p w14:paraId="50007EB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（6）媒体播放：视频格式:MPEG-1,MPEG-2,MPEG-4,H.263,H.264,VC1,RV etc.,support up to 1080p；</w:t>
      </w:r>
    </w:p>
    <w:p w14:paraId="4D29850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（7）配备200万摄像头；</w:t>
      </w:r>
    </w:p>
    <w:p w14:paraId="31B5228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（8）电容触摸屏；</w:t>
      </w:r>
    </w:p>
    <w:p w14:paraId="308A797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（9）1级能效节能产品：提供官方能源效率检测报告复印件；</w:t>
      </w:r>
    </w:p>
    <w:p w14:paraId="55F1878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1A59DA33">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5.2、多功能读写器</w:t>
      </w:r>
    </w:p>
    <w:p w14:paraId="696C024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（1）内置公安部认可的二代阅读模块，可阅读二代证信息，适合部署在需要同时操作接触式IC卡、非接触式IC卡、磁条卡和二代证的用卡场景；</w:t>
      </w:r>
    </w:p>
    <w:p w14:paraId="23A9E43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（2）接触式卡：支持ISO 7816标准的IC卡；</w:t>
      </w:r>
    </w:p>
    <w:p w14:paraId="3DFBEAA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（3）非接触式卡：支持ISO 14443 TypeA/B；标准感应IC卡；</w:t>
      </w:r>
    </w:p>
    <w:p w14:paraId="1301CD7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（4）读二代证：支持阅读中华人民共和国第二代身份证；</w:t>
      </w:r>
    </w:p>
    <w:p w14:paraId="3727F8D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（5）支持1、2、3轨的磁条的读功能；</w:t>
      </w:r>
    </w:p>
    <w:p w14:paraId="0F5A804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（5）机内支持PSAM安全认证；</w:t>
      </w:r>
    </w:p>
    <w:p w14:paraId="046E93F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（6）状态显示：4个LED指示灯，指示电源、通讯、读卡、交易状态；</w:t>
      </w:r>
    </w:p>
    <w:p w14:paraId="0433BE5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（7）通讯接口：USB、RS232；</w:t>
      </w:r>
    </w:p>
    <w:p w14:paraId="03EB857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（8）操作系统：支持 Windows、Linux、Android 及 iOS5；</w:t>
      </w:r>
    </w:p>
    <w:p w14:paraId="782EA17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（9）遵循的标准：ISO 7816、IS014443、GSM11.11、FCC、ROHS、CE、CCC。</w:t>
      </w:r>
    </w:p>
    <w:p w14:paraId="353902C1">
      <w:pPr>
        <w:keepNext w:val="0"/>
        <w:keepLines w:val="0"/>
        <w:pageBreakBefore w:val="0"/>
        <w:widowControl w:val="0"/>
        <w:numPr>
          <w:ilvl w:val="1"/>
          <w:numId w:val="0"/>
        </w:numPr>
        <w:kinsoku/>
        <w:wordWrap/>
        <w:overflowPunct/>
        <w:topLinePunct w:val="0"/>
        <w:bidi w:val="0"/>
        <w:snapToGrid/>
        <w:spacing w:line="360" w:lineRule="auto"/>
        <w:ind w:left="0" w:leftChars="0" w:firstLine="500" w:firstLineChars="200"/>
        <w:textAlignment w:val="auto"/>
        <w:rPr>
          <w:rFonts w:hint="eastAsia" w:ascii="宋体" w:hAnsi="宋体" w:eastAsia="宋体" w:cs="宋体"/>
          <w:spacing w:val="5"/>
          <w:sz w:val="24"/>
          <w:szCs w:val="24"/>
        </w:rPr>
      </w:pPr>
    </w:p>
    <w:p w14:paraId="7D0FFA87">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5.3、黑白激光打印机</w:t>
      </w:r>
    </w:p>
    <w:p w14:paraId="5EB2F69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（1）黑白激光打印；</w:t>
      </w:r>
    </w:p>
    <w:p w14:paraId="22938AD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（2）最高分辨率：≥1200×1200dpi；</w:t>
      </w:r>
    </w:p>
    <w:p w14:paraId="6090839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（3）打印速度不低于20页/分；</w:t>
      </w:r>
    </w:p>
    <w:p w14:paraId="7F1930D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（4）机内存不小于64MB；</w:t>
      </w:r>
    </w:p>
    <w:p w14:paraId="71296BF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（5）支持USB接口；</w:t>
      </w:r>
    </w:p>
    <w:p w14:paraId="3053CCF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（6）可与安卓系统连接；</w:t>
      </w:r>
    </w:p>
    <w:p w14:paraId="1F17A79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529068AC">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5.4、健康结构平台</w:t>
      </w:r>
    </w:p>
    <w:p w14:paraId="659BF5A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（1）具备ABS 塑料材质​</w:t>
      </w:r>
    </w:p>
    <w:p w14:paraId="728A912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（2）具备通用槽</w:t>
      </w:r>
    </w:p>
    <w:p w14:paraId="2EB4E27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eastAsia" w:ascii="宋体" w:hAnsi="宋体" w:eastAsia="宋体" w:cs="宋体"/>
          <w:sz w:val="24"/>
          <w:szCs w:val="24"/>
          <w:lang w:val="en-US" w:eastAsia="zh-CN"/>
        </w:rPr>
        <w:t>平台</w:t>
      </w:r>
      <w:r>
        <w:rPr>
          <w:rFonts w:hint="eastAsia" w:ascii="宋体" w:hAnsi="宋体" w:eastAsia="宋体" w:cs="宋体"/>
          <w:b w:val="0"/>
          <w:bCs w:val="0"/>
          <w:sz w:val="24"/>
          <w:szCs w:val="24"/>
          <w:lang w:val="en-US" w:eastAsia="zh-CN"/>
        </w:rPr>
        <w:t>线缆隐藏</w:t>
      </w:r>
      <w:r>
        <w:rPr>
          <w:rFonts w:hint="eastAsia" w:ascii="宋体" w:hAnsi="宋体" w:eastAsia="宋体" w:cs="宋体"/>
          <w:sz w:val="24"/>
          <w:szCs w:val="24"/>
          <w:lang w:val="en-US" w:eastAsia="zh-CN"/>
        </w:rPr>
        <w:t>设计</w:t>
      </w:r>
    </w:p>
    <w:p w14:paraId="3251E9B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（4）具备一体机内嵌</w:t>
      </w:r>
    </w:p>
    <w:p w14:paraId="290CBC3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（5）自研读卡器识别系统</w:t>
      </w:r>
    </w:p>
    <w:p w14:paraId="61F03B1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b w:val="0"/>
          <w:bCs w:val="0"/>
          <w:sz w:val="24"/>
          <w:szCs w:val="24"/>
          <w:lang w:val="en-US" w:eastAsia="zh-CN"/>
        </w:rPr>
        <w:t>可配置嵌入式读卡器，支持身份证，社保卡。</w:t>
      </w:r>
    </w:p>
    <w:p w14:paraId="79393191">
      <w:pPr>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val="en-US" w:eastAsia="zh-CN"/>
        </w:rPr>
      </w:pPr>
    </w:p>
    <w:p w14:paraId="5B3DD9F4">
      <w:pPr>
        <w:numPr>
          <w:ilvl w:val="0"/>
          <w:numId w:val="0"/>
        </w:numPr>
        <w:spacing w:line="360" w:lineRule="auto"/>
        <w:outlineLvl w:val="1"/>
        <w:rPr>
          <w:rFonts w:hint="eastAsia" w:ascii="宋体" w:hAnsi="宋体" w:eastAsia="宋体" w:cs="宋体"/>
          <w:b/>
          <w:bCs/>
          <w:sz w:val="24"/>
          <w:szCs w:val="24"/>
        </w:rPr>
      </w:pPr>
      <w:r>
        <w:rPr>
          <w:rFonts w:hint="eastAsia" w:ascii="宋体" w:hAnsi="宋体" w:eastAsia="宋体" w:cs="宋体"/>
          <w:b/>
          <w:bCs/>
          <w:sz w:val="24"/>
          <w:szCs w:val="24"/>
          <w:lang w:val="en-US" w:eastAsia="zh-CN"/>
        </w:rPr>
        <w:t>2.村站版健康一体机</w:t>
      </w:r>
    </w:p>
    <w:p w14:paraId="51D5806D">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1.整体要求</w:t>
      </w:r>
    </w:p>
    <w:p w14:paraId="37A8560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健康一体机是把人体各项健康指标的设备集成到一台设备上，可以通过身份证、社保卡进行自主登记、自主建档、自助体检、自动生成体检报告各项功能。检测者可以按照机器屏幕引导和语音提示自助完成一系列健康检测项目，体检完成后自动生成健康体检报告，并给予检测者健康指导、膳食指导。</w:t>
      </w:r>
    </w:p>
    <w:p w14:paraId="27AB291A">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同时具有家庭医生签约、慢病管理、基础诊疗功能，配置灵活，适用于广大村医、家庭医生为辖区居民提供家庭医生服务、基本公卫服务。</w:t>
      </w:r>
    </w:p>
    <w:p w14:paraId="209E5B75">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2.产品配置要求</w:t>
      </w:r>
    </w:p>
    <w:p w14:paraId="5F7BB25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2.1、标准检测项目：身份识别、血压、脉率、血氧饱和度、体温、腰臀围、腰臀比、身高、体重、BMI、血糖、尿酸、人体脂肪成分；</w:t>
      </w:r>
    </w:p>
    <w:p w14:paraId="2E5ED4E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2.2、操作平台：windows触摸屏触控操作；</w:t>
      </w:r>
    </w:p>
    <w:p w14:paraId="2ECEB7C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2.3、所有医疗器械均有医疗器械注册证；</w:t>
      </w:r>
    </w:p>
    <w:p w14:paraId="7F82FE38">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3.软件功能</w:t>
      </w:r>
    </w:p>
    <w:p w14:paraId="29BF167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3.1、</w:t>
      </w:r>
      <w:r>
        <w:rPr>
          <w:rFonts w:hint="eastAsia" w:ascii="宋体" w:hAnsi="宋体" w:eastAsia="宋体" w:cs="宋体"/>
          <w:b/>
          <w:bCs/>
          <w:sz w:val="24"/>
          <w:szCs w:val="24"/>
          <w:lang w:val="en-US" w:eastAsia="zh-CN"/>
        </w:rPr>
        <w:t>健康一体机管理系统软件</w:t>
      </w:r>
    </w:p>
    <w:p w14:paraId="77E74BB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3.1.1、</w:t>
      </w:r>
      <w:r>
        <w:rPr>
          <w:rFonts w:hint="eastAsia" w:ascii="宋体" w:hAnsi="宋体" w:eastAsia="宋体" w:cs="宋体"/>
          <w:b w:val="0"/>
          <w:bCs w:val="0"/>
          <w:sz w:val="24"/>
          <w:szCs w:val="24"/>
          <w:lang w:val="en-US" w:eastAsia="zh-CN"/>
        </w:rPr>
        <w:t>自助建档</w:t>
      </w:r>
    </w:p>
    <w:p w14:paraId="1A92A81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3.1.1.1、初次使用的居民，在所有的健康一体机显示屏上可提示并引导居民自助建档，建档数据自动归入个人健康档案库。</w:t>
      </w:r>
    </w:p>
    <w:p w14:paraId="49750B7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sz w:val="24"/>
          <w:szCs w:val="24"/>
          <w:lang w:val="en-US" w:eastAsia="zh-CN"/>
        </w:rPr>
        <w:t>3.1.1.2、自助建档支持通过身份证、IC卡(医保卡、健康卡)、微信扫码、条形码、人脸识别方式采集人员信息（人员姓名、性别、出身日期、住址身份证号码基础信</w:t>
      </w:r>
      <w:r>
        <w:rPr>
          <w:rFonts w:hint="eastAsia" w:ascii="宋体" w:hAnsi="宋体" w:eastAsia="宋体" w:cs="宋体"/>
          <w:i w:val="0"/>
          <w:iCs w:val="0"/>
          <w:sz w:val="24"/>
          <w:szCs w:val="24"/>
          <w:lang w:val="en-US" w:eastAsia="zh-CN"/>
        </w:rPr>
        <w:t>息）并自动形成个人健康档案。</w:t>
      </w:r>
    </w:p>
    <w:p w14:paraId="795570A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w:t>
      </w:r>
      <w:r>
        <w:rPr>
          <w:rFonts w:hint="eastAsia" w:ascii="宋体" w:hAnsi="宋体" w:eastAsia="宋体" w:cs="宋体"/>
          <w:b w:val="0"/>
          <w:bCs w:val="0"/>
          <w:i w:val="0"/>
          <w:iCs w:val="0"/>
          <w:sz w:val="24"/>
          <w:szCs w:val="24"/>
          <w:lang w:val="en-US" w:eastAsia="zh-CN"/>
        </w:rPr>
        <w:t>自助体检</w:t>
      </w:r>
    </w:p>
    <w:p w14:paraId="5082566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3.1.2.1、从登记到集成体检报告，各设备均可由检测者自助或自动完成，用户可以对检测指标进行查看，实现全程自助理念。</w:t>
      </w:r>
    </w:p>
    <w:p w14:paraId="772D5C2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3.1.2.2、软件数据处理模块可以把测量的项目：身高、体重、BMI、血压、血氧、血糖、尿酸、体温、腰臀比例、中医体质辨识检测数据自动上传到系统，无需手动输入，数据结果汇总并生成体检报告，方便医护人员查看检测者信息。</w:t>
      </w:r>
    </w:p>
    <w:p w14:paraId="5411601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3.1.2.3、每个检查项目都配有专业的动画操作说明，通过指导客户达到自助检测的目的。</w:t>
      </w:r>
    </w:p>
    <w:p w14:paraId="254E220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i w:val="0"/>
          <w:iCs w:val="0"/>
          <w:sz w:val="24"/>
          <w:szCs w:val="24"/>
          <w:lang w:val="en-US" w:eastAsia="zh-CN"/>
        </w:rPr>
        <w:t>3.1.2.4、每个检查项目都配有真人语音讲解说明，指导客户达到自助使用目的。</w:t>
      </w:r>
    </w:p>
    <w:p w14:paraId="4544D441">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i w:val="0"/>
          <w:iCs w:val="0"/>
          <w:sz w:val="24"/>
          <w:szCs w:val="24"/>
          <w:lang w:val="en-US" w:eastAsia="zh-CN"/>
        </w:rPr>
        <w:t>3</w:t>
      </w:r>
      <w:r>
        <w:rPr>
          <w:rFonts w:hint="eastAsia" w:ascii="宋体" w:hAnsi="宋体" w:eastAsia="宋体" w:cs="宋体"/>
          <w:b w:val="0"/>
          <w:bCs w:val="0"/>
          <w:i w:val="0"/>
          <w:iCs w:val="0"/>
          <w:sz w:val="24"/>
          <w:szCs w:val="24"/>
          <w:lang w:val="en-US" w:eastAsia="zh-CN"/>
        </w:rPr>
        <w:t>.1.3、数据传输</w:t>
      </w:r>
    </w:p>
    <w:p w14:paraId="0E611D42">
      <w:pPr>
        <w:keepNext w:val="0"/>
        <w:keepLines w:val="0"/>
        <w:pageBreakBefore w:val="0"/>
        <w:widowControl w:val="0"/>
        <w:numPr>
          <w:ilvl w:val="1"/>
          <w:numId w:val="0"/>
        </w:numPr>
        <w:kinsoku/>
        <w:wordWrap/>
        <w:overflowPunct/>
        <w:topLinePunct w:val="0"/>
        <w:bidi w:val="0"/>
        <w:snapToGrid/>
        <w:spacing w:line="360" w:lineRule="auto"/>
        <w:ind w:left="0" w:leftChars="0" w:firstLine="420" w:firstLineChars="200"/>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b w:val="0"/>
          <w:bCs w:val="0"/>
          <w:sz w:val="21"/>
          <w:szCs w:val="21"/>
          <w:lang w:val="en-US" w:eastAsia="zh-CN"/>
        </w:rPr>
        <w:t>.1.3、数据传输</w:t>
      </w:r>
    </w:p>
    <w:p w14:paraId="1E6C76E1">
      <w:pPr>
        <w:keepNext w:val="0"/>
        <w:keepLines w:val="0"/>
        <w:pageBreakBefore w:val="0"/>
        <w:widowControl w:val="0"/>
        <w:numPr>
          <w:ilvl w:val="1"/>
          <w:numId w:val="0"/>
        </w:numPr>
        <w:kinsoku/>
        <w:wordWrap/>
        <w:overflowPunct/>
        <w:topLinePunct w:val="0"/>
        <w:bidi w:val="0"/>
        <w:snapToGrid/>
        <w:spacing w:line="360" w:lineRule="auto"/>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设备开机后通过蓝牙/USB连接，采用先进的通讯模式，传输稳定、高效；每个设备连接情况在系统主界面显示。</w:t>
      </w:r>
    </w:p>
    <w:p w14:paraId="37A02CB1">
      <w:pPr>
        <w:keepNext w:val="0"/>
        <w:keepLines w:val="0"/>
        <w:pageBreakBefore w:val="0"/>
        <w:widowControl w:val="0"/>
        <w:kinsoku/>
        <w:wordWrap/>
        <w:overflowPunct/>
        <w:topLinePunct w:val="0"/>
        <w:bidi w:val="0"/>
        <w:snapToGrid/>
        <w:spacing w:line="360" w:lineRule="auto"/>
        <w:ind w:left="0" w:firstLine="420" w:firstLineChars="200"/>
        <w:textAlignment w:val="auto"/>
        <w:rPr>
          <w:rFonts w:hint="eastAsia"/>
          <w:lang w:val="en-US" w:eastAsia="zh-CN"/>
        </w:rPr>
      </w:pPr>
      <w:r>
        <w:rPr>
          <w:rFonts w:hint="eastAsia" w:ascii="宋体" w:hAnsi="宋体" w:eastAsia="宋体" w:cs="宋体"/>
          <w:sz w:val="21"/>
          <w:szCs w:val="21"/>
          <w:lang w:val="en-US" w:eastAsia="zh-CN"/>
        </w:rPr>
        <w:t>3.1</w:t>
      </w:r>
      <w:r>
        <w:rPr>
          <w:rFonts w:hint="eastAsia" w:ascii="宋体" w:hAnsi="宋体" w:eastAsia="宋体" w:cs="宋体"/>
          <w:b w:val="0"/>
          <w:bCs w:val="0"/>
          <w:sz w:val="21"/>
          <w:szCs w:val="21"/>
          <w:lang w:val="en-US" w:eastAsia="zh-CN"/>
        </w:rPr>
        <w:t>.4、报告查看</w:t>
      </w:r>
    </w:p>
    <w:p w14:paraId="0DAF5AC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4</w:t>
      </w:r>
      <w:r>
        <w:rPr>
          <w:rFonts w:hint="eastAsia" w:ascii="宋体" w:hAnsi="宋体" w:eastAsia="宋体" w:cs="宋体"/>
          <w:i w:val="0"/>
          <w:iCs w:val="0"/>
          <w:sz w:val="24"/>
          <w:szCs w:val="24"/>
          <w:lang w:val="en-US" w:eastAsia="zh-CN"/>
        </w:rPr>
        <w:t>.1、在未联网单机使用的情况下，可打印纸质报告单；</w:t>
      </w:r>
    </w:p>
    <w:p w14:paraId="78E215A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4</w:t>
      </w:r>
      <w:r>
        <w:rPr>
          <w:rFonts w:hint="eastAsia" w:ascii="宋体" w:hAnsi="宋体" w:eastAsia="宋体" w:cs="宋体"/>
          <w:i w:val="0"/>
          <w:iCs w:val="0"/>
          <w:sz w:val="24"/>
          <w:szCs w:val="24"/>
          <w:lang w:val="en-US" w:eastAsia="zh-CN"/>
        </w:rPr>
        <w:t>.2、接入网络后，可实现数据共享，电子报告单健康服务工作。</w:t>
      </w:r>
    </w:p>
    <w:p w14:paraId="344B501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4</w:t>
      </w:r>
      <w:r>
        <w:rPr>
          <w:rFonts w:hint="eastAsia" w:ascii="宋体" w:hAnsi="宋体" w:eastAsia="宋体" w:cs="宋体"/>
          <w:i w:val="0"/>
          <w:iCs w:val="0"/>
          <w:sz w:val="24"/>
          <w:szCs w:val="24"/>
          <w:lang w:val="en-US" w:eastAsia="zh-CN"/>
        </w:rPr>
        <w:t>.3、结合测量结果，从饮食、运动、养生方面给出健康指导建议。（需附软件截图并加盖公章）</w:t>
      </w:r>
    </w:p>
    <w:p w14:paraId="690E776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4</w:t>
      </w:r>
      <w:r>
        <w:rPr>
          <w:rFonts w:hint="eastAsia" w:ascii="宋体" w:hAnsi="宋体" w:eastAsia="宋体" w:cs="宋体"/>
          <w:i w:val="0"/>
          <w:iCs w:val="0"/>
          <w:sz w:val="24"/>
          <w:szCs w:val="24"/>
          <w:lang w:val="en-US" w:eastAsia="zh-CN"/>
        </w:rPr>
        <w:t>.4、提供微信端查询功能，体检者可通过公众号自助查询个人体检报告。</w:t>
      </w:r>
    </w:p>
    <w:p w14:paraId="2E0A58A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5</w:t>
      </w:r>
      <w:r>
        <w:rPr>
          <w:rFonts w:hint="eastAsia" w:ascii="宋体" w:hAnsi="宋体" w:eastAsia="宋体" w:cs="宋体"/>
          <w:i w:val="0"/>
          <w:iCs w:val="0"/>
          <w:sz w:val="24"/>
          <w:szCs w:val="24"/>
          <w:lang w:val="en-US" w:eastAsia="zh-CN"/>
        </w:rPr>
        <w:t>、支持测量项目拓展。</w:t>
      </w:r>
    </w:p>
    <w:p w14:paraId="60E0866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cs="宋体"/>
          <w:i w:val="0"/>
          <w:iCs w:val="0"/>
          <w:sz w:val="24"/>
          <w:szCs w:val="24"/>
          <w:lang w:val="en-US" w:eastAsia="zh-CN"/>
        </w:rPr>
        <w:t>6</w:t>
      </w:r>
      <w:r>
        <w:rPr>
          <w:rFonts w:hint="eastAsia" w:ascii="宋体" w:hAnsi="宋体" w:eastAsia="宋体" w:cs="宋体"/>
          <w:i w:val="0"/>
          <w:iCs w:val="0"/>
          <w:sz w:val="24"/>
          <w:szCs w:val="24"/>
          <w:lang w:val="en-US" w:eastAsia="zh-CN"/>
        </w:rPr>
        <w:t>、可对系统参数自行设置。</w:t>
      </w:r>
    </w:p>
    <w:p w14:paraId="1D09902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w:t>
      </w:r>
      <w:r>
        <w:rPr>
          <w:rFonts w:hint="eastAsia" w:ascii="宋体" w:hAnsi="宋体" w:eastAsia="宋体" w:cs="宋体"/>
          <w:b w:val="0"/>
          <w:bCs w:val="0"/>
          <w:i w:val="0"/>
          <w:iCs w:val="0"/>
          <w:sz w:val="24"/>
          <w:szCs w:val="24"/>
          <w:lang w:val="en-US" w:eastAsia="zh-CN"/>
        </w:rPr>
        <w:t>.1.7、数据对接</w:t>
      </w:r>
    </w:p>
    <w:p w14:paraId="2BC6E7F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支持数据对接，提供完整的数据传输接口协议，支持多种联网传输方式（数据库直连、HTTP、Webservice以及xml文件）。也可根据第三方软件系统接口协议，做定制接口开发，最终实现与His系统，公卫系统、体检系统第三方系统对接。</w:t>
      </w:r>
    </w:p>
    <w:p w14:paraId="3FE136B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w:t>
      </w:r>
      <w:r>
        <w:rPr>
          <w:rFonts w:hint="eastAsia" w:ascii="宋体" w:hAnsi="宋体" w:eastAsia="宋体" w:cs="宋体"/>
          <w:b w:val="0"/>
          <w:bCs w:val="0"/>
          <w:i w:val="0"/>
          <w:iCs w:val="0"/>
          <w:sz w:val="24"/>
          <w:szCs w:val="24"/>
          <w:lang w:val="en-US" w:eastAsia="zh-CN"/>
        </w:rPr>
        <w:t>.8、升级维护：</w:t>
      </w:r>
      <w:r>
        <w:rPr>
          <w:rFonts w:hint="eastAsia" w:ascii="宋体" w:hAnsi="宋体" w:eastAsia="宋体" w:cs="宋体"/>
          <w:i w:val="0"/>
          <w:iCs w:val="0"/>
          <w:sz w:val="24"/>
          <w:szCs w:val="24"/>
          <w:lang w:val="en-US" w:eastAsia="zh-CN"/>
        </w:rPr>
        <w:t>联网后支持远程升级，故障上报，数据备份，软件更新服务。</w:t>
      </w:r>
    </w:p>
    <w:p w14:paraId="5BAFC4C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lang w:val="en-US" w:eastAsia="zh-CN"/>
        </w:rPr>
        <w:t>3.1.9、具有健康一体机管理系统的计算机软件著作权证书。</w:t>
      </w:r>
    </w:p>
    <w:p w14:paraId="29A735CC">
      <w:pPr>
        <w:keepNext w:val="0"/>
        <w:keepLines w:val="0"/>
        <w:pageBreakBefore w:val="0"/>
        <w:widowControl w:val="0"/>
        <w:kinsoku/>
        <w:wordWrap/>
        <w:overflowPunct/>
        <w:topLinePunct w:val="0"/>
        <w:bidi w:val="0"/>
        <w:snapToGrid/>
        <w:spacing w:line="360" w:lineRule="auto"/>
        <w:jc w:val="left"/>
        <w:textAlignment w:val="auto"/>
        <w:rPr>
          <w:rFonts w:hint="eastAsia" w:ascii="宋体" w:hAnsi="宋体" w:eastAsia="宋体" w:cs="宋体"/>
          <w:i w:val="0"/>
          <w:iCs w:val="0"/>
          <w:sz w:val="24"/>
          <w:szCs w:val="24"/>
          <w:lang w:val="en-US" w:eastAsia="zh-CN"/>
        </w:rPr>
      </w:pPr>
    </w:p>
    <w:p w14:paraId="6E2AB7A9">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i w:val="0"/>
          <w:iCs w:val="0"/>
          <w:sz w:val="24"/>
          <w:szCs w:val="24"/>
          <w:lang w:val="en-US" w:eastAsia="zh-CN"/>
        </w:rPr>
      </w:pPr>
      <w:r>
        <w:rPr>
          <w:rFonts w:hint="eastAsia" w:ascii="宋体" w:hAnsi="宋体" w:eastAsia="宋体" w:cs="宋体"/>
          <w:b/>
          <w:bCs/>
          <w:i w:val="0"/>
          <w:iCs w:val="0"/>
          <w:sz w:val="24"/>
          <w:szCs w:val="24"/>
          <w:lang w:val="en-US" w:eastAsia="zh-CN"/>
        </w:rPr>
        <w:t>3.2、中医体质辨识系统软件</w:t>
      </w:r>
    </w:p>
    <w:p w14:paraId="7C26BCE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b w:val="0"/>
          <w:bCs w:val="0"/>
          <w:i w:val="0"/>
          <w:iCs w:val="0"/>
          <w:sz w:val="24"/>
          <w:szCs w:val="24"/>
          <w:lang w:val="en-US" w:eastAsia="zh-CN"/>
        </w:rPr>
        <w:t>3.2.1、同时支持66道题和33道题，根据实际临床需求可自主选择。</w:t>
      </w:r>
    </w:p>
    <w:p w14:paraId="4D9E33E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b w:val="0"/>
          <w:bCs w:val="0"/>
          <w:i w:val="0"/>
          <w:iCs w:val="0"/>
          <w:sz w:val="24"/>
          <w:szCs w:val="24"/>
          <w:lang w:val="en-US" w:eastAsia="zh-CN"/>
        </w:rPr>
        <w:t>3.2.2、体质类型：</w:t>
      </w:r>
      <w:r>
        <w:rPr>
          <w:rFonts w:hint="eastAsia" w:ascii="宋体" w:hAnsi="宋体" w:eastAsia="宋体" w:cs="宋体"/>
          <w:i w:val="0"/>
          <w:iCs w:val="0"/>
          <w:sz w:val="24"/>
          <w:szCs w:val="24"/>
          <w:lang w:val="en-US" w:eastAsia="zh-CN"/>
        </w:rPr>
        <w:t>≥</w:t>
      </w:r>
      <w:r>
        <w:rPr>
          <w:rFonts w:hint="eastAsia" w:ascii="宋体" w:hAnsi="宋体" w:eastAsia="宋体" w:cs="宋体"/>
          <w:b w:val="0"/>
          <w:bCs w:val="0"/>
          <w:i w:val="0"/>
          <w:iCs w:val="0"/>
          <w:sz w:val="24"/>
          <w:szCs w:val="24"/>
          <w:lang w:val="en-US" w:eastAsia="zh-CN"/>
        </w:rPr>
        <w:t>9种，符合国家中医药管理局颁布的标准；</w:t>
      </w:r>
    </w:p>
    <w:p w14:paraId="474D2D1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val="0"/>
          <w:iCs w:val="0"/>
          <w:sz w:val="24"/>
          <w:szCs w:val="24"/>
          <w:lang w:val="en-US" w:eastAsia="zh-CN"/>
        </w:rPr>
      </w:pPr>
      <w:r>
        <w:rPr>
          <w:rFonts w:hint="eastAsia" w:ascii="宋体" w:hAnsi="宋体" w:eastAsia="宋体" w:cs="宋体"/>
          <w:b w:val="0"/>
          <w:bCs w:val="0"/>
          <w:i w:val="0"/>
          <w:iCs w:val="0"/>
          <w:sz w:val="24"/>
          <w:szCs w:val="24"/>
          <w:lang w:val="en-US" w:eastAsia="zh-CN"/>
        </w:rPr>
        <w:t>3.2.3、软件有体质辨识判定功能；</w:t>
      </w:r>
    </w:p>
    <w:p w14:paraId="1BBA97F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i w:val="0"/>
          <w:iCs w:val="0"/>
          <w:sz w:val="24"/>
          <w:szCs w:val="24"/>
          <w:lang w:val="en-US" w:eastAsia="zh-CN"/>
        </w:rPr>
        <w:t>3.2.4、软件有个性化</w:t>
      </w:r>
      <w:r>
        <w:rPr>
          <w:rFonts w:hint="eastAsia" w:ascii="宋体" w:hAnsi="宋体" w:eastAsia="宋体" w:cs="宋体"/>
          <w:b w:val="0"/>
          <w:bCs w:val="0"/>
          <w:sz w:val="24"/>
          <w:szCs w:val="24"/>
          <w:lang w:val="en-US" w:eastAsia="zh-CN"/>
        </w:rPr>
        <w:t xml:space="preserve">指导功能（针对不同的个人体质可以进行膳食、运动、养生和生活方式针对性建议）。 </w:t>
      </w:r>
    </w:p>
    <w:p w14:paraId="0F8CF5A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3.2.5、</w:t>
      </w:r>
      <w:r>
        <w:rPr>
          <w:rFonts w:hint="eastAsia" w:ascii="宋体" w:hAnsi="宋体" w:eastAsia="宋体" w:cs="宋体"/>
          <w:sz w:val="24"/>
          <w:szCs w:val="24"/>
          <w:lang w:val="en-US" w:eastAsia="zh-CN"/>
        </w:rPr>
        <w:t>具有中医体质辨识系统软件的计算机软件著作权证书。</w:t>
      </w:r>
    </w:p>
    <w:p w14:paraId="349DDF45">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rPr>
      </w:pPr>
    </w:p>
    <w:p w14:paraId="351BE0E1">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4.配备检测功能参数</w:t>
      </w:r>
    </w:p>
    <w:p w14:paraId="00835382">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4.1、脉搏血氧仪</w:t>
      </w:r>
    </w:p>
    <w:p w14:paraId="2DEC5F7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（1）血氧饱和度测量范围：35%～100%； </w:t>
      </w:r>
    </w:p>
    <w:p w14:paraId="7E3E06C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（2）血氧饱和度测量精度：80%～100%：±2%；70%～79%：±3%；精准率：1%；</w:t>
      </w:r>
    </w:p>
    <w:p w14:paraId="42D786E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（3）脉率测量范围：25bpm～250bpm；测量精度：±3bpm；</w:t>
      </w:r>
    </w:p>
    <w:p w14:paraId="1B724A8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（4）显示屏：OLED屏；</w:t>
      </w:r>
    </w:p>
    <w:p w14:paraId="2B244DB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（5）可显示血氧波形； </w:t>
      </w:r>
    </w:p>
    <w:p w14:paraId="3A100F92">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（6）可连接蓝牙，对接APP，实现数据管理；</w:t>
      </w:r>
    </w:p>
    <w:p w14:paraId="2075F3B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（7）认证：FDA、510k、CE、ISO13485、NMPA（二类医疗器械注册证）；</w:t>
      </w:r>
    </w:p>
    <w:p w14:paraId="71E8777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（8）环境要求：温度范围：工作：+5℃~+40℃；运输和贮存：-10℃~+50℃；</w:t>
      </w:r>
    </w:p>
    <w:p w14:paraId="5459DAD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17F87284">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4.2、臂式电子血压计</w:t>
      </w:r>
    </w:p>
    <w:p w14:paraId="6E876AA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（1）测量原理：示波法；</w:t>
      </w:r>
    </w:p>
    <w:p w14:paraId="437E12B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（2）测量范围：血压:0mmHg（0kPa）~ 280mmHg（0~37.3kPa） ；脉率：40~199次/分钟；</w:t>
      </w:r>
    </w:p>
    <w:p w14:paraId="44F647D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（3）测量精度：压力值：±0.4kPa（土3mmHg）；脉搏：土5%；</w:t>
      </w:r>
    </w:p>
    <w:p w14:paraId="0E77C9B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iCs/>
          <w:sz w:val="24"/>
          <w:szCs w:val="24"/>
          <w:lang w:val="en-US" w:eastAsia="zh-CN"/>
        </w:rPr>
      </w:pPr>
      <w:r>
        <w:rPr>
          <w:rFonts w:hint="eastAsia" w:ascii="宋体" w:hAnsi="宋体" w:eastAsia="宋体" w:cs="宋体"/>
          <w:b w:val="0"/>
          <w:bCs w:val="0"/>
          <w:sz w:val="24"/>
          <w:szCs w:val="24"/>
          <w:lang w:val="en-US" w:eastAsia="zh-CN"/>
        </w:rPr>
        <w:t>（4）记忆功能：≥90组*2人，及最近三次测量结果平均值；</w:t>
      </w:r>
    </w:p>
    <w:p w14:paraId="76A5E33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（5）显示功能：LCD显示屏；</w:t>
      </w:r>
    </w:p>
    <w:p w14:paraId="27CFA57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（6）支持蓝牙功能、心律不齐、语音功能、时间/日期功能；</w:t>
      </w:r>
    </w:p>
    <w:p w14:paraId="5DD6EB8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（7）加压方式：电子充气泵；降压方式：定速泄气阀；</w:t>
      </w:r>
    </w:p>
    <w:p w14:paraId="6347174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（8）布套臂带范围：约24cm至34cm之间 （9.4~13.4英寸）；</w:t>
      </w:r>
    </w:p>
    <w:p w14:paraId="3183B99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（9）自动关机：1分钟；</w:t>
      </w:r>
    </w:p>
    <w:p w14:paraId="76D8C4D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（10）重量：重约1310g（不含电池）；</w:t>
      </w:r>
    </w:p>
    <w:p w14:paraId="484E934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（11）产品尺寸：245*190*215mm；</w:t>
      </w:r>
      <w:r>
        <w:rPr>
          <w:rFonts w:hint="eastAsia" w:ascii="宋体" w:hAnsi="宋体" w:eastAsia="宋体" w:cs="宋体"/>
          <w:sz w:val="24"/>
          <w:szCs w:val="24"/>
          <w:lang w:val="en-US" w:eastAsia="zh-CN"/>
        </w:rPr>
        <w:t>±10mm</w:t>
      </w:r>
      <w:r>
        <w:rPr>
          <w:rFonts w:hint="eastAsia" w:ascii="宋体" w:hAnsi="宋体" w:eastAsia="宋体" w:cs="宋体"/>
          <w:b w:val="0"/>
          <w:bCs w:val="0"/>
          <w:sz w:val="24"/>
          <w:szCs w:val="24"/>
          <w:lang w:val="en-US" w:eastAsia="zh-CN"/>
        </w:rPr>
        <w:t>；</w:t>
      </w:r>
    </w:p>
    <w:p w14:paraId="35993EA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（12）使用环境：温度：+5℃~+40℃；湿度：10%RH~90%RH ；</w:t>
      </w:r>
    </w:p>
    <w:p w14:paraId="42E5A37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（13）保存环境：温度：-20℃~+65℃；湿度：10%RH~95%RH ；</w:t>
      </w:r>
    </w:p>
    <w:p w14:paraId="4B692A8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i/>
          <w:iCs/>
          <w:sz w:val="24"/>
          <w:szCs w:val="24"/>
          <w:lang w:val="en-US" w:eastAsia="zh-CN"/>
        </w:rPr>
      </w:pPr>
    </w:p>
    <w:p w14:paraId="11660C48">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4.3、医用红外体温计</w:t>
      </w:r>
    </w:p>
    <w:p w14:paraId="6DEEFEC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（1）工作电压：USB供电：DC5V；</w:t>
      </w:r>
    </w:p>
    <w:p w14:paraId="4AD0579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（2）使用环境温度：10~40℃；</w:t>
      </w:r>
    </w:p>
    <w:p w14:paraId="7ECEE39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（3）温度的测量范围（包括人体、表面、室温）人体模式：32.0~42.9℃，表面模式0~100℃，室温模式：5~40℃；</w:t>
      </w:r>
    </w:p>
    <w:p w14:paraId="1D3A94C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（4）测量距离</w:t>
      </w:r>
      <w:r>
        <w:rPr>
          <w:rFonts w:hint="eastAsia" w:ascii="宋体" w:hAnsi="宋体" w:eastAsia="宋体" w:cs="宋体"/>
          <w:sz w:val="24"/>
          <w:szCs w:val="24"/>
          <w:lang w:val="en-US" w:eastAsia="zh-CN"/>
        </w:rPr>
        <w:t>≥</w:t>
      </w:r>
      <w:r>
        <w:rPr>
          <w:rFonts w:hint="eastAsia" w:ascii="宋体" w:hAnsi="宋体" w:eastAsia="宋体" w:cs="宋体"/>
          <w:b w:val="0"/>
          <w:bCs w:val="0"/>
          <w:sz w:val="24"/>
          <w:szCs w:val="24"/>
          <w:lang w:val="en-US" w:eastAsia="zh-CN"/>
        </w:rPr>
        <w:t>（3cm）；</w:t>
      </w:r>
    </w:p>
    <w:p w14:paraId="2071E36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（5）分辨率：0.1℃；</w:t>
      </w:r>
    </w:p>
    <w:p w14:paraId="0847B6F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（6）感温部：非接触式红外传感器；</w:t>
      </w:r>
    </w:p>
    <w:p w14:paraId="322AAB8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（7）温度测量误差（包括人体、表面）：人体模式：±0.2℃；表面模式：±0.2℃（33.0-41.0℃）</w:t>
      </w:r>
    </w:p>
    <w:p w14:paraId="4071BD6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（8）测量人体时高温报警温度：警示温度：38.0℃；背光亮红色；</w:t>
      </w:r>
    </w:p>
    <w:p w14:paraId="7039EA1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（9）可储存≥99组数据</w:t>
      </w:r>
    </w:p>
    <w:p w14:paraId="254B97C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（10）可删除记忆；</w:t>
      </w:r>
    </w:p>
    <w:p w14:paraId="7A90A8C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（11）按键寿命：≥10W次</w:t>
      </w:r>
    </w:p>
    <w:p w14:paraId="31234D3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（12）USB功能：①白色USB弹簧线；②波特率9600；③支持PC、安卓一体机设备；</w:t>
      </w:r>
    </w:p>
    <w:p w14:paraId="34B1D8D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68FC95E0">
      <w:pPr>
        <w:keepNext w:val="0"/>
        <w:keepLines w:val="0"/>
        <w:pageBreakBefore w:val="0"/>
        <w:widowControl w:val="0"/>
        <w:numPr>
          <w:ilvl w:val="1"/>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4.4、腰围尺</w:t>
      </w:r>
    </w:p>
    <w:p w14:paraId="538F620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（1）测量范围：0m～1.5m；</w:t>
      </w:r>
    </w:p>
    <w:p w14:paraId="31EFC82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（2）精度：±0.1m；</w:t>
      </w:r>
    </w:p>
    <w:p w14:paraId="1450607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（3）附带BMI显示功能，可将身体肥胖划分等级，降低，正常，偏重，肥胖。</w:t>
      </w:r>
    </w:p>
    <w:p w14:paraId="7FF4572F">
      <w:pPr>
        <w:keepNext w:val="0"/>
        <w:keepLines w:val="0"/>
        <w:pageBreakBefore w:val="0"/>
        <w:widowControl w:val="0"/>
        <w:kinsoku/>
        <w:wordWrap/>
        <w:overflowPunct/>
        <w:topLinePunct w:val="0"/>
        <w:bidi w:val="0"/>
        <w:snapToGrid/>
        <w:spacing w:line="360" w:lineRule="auto"/>
        <w:ind w:left="0" w:firstLine="500" w:firstLineChars="200"/>
        <w:jc w:val="left"/>
        <w:textAlignment w:val="auto"/>
        <w:rPr>
          <w:rFonts w:hint="eastAsia" w:ascii="宋体" w:hAnsi="宋体" w:eastAsia="宋体" w:cs="宋体"/>
          <w:spacing w:val="5"/>
          <w:sz w:val="24"/>
          <w:szCs w:val="24"/>
        </w:rPr>
      </w:pPr>
    </w:p>
    <w:p w14:paraId="70164BB1">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4.5、血糖尿酸测试仪</w:t>
      </w:r>
    </w:p>
    <w:p w14:paraId="3F12F3CD">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（1）测试范围：</w:t>
      </w:r>
    </w:p>
    <w:p w14:paraId="485130D0">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血糖: 0.6~33.3 mmol/L （10 ~600mg/dL）</w:t>
      </w:r>
    </w:p>
    <w:p w14:paraId="24237167">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尿酸: 178~1190 μmol/L（3.0 ~ 20.0mg/dL）</w:t>
      </w:r>
    </w:p>
    <w:p w14:paraId="729BEF76">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（2）显示结果：相对应的血浆浓度值</w:t>
      </w:r>
    </w:p>
    <w:p w14:paraId="538EABE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（3）测试样本：血糖：成人新鲜毛细血管全血、静脉全血，儿童新鲜毛细血管全血、静脉全血以及新生儿新鲜毛细血管全血中的葡萄糖浓度；</w:t>
      </w:r>
    </w:p>
    <w:p w14:paraId="66CE542E">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尿酸：成人新鲜毛细血管全血及静脉全血中的尿酸浓度</w:t>
      </w:r>
    </w:p>
    <w:p w14:paraId="73637C2A">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（4）最小加样量：血糖: 0.6 μL，尿酸: 3.0 μL</w:t>
      </w:r>
    </w:p>
    <w:p w14:paraId="3BF3E5E0">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（5）测试时间：血糖: 5 秒±1秒，尿酸: 10 秒±1秒</w:t>
      </w:r>
    </w:p>
    <w:p w14:paraId="69995E34">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（6）电池要求：2节AAA碱性电池,  3.0V</w:t>
      </w:r>
    </w:p>
    <w:p w14:paraId="747D2C4A">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（7）电池寿命：至少3,000次标准检测（不考虑蓝牙数据传输的耗电量）</w:t>
      </w:r>
    </w:p>
    <w:p w14:paraId="47397E50">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（8）测量单位：血糖: mmol/L，尿酸: μmol/L</w:t>
      </w:r>
    </w:p>
    <w:p w14:paraId="66FF76AE">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（9）记忆值：≥500组</w:t>
      </w:r>
    </w:p>
    <w:p w14:paraId="39917CC2">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（10）自动关机：2分钟无任何操作</w:t>
      </w:r>
    </w:p>
    <w:p w14:paraId="355B92EE">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（11）测试仪尺寸：110 mm × 65 mm × 25 mm</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±5mm</w:t>
      </w:r>
    </w:p>
    <w:p w14:paraId="3D7FFE65">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（12）显示屏尺寸：51.5 mm × 44.2 mm</w:t>
      </w:r>
      <w:r>
        <w:rPr>
          <w:rFonts w:hint="eastAsia" w:ascii="宋体" w:hAnsi="宋体" w:cs="宋体"/>
          <w:sz w:val="24"/>
          <w:szCs w:val="24"/>
          <w:lang w:eastAsia="zh-CN"/>
        </w:rPr>
        <w:t>；</w:t>
      </w:r>
      <w:r>
        <w:rPr>
          <w:rFonts w:hint="eastAsia" w:ascii="宋体" w:hAnsi="宋体" w:eastAsia="宋体" w:cs="宋体"/>
          <w:sz w:val="24"/>
          <w:szCs w:val="24"/>
          <w:lang w:val="en-US" w:eastAsia="zh-CN"/>
        </w:rPr>
        <w:t>±5mm</w:t>
      </w:r>
    </w:p>
    <w:p w14:paraId="35252F8F">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（13）重量：≤100g （包括电池）</w:t>
      </w:r>
    </w:p>
    <w:p w14:paraId="1DA9717D">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（14）操作温度：血糖：5ºC ~ 45ºC （41°F ~113 °F ），尿酸：10ºC ~40ºC （50°F ~104°F ）</w:t>
      </w:r>
    </w:p>
    <w:p w14:paraId="32A51FC6">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（15）运输和贮存条件：温度：-20℃~50℃，湿度：0%~93%（不冷凝），气压：500 hPa~1060 hPa</w:t>
      </w:r>
    </w:p>
    <w:p w14:paraId="0D260094">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（16）操作相对湿度：10%~90%</w:t>
      </w:r>
    </w:p>
    <w:p w14:paraId="68F66DE6">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（17）血球容积比范围：血糖: 10% ~ 70%，尿酸: 30% ~ 55%</w:t>
      </w:r>
    </w:p>
    <w:p w14:paraId="5399493D">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（18）使用期限：10年</w:t>
      </w:r>
    </w:p>
    <w:p w14:paraId="451AC5CD">
      <w:pPr>
        <w:keepNext w:val="0"/>
        <w:keepLines w:val="0"/>
        <w:pageBreakBefore w:val="0"/>
        <w:widowControl w:val="0"/>
        <w:kinsoku/>
        <w:wordWrap/>
        <w:overflowPunct/>
        <w:topLinePunct w:val="0"/>
        <w:bidi w:val="0"/>
        <w:snapToGrid/>
        <w:spacing w:line="360" w:lineRule="auto"/>
        <w:ind w:left="0" w:firstLine="480" w:firstLineChars="200"/>
        <w:textAlignment w:val="auto"/>
        <w:rPr>
          <w:rFonts w:hint="eastAsia" w:ascii="宋体" w:hAnsi="宋体" w:eastAsia="宋体" w:cs="宋体"/>
          <w:sz w:val="24"/>
          <w:szCs w:val="24"/>
          <w:lang w:val="en-US" w:eastAsia="zh-CN"/>
        </w:rPr>
      </w:pPr>
    </w:p>
    <w:p w14:paraId="70C758D5">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4.6、超声波身高体重测量秤</w:t>
      </w:r>
    </w:p>
    <w:p w14:paraId="3FB4FD9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（1）测量模式：超声波；</w:t>
      </w:r>
    </w:p>
    <w:p w14:paraId="7C4DE9B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（2）测量范围：身高：50cm-195cm （精度：±0.5cm）体重：5-200kg（精度：0.1kg）；</w:t>
      </w:r>
    </w:p>
    <w:p w14:paraId="2F4BEB9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测量分度值：身高：（0.5cm或0.1cm可调）    体重：（0.1kg或0.01kg可调）；</w:t>
      </w:r>
    </w:p>
    <w:p w14:paraId="4458A8D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（3）电源电压：电源适配器：AC100V-240V，50HZ；电池：4节5号电池（不可与适配器同时接入设备）；</w:t>
      </w:r>
    </w:p>
    <w:p w14:paraId="4BF353B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（4）折叠便携：折叠后高度115cm；±5cm</w:t>
      </w:r>
    </w:p>
    <w:p w14:paraId="44C8C77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（5）数据上传：蓝牙；</w:t>
      </w:r>
    </w:p>
    <w:p w14:paraId="027D4425">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（6）整机净重：≤8.0kg；</w:t>
      </w:r>
    </w:p>
    <w:p w14:paraId="3C65F2C9">
      <w:pPr>
        <w:pStyle w:val="3"/>
      </w:pPr>
      <w:r>
        <w:rPr>
          <w:rFonts w:hint="eastAsia" w:ascii="宋体" w:hAnsi="宋体" w:eastAsia="宋体" w:cs="宋体"/>
          <w:b w:val="0"/>
          <w:bCs w:val="0"/>
          <w:sz w:val="24"/>
          <w:szCs w:val="24"/>
          <w:lang w:val="en-US" w:eastAsia="zh-CN"/>
        </w:rPr>
        <w:t>（7）外形尺寸：长*宽*高：40*30*225cm；</w:t>
      </w:r>
      <w:r>
        <w:rPr>
          <w:rFonts w:hint="eastAsia" w:ascii="仿宋" w:hAnsi="仿宋" w:eastAsia="仿宋" w:cs="仿宋"/>
          <w:b w:val="0"/>
          <w:bCs w:val="0"/>
          <w:sz w:val="21"/>
          <w:szCs w:val="21"/>
          <w:lang w:val="en-US" w:eastAsia="zh-CN"/>
        </w:rPr>
        <w:t>±5cm</w:t>
      </w:r>
    </w:p>
    <w:p w14:paraId="441A6F4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72ACADAE">
      <w:pPr>
        <w:keepNext w:val="0"/>
        <w:keepLines w:val="0"/>
        <w:pageBreakBefore w:val="0"/>
        <w:widowControl w:val="0"/>
        <w:kinsoku/>
        <w:wordWrap/>
        <w:overflowPunct/>
        <w:topLinePunct w:val="0"/>
        <w:bidi w:val="0"/>
        <w:snapToGrid/>
        <w:spacing w:line="360" w:lineRule="auto"/>
        <w:ind w:left="0" w:firstLine="480" w:firstLineChars="200"/>
        <w:jc w:val="left"/>
        <w:textAlignment w:val="auto"/>
        <w:rPr>
          <w:rFonts w:hint="eastAsia" w:ascii="宋体" w:hAnsi="宋体" w:eastAsia="宋体" w:cs="宋体"/>
          <w:sz w:val="24"/>
          <w:szCs w:val="24"/>
          <w:lang w:val="en-US" w:eastAsia="zh-CN"/>
        </w:rPr>
      </w:pPr>
    </w:p>
    <w:p w14:paraId="7BAFC06F">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4.7、脂肪模组</w:t>
      </w:r>
    </w:p>
    <w:p w14:paraId="6B52EEE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（1）模组类型：四电极。</w:t>
      </w:r>
    </w:p>
    <w:p w14:paraId="77A505C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（2）测验频率：50kHz。</w:t>
      </w:r>
    </w:p>
    <w:p w14:paraId="7139D67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（3）测量电流：≤90μA。</w:t>
      </w:r>
    </w:p>
    <w:p w14:paraId="029F9CA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（4）电极材料：电镀材料。</w:t>
      </w:r>
    </w:p>
    <w:p w14:paraId="148CBFF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（5）测量方部位：右臂、左臂。</w:t>
      </w:r>
    </w:p>
    <w:p w14:paraId="2AA4129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（6）测量范围：75.0-1500.00Ω（0.1Ω单位）。</w:t>
      </w:r>
    </w:p>
    <w:p w14:paraId="71F4BC8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（7）阻抗测量时间：2-4秒。</w:t>
      </w:r>
    </w:p>
    <w:p w14:paraId="695E74BC">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（8）输入参数：身高、体重、年龄、性别。</w:t>
      </w:r>
    </w:p>
    <w:p w14:paraId="77CE90B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（9）应答参数：脂肪率、水分率、肌肉量、骨量、基础代谢（BMR）、内脏脂肪、人体质量指数（BMI）、蛋白质率、皮下脂肪量、体年龄。</w:t>
      </w:r>
    </w:p>
    <w:p w14:paraId="194C2494">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1B162C1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5.配件参数</w:t>
      </w:r>
    </w:p>
    <w:p w14:paraId="74A53C26">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5.1、windows一体机</w:t>
      </w:r>
    </w:p>
    <w:p w14:paraId="161B141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（1）CPU：英特尔I5，四核四线程X86方案；</w:t>
      </w:r>
    </w:p>
    <w:p w14:paraId="7C5242C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（2）LED液晶屏：≥15英寸；</w:t>
      </w:r>
    </w:p>
    <w:p w14:paraId="14F7C28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（3）分辨率：1920*1080；</w:t>
      </w:r>
    </w:p>
    <w:p w14:paraId="3B2F4CEE">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（4）内存：≥8GB；主硬盘：≥256GB；</w:t>
      </w:r>
    </w:p>
    <w:p w14:paraId="7C96A55F">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（5）操作系统：win11；</w:t>
      </w:r>
    </w:p>
    <w:p w14:paraId="0B27B02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（6）网络：支持WIFI；配备蓝牙；</w:t>
      </w:r>
    </w:p>
    <w:p w14:paraId="57CA992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（7）USB接口：4；</w:t>
      </w:r>
    </w:p>
    <w:p w14:paraId="43A9A52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（8）电容触摸屏：10 点电容触摸；</w:t>
      </w:r>
    </w:p>
    <w:p w14:paraId="78F021D6">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319BE1A1">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5.2、身份证扫码器</w:t>
      </w:r>
    </w:p>
    <w:p w14:paraId="7D5BB89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（1）OCR 扫描功能：从证件图像中快速识别并提取关键文字信息（如姓名、号码、日期）；</w:t>
      </w:r>
    </w:p>
    <w:p w14:paraId="7BD9256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（2）多证件类型支持：覆盖身份证、社保卡、驾驶证常见证件，适配不同版式和字段；</w:t>
      </w:r>
    </w:p>
    <w:p w14:paraId="09354D5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（3）提高效率：自动提取信息，减少人工录入成本；</w:t>
      </w:r>
    </w:p>
    <w:p w14:paraId="28A533A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（4）实时处理：单张识别耗时短，实现快速建档、个人健康档案查询；</w:t>
      </w:r>
    </w:p>
    <w:p w14:paraId="4C75645D">
      <w:pPr>
        <w:keepNext w:val="0"/>
        <w:keepLines w:val="0"/>
        <w:pageBreakBefore w:val="0"/>
        <w:widowControl w:val="0"/>
        <w:numPr>
          <w:ilvl w:val="1"/>
          <w:numId w:val="0"/>
        </w:numPr>
        <w:kinsoku/>
        <w:wordWrap/>
        <w:overflowPunct/>
        <w:topLinePunct w:val="0"/>
        <w:bidi w:val="0"/>
        <w:snapToGrid/>
        <w:spacing w:line="360" w:lineRule="auto"/>
        <w:ind w:left="0" w:leftChars="0" w:firstLine="500" w:firstLineChars="200"/>
        <w:textAlignment w:val="auto"/>
        <w:rPr>
          <w:rFonts w:hint="eastAsia" w:ascii="宋体" w:hAnsi="宋体" w:eastAsia="宋体" w:cs="宋体"/>
          <w:spacing w:val="5"/>
          <w:sz w:val="24"/>
          <w:szCs w:val="24"/>
        </w:rPr>
      </w:pPr>
    </w:p>
    <w:p w14:paraId="5E47ADCC">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5.3、黑白激光打印机</w:t>
      </w:r>
    </w:p>
    <w:p w14:paraId="7D04E227">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（1）黑白激光打印；</w:t>
      </w:r>
    </w:p>
    <w:p w14:paraId="7A57BBC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（2）分辨率：≥1200×1200dpi；</w:t>
      </w:r>
    </w:p>
    <w:p w14:paraId="17CC6DC9">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（3）打印速度不低于20页/分；</w:t>
      </w:r>
    </w:p>
    <w:p w14:paraId="4F55B621">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（4）机内存不小于64MB；</w:t>
      </w:r>
    </w:p>
    <w:p w14:paraId="7F0240C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（5）支持USB接口；</w:t>
      </w:r>
    </w:p>
    <w:p w14:paraId="12201E18">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（6）可与安卓系统连接；</w:t>
      </w:r>
    </w:p>
    <w:p w14:paraId="7CEFBAC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16467666">
      <w:pPr>
        <w:pStyle w:val="10"/>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kern w:val="2"/>
          <w:sz w:val="24"/>
          <w:szCs w:val="24"/>
          <w:highlight w:val="yellow"/>
          <w:lang w:val="en-US" w:eastAsia="zh-CN" w:bidi="ar-SA"/>
        </w:rPr>
      </w:pPr>
      <w:r>
        <w:rPr>
          <w:rFonts w:hint="eastAsia" w:ascii="宋体" w:hAnsi="宋体" w:eastAsia="宋体" w:cs="宋体"/>
          <w:b/>
          <w:bCs/>
          <w:kern w:val="2"/>
          <w:sz w:val="24"/>
          <w:szCs w:val="24"/>
          <w:highlight w:val="none"/>
          <w:lang w:val="en-US" w:eastAsia="zh-CN" w:bidi="ar-SA"/>
        </w:rPr>
        <w:t>5.4、健康结构平台</w:t>
      </w:r>
    </w:p>
    <w:p w14:paraId="5376617A">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（1）ABS 塑料材质</w:t>
      </w:r>
    </w:p>
    <w:p w14:paraId="58239113">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（2）具备通用槽</w:t>
      </w:r>
    </w:p>
    <w:p w14:paraId="13085760">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eastAsia" w:ascii="宋体" w:hAnsi="宋体" w:eastAsia="宋体" w:cs="宋体"/>
          <w:sz w:val="24"/>
          <w:szCs w:val="24"/>
          <w:lang w:val="en-US" w:eastAsia="zh-CN"/>
        </w:rPr>
        <w:t>具备</w:t>
      </w:r>
      <w:r>
        <w:rPr>
          <w:rFonts w:hint="eastAsia" w:ascii="宋体" w:hAnsi="宋体" w:eastAsia="宋体" w:cs="宋体"/>
          <w:b w:val="0"/>
          <w:bCs w:val="0"/>
          <w:sz w:val="24"/>
          <w:szCs w:val="24"/>
          <w:lang w:val="en-US" w:eastAsia="zh-CN"/>
        </w:rPr>
        <w:t>线缆隐藏设计</w:t>
      </w:r>
    </w:p>
    <w:p w14:paraId="3403BEF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eastAsia" w:ascii="宋体" w:hAnsi="宋体" w:eastAsia="宋体" w:cs="宋体"/>
          <w:sz w:val="24"/>
          <w:szCs w:val="24"/>
          <w:lang w:val="en-US" w:eastAsia="zh-CN"/>
        </w:rPr>
        <w:t>具备</w:t>
      </w:r>
      <w:r>
        <w:rPr>
          <w:rFonts w:hint="eastAsia" w:ascii="宋体" w:hAnsi="宋体" w:eastAsia="宋体" w:cs="宋体"/>
          <w:b w:val="0"/>
          <w:bCs w:val="0"/>
          <w:sz w:val="24"/>
          <w:szCs w:val="24"/>
          <w:lang w:val="en-US" w:eastAsia="zh-CN"/>
        </w:rPr>
        <w:t>一体机内嵌</w:t>
      </w:r>
    </w:p>
    <w:p w14:paraId="4F2F7E3B">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（5）自研读卡器识别系统</w:t>
      </w:r>
    </w:p>
    <w:p w14:paraId="75CB382D">
      <w:pPr>
        <w:keepNext w:val="0"/>
        <w:keepLines w:val="0"/>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可配置嵌入式读卡器，支持身份证，社保卡。</w:t>
      </w:r>
    </w:p>
    <w:p w14:paraId="1B15E36F">
      <w:pPr>
        <w:pageBreakBefore w:val="0"/>
        <w:widowControl w:val="0"/>
        <w:numPr>
          <w:ilvl w:val="1"/>
          <w:numId w:val="0"/>
        </w:numPr>
        <w:kinsoku/>
        <w:wordWrap/>
        <w:overflowPunct/>
        <w:topLinePunct w:val="0"/>
        <w:bidi w:val="0"/>
        <w:snapToGrid/>
        <w:spacing w:line="360" w:lineRule="auto"/>
        <w:ind w:left="0" w:leftChars="0" w:firstLine="480" w:firstLineChars="200"/>
        <w:textAlignment w:val="auto"/>
        <w:rPr>
          <w:rFonts w:hint="eastAsia" w:ascii="宋体" w:hAnsi="宋体" w:eastAsia="宋体" w:cs="宋体"/>
          <w:b w:val="0"/>
          <w:bCs w:val="0"/>
          <w:sz w:val="24"/>
          <w:szCs w:val="24"/>
          <w:lang w:val="en-US" w:eastAsia="zh-CN"/>
        </w:rPr>
      </w:pPr>
    </w:p>
    <w:p w14:paraId="465BB1B0">
      <w:pPr>
        <w:numPr>
          <w:ilvl w:val="0"/>
          <w:numId w:val="0"/>
        </w:numPr>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3.电子握力计</w:t>
      </w:r>
    </w:p>
    <w:p w14:paraId="798D87F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（1）最大量程：≥90KG</w:t>
      </w:r>
    </w:p>
    <w:p w14:paraId="30DE7C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（2）分辨率：0.1KG</w:t>
      </w:r>
    </w:p>
    <w:p w14:paraId="6AD61CE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（3）测量要求：测试前臂及手部肌肉的力量</w:t>
      </w:r>
    </w:p>
    <w:p w14:paraId="0552856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（4）具备LCD显示屏</w:t>
      </w:r>
    </w:p>
    <w:p w14:paraId="50211EE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（5）根据手掌大小调节手柄、精度高、机芯装置和螺母、可调节手柄位置、手柄装置弹簧、手握。</w:t>
      </w:r>
    </w:p>
    <w:p w14:paraId="46C6B59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（6）具备数字显示、数据存储功能</w:t>
      </w:r>
    </w:p>
    <w:p w14:paraId="1C56D9FD">
      <w:pPr>
        <w:spacing w:line="360" w:lineRule="auto"/>
        <w:jc w:val="both"/>
        <w:rPr>
          <w:rFonts w:hint="eastAsia" w:ascii="宋体" w:hAnsi="宋体" w:eastAsia="宋体" w:cs="宋体"/>
          <w:sz w:val="24"/>
          <w:szCs w:val="24"/>
          <w:lang w:val="en-US" w:eastAsia="zh-CN"/>
        </w:rPr>
      </w:pPr>
    </w:p>
    <w:p w14:paraId="7BED1D59">
      <w:pPr>
        <w:numPr>
          <w:ilvl w:val="0"/>
          <w:numId w:val="0"/>
        </w:numPr>
        <w:spacing w:line="360" w:lineRule="auto"/>
        <w:outlineLvl w:val="1"/>
        <w:rPr>
          <w:rFonts w:hint="eastAsia" w:ascii="宋体" w:hAnsi="宋体" w:eastAsia="宋体" w:cs="宋体"/>
          <w:sz w:val="24"/>
          <w:szCs w:val="24"/>
          <w:lang w:val="en-US" w:eastAsia="zh-CN"/>
        </w:rPr>
      </w:pPr>
      <w:r>
        <w:rPr>
          <w:rFonts w:hint="eastAsia" w:ascii="宋体" w:hAnsi="宋体" w:eastAsia="宋体" w:cs="宋体"/>
          <w:b/>
          <w:sz w:val="24"/>
          <w:szCs w:val="24"/>
          <w:lang w:val="en-US" w:eastAsia="zh-CN"/>
        </w:rPr>
        <w:t>4.智慧大屏一体机</w:t>
      </w:r>
    </w:p>
    <w:p w14:paraId="26284D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含ops，含移动支架以及两个无线传屏器  </w:t>
      </w:r>
    </w:p>
    <w:p w14:paraId="071D360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1、液晶屏：尺寸≥86英寸，显示比例(16：9) ，A级液晶LED显示屏；</w:t>
      </w:r>
    </w:p>
    <w:p w14:paraId="0B90DC6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2、分辨率≥3840*2160， 亮度≥400c/㎡，对比度≥6000:1； </w:t>
      </w:r>
    </w:p>
    <w:p w14:paraId="41AAB11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3、红外触摸技术，多点触控，支持40点及以上同时触控及书写；</w:t>
      </w:r>
    </w:p>
    <w:p w14:paraId="4B1E25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4、前置接口：HDMI*1（非转接）、Touch USB*1、USB 3.0*3、Type-C*1；</w:t>
      </w:r>
    </w:p>
    <w:p w14:paraId="66D0A4D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5、具备≥7 个中文带丝印标识的前置物理按键：录屏、图像比例、音量-、音量+、设置、护 眼、电源，前置图像比例调节按键：可实现对PPT 课件画面一键切换屏幕分辨率，调整画面显示比例，可设置 16:9、4:3、点对点画面；电源按键带有双色指示灯，支持整机开关、电脑开关和节能待机键三合一（提供具有CNAS和CMA认证的认证机构出具的检测报告并加盖公章）；</w:t>
      </w:r>
    </w:p>
    <w:p w14:paraId="2E25BB2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6、屏幕安全防护：采用</w:t>
      </w:r>
      <w:r>
        <w:rPr>
          <w:rFonts w:hint="eastAsia" w:ascii="宋体" w:hAnsi="宋体" w:eastAsia="宋体" w:cs="宋体"/>
          <w:sz w:val="24"/>
          <w:szCs w:val="24"/>
          <w:lang w:val="en-US" w:eastAsia="zh-CN"/>
        </w:rPr>
        <w:t>≥</w:t>
      </w:r>
      <w:r>
        <w:rPr>
          <w:rFonts w:hint="eastAsia" w:ascii="宋体" w:hAnsi="宋体" w:eastAsia="宋体" w:cs="宋体"/>
          <w:sz w:val="24"/>
          <w:szCs w:val="24"/>
        </w:rPr>
        <w:t>4mm厚度AG钢化玻璃，防眩光，减少玻璃反射光的影响，反射率小于1%，透光率≥95%，表面硬度≥莫氏9 级，雾度≤5%，钢化硬度：≥9H；</w:t>
      </w:r>
    </w:p>
    <w:p w14:paraId="1794E5E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7、一根 USB-C 数据线实现外部电脑与触控一体机之间高清视频信号、音频信号以及触摸信号的实时传输，可兼容市面上具备通用 USB 端子的各类电脑；</w:t>
      </w:r>
    </w:p>
    <w:p w14:paraId="3318149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8、内置双路 WIFI，支持 AP 热点，Wifi : 2.4GHz / AP : 2.4GHz/5GHz；</w:t>
      </w:r>
    </w:p>
    <w:p w14:paraId="55B7525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9、无信号待机/自动节能：在无操作或无信号输入时，整机自动进入待机节能的功能，待机的时间间隔可自定义；</w:t>
      </w:r>
    </w:p>
    <w:p w14:paraId="5F7F0E6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10、内置主板采用</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4 核 64 位性能 CPU， 内存（ROM)≥2GB，存储空间(RAM)≥16GB；</w:t>
      </w:r>
    </w:p>
    <w:p w14:paraId="3E4A0C6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11、采用防火防护外壳设计，外壳依据 GB 4943.1-2011《信息技术设备安全 第 1 部分：通用要求》，满足 V-0 要求。</w:t>
      </w:r>
    </w:p>
    <w:p w14:paraId="173ACB7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12、防遮挡功能：在屏幕上任意取四个或以上测试点，每个测试点连续遮挡1-10 个红外发射灯管，然后从未遮挡的区域向遮挡区域连续划线跨过遮挡区域，进行书写；触摸接收器在单点或多点遮挡后仍能正常书写，触控屏扭曲变形达到 10 度时，仍然可以实现多点触控；笔迹连贯、无断线；</w:t>
      </w:r>
    </w:p>
    <w:p w14:paraId="188B5C2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13、安卓背板接口：COAX*1，RJ45*1，VGA*1 ，AUDIO*1，Earphone*1，RS232*1，HDMI IN*1，TOUCH USB(B型)*1，Android USB3.0*1，Pubilc USB2.0*1，TF*1</w:t>
      </w:r>
    </w:p>
    <w:p w14:paraId="2B2AF4D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14、内置≥1300万像素摄像头，具备非独立外扩展的6阵列拾音麦克风，拾音距离≥ 10米； </w:t>
      </w:r>
    </w:p>
    <w:p w14:paraId="39B88F8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15、液晶大屏需具有前掀式维护功能，整体向上掀起角度不小于 45 度，免拆卸前维护，单人即可进行设备维护（提供具有CNAS和CMA认证的认证机构出具的检测报告并加盖公章）。</w:t>
      </w:r>
    </w:p>
    <w:p w14:paraId="3FD6A38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16、整机内置无线网络模块， PC 模块无任何外接或转接天线、网卡可同时实现 Wi-Fi 无线上网连接和AP 无线热点发射， Wi-Fi 和 AP 热点均支持双频2.4G &amp; 5G ，满足 IEEE 802.11 a/b/g/n/ac 标准。</w:t>
      </w:r>
    </w:p>
    <w:p w14:paraId="621C1DF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17、硬件自检功能：整机扫描速度：首点≤8ms，连续点≤4ms; 无需借助 PC，整机可一键进行硬件自检（支持无 PC状况下使用），包括对系统内存、存储、屏温、截屏文件夹、触控系统、光感系统、内置电脑内置电脑模块、网络状况等≥10种模块进行检测，并针对不同模块给出问题原因提示且支持扫描系统提供的二维码进行在线客户问题报修。</w:t>
      </w:r>
    </w:p>
    <w:p w14:paraId="4AF836B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18、开机速度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2s，可设置自行选择开机直接进入任意信号源功能。</w:t>
      </w:r>
    </w:p>
    <w:p w14:paraId="080236E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19、信道预览：信号源窗口可实现多个信号通道预览功能，实时预览各信号通道下的实时画面，直接点击预览窗口即切换至此信号源。设备内部通道切换速度</w:t>
      </w:r>
      <w:r>
        <w:rPr>
          <w:rFonts w:hint="eastAsia" w:ascii="宋体" w:hAnsi="宋体" w:eastAsia="宋体" w:cs="宋体"/>
          <w:sz w:val="24"/>
          <w:szCs w:val="24"/>
          <w:lang w:val="en-US" w:eastAsia="zh-CN"/>
        </w:rPr>
        <w:t>≤</w:t>
      </w:r>
      <w:r>
        <w:rPr>
          <w:rFonts w:hint="eastAsia" w:ascii="宋体" w:hAnsi="宋体" w:eastAsia="宋体" w:cs="宋体"/>
          <w:sz w:val="24"/>
          <w:szCs w:val="24"/>
        </w:rPr>
        <w:t xml:space="preserve"> 1 秒，外部通道切换小于 3 秒，切换后即达到可触摸状态，信号源切换后即可实现触摸；</w:t>
      </w:r>
    </w:p>
    <w:p w14:paraId="25AFEF1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20、安卓下在外接物理键盘时候，能支持多国家的物理键盘布局，并在切换物理键盘布局时，安卓的软件键盘也相应根据物理键盘布局的切换而跟着切换。</w:t>
      </w:r>
    </w:p>
    <w:p w14:paraId="7854E8D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21、安卓系统支持4K 菜单 UI和开机 LOGO动画。</w:t>
      </w:r>
    </w:p>
    <w:p w14:paraId="6DF571F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22、支持任意通道画面放大功能，可在整机任意通道下将画面冻结并双击画面任一部分进行放大，放大后的屏幕画面可进行任意拖拽操作；</w:t>
      </w:r>
    </w:p>
    <w:p w14:paraId="4E040DC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安卓操作系统及Windows任意界面下提供三种方式开启屏幕录制功能，包括屏幕录制模式、屏幕与摄像头、专业级录制直播模式，支持前置按键、悬浮菜单或隐藏菜单快捷打开录屏功能，录制完成自动保存到本地，可随时打开进行观看。</w:t>
      </w:r>
    </w:p>
    <w:p w14:paraId="0007A2B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、整机电视开关、电脑开关、系统还原和节能待机键</w:t>
      </w:r>
      <w:r>
        <w:rPr>
          <w:rFonts w:hint="eastAsia" w:ascii="宋体" w:hAnsi="宋体" w:cs="宋体"/>
          <w:sz w:val="24"/>
          <w:szCs w:val="24"/>
          <w:lang w:eastAsia="zh-CN"/>
        </w:rPr>
        <w:t>，</w:t>
      </w:r>
      <w:r>
        <w:rPr>
          <w:rFonts w:hint="eastAsia" w:ascii="宋体" w:hAnsi="宋体" w:eastAsia="宋体" w:cs="宋体"/>
          <w:sz w:val="24"/>
          <w:szCs w:val="24"/>
        </w:rPr>
        <w:t>多键合一；同时使用PPT可通过实体按键以及触摸按键实现一键切换屏幕分辨率，调整画面显示比例，息屏状态下节能不低于 96%。</w:t>
      </w:r>
    </w:p>
    <w:p w14:paraId="6C95572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5</w:t>
      </w:r>
      <w:r>
        <w:rPr>
          <w:rFonts w:hint="eastAsia" w:ascii="宋体" w:hAnsi="宋体" w:eastAsia="宋体" w:cs="宋体"/>
          <w:sz w:val="24"/>
          <w:szCs w:val="24"/>
        </w:rPr>
        <w:t>、整机可配备环境监测传感功能，包含二氧化碳、温湿度和光感传感与显示。</w:t>
      </w:r>
    </w:p>
    <w:p w14:paraId="19BE33E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w:t>
      </w:r>
      <w:r>
        <w:rPr>
          <w:rFonts w:hint="eastAsia" w:ascii="宋体" w:hAnsi="宋体" w:eastAsia="宋体" w:cs="宋体"/>
          <w:sz w:val="24"/>
          <w:szCs w:val="24"/>
        </w:rPr>
        <w:t>整机可设置快捷键功能，该快捷键呈三段式布局，至少具有多屏互动、屏幕书写、前后翻页、触控关闭、关闭窗口、打开展台、多任务、屏幕下移</w:t>
      </w:r>
      <w:r>
        <w:rPr>
          <w:rFonts w:hint="eastAsia" w:ascii="宋体" w:hAnsi="宋体" w:cs="宋体"/>
          <w:sz w:val="24"/>
          <w:szCs w:val="24"/>
          <w:lang w:eastAsia="zh-CN"/>
        </w:rPr>
        <w:t>，</w:t>
      </w:r>
      <w:r>
        <w:rPr>
          <w:rFonts w:hint="eastAsia" w:ascii="宋体" w:hAnsi="宋体" w:eastAsia="宋体" w:cs="宋体"/>
          <w:sz w:val="24"/>
          <w:szCs w:val="24"/>
        </w:rPr>
        <w:t>不低于 17个功能，可设计具备经典模式与极简模式，并且可侧面显示，可设置自动隐藏时间。</w:t>
      </w:r>
    </w:p>
    <w:p w14:paraId="643FA67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p>
    <w:p w14:paraId="7E36C7F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一、Ops要求：</w:t>
      </w:r>
    </w:p>
    <w:p w14:paraId="13C3BA2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1、为了保证交互平板产品后续可扩展性；</w:t>
      </w:r>
    </w:p>
    <w:p w14:paraId="1C35A26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2、处理器：4核8线程/2.3GHz-4.0GHz； </w:t>
      </w:r>
    </w:p>
    <w:p w14:paraId="4381818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3、内存：8G DDR4或以上配置；硬盘：256GSSD或以上配置；</w:t>
      </w:r>
    </w:p>
    <w:p w14:paraId="1395C06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4、内置网卡：10M/100M/1000M；</w:t>
      </w:r>
    </w:p>
    <w:p w14:paraId="76D7208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5、具有独立非外扩展的电脑USB接口：电脑上至少4个USB接口；</w:t>
      </w:r>
    </w:p>
    <w:p w14:paraId="171395D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6、具有视频输出接口：HDMI接口；</w:t>
      </w:r>
    </w:p>
    <w:p w14:paraId="21DC040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7、内置WIFI、蓝牙模块。</w:t>
      </w:r>
    </w:p>
    <w:p w14:paraId="046C760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FF0000"/>
          <w:sz w:val="24"/>
          <w:szCs w:val="24"/>
          <w:lang w:val="en-US" w:eastAsia="zh-CN"/>
        </w:rPr>
      </w:pPr>
    </w:p>
    <w:p w14:paraId="26A62F2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二、无线传屏器</w:t>
      </w:r>
    </w:p>
    <w:p w14:paraId="482497F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1、支持USB无线传屏器，无需安装，无需配置，一键传屏；</w:t>
      </w:r>
    </w:p>
    <w:p w14:paraId="6DD55D4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2、提供Windows端传屏软件，可以脱离USB传屏器进行传屏；</w:t>
      </w:r>
    </w:p>
    <w:p w14:paraId="2847C06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3、支持1080P分辨率音视频镜像传屏，延迟小于100ms；</w:t>
      </w:r>
    </w:p>
    <w:p w14:paraId="756EA9A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4、具备RS232接口，支持第三方中控设备控制；</w:t>
      </w:r>
    </w:p>
    <w:p w14:paraId="1752A7C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5、支持动态密码传屏保护，避免传屏事故，支持触摸框或鼠标触摸回传；</w:t>
      </w:r>
    </w:p>
    <w:p w14:paraId="34A2D52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6、兼容Windows 7/8/10,以及苹果Mac；</w:t>
      </w:r>
    </w:p>
    <w:p w14:paraId="5460C6A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7、传屏不占用电脑wifi，电脑仍可以上网；</w:t>
      </w:r>
    </w:p>
    <w:p w14:paraId="3A311EC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8、可配置第三方路由器(使用网口)，支持不低于24个USB发射端；</w:t>
      </w:r>
    </w:p>
    <w:p w14:paraId="7844F23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14975FB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三、移动支架：</w:t>
      </w:r>
    </w:p>
    <w:p w14:paraId="1F8F437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1、整机自带四个全向无定位万向轮，可以在平面上任意移动</w:t>
      </w:r>
    </w:p>
    <w:p w14:paraId="4B9CFF3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2、支架自身拥有多个定位孔，可以实现自由调整壁挂条安装位置</w:t>
      </w:r>
    </w:p>
    <w:p w14:paraId="435BBBE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3、支架自带两个承重支柱，最高可以支持悬挂100kg重物</w:t>
      </w:r>
    </w:p>
    <w:p w14:paraId="3797DD6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4、支架自带托物架，可以放置小物品</w:t>
      </w:r>
    </w:p>
    <w:p w14:paraId="0CDEBF7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5、支架支架底座为圆弧形，避免划伤使用者。</w:t>
      </w:r>
    </w:p>
    <w:p w14:paraId="06C6DD1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color w:val="auto"/>
          <w:sz w:val="24"/>
          <w:szCs w:val="24"/>
          <w:lang w:val="en-US" w:eastAsia="zh-CN"/>
        </w:rPr>
      </w:pPr>
    </w:p>
    <w:p w14:paraId="15C3D9F4">
      <w:pPr>
        <w:numPr>
          <w:ilvl w:val="0"/>
          <w:numId w:val="0"/>
        </w:numPr>
        <w:spacing w:line="360" w:lineRule="auto"/>
        <w:outlineLvl w:val="1"/>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5.免散瞳眼底相机</w:t>
      </w:r>
    </w:p>
    <w:p w14:paraId="5D5891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1、操作模式:全自动/手动；无需人工调整，一键完成双眼自动拍照，自动调节腮托架，自动追踪眼位（上下左右），自动对焦（前后），自动测量.自动转换左右眼</w:t>
      </w:r>
    </w:p>
    <w:p w14:paraId="45A7457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2、对焦模式：全自动/手动；自动切换左右眼、自动寻找瞳孔、自动校准瞳孔位置</w:t>
      </w:r>
    </w:p>
    <w:p w14:paraId="74949E1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3、拍照模式：自动/手动,</w:t>
      </w:r>
    </w:p>
    <w:p w14:paraId="57394E8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4、采集模式：免散瞳/散瞳彩照</w:t>
      </w:r>
    </w:p>
    <w:p w14:paraId="220BFD1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5、曝光模式：自动/手动</w:t>
      </w:r>
    </w:p>
    <w:p w14:paraId="721A82C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6、采集过程全程语音导航</w:t>
      </w:r>
    </w:p>
    <w:p w14:paraId="7908CA3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7、尺寸：（mm）</w:t>
      </w:r>
      <w:r>
        <w:rPr>
          <w:rFonts w:hint="eastAsia" w:ascii="宋体" w:hAnsi="宋体" w:eastAsia="宋体" w:cs="宋体"/>
          <w:sz w:val="24"/>
          <w:szCs w:val="24"/>
          <w:lang w:val="en-US" w:eastAsia="zh-CN"/>
        </w:rPr>
        <w:t>≤</w:t>
      </w:r>
      <w:r>
        <w:rPr>
          <w:rFonts w:hint="eastAsia" w:ascii="宋体" w:hAnsi="宋体" w:eastAsia="宋体" w:cs="宋体"/>
          <w:sz w:val="24"/>
          <w:szCs w:val="24"/>
        </w:rPr>
        <w:t>280mm（长）×</w:t>
      </w:r>
      <w:r>
        <w:rPr>
          <w:rFonts w:hint="eastAsia" w:ascii="宋体" w:hAnsi="宋体" w:eastAsia="宋体" w:cs="宋体"/>
          <w:sz w:val="24"/>
          <w:szCs w:val="24"/>
          <w:lang w:val="en-US" w:eastAsia="zh-CN"/>
        </w:rPr>
        <w:t>60</w:t>
      </w:r>
      <w:r>
        <w:rPr>
          <w:rFonts w:hint="eastAsia" w:ascii="宋体" w:hAnsi="宋体" w:eastAsia="宋体" w:cs="宋体"/>
          <w:sz w:val="24"/>
          <w:szCs w:val="24"/>
        </w:rPr>
        <w:t>mm（宽）×460mm（高）</w:t>
      </w:r>
    </w:p>
    <w:p w14:paraId="68B9AC3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8、重量：</w:t>
      </w:r>
      <w:r>
        <w:rPr>
          <w:rFonts w:hint="eastAsia" w:ascii="宋体" w:hAnsi="宋体" w:eastAsia="宋体" w:cs="宋体"/>
          <w:sz w:val="24"/>
          <w:szCs w:val="24"/>
          <w:lang w:val="en-US" w:eastAsia="zh-CN"/>
        </w:rPr>
        <w:t>≤</w:t>
      </w: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KG</w:t>
      </w:r>
    </w:p>
    <w:p w14:paraId="1E13A2B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9、照相瞳孔直径：2.8 mm或以上</w:t>
      </w:r>
    </w:p>
    <w:p w14:paraId="0287A8E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10、闪光强度：自适应无级可调</w:t>
      </w:r>
    </w:p>
    <w:p w14:paraId="00464FA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11、视场角；53°</w:t>
      </w:r>
    </w:p>
    <w:p w14:paraId="2111D93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12、操作者方位：对侧、旁侧</w:t>
      </w:r>
    </w:p>
    <w:p w14:paraId="75BA7F0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13、采集模块：内置专业高清摄像头</w:t>
      </w:r>
    </w:p>
    <w:p w14:paraId="680240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14、眼底像分辨率：</w:t>
      </w:r>
      <w:r>
        <w:rPr>
          <w:rFonts w:hint="eastAsia" w:ascii="Arial" w:hAnsi="Arial" w:cs="Arial"/>
          <w:sz w:val="24"/>
          <w:szCs w:val="24"/>
          <w:lang w:val="en-US" w:eastAsia="zh-CN"/>
        </w:rPr>
        <w:t>≥</w:t>
      </w:r>
      <w:r>
        <w:rPr>
          <w:rFonts w:hint="eastAsia" w:ascii="宋体" w:hAnsi="宋体" w:eastAsia="宋体" w:cs="宋体"/>
          <w:sz w:val="24"/>
          <w:szCs w:val="24"/>
        </w:rPr>
        <w:t>2400万像素</w:t>
      </w:r>
    </w:p>
    <w:p w14:paraId="21443BB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15：患者屈光度校正范围：无补偿透镜：-30D～+30D</w:t>
      </w:r>
      <w:r>
        <w:rPr>
          <w:rFonts w:hint="eastAsia" w:ascii="宋体" w:hAnsi="宋体" w:eastAsia="宋体" w:cs="宋体"/>
          <w:sz w:val="24"/>
          <w:szCs w:val="24"/>
        </w:rPr>
        <w:tab/>
      </w:r>
    </w:p>
    <w:p w14:paraId="66E5673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16、固视标：内固视标：采用液晶点阵，任意固视点标注，其中周边模式有9点固视</w:t>
      </w:r>
      <w:r>
        <w:rPr>
          <w:rFonts w:hint="eastAsia" w:ascii="宋体" w:hAnsi="宋体" w:eastAsia="宋体" w:cs="宋体"/>
          <w:sz w:val="24"/>
          <w:szCs w:val="24"/>
        </w:rPr>
        <w:tab/>
      </w:r>
      <w:r>
        <w:rPr>
          <w:rFonts w:hint="eastAsia" w:ascii="宋体" w:hAnsi="宋体" w:eastAsia="宋体" w:cs="宋体"/>
          <w:sz w:val="24"/>
          <w:szCs w:val="24"/>
        </w:rPr>
        <w:t>17、显示屏：</w:t>
      </w:r>
      <w:r>
        <w:rPr>
          <w:rFonts w:hint="eastAsia"/>
          <w:sz w:val="24"/>
          <w:szCs w:val="24"/>
          <w:lang w:val="en-US" w:eastAsia="zh-CN"/>
        </w:rPr>
        <w:t>电容触摸屏</w:t>
      </w:r>
      <w:r>
        <w:rPr>
          <w:rFonts w:hint="eastAsia" w:ascii="Arial" w:hAnsi="Arial" w:cs="Arial"/>
          <w:sz w:val="24"/>
          <w:szCs w:val="24"/>
          <w:lang w:val="en-US" w:eastAsia="zh-CN"/>
        </w:rPr>
        <w:t>≥10寸，液晶扩展显示器（可分屏显示）≥20寸</w:t>
      </w:r>
    </w:p>
    <w:p w14:paraId="4E8FB0B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18：工作距离：16±2mm</w:t>
      </w:r>
    </w:p>
    <w:p w14:paraId="4FDE0BD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19、电源电压：AC100-240V</w:t>
      </w:r>
    </w:p>
    <w:p w14:paraId="3C37FD8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20、功率输入：200VA</w:t>
      </w:r>
    </w:p>
    <w:p w14:paraId="5993FB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21、频率：50-60Hz</w:t>
      </w:r>
    </w:p>
    <w:p w14:paraId="54648A4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22、PC传输：USB,局域网，FTP，DICOM</w:t>
      </w:r>
    </w:p>
    <w:p w14:paraId="179166A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23、图像处理：图片后处理功能：亮度，色彩，对比度；病灶标注及计算；随访对比</w:t>
      </w:r>
    </w:p>
    <w:p w14:paraId="02A7A39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24、眼底彩照AI辅助诊断软件本地化部署，终身免费使用，不另外收取费用；</w:t>
      </w:r>
    </w:p>
    <w:p w14:paraId="67C124D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25、不对年度内患者检验人次数及眼底检测报告出具数量进行限制；</w:t>
      </w:r>
    </w:p>
    <w:p w14:paraId="4A757D4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26、能够基于眼底拍照结果自动识别常见视网膜病变（</w:t>
      </w:r>
      <w:r>
        <w:rPr>
          <w:rFonts w:hint="eastAsia" w:ascii="宋体" w:hAnsi="宋体" w:eastAsia="宋体" w:cs="宋体"/>
          <w:sz w:val="24"/>
          <w:szCs w:val="24"/>
          <w:lang w:val="en-US" w:eastAsia="zh-CN"/>
        </w:rPr>
        <w:t>≥</w:t>
      </w:r>
      <w:r>
        <w:rPr>
          <w:rFonts w:hint="eastAsia" w:ascii="宋体" w:hAnsi="宋体" w:eastAsia="宋体" w:cs="宋体"/>
          <w:sz w:val="24"/>
          <w:szCs w:val="24"/>
        </w:rPr>
        <w:t>40种）；</w:t>
      </w:r>
    </w:p>
    <w:p w14:paraId="1ABF0E6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27、能够自动识别</w:t>
      </w:r>
      <w:r>
        <w:rPr>
          <w:rFonts w:hint="eastAsia" w:ascii="宋体" w:hAnsi="宋体" w:eastAsia="宋体" w:cs="宋体"/>
          <w:sz w:val="24"/>
          <w:szCs w:val="24"/>
          <w:lang w:val="en-US" w:eastAsia="zh-CN"/>
        </w:rPr>
        <w:t>≥</w:t>
      </w:r>
      <w:r>
        <w:rPr>
          <w:rFonts w:hint="eastAsia" w:ascii="宋体" w:hAnsi="宋体" w:eastAsia="宋体" w:cs="宋体"/>
          <w:sz w:val="24"/>
          <w:szCs w:val="24"/>
        </w:rPr>
        <w:t>10类常见的眼底彩照相关病灶；</w:t>
      </w:r>
    </w:p>
    <w:p w14:paraId="0033206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28、能够自动识别</w:t>
      </w:r>
      <w:r>
        <w:rPr>
          <w:rFonts w:hint="eastAsia" w:ascii="宋体" w:hAnsi="宋体" w:eastAsia="宋体" w:cs="宋体"/>
          <w:sz w:val="24"/>
          <w:szCs w:val="24"/>
          <w:lang w:val="en-US" w:eastAsia="zh-CN"/>
        </w:rPr>
        <w:t>≥</w:t>
      </w:r>
      <w:r>
        <w:rPr>
          <w:rFonts w:hint="eastAsia" w:ascii="宋体" w:hAnsi="宋体" w:eastAsia="宋体" w:cs="宋体"/>
          <w:sz w:val="24"/>
          <w:szCs w:val="24"/>
        </w:rPr>
        <w:t>20类眼底病种；</w:t>
      </w:r>
    </w:p>
    <w:p w14:paraId="38EF316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29、图像识别准确率</w:t>
      </w:r>
      <w:r>
        <w:rPr>
          <w:rFonts w:hint="eastAsia" w:ascii="宋体" w:hAnsi="宋体" w:eastAsia="宋体" w:cs="宋体"/>
          <w:sz w:val="24"/>
          <w:szCs w:val="24"/>
          <w:lang w:val="en-US" w:eastAsia="zh-CN"/>
        </w:rPr>
        <w:t>≥</w:t>
      </w:r>
      <w:r>
        <w:rPr>
          <w:rFonts w:hint="eastAsia" w:ascii="宋体" w:hAnsi="宋体" w:eastAsia="宋体" w:cs="宋体"/>
          <w:sz w:val="24"/>
          <w:szCs w:val="24"/>
        </w:rPr>
        <w:t>90%；</w:t>
      </w:r>
    </w:p>
    <w:p w14:paraId="49BA25CC">
      <w:pPr>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 xml:space="preserve">    </w:t>
      </w:r>
    </w:p>
    <w:p w14:paraId="3E9C37EE">
      <w:pPr>
        <w:numPr>
          <w:ilvl w:val="0"/>
          <w:numId w:val="0"/>
        </w:numPr>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6.肺功能测试仪</w:t>
      </w:r>
    </w:p>
    <w:p w14:paraId="092A51D5">
      <w:pPr>
        <w:keepNext w:val="0"/>
        <w:keepLines w:val="0"/>
        <w:pageBreakBefore w:val="0"/>
        <w:widowControl w:val="0"/>
        <w:kinsoku/>
        <w:wordWrap/>
        <w:overflowPunct/>
        <w:topLinePunct w:val="0"/>
        <w:autoSpaceDE/>
        <w:autoSpaceDN/>
        <w:bidi w:val="0"/>
        <w:adjustRightInd w:val="0"/>
        <w:snapToGrid/>
        <w:spacing w:line="360" w:lineRule="auto"/>
        <w:ind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1、主要技术规格及系统参数</w:t>
      </w:r>
    </w:p>
    <w:p w14:paraId="379F8AC0">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1.1、主机、安卓显示器为无线连接；</w:t>
      </w:r>
    </w:p>
    <w:p w14:paraId="19BD7151">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w:t>
      </w:r>
      <w:r>
        <w:rPr>
          <w:rFonts w:hint="eastAsia" w:ascii="宋体" w:hAnsi="宋体" w:eastAsia="宋体" w:cs="宋体"/>
          <w:color w:val="auto"/>
          <w:sz w:val="24"/>
          <w:szCs w:val="24"/>
          <w:lang w:val="en-US" w:eastAsia="zh-CN"/>
        </w:rPr>
        <w:t>显示器液晶屏</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英寸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分辨率为1</w:t>
      </w:r>
      <w:r>
        <w:rPr>
          <w:rFonts w:hint="eastAsia" w:ascii="宋体" w:hAnsi="宋体" w:eastAsia="宋体" w:cs="宋体"/>
          <w:color w:val="auto"/>
          <w:sz w:val="24"/>
          <w:szCs w:val="24"/>
          <w:lang w:val="en-US" w:eastAsia="zh-CN"/>
        </w:rPr>
        <w:t>28</w:t>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80</w:t>
      </w:r>
      <w:r>
        <w:rPr>
          <w:rFonts w:hint="eastAsia" w:ascii="宋体" w:hAnsi="宋体" w:eastAsia="宋体" w:cs="宋体"/>
          <w:color w:val="auto"/>
          <w:sz w:val="24"/>
          <w:szCs w:val="24"/>
        </w:rPr>
        <w:t>0；</w:t>
      </w:r>
    </w:p>
    <w:p w14:paraId="39A661A6">
      <w:pPr>
        <w:pStyle w:val="2"/>
        <w:keepNext w:val="0"/>
        <w:keepLines w:val="0"/>
        <w:pageBreakBefore w:val="0"/>
        <w:widowControl w:val="0"/>
        <w:kinsoku/>
        <w:wordWrap/>
        <w:overflowPunct/>
        <w:topLinePunct w:val="0"/>
        <w:autoSpaceDE/>
        <w:autoSpaceDN/>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1.3、显示器内置电池</w:t>
      </w:r>
      <w:r>
        <w:rPr>
          <w:rFonts w:hint="eastAsia" w:ascii="宋体" w:hAnsi="宋体" w:eastAsia="宋体" w:cs="宋体"/>
          <w:b w:val="0"/>
          <w:color w:val="auto"/>
          <w:kern w:val="2"/>
          <w:sz w:val="21"/>
          <w:szCs w:val="21"/>
          <w:lang w:val="en-US" w:eastAsia="zh-CN" w:bidi="ar-SA"/>
        </w:rPr>
        <w:t>（</w:t>
      </w:r>
      <w:r>
        <w:rPr>
          <w:rFonts w:hint="eastAsia" w:cs="宋体"/>
          <w:b w:val="0"/>
          <w:color w:val="auto"/>
          <w:kern w:val="2"/>
          <w:sz w:val="21"/>
          <w:szCs w:val="21"/>
          <w:lang w:val="en-US" w:eastAsia="zh-CN" w:bidi="ar-SA"/>
        </w:rPr>
        <w:t>配备</w:t>
      </w:r>
      <w:r>
        <w:rPr>
          <w:rFonts w:hint="eastAsia" w:ascii="宋体" w:hAnsi="宋体" w:eastAsia="宋体" w:cs="宋体"/>
          <w:b w:val="0"/>
          <w:color w:val="auto"/>
          <w:kern w:val="2"/>
          <w:sz w:val="21"/>
          <w:szCs w:val="21"/>
          <w:lang w:val="en-US" w:eastAsia="zh-CN" w:bidi="ar-SA"/>
        </w:rPr>
        <w:t>）</w:t>
      </w:r>
      <w:r>
        <w:rPr>
          <w:rFonts w:hint="eastAsia" w:ascii="宋体" w:hAnsi="宋体" w:eastAsia="宋体" w:cs="宋体"/>
          <w:b w:val="0"/>
          <w:color w:val="auto"/>
          <w:kern w:val="2"/>
          <w:sz w:val="24"/>
          <w:szCs w:val="24"/>
          <w:lang w:val="en-US" w:eastAsia="zh-CN" w:bidi="ar-SA"/>
        </w:rPr>
        <w:t>；主机内置大容量电池；</w:t>
      </w:r>
    </w:p>
    <w:p w14:paraId="4B558F14">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、PEF（流量）测量性能</w:t>
      </w:r>
    </w:p>
    <w:p w14:paraId="45FB47FD">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（1）测量范围：0～16L/s；</w:t>
      </w:r>
    </w:p>
    <w:p w14:paraId="2675BD13">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（2）测量误差：读数的±5%或±0.17L/s，两者取较大值；</w:t>
      </w:r>
    </w:p>
    <w:p w14:paraId="5676BEDA">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（3）线性度：≤2%；</w:t>
      </w:r>
    </w:p>
    <w:p w14:paraId="3F8759D0">
      <w:pPr>
        <w:keepNext w:val="0"/>
        <w:keepLines w:val="0"/>
        <w:pageBreakBefore w:val="0"/>
        <w:widowControl w:val="0"/>
        <w:kinsoku/>
        <w:wordWrap/>
        <w:overflowPunct/>
        <w:topLinePunct w:val="0"/>
        <w:autoSpaceDE/>
        <w:autoSpaceDN/>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（4）重复性：≤0.02L/s或者5%；</w:t>
      </w:r>
    </w:p>
    <w:p w14:paraId="0D683C2E">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（5）气流阻力：≤0.11kPa/(L/s)；</w:t>
      </w:r>
    </w:p>
    <w:p w14:paraId="6283D72A">
      <w:pPr>
        <w:keepNext w:val="0"/>
        <w:keepLines w:val="0"/>
        <w:pageBreakBefore w:val="0"/>
        <w:widowControl w:val="0"/>
        <w:kinsoku/>
        <w:wordWrap/>
        <w:overflowPunct/>
        <w:topLinePunct w:val="0"/>
        <w:bidi w:val="0"/>
        <w:adjustRightInd w:val="0"/>
        <w:snapToGrid/>
        <w:spacing w:line="360" w:lineRule="auto"/>
        <w:ind w:left="294" w:leftChars="140" w:right="0"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（6）频率响应：0.25L/s或者12%； </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1.5、FVC（容量）测量性能</w:t>
      </w:r>
    </w:p>
    <w:p w14:paraId="76E1FA58">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（1）测量范围：0L～10L；</w:t>
      </w:r>
    </w:p>
    <w:p w14:paraId="4733B57F">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（2）准确性：±3%或±0.05L；</w:t>
      </w:r>
    </w:p>
    <w:p w14:paraId="1F3589CE">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1.6、配置温湿度、大气压传感器，可自动获取环境监测数据；</w:t>
      </w:r>
    </w:p>
    <w:p w14:paraId="5A6EB176">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1.7、（可选）外接“超声波身高体重测量仪”，身高体重数据直接传输到肺功能仪软件；</w:t>
      </w:r>
    </w:p>
    <w:p w14:paraId="036E914B">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1.8、（可选）外接“脉搏血氧饱和度仪”，血氧浓度数据直接传输到肺功能仪软件；</w:t>
      </w:r>
    </w:p>
    <w:p w14:paraId="44F42D52">
      <w:pPr>
        <w:keepNext w:val="0"/>
        <w:keepLines w:val="0"/>
        <w:pageBreakBefore w:val="0"/>
        <w:widowControl w:val="0"/>
        <w:kinsoku/>
        <w:wordWrap/>
        <w:overflowPunct/>
        <w:topLinePunct w:val="0"/>
        <w:bidi w:val="0"/>
        <w:adjustRightInd w:val="0"/>
        <w:snapToGrid/>
        <w:spacing w:line="360" w:lineRule="auto"/>
        <w:ind w:right="0"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2 、软件功能</w:t>
      </w:r>
    </w:p>
    <w:p w14:paraId="463B93A0">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FVC用力肺活量检测：流量-容积测量曲线、容积-时间测量曲线，质量控制，测量参数FVC、FEV0.5、FEV1、FEV2、FEV3、FEV6、FEV0.5/FVC、FEV1/FVC、FEV1/VC、FEV2/FVC、FEV3/FVC、FEV1/VCpr、FEV0.75、FET、Text、Vext、Vext/FVC、PEF、FEF25、FEF50、FEF75、MMEF、等70个临床参数；</w:t>
      </w:r>
    </w:p>
    <w:p w14:paraId="09416C32">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2.2、VC静态肺活量检测：容积-时间测量曲线，QC检查，测量参数VC、IC、VT、VC/H、ERV、VCin、IRV、VCex、RR、MV；</w:t>
      </w:r>
    </w:p>
    <w:p w14:paraId="105DA849">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b w:val="0"/>
          <w:color w:val="auto"/>
          <w:kern w:val="2"/>
          <w:sz w:val="24"/>
          <w:szCs w:val="24"/>
          <w:lang w:val="en-US" w:eastAsia="zh-CN" w:bidi="ar-SA"/>
        </w:rPr>
        <w:t>2.3、MVV最大自主通气量检测：容积-时间测量曲线，QC检查，测量参数MVV、VT、MVV%RR、BSA、AVI、MVV/BSA；</w:t>
      </w:r>
    </w:p>
    <w:p w14:paraId="1E0EDB99">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2.4、MV静息流量检测：容积-时间测量曲线，测量参数MV、TV、BR、RR、VR；</w:t>
      </w:r>
    </w:p>
    <w:p w14:paraId="03945DD5">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2.5、支气管舒张检测：可输出“ATS标准化报告单”，可对比用药前后各参数值并显示变化率；</w:t>
      </w:r>
    </w:p>
    <w:p w14:paraId="7B5D6C22">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2.6、（可选）支气管激发检测：可对比用药前后各参数值并显示变化率；</w:t>
      </w:r>
    </w:p>
    <w:p w14:paraId="098212A0">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2.7、（可选）血氧检查：可通过蓝牙获取脉搏血氧饱和度仪的血氧浓度数据，在软件界面输出检测数值；</w:t>
      </w:r>
    </w:p>
    <w:p w14:paraId="7C03D64F">
      <w:pPr>
        <w:keepNext w:val="0"/>
        <w:keepLines w:val="0"/>
        <w:pageBreakBefore w:val="0"/>
        <w:widowControl w:val="0"/>
        <w:kinsoku/>
        <w:wordWrap/>
        <w:overflowPunct/>
        <w:topLinePunct w:val="0"/>
        <w:bidi w:val="0"/>
        <w:adjustRightInd w:val="0"/>
        <w:snapToGrid/>
        <w:spacing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2.8、软件系统：软件基于安卓系统，提供方便快捷的交互体验，无需外接工作站进行数据管理；</w:t>
      </w:r>
    </w:p>
    <w:p w14:paraId="5F15D2F3">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2.9、呼吸检测可自动转化为BTPS模式，且ATP、BTPS模式均可设置；</w:t>
      </w:r>
    </w:p>
    <w:p w14:paraId="198A1050">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2.10、数据备份还原：可通过U盘进行数据备份还原功能；</w:t>
      </w:r>
    </w:p>
    <w:p w14:paraId="2AD03B2B">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2.11、档案管理：支持档案的筛选、备份、恢复、删除、打印操作；</w:t>
      </w:r>
    </w:p>
    <w:p w14:paraId="1400A091">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2.12、报告单：完成检测后可通过至少2个出厂报告单模板呈现检测结果；用户可自定义报告单模板；</w:t>
      </w:r>
    </w:p>
    <w:p w14:paraId="2245F509">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2.13、兼容打印机：主机不需要通过外接电脑，直接与市面上主流品牌（HP、EPSON、CANON）的多种型号打印机连接并打印所有测量参数报告；</w:t>
      </w:r>
    </w:p>
    <w:p w14:paraId="2E3F2273">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2.14、</w:t>
      </w:r>
      <w:r>
        <w:rPr>
          <w:rFonts w:hint="eastAsia" w:ascii="宋体" w:hAnsi="宋体" w:eastAsia="宋体" w:cs="宋体"/>
          <w:b w:val="0"/>
          <w:bCs/>
          <w:color w:val="auto"/>
          <w:sz w:val="24"/>
          <w:szCs w:val="24"/>
          <w:shd w:val="clear" w:color="auto" w:fill="auto"/>
        </w:rPr>
        <w:t>数据接口：支持USB、WIFI、蓝牙</w:t>
      </w:r>
      <w:r>
        <w:rPr>
          <w:rFonts w:hint="eastAsia" w:ascii="宋体" w:hAnsi="宋体" w:eastAsia="宋体" w:cs="宋体"/>
          <w:b w:val="0"/>
          <w:bCs/>
          <w:color w:val="auto"/>
          <w:sz w:val="24"/>
          <w:szCs w:val="24"/>
          <w:shd w:val="clear" w:color="auto" w:fill="auto"/>
          <w:lang w:eastAsia="zh-CN"/>
        </w:rPr>
        <w:t>、</w:t>
      </w:r>
      <w:r>
        <w:rPr>
          <w:rFonts w:hint="eastAsia" w:ascii="宋体" w:hAnsi="宋体" w:eastAsia="宋体" w:cs="宋体"/>
          <w:b w:val="0"/>
          <w:bCs/>
          <w:color w:val="auto"/>
          <w:sz w:val="24"/>
          <w:szCs w:val="24"/>
          <w:shd w:val="clear" w:color="auto" w:fill="auto"/>
          <w:lang w:val="en-US" w:eastAsia="zh-CN"/>
        </w:rPr>
        <w:t>RJ45（可选）、SIM卡</w:t>
      </w:r>
      <w:r>
        <w:rPr>
          <w:rFonts w:hint="eastAsia" w:ascii="宋体" w:hAnsi="宋体" w:eastAsia="宋体" w:cs="宋体"/>
          <w:b w:val="0"/>
          <w:bCs/>
          <w:color w:val="auto"/>
          <w:sz w:val="24"/>
          <w:szCs w:val="24"/>
          <w:shd w:val="clear" w:color="auto" w:fill="auto"/>
        </w:rPr>
        <w:t>多种数据传输接口</w:t>
      </w:r>
      <w:r>
        <w:rPr>
          <w:rFonts w:hint="eastAsia" w:ascii="宋体" w:hAnsi="宋体" w:eastAsia="宋体" w:cs="宋体"/>
          <w:b w:val="0"/>
          <w:bCs/>
          <w:color w:val="auto"/>
          <w:sz w:val="24"/>
          <w:szCs w:val="24"/>
          <w:shd w:val="clear" w:color="auto" w:fill="auto"/>
          <w:lang w:eastAsia="zh-CN"/>
        </w:rPr>
        <w:t>；</w:t>
      </w:r>
    </w:p>
    <w:p w14:paraId="31FD6AD8">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2.15、多重质控功能</w:t>
      </w:r>
    </w:p>
    <w:p w14:paraId="1AAE2A9E">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（1）设备准确性（校准）质控</w:t>
      </w:r>
    </w:p>
    <w:p w14:paraId="53DD6799">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具有容量校准、三流量线性验证功能，3升定标筒定标精度为±0.4%，可提供第三方计量报告；</w:t>
      </w:r>
    </w:p>
    <w:p w14:paraId="7B67CDB1">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（2）检查过程实时质控</w:t>
      </w:r>
    </w:p>
    <w:p w14:paraId="52405787">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FVC检查质控，VC检查质控，MVV检查质控（符合《肺功能检查指南》质控要求）；</w:t>
      </w:r>
    </w:p>
    <w:p w14:paraId="514D0C3B">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（3）检查结果质控</w:t>
      </w:r>
    </w:p>
    <w:p w14:paraId="7E2A4F7C">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根据检查结果，通气功能障碍类型，判定慢阻肺级别，肺通气功能障碍的程度分级（符合《肺功能检查指南》判定标准）；</w:t>
      </w:r>
    </w:p>
    <w:p w14:paraId="366A4141">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（4）预计值公式可靠性质控</w:t>
      </w:r>
    </w:p>
    <w:p w14:paraId="3E86981A">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多种预计值公式可选，包括中国人（GLI-2012），中国人（华北、华东、东北、西北，西南，华南），Crapo，Knudson，ECCS，NHANES III，Morris，Asian，且具备预计值修正系数设置功能；</w:t>
      </w:r>
    </w:p>
    <w:p w14:paraId="1200E343">
      <w:pPr>
        <w:pStyle w:val="2"/>
        <w:keepNext w:val="0"/>
        <w:keepLines w:val="0"/>
        <w:pageBreakBefore w:val="0"/>
        <w:widowControl w:val="0"/>
        <w:kinsoku/>
        <w:wordWrap/>
        <w:overflowPunct/>
        <w:topLinePunct w:val="0"/>
        <w:bidi w:val="0"/>
        <w:adjustRightInd w:val="0"/>
        <w:snapToGrid/>
        <w:spacing w:before="0" w:line="360" w:lineRule="auto"/>
        <w:ind w:righ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val="0"/>
          <w:color w:val="auto"/>
          <w:kern w:val="2"/>
          <w:sz w:val="24"/>
          <w:szCs w:val="24"/>
          <w:lang w:val="en-US" w:eastAsia="zh-CN" w:bidi="ar-SA"/>
        </w:rPr>
        <w:t>2.16、产品使用期限≥8年，使用过程中支持软件在线升级。</w:t>
      </w:r>
    </w:p>
    <w:p w14:paraId="76CDF6EE">
      <w:pPr>
        <w:keepNext w:val="0"/>
        <w:keepLines w:val="0"/>
        <w:pageBreakBefore w:val="0"/>
        <w:kinsoku/>
        <w:wordWrap/>
        <w:overflowPunct/>
        <w:topLinePunct w:val="0"/>
        <w:bidi w:val="0"/>
        <w:snapToGrid/>
        <w:spacing w:line="360" w:lineRule="auto"/>
        <w:ind w:firstLine="0" w:firstLineChars="0"/>
        <w:textAlignment w:val="auto"/>
        <w:rPr>
          <w:rFonts w:hint="eastAsia" w:ascii="宋体" w:hAnsi="宋体" w:eastAsia="宋体" w:cs="宋体"/>
          <w:sz w:val="24"/>
          <w:szCs w:val="24"/>
        </w:rPr>
      </w:pPr>
    </w:p>
    <w:p w14:paraId="0D1C95A7">
      <w:pPr>
        <w:keepNext w:val="0"/>
        <w:keepLines w:val="0"/>
        <w:pageBreakBefore w:val="0"/>
        <w:numPr>
          <w:ilvl w:val="0"/>
          <w:numId w:val="0"/>
        </w:numPr>
        <w:kinsoku/>
        <w:wordWrap/>
        <w:overflowPunct/>
        <w:topLinePunct w:val="0"/>
        <w:bidi w:val="0"/>
        <w:snapToGrid/>
        <w:spacing w:line="360" w:lineRule="auto"/>
        <w:textAlignment w:val="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7.感觉神经定量检测仪（VPT）</w:t>
      </w:r>
    </w:p>
    <w:p w14:paraId="11655544">
      <w:pPr>
        <w:keepNext w:val="0"/>
        <w:keepLines w:val="0"/>
        <w:pageBreakBefore w:val="0"/>
        <w:widowControl w:val="0"/>
        <w:numPr>
          <w:ilvl w:val="0"/>
          <w:numId w:val="4"/>
        </w:numPr>
        <w:kinsoku/>
        <w:wordWrap/>
        <w:overflowPunct/>
        <w:topLinePunct w:val="0"/>
        <w:autoSpaceDE w:val="0"/>
        <w:autoSpaceDN w:val="0"/>
        <w:bidi w:val="0"/>
        <w:adjustRightInd w:val="0"/>
        <w:snapToGrid/>
        <w:spacing w:line="360" w:lineRule="auto"/>
        <w:ind w:left="0" w:leftChars="0" w:right="0" w:righ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主要技术规格及参数</w:t>
      </w:r>
    </w:p>
    <w:p w14:paraId="0AEAB3A0">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1.1 </w:t>
      </w:r>
      <w:r>
        <w:rPr>
          <w:rFonts w:hint="eastAsia" w:ascii="宋体" w:hAnsi="宋体" w:eastAsia="宋体" w:cs="宋体"/>
          <w:sz w:val="24"/>
          <w:szCs w:val="24"/>
        </w:rPr>
        <w:t>振动电路电压性能，范围：0V～50V；步进：0.1V；误差：±5%</w:t>
      </w:r>
      <w:r>
        <w:rPr>
          <w:rFonts w:hint="eastAsia" w:ascii="宋体" w:hAnsi="宋体" w:eastAsia="宋体" w:cs="宋体"/>
          <w:sz w:val="24"/>
          <w:szCs w:val="24"/>
          <w:lang w:eastAsia="zh-CN"/>
        </w:rPr>
        <w:t>；</w:t>
      </w:r>
    </w:p>
    <w:p w14:paraId="7479911B">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振动头频率性能，频率：100Hz；频率误差：±3%；</w:t>
      </w:r>
    </w:p>
    <w:p w14:paraId="6CA7CEC5">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bookmarkStart w:id="16" w:name="_Toc33206435"/>
      <w:r>
        <w:rPr>
          <w:rFonts w:hint="eastAsia" w:ascii="宋体" w:hAnsi="宋体" w:eastAsia="宋体" w:cs="宋体"/>
          <w:sz w:val="24"/>
          <w:szCs w:val="24"/>
          <w:lang w:val="en-US" w:eastAsia="zh-CN"/>
        </w:rPr>
        <w:t>3</w:t>
      </w:r>
      <w:r>
        <w:rPr>
          <w:rFonts w:hint="eastAsia" w:ascii="宋体" w:hAnsi="宋体" w:eastAsia="宋体" w:cs="宋体"/>
          <w:sz w:val="24"/>
          <w:szCs w:val="24"/>
        </w:rPr>
        <w:t>振动头加速度性能</w:t>
      </w:r>
      <w:bookmarkEnd w:id="16"/>
      <w:r>
        <w:rPr>
          <w:rFonts w:hint="eastAsia" w:ascii="宋体" w:hAnsi="宋体" w:eastAsia="宋体" w:cs="宋体"/>
          <w:sz w:val="24"/>
          <w:szCs w:val="24"/>
        </w:rPr>
        <w:t>，振动加速度峰值范围：</w:t>
      </w:r>
      <w:r>
        <w:rPr>
          <w:rFonts w:hint="eastAsia" w:ascii="宋体" w:hAnsi="宋体" w:eastAsia="宋体" w:cs="宋体"/>
          <w:sz w:val="24"/>
          <w:szCs w:val="24"/>
          <w:highlight w:val="none"/>
        </w:rPr>
        <w:t>0～28m/s</w:t>
      </w:r>
      <w:r>
        <w:rPr>
          <w:rFonts w:hint="eastAsia" w:ascii="宋体" w:hAnsi="宋体" w:eastAsia="宋体" w:cs="宋体"/>
          <w:sz w:val="24"/>
          <w:szCs w:val="24"/>
          <w:highlight w:val="none"/>
          <w:vertAlign w:val="superscript"/>
        </w:rPr>
        <w:t>2</w:t>
      </w:r>
      <w:r>
        <w:rPr>
          <w:rFonts w:hint="eastAsia" w:ascii="宋体" w:hAnsi="宋体" w:eastAsia="宋体" w:cs="宋体"/>
          <w:sz w:val="24"/>
          <w:szCs w:val="24"/>
        </w:rPr>
        <w:t>；振动加速度峰值误差：±10%</w:t>
      </w:r>
      <w:r>
        <w:rPr>
          <w:rFonts w:hint="eastAsia" w:ascii="宋体" w:hAnsi="宋体" w:eastAsia="宋体" w:cs="宋体"/>
          <w:sz w:val="24"/>
          <w:szCs w:val="24"/>
          <w:lang w:eastAsia="zh-CN"/>
        </w:rPr>
        <w:t>；</w:t>
      </w:r>
    </w:p>
    <w:p w14:paraId="061C2E77">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4</w:t>
      </w:r>
      <w:r>
        <w:rPr>
          <w:rFonts w:hint="eastAsia" w:ascii="宋体" w:hAnsi="宋体" w:eastAsia="宋体" w:cs="宋体"/>
          <w:sz w:val="24"/>
          <w:szCs w:val="24"/>
        </w:rPr>
        <w:t>振动头规格性能：振动头直径分别为6mm、10mm、13mm三种，误差范围±5%；</w:t>
      </w:r>
    </w:p>
    <w:p w14:paraId="1F4432AF">
      <w:pPr>
        <w:keepNext w:val="0"/>
        <w:keepLines w:val="0"/>
        <w:pageBreakBefore w:val="0"/>
        <w:widowControl w:val="0"/>
        <w:numPr>
          <w:ilvl w:val="0"/>
          <w:numId w:val="4"/>
        </w:numPr>
        <w:kinsoku/>
        <w:wordWrap/>
        <w:overflowPunct/>
        <w:topLinePunct w:val="0"/>
        <w:autoSpaceDE w:val="0"/>
        <w:autoSpaceDN w:val="0"/>
        <w:bidi w:val="0"/>
        <w:adjustRightInd w:val="0"/>
        <w:snapToGrid/>
        <w:spacing w:line="360" w:lineRule="auto"/>
        <w:ind w:left="0" w:leftChars="0" w:right="0" w:rightChars="0"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软件</w:t>
      </w:r>
      <w:r>
        <w:rPr>
          <w:rFonts w:hint="eastAsia" w:ascii="宋体" w:hAnsi="宋体" w:eastAsia="宋体" w:cs="宋体"/>
          <w:b/>
          <w:sz w:val="24"/>
          <w:szCs w:val="24"/>
          <w:lang w:val="en-US" w:eastAsia="zh-CN"/>
        </w:rPr>
        <w:t>功能</w:t>
      </w:r>
    </w:p>
    <w:p w14:paraId="7C4E4808">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 检测</w:t>
      </w:r>
    </w:p>
    <w:p w14:paraId="43CACDE4">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 检测项目：足部感觉神经检测，糖足检查；手部感觉神经检测；上肢感觉神经检测；下肢感觉神经检测；</w:t>
      </w:r>
    </w:p>
    <w:p w14:paraId="223B3683">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 检查方法：自动、手动；</w:t>
      </w:r>
    </w:p>
    <w:p w14:paraId="04D7845C">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 阈值显示方式：电压峰峰值、加速度峰峰值；</w:t>
      </w:r>
    </w:p>
    <w:p w14:paraId="2EE62E57">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2.2可选配</w:t>
      </w:r>
      <w:r>
        <w:rPr>
          <w:rFonts w:hint="eastAsia" w:ascii="宋体" w:hAnsi="宋体" w:eastAsia="宋体" w:cs="宋体"/>
          <w:sz w:val="24"/>
          <w:szCs w:val="24"/>
        </w:rPr>
        <w:t>外接“医用红外体温计”进行皮温测试，结果传输到软件界面并打印到报告单；</w:t>
      </w:r>
    </w:p>
    <w:p w14:paraId="2E56EFC9">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2.3主机内置触摸屏，可在手持主机端的触摸屏完成全部的测试；</w:t>
      </w:r>
    </w:p>
    <w:p w14:paraId="0649EE3F">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2.4配有患者控制器，患者可自己控制感知度开关；</w:t>
      </w:r>
    </w:p>
    <w:p w14:paraId="49DA865F">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2.5安卓显示器：高清彩色液晶屏大于等于10英寸，分辨率不低于1280*800；</w:t>
      </w:r>
    </w:p>
    <w:p w14:paraId="6CA27C3D">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2.6主机电池容量≥3000mAh，满电量工作时长≥4h；</w:t>
      </w:r>
    </w:p>
    <w:p w14:paraId="14955495">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2.7软件内置全身多个检测部位及部位中的多个检测点，并设定身体各部位标准数据，；</w:t>
      </w:r>
    </w:p>
    <w:p w14:paraId="5513523C">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2.8软件自动计算三次平均值作为检测结果，可设置检测次数；</w:t>
      </w:r>
    </w:p>
    <w:p w14:paraId="1C30BB7D">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病案管理：支持病案的查看、搜索，多选、打印、导出、备份、删除、回收站、恢复</w:t>
      </w:r>
      <w:r>
        <w:rPr>
          <w:rFonts w:hint="eastAsia" w:ascii="宋体" w:hAnsi="宋体" w:eastAsia="宋体" w:cs="宋体"/>
          <w:sz w:val="24"/>
          <w:szCs w:val="24"/>
          <w:lang w:eastAsia="zh-CN"/>
        </w:rPr>
        <w:t>；</w:t>
      </w:r>
    </w:p>
    <w:p w14:paraId="258DAA25">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10</w:t>
      </w:r>
      <w:r>
        <w:rPr>
          <w:rFonts w:hint="eastAsia" w:ascii="宋体" w:hAnsi="宋体" w:eastAsia="宋体" w:cs="宋体"/>
          <w:sz w:val="24"/>
          <w:szCs w:val="24"/>
        </w:rPr>
        <w:t>档案管理：支持档案的筛选、备份、恢复、删除、打印操作</w:t>
      </w:r>
      <w:r>
        <w:rPr>
          <w:rFonts w:hint="eastAsia" w:ascii="宋体" w:hAnsi="宋体" w:eastAsia="宋体" w:cs="宋体"/>
          <w:sz w:val="24"/>
          <w:szCs w:val="24"/>
          <w:lang w:eastAsia="zh-CN"/>
        </w:rPr>
        <w:t>；</w:t>
      </w:r>
    </w:p>
    <w:p w14:paraId="3D70E229">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11</w:t>
      </w:r>
      <w:r>
        <w:rPr>
          <w:rFonts w:hint="eastAsia" w:ascii="宋体" w:hAnsi="宋体" w:eastAsia="宋体" w:cs="宋体"/>
          <w:sz w:val="24"/>
          <w:szCs w:val="24"/>
        </w:rPr>
        <w:t>报告单：支持用户选择报告单模板、报告单模板支持用户自定义；</w:t>
      </w:r>
    </w:p>
    <w:p w14:paraId="013DF2B8">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12</w:t>
      </w:r>
      <w:r>
        <w:rPr>
          <w:rFonts w:hint="eastAsia" w:ascii="宋体" w:hAnsi="宋体" w:eastAsia="宋体" w:cs="宋体"/>
          <w:sz w:val="24"/>
          <w:szCs w:val="24"/>
        </w:rPr>
        <w:t>软件系统：软件基于安卓系统，提供方便快捷的交互体验，无需外接工作站进行数据管理</w:t>
      </w:r>
      <w:r>
        <w:rPr>
          <w:rFonts w:hint="eastAsia" w:ascii="宋体" w:hAnsi="宋体" w:eastAsia="宋体" w:cs="宋体"/>
          <w:sz w:val="24"/>
          <w:szCs w:val="24"/>
          <w:lang w:eastAsia="zh-CN"/>
        </w:rPr>
        <w:t>；</w:t>
      </w:r>
    </w:p>
    <w:p w14:paraId="752C5755">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2.13</w:t>
      </w:r>
      <w:r>
        <w:rPr>
          <w:rFonts w:hint="eastAsia" w:ascii="宋体" w:hAnsi="宋体" w:eastAsia="宋体" w:cs="宋体"/>
          <w:sz w:val="24"/>
          <w:szCs w:val="24"/>
        </w:rPr>
        <w:t>支持DB、Web service、http多种数据传输协议，可与第三方系统对接</w:t>
      </w:r>
      <w:r>
        <w:rPr>
          <w:rFonts w:hint="eastAsia" w:ascii="宋体" w:hAnsi="宋体" w:eastAsia="宋体" w:cs="宋体"/>
          <w:sz w:val="24"/>
          <w:szCs w:val="24"/>
          <w:lang w:eastAsia="zh-CN"/>
        </w:rPr>
        <w:t>；</w:t>
      </w:r>
    </w:p>
    <w:p w14:paraId="0040CBAB">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2.14</w:t>
      </w:r>
      <w:r>
        <w:rPr>
          <w:rFonts w:hint="eastAsia" w:ascii="宋体" w:hAnsi="宋体" w:eastAsia="宋体" w:cs="宋体"/>
          <w:sz w:val="24"/>
          <w:szCs w:val="24"/>
        </w:rPr>
        <w:t>数据接口：支持USB、LAN、WIFI、蓝牙、物联网（选配）多种数据传输接口</w:t>
      </w:r>
      <w:r>
        <w:rPr>
          <w:rFonts w:hint="eastAsia" w:ascii="宋体" w:hAnsi="宋体" w:eastAsia="宋体" w:cs="宋体"/>
          <w:sz w:val="24"/>
          <w:szCs w:val="24"/>
          <w:lang w:eastAsia="zh-CN"/>
        </w:rPr>
        <w:t>；</w:t>
      </w:r>
    </w:p>
    <w:p w14:paraId="6DBC579D">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2.15</w:t>
      </w:r>
      <w:r>
        <w:rPr>
          <w:rFonts w:hint="eastAsia" w:ascii="宋体" w:hAnsi="宋体" w:eastAsia="宋体" w:cs="宋体"/>
          <w:sz w:val="24"/>
          <w:szCs w:val="24"/>
        </w:rPr>
        <w:t>可移动性：整机可便携携带；</w:t>
      </w:r>
    </w:p>
    <w:p w14:paraId="5E1EC58D">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2.16</w:t>
      </w:r>
      <w:r>
        <w:rPr>
          <w:rFonts w:hint="eastAsia" w:ascii="宋体" w:hAnsi="宋体" w:eastAsia="宋体" w:cs="宋体"/>
          <w:sz w:val="24"/>
          <w:szCs w:val="24"/>
        </w:rPr>
        <w:t>数据备份还原：可通过U盘进行数据备份还原功能。</w:t>
      </w:r>
    </w:p>
    <w:p w14:paraId="69A35570">
      <w:pPr>
        <w:keepNext w:val="0"/>
        <w:keepLines w:val="0"/>
        <w:pageBreakBefore w:val="0"/>
        <w:numPr>
          <w:ilvl w:val="0"/>
          <w:numId w:val="0"/>
        </w:numPr>
        <w:kinsoku/>
        <w:wordWrap/>
        <w:overflowPunct/>
        <w:topLinePunct w:val="0"/>
        <w:bidi w:val="0"/>
        <w:snapToGrid/>
        <w:spacing w:line="360" w:lineRule="auto"/>
        <w:textAlignment w:val="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8.超声骨密度仪</w:t>
      </w:r>
    </w:p>
    <w:p w14:paraId="7C6F213C">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480" w:firstLineChars="200"/>
        <w:textAlignment w:val="auto"/>
        <w:rPr>
          <w:rFonts w:hint="eastAsia" w:ascii="宋体" w:hAnsi="宋体" w:eastAsia="宋体" w:cs="宋体"/>
          <w:sz w:val="24"/>
          <w:szCs w:val="24"/>
        </w:rPr>
      </w:pPr>
    </w:p>
    <w:p w14:paraId="6738088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1、主要技术规格</w:t>
      </w:r>
    </w:p>
    <w:p w14:paraId="410493F2">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rPr>
        <w:t>1.1探头</w:t>
      </w:r>
      <w:r>
        <w:rPr>
          <w:rFonts w:hint="eastAsia" w:ascii="宋体" w:hAnsi="宋体" w:eastAsia="宋体" w:cs="宋体"/>
          <w:b w:val="0"/>
          <w:bCs w:val="0"/>
          <w:sz w:val="24"/>
          <w:szCs w:val="24"/>
          <w:lang w:eastAsia="zh-CN"/>
        </w:rPr>
        <w:t>工作频率</w:t>
      </w:r>
      <w:r>
        <w:rPr>
          <w:rFonts w:hint="eastAsia" w:ascii="宋体" w:hAnsi="宋体" w:eastAsia="宋体" w:cs="宋体"/>
          <w:b w:val="0"/>
          <w:bCs w:val="0"/>
          <w:sz w:val="24"/>
          <w:szCs w:val="24"/>
        </w:rPr>
        <w:t>:核心频率1.25MHz</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eastAsia="zh-CN"/>
        </w:rPr>
        <w:t>偏差≤</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lang w:eastAsia="zh-CN"/>
        </w:rPr>
        <w:t>；</w:t>
      </w:r>
    </w:p>
    <w:p w14:paraId="505BF1E2">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1.2探头组成:完全自主研发四晶体超声探头</w:t>
      </w:r>
      <w:r>
        <w:rPr>
          <w:rFonts w:hint="eastAsia" w:ascii="宋体" w:hAnsi="宋体" w:eastAsia="宋体" w:cs="宋体"/>
          <w:b w:val="0"/>
          <w:bCs w:val="0"/>
          <w:sz w:val="24"/>
          <w:szCs w:val="24"/>
          <w:lang w:eastAsia="zh-CN"/>
        </w:rPr>
        <w:t>；</w:t>
      </w:r>
    </w:p>
    <w:p w14:paraId="06BCAE9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1.3收发模式:轴向超声波传导技术，双晶体发射双晶体接收，自动消除软组织干扰</w:t>
      </w:r>
      <w:r>
        <w:rPr>
          <w:rFonts w:hint="eastAsia" w:ascii="宋体" w:hAnsi="宋体" w:eastAsia="宋体" w:cs="宋体"/>
          <w:b w:val="0"/>
          <w:bCs w:val="0"/>
          <w:sz w:val="24"/>
          <w:szCs w:val="24"/>
          <w:lang w:eastAsia="zh-CN"/>
        </w:rPr>
        <w:t>；</w:t>
      </w:r>
    </w:p>
    <w:p w14:paraId="552FDF4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检测部位:桡骨、胫骨</w:t>
      </w:r>
      <w:r>
        <w:rPr>
          <w:rFonts w:hint="eastAsia" w:ascii="宋体" w:hAnsi="宋体" w:eastAsia="宋体" w:cs="宋体"/>
          <w:b w:val="0"/>
          <w:bCs w:val="0"/>
          <w:sz w:val="24"/>
          <w:szCs w:val="24"/>
          <w:lang w:eastAsia="zh-CN"/>
        </w:rPr>
        <w:t>；</w:t>
      </w:r>
    </w:p>
    <w:p w14:paraId="36B86EF6">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1.</w:t>
      </w:r>
      <w:r>
        <w:rPr>
          <w:rFonts w:hint="eastAsia" w:ascii="宋体" w:hAnsi="宋体" w:eastAsia="宋体" w:cs="宋体"/>
          <w:b w:val="0"/>
          <w:bCs w:val="0"/>
          <w:sz w:val="24"/>
          <w:szCs w:val="24"/>
          <w:lang w:val="en-US" w:eastAsia="zh-CN"/>
        </w:rPr>
        <w:t>5</w:t>
      </w:r>
      <w:r>
        <w:rPr>
          <w:rFonts w:hint="eastAsia" w:ascii="宋体" w:hAnsi="宋体" w:eastAsia="宋体" w:cs="宋体"/>
          <w:b w:val="0"/>
          <w:bCs w:val="0"/>
          <w:sz w:val="24"/>
          <w:szCs w:val="24"/>
        </w:rPr>
        <w:t>测量参数:SOS值、T值、Z</w:t>
      </w:r>
      <w:r>
        <w:rPr>
          <w:rFonts w:hint="eastAsia" w:ascii="宋体" w:hAnsi="宋体" w:eastAsia="宋体" w:cs="宋体"/>
          <w:b w:val="0"/>
          <w:bCs w:val="0"/>
          <w:sz w:val="24"/>
          <w:szCs w:val="24"/>
          <w:highlight w:val="none"/>
        </w:rPr>
        <w:t>值、相</w:t>
      </w:r>
      <w:r>
        <w:rPr>
          <w:rFonts w:hint="eastAsia" w:ascii="宋体" w:hAnsi="宋体" w:eastAsia="宋体" w:cs="宋体"/>
          <w:b w:val="0"/>
          <w:bCs w:val="0"/>
          <w:sz w:val="24"/>
          <w:szCs w:val="24"/>
        </w:rPr>
        <w:t>对骨折风险、骨强度指数、骨质疏松预计发生年龄、身高预测、骨骼生理年龄</w:t>
      </w:r>
      <w:r>
        <w:rPr>
          <w:rFonts w:hint="eastAsia" w:ascii="宋体" w:hAnsi="宋体" w:eastAsia="宋体" w:cs="宋体"/>
          <w:b w:val="0"/>
          <w:bCs w:val="0"/>
          <w:sz w:val="24"/>
          <w:szCs w:val="24"/>
          <w:lang w:eastAsia="zh-CN"/>
        </w:rPr>
        <w:t>；</w:t>
      </w:r>
    </w:p>
    <w:p w14:paraId="6152E7C9">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1.6 Z</w:t>
      </w:r>
      <w:r>
        <w:rPr>
          <w:rFonts w:hint="eastAsia" w:ascii="宋体" w:hAnsi="宋体" w:eastAsia="宋体" w:cs="宋体"/>
          <w:b w:val="0"/>
          <w:bCs w:val="0"/>
          <w:sz w:val="24"/>
          <w:szCs w:val="24"/>
          <w:highlight w:val="none"/>
        </w:rPr>
        <w:t>值趋势图</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 xml:space="preserve"> </w:t>
      </w:r>
      <w:r>
        <w:rPr>
          <w:rFonts w:hint="eastAsia" w:ascii="宋体" w:hAnsi="宋体" w:eastAsia="宋体" w:cs="宋体"/>
          <w:b w:val="0"/>
          <w:bCs w:val="0"/>
          <w:sz w:val="24"/>
          <w:szCs w:val="24"/>
          <w:highlight w:val="none"/>
        </w:rPr>
        <w:t>T值趋势图</w:t>
      </w:r>
      <w:r>
        <w:rPr>
          <w:rFonts w:hint="eastAsia" w:ascii="宋体" w:hAnsi="宋体" w:eastAsia="宋体" w:cs="宋体"/>
          <w:b w:val="0"/>
          <w:bCs w:val="0"/>
          <w:i/>
          <w:iCs/>
          <w:sz w:val="24"/>
          <w:szCs w:val="24"/>
          <w:highlight w:val="none"/>
          <w:u w:val="none"/>
          <w:lang w:eastAsia="zh-CN"/>
        </w:rPr>
        <w:t>；</w:t>
      </w:r>
    </w:p>
    <w:p w14:paraId="491D8906">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i/>
          <w:iCs/>
          <w:sz w:val="24"/>
          <w:szCs w:val="24"/>
          <w:highlight w:val="none"/>
          <w:u w:val="none"/>
          <w:lang w:eastAsia="zh-CN"/>
        </w:rPr>
      </w:pPr>
      <w:r>
        <w:rPr>
          <w:rFonts w:hint="eastAsia" w:ascii="宋体" w:hAnsi="宋体" w:eastAsia="宋体" w:cs="宋体"/>
          <w:b w:val="0"/>
          <w:bCs w:val="0"/>
          <w:sz w:val="24"/>
          <w:szCs w:val="24"/>
          <w:highlight w:val="none"/>
          <w:lang w:val="en-US" w:eastAsia="zh-CN"/>
        </w:rPr>
        <w:t>1.7</w:t>
      </w:r>
      <w:r>
        <w:rPr>
          <w:rFonts w:hint="eastAsia" w:ascii="宋体" w:hAnsi="宋体" w:eastAsia="宋体" w:cs="宋体"/>
          <w:b w:val="0"/>
          <w:bCs w:val="0"/>
          <w:sz w:val="24"/>
          <w:szCs w:val="24"/>
          <w:highlight w:val="none"/>
        </w:rPr>
        <w:t>声速</w:t>
      </w:r>
      <w:r>
        <w:rPr>
          <w:rFonts w:hint="eastAsia" w:ascii="宋体" w:hAnsi="宋体" w:eastAsia="宋体" w:cs="宋体"/>
          <w:b w:val="0"/>
          <w:bCs w:val="0"/>
          <w:sz w:val="24"/>
          <w:szCs w:val="24"/>
          <w:highlight w:val="none"/>
          <w:lang w:eastAsia="zh-CN"/>
        </w:rPr>
        <w:t>显示</w:t>
      </w:r>
      <w:r>
        <w:rPr>
          <w:rFonts w:hint="eastAsia" w:ascii="宋体" w:hAnsi="宋体" w:eastAsia="宋体" w:cs="宋体"/>
          <w:b w:val="0"/>
          <w:bCs w:val="0"/>
          <w:sz w:val="24"/>
          <w:szCs w:val="24"/>
          <w:highlight w:val="none"/>
        </w:rPr>
        <w:t>范围:2</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00m/s～4</w:t>
      </w:r>
      <w:r>
        <w:rPr>
          <w:rFonts w:hint="eastAsia" w:ascii="宋体" w:hAnsi="宋体" w:eastAsia="宋体" w:cs="宋体"/>
          <w:b w:val="0"/>
          <w:bCs w:val="0"/>
          <w:sz w:val="24"/>
          <w:szCs w:val="24"/>
          <w:highlight w:val="none"/>
          <w:lang w:val="en-US" w:eastAsia="zh-CN"/>
        </w:rPr>
        <w:t>8</w:t>
      </w:r>
      <w:r>
        <w:rPr>
          <w:rFonts w:hint="eastAsia" w:ascii="宋体" w:hAnsi="宋体" w:eastAsia="宋体" w:cs="宋体"/>
          <w:b w:val="0"/>
          <w:bCs w:val="0"/>
          <w:sz w:val="24"/>
          <w:szCs w:val="24"/>
          <w:highlight w:val="none"/>
        </w:rPr>
        <w:t>00m/s</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i/>
          <w:iCs/>
          <w:sz w:val="24"/>
          <w:szCs w:val="24"/>
          <w:highlight w:val="none"/>
          <w:u w:val="none"/>
          <w:lang w:eastAsia="zh-CN"/>
        </w:rPr>
        <w:t>；</w:t>
      </w:r>
    </w:p>
    <w:p w14:paraId="238B5DC2">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i/>
          <w:iCs/>
          <w:sz w:val="24"/>
          <w:szCs w:val="24"/>
          <w:highlight w:val="none"/>
          <w:u w:val="none"/>
          <w:lang w:eastAsia="zh-CN"/>
        </w:rPr>
      </w:pPr>
      <w:r>
        <w:rPr>
          <w:rFonts w:hint="eastAsia" w:ascii="宋体" w:hAnsi="宋体" w:eastAsia="宋体" w:cs="宋体"/>
          <w:b w:val="0"/>
          <w:bCs w:val="0"/>
          <w:sz w:val="24"/>
          <w:szCs w:val="24"/>
          <w:highlight w:val="none"/>
          <w:lang w:val="en-US" w:eastAsia="zh-CN"/>
        </w:rPr>
        <w:t>1.8高测</w:t>
      </w:r>
      <w:r>
        <w:rPr>
          <w:rFonts w:hint="eastAsia" w:ascii="宋体" w:hAnsi="宋体" w:eastAsia="宋体" w:cs="宋体"/>
          <w:b w:val="0"/>
          <w:bCs w:val="0"/>
          <w:sz w:val="24"/>
          <w:szCs w:val="24"/>
          <w:highlight w:val="none"/>
        </w:rPr>
        <w:t>量重复性:≤±0.</w:t>
      </w:r>
      <w:r>
        <w:rPr>
          <w:rFonts w:hint="eastAsia" w:ascii="宋体" w:hAnsi="宋体" w:eastAsia="宋体" w:cs="宋体"/>
          <w:b w:val="0"/>
          <w:bCs w:val="0"/>
          <w:sz w:val="24"/>
          <w:szCs w:val="24"/>
          <w:highlight w:val="none"/>
          <w:lang w:val="en-US" w:eastAsia="zh-CN"/>
        </w:rPr>
        <w:t>15</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（需附国家食药监部门认可机构的检测证明</w:t>
      </w:r>
      <w:r>
        <w:rPr>
          <w:rFonts w:hint="eastAsia" w:ascii="宋体" w:hAnsi="宋体" w:cs="宋体"/>
          <w:b w:val="0"/>
          <w:bCs w:val="0"/>
          <w:sz w:val="24"/>
          <w:szCs w:val="24"/>
          <w:highlight w:val="none"/>
          <w:lang w:val="en-US" w:eastAsia="zh-CN"/>
        </w:rPr>
        <w:t>，并加盖公章</w:t>
      </w:r>
      <w:r>
        <w:rPr>
          <w:rFonts w:hint="eastAsia" w:ascii="宋体" w:hAnsi="宋体" w:eastAsia="宋体" w:cs="宋体"/>
          <w:b w:val="0"/>
          <w:bCs w:val="0"/>
          <w:sz w:val="24"/>
          <w:szCs w:val="24"/>
          <w:highlight w:val="none"/>
          <w:lang w:val="en-US" w:eastAsia="zh-CN"/>
        </w:rPr>
        <w:t>）；</w:t>
      </w:r>
    </w:p>
    <w:p w14:paraId="797EBCDE">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lang w:eastAsia="zh-CN"/>
        </w:rPr>
        <w:t>▲</w:t>
      </w:r>
      <w:r>
        <w:rPr>
          <w:rFonts w:hint="eastAsia" w:ascii="宋体" w:hAnsi="宋体" w:eastAsia="宋体" w:cs="宋体"/>
          <w:b w:val="0"/>
          <w:bCs w:val="0"/>
          <w:sz w:val="24"/>
          <w:szCs w:val="24"/>
          <w:highlight w:val="none"/>
          <w:lang w:val="en-US" w:eastAsia="zh-CN"/>
        </w:rPr>
        <w:t>1.9支持≥4种探头类型（需附国家食药监部门认可机构的检测证明</w:t>
      </w:r>
      <w:r>
        <w:rPr>
          <w:rFonts w:hint="eastAsia" w:ascii="宋体" w:hAnsi="宋体" w:cs="宋体"/>
          <w:b w:val="0"/>
          <w:bCs w:val="0"/>
          <w:sz w:val="24"/>
          <w:szCs w:val="24"/>
          <w:highlight w:val="none"/>
          <w:lang w:val="en-US" w:eastAsia="zh-CN"/>
        </w:rPr>
        <w:t>，并加盖公章</w:t>
      </w:r>
      <w:r>
        <w:rPr>
          <w:rFonts w:hint="eastAsia" w:ascii="宋体" w:hAnsi="宋体" w:eastAsia="宋体" w:cs="宋体"/>
          <w:b w:val="0"/>
          <w:bCs w:val="0"/>
          <w:sz w:val="24"/>
          <w:szCs w:val="24"/>
          <w:highlight w:val="none"/>
          <w:lang w:val="en-US" w:eastAsia="zh-CN"/>
        </w:rPr>
        <w:t>）；</w:t>
      </w:r>
    </w:p>
    <w:p w14:paraId="5D16F76F">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1.10在</w:t>
      </w:r>
      <w:r>
        <w:rPr>
          <w:rFonts w:hint="eastAsia" w:ascii="宋体" w:hAnsi="宋体" w:eastAsia="宋体" w:cs="宋体"/>
          <w:b w:val="0"/>
          <w:bCs w:val="0"/>
          <w:sz w:val="24"/>
          <w:szCs w:val="24"/>
          <w:highlight w:val="none"/>
        </w:rPr>
        <w:t>黄铜、有机玻璃双重校准</w:t>
      </w:r>
      <w:r>
        <w:rPr>
          <w:rFonts w:hint="eastAsia" w:ascii="宋体" w:hAnsi="宋体" w:eastAsia="宋体" w:cs="宋体"/>
          <w:b w:val="0"/>
          <w:bCs w:val="0"/>
          <w:sz w:val="24"/>
          <w:szCs w:val="24"/>
          <w:highlight w:val="none"/>
          <w:lang w:eastAsia="zh-CN"/>
        </w:rPr>
        <w:t>下误差</w:t>
      </w:r>
      <w:r>
        <w:rPr>
          <w:rFonts w:hint="eastAsia" w:ascii="宋体" w:hAnsi="宋体" w:eastAsia="宋体" w:cs="宋体"/>
          <w:b w:val="0"/>
          <w:bCs w:val="0"/>
          <w:sz w:val="24"/>
          <w:szCs w:val="24"/>
          <w:highlight w:val="none"/>
        </w:rPr>
        <w:t>≤±50m/s</w:t>
      </w:r>
      <w:r>
        <w:rPr>
          <w:rFonts w:hint="eastAsia" w:ascii="宋体" w:hAnsi="宋体" w:eastAsia="宋体" w:cs="宋体"/>
          <w:b w:val="0"/>
          <w:bCs w:val="0"/>
          <w:sz w:val="24"/>
          <w:szCs w:val="24"/>
          <w:highlight w:val="none"/>
          <w:lang w:eastAsia="zh-CN"/>
        </w:rPr>
        <w:t>；</w:t>
      </w:r>
    </w:p>
    <w:p w14:paraId="27E269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1.11 具备</w:t>
      </w:r>
      <w:r>
        <w:rPr>
          <w:rFonts w:hint="eastAsia" w:ascii="宋体" w:hAnsi="宋体" w:eastAsia="宋体" w:cs="宋体"/>
          <w:b w:val="0"/>
          <w:bCs w:val="0"/>
          <w:sz w:val="24"/>
          <w:szCs w:val="24"/>
          <w:highlight w:val="none"/>
        </w:rPr>
        <w:t>快速、高精度两种测量模式</w:t>
      </w:r>
      <w:r>
        <w:rPr>
          <w:rFonts w:hint="eastAsia" w:ascii="宋体" w:hAnsi="宋体" w:eastAsia="宋体" w:cs="宋体"/>
          <w:b w:val="0"/>
          <w:bCs w:val="0"/>
          <w:sz w:val="24"/>
          <w:szCs w:val="24"/>
          <w:highlight w:val="none"/>
          <w:lang w:eastAsia="zh-CN"/>
        </w:rPr>
        <w:t>；</w:t>
      </w:r>
    </w:p>
    <w:p w14:paraId="7D983BC7">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1.12</w:t>
      </w:r>
      <w:r>
        <w:rPr>
          <w:rFonts w:hint="eastAsia" w:ascii="宋体" w:hAnsi="宋体" w:eastAsia="宋体" w:cs="宋体"/>
          <w:b w:val="0"/>
          <w:bCs w:val="0"/>
          <w:sz w:val="24"/>
          <w:szCs w:val="24"/>
          <w:highlight w:val="none"/>
        </w:rPr>
        <w:t>单点检测速度:≤0.4s</w:t>
      </w:r>
      <w:r>
        <w:rPr>
          <w:rFonts w:hint="eastAsia" w:ascii="宋体" w:hAnsi="宋体" w:eastAsia="宋体" w:cs="宋体"/>
          <w:b w:val="0"/>
          <w:bCs w:val="0"/>
          <w:sz w:val="24"/>
          <w:szCs w:val="24"/>
          <w:highlight w:val="none"/>
          <w:lang w:eastAsia="zh-CN"/>
        </w:rPr>
        <w:t>；</w:t>
      </w:r>
    </w:p>
    <w:p w14:paraId="57E920FF">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1.13</w:t>
      </w:r>
      <w:r>
        <w:rPr>
          <w:rFonts w:hint="eastAsia" w:ascii="宋体" w:hAnsi="宋体" w:eastAsia="宋体" w:cs="宋体"/>
          <w:b w:val="0"/>
          <w:bCs w:val="0"/>
          <w:sz w:val="24"/>
          <w:szCs w:val="24"/>
          <w:highlight w:val="none"/>
          <w:lang w:eastAsia="zh-CN"/>
        </w:rPr>
        <w:t>单次测量时间≤10秒。</w:t>
      </w:r>
    </w:p>
    <w:p w14:paraId="40B69819">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1.14</w:t>
      </w:r>
      <w:r>
        <w:rPr>
          <w:rFonts w:hint="eastAsia" w:ascii="宋体" w:hAnsi="宋体" w:eastAsia="宋体" w:cs="宋体"/>
          <w:b w:val="0"/>
          <w:bCs w:val="0"/>
          <w:sz w:val="24"/>
          <w:szCs w:val="24"/>
          <w:highlight w:val="none"/>
        </w:rPr>
        <w:t>主机重量:≤</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rPr>
        <w:t>kg</w:t>
      </w:r>
      <w:r>
        <w:rPr>
          <w:rFonts w:hint="eastAsia" w:ascii="宋体" w:hAnsi="宋体" w:eastAsia="宋体" w:cs="宋体"/>
          <w:b w:val="0"/>
          <w:bCs w:val="0"/>
          <w:sz w:val="24"/>
          <w:szCs w:val="24"/>
          <w:highlight w:val="none"/>
          <w:lang w:eastAsia="zh-CN"/>
        </w:rPr>
        <w:t>；</w:t>
      </w:r>
    </w:p>
    <w:p w14:paraId="66CC30AA">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1.15</w:t>
      </w:r>
      <w:r>
        <w:rPr>
          <w:rFonts w:hint="eastAsia" w:ascii="宋体" w:hAnsi="宋体" w:eastAsia="宋体" w:cs="宋体"/>
          <w:b w:val="0"/>
          <w:bCs w:val="0"/>
          <w:sz w:val="24"/>
          <w:szCs w:val="24"/>
        </w:rPr>
        <w:t>产品主机自带安卓系统与触控屏，不需要外接电脑或平板进行操作控制</w:t>
      </w:r>
    </w:p>
    <w:p w14:paraId="4285124C">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lang w:eastAsia="zh-CN"/>
        </w:rPr>
        <w:t>.16配备3个探头接口</w:t>
      </w:r>
    </w:p>
    <w:p w14:paraId="5A3DA166">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lang w:val="en-US" w:eastAsia="zh-CN"/>
        </w:rPr>
        <w:t>1.17</w:t>
      </w:r>
      <w:r>
        <w:rPr>
          <w:rFonts w:hint="eastAsia" w:ascii="宋体" w:hAnsi="宋体" w:eastAsia="宋体" w:cs="宋体"/>
          <w:b w:val="0"/>
          <w:bCs w:val="0"/>
          <w:sz w:val="24"/>
          <w:szCs w:val="24"/>
        </w:rPr>
        <w:t>产品辐射发射性能满足国标《GB 4824》 1组 B类要求，达到可直接连接到家用电网使用的水平（需提供官方注册检验报告）。</w:t>
      </w:r>
    </w:p>
    <w:p w14:paraId="746ECC82">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p>
    <w:p w14:paraId="0F858484">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2、产品功能</w:t>
      </w:r>
    </w:p>
    <w:p w14:paraId="480A23A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sz w:val="24"/>
          <w:szCs w:val="24"/>
          <w:lang w:eastAsia="zh-CN"/>
        </w:rPr>
      </w:pPr>
      <w:r>
        <w:rPr>
          <w:rFonts w:hint="eastAsia" w:ascii="宋体" w:hAnsi="宋体" w:eastAsia="宋体" w:cs="宋体"/>
          <w:b w:val="0"/>
          <w:bCs/>
          <w:sz w:val="24"/>
          <w:szCs w:val="24"/>
        </w:rPr>
        <w:t>2.1</w:t>
      </w:r>
      <w:r>
        <w:rPr>
          <w:rFonts w:hint="eastAsia" w:ascii="宋体" w:hAnsi="宋体" w:eastAsia="宋体" w:cs="宋体"/>
          <w:b w:val="0"/>
          <w:bCs/>
          <w:sz w:val="24"/>
          <w:szCs w:val="24"/>
          <w:lang w:val="en-US" w:eastAsia="zh-CN"/>
        </w:rPr>
        <w:t>可</w:t>
      </w:r>
      <w:r>
        <w:rPr>
          <w:rFonts w:hint="eastAsia" w:ascii="宋体" w:hAnsi="宋体" w:eastAsia="宋体" w:cs="宋体"/>
          <w:b w:val="0"/>
          <w:bCs/>
          <w:sz w:val="24"/>
          <w:szCs w:val="24"/>
        </w:rPr>
        <w:t>实时</w:t>
      </w:r>
      <w:r>
        <w:rPr>
          <w:rFonts w:hint="eastAsia" w:ascii="宋体" w:hAnsi="宋体" w:eastAsia="宋体" w:cs="宋体"/>
          <w:b w:val="0"/>
          <w:bCs/>
          <w:sz w:val="24"/>
          <w:szCs w:val="24"/>
          <w:lang w:val="en-US" w:eastAsia="zh-CN"/>
        </w:rPr>
        <w:t>显示</w:t>
      </w:r>
      <w:r>
        <w:rPr>
          <w:rFonts w:hint="eastAsia" w:ascii="宋体" w:hAnsi="宋体" w:eastAsia="宋体" w:cs="宋体"/>
          <w:b w:val="0"/>
          <w:bCs/>
          <w:sz w:val="24"/>
          <w:szCs w:val="24"/>
        </w:rPr>
        <w:t>探头与皮肤接触状态、探头与骨骼平面夹角，角度显示偏转精度0.</w:t>
      </w:r>
      <w:r>
        <w:rPr>
          <w:rFonts w:hint="eastAsia" w:ascii="宋体" w:hAnsi="宋体" w:eastAsia="宋体" w:cs="宋体"/>
          <w:b w:val="0"/>
          <w:bCs/>
          <w:sz w:val="24"/>
          <w:szCs w:val="24"/>
          <w:lang w:val="en-US" w:eastAsia="zh-CN"/>
        </w:rPr>
        <w:t>0</w:t>
      </w:r>
      <w:r>
        <w:rPr>
          <w:rFonts w:hint="eastAsia" w:ascii="宋体" w:hAnsi="宋体" w:eastAsia="宋体" w:cs="宋体"/>
          <w:b w:val="0"/>
          <w:bCs/>
          <w:sz w:val="24"/>
          <w:szCs w:val="24"/>
        </w:rPr>
        <w:t>1°</w:t>
      </w:r>
      <w:r>
        <w:rPr>
          <w:rFonts w:hint="eastAsia" w:ascii="宋体" w:hAnsi="宋体" w:eastAsia="宋体" w:cs="宋体"/>
          <w:b w:val="0"/>
          <w:bCs/>
          <w:sz w:val="24"/>
          <w:szCs w:val="24"/>
          <w:lang w:eastAsia="zh-CN"/>
        </w:rPr>
        <w:t>；</w:t>
      </w:r>
    </w:p>
    <w:p w14:paraId="26F4B7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sz w:val="24"/>
          <w:szCs w:val="24"/>
          <w:lang w:val="en-US" w:eastAsia="zh-CN"/>
        </w:rPr>
      </w:pPr>
      <w:r>
        <w:rPr>
          <w:rFonts w:hint="eastAsia" w:ascii="宋体" w:hAnsi="宋体" w:eastAsia="宋体" w:cs="宋体"/>
          <w:b w:val="0"/>
          <w:bCs/>
          <w:sz w:val="24"/>
          <w:szCs w:val="24"/>
          <w:lang w:val="en-US" w:eastAsia="zh-CN"/>
        </w:rPr>
        <w:t>2.2 视频播放：</w:t>
      </w:r>
      <w:r>
        <w:rPr>
          <w:rFonts w:hint="eastAsia" w:ascii="宋体" w:hAnsi="宋体" w:eastAsia="宋体" w:cs="宋体"/>
          <w:b w:val="0"/>
          <w:bCs/>
          <w:sz w:val="24"/>
          <w:szCs w:val="24"/>
        </w:rPr>
        <w:t>儿童检查时</w:t>
      </w:r>
      <w:r>
        <w:rPr>
          <w:rFonts w:hint="eastAsia" w:ascii="宋体" w:hAnsi="宋体" w:eastAsia="宋体" w:cs="宋体"/>
          <w:b w:val="0"/>
          <w:bCs/>
          <w:sz w:val="24"/>
          <w:szCs w:val="24"/>
          <w:lang w:eastAsia="zh-CN"/>
        </w:rPr>
        <w:t>播放动画片</w:t>
      </w:r>
      <w:r>
        <w:rPr>
          <w:rFonts w:hint="eastAsia" w:ascii="宋体" w:hAnsi="宋体" w:eastAsia="宋体" w:cs="宋体"/>
          <w:b w:val="0"/>
          <w:bCs/>
          <w:sz w:val="24"/>
          <w:szCs w:val="24"/>
        </w:rPr>
        <w:t>。动画片内容可更换、增减</w:t>
      </w:r>
      <w:r>
        <w:rPr>
          <w:rFonts w:hint="eastAsia" w:ascii="宋体" w:hAnsi="宋体" w:eastAsia="宋体" w:cs="宋体"/>
          <w:b w:val="0"/>
          <w:bCs/>
          <w:sz w:val="24"/>
          <w:szCs w:val="24"/>
          <w:lang w:eastAsia="zh-CN"/>
        </w:rPr>
        <w:t>；</w:t>
      </w:r>
    </w:p>
    <w:p w14:paraId="45A5E13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3 联网功能：</w:t>
      </w:r>
    </w:p>
    <w:p w14:paraId="5072638D">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2.3.1 </w:t>
      </w:r>
      <w:r>
        <w:rPr>
          <w:rFonts w:hint="eastAsia" w:ascii="宋体" w:hAnsi="宋体" w:eastAsia="宋体" w:cs="宋体"/>
          <w:sz w:val="24"/>
          <w:szCs w:val="24"/>
        </w:rPr>
        <w:t>数据联网</w:t>
      </w:r>
      <w:r>
        <w:rPr>
          <w:rFonts w:hint="eastAsia" w:ascii="宋体" w:hAnsi="宋体" w:eastAsia="宋体" w:cs="宋体"/>
          <w:sz w:val="24"/>
          <w:szCs w:val="24"/>
          <w:lang w:eastAsia="zh-CN"/>
        </w:rPr>
        <w:t>方式</w:t>
      </w:r>
      <w:r>
        <w:rPr>
          <w:rFonts w:hint="eastAsia" w:ascii="宋体" w:hAnsi="宋体" w:eastAsia="宋体" w:cs="宋体"/>
          <w:sz w:val="24"/>
          <w:szCs w:val="24"/>
        </w:rPr>
        <w:t xml:space="preserve">： </w:t>
      </w:r>
      <w:r>
        <w:rPr>
          <w:rFonts w:hint="eastAsia" w:ascii="宋体" w:hAnsi="宋体" w:eastAsia="宋体" w:cs="宋体"/>
          <w:sz w:val="24"/>
          <w:szCs w:val="24"/>
          <w:lang w:eastAsia="zh-CN"/>
        </w:rPr>
        <w:t>支持有线</w:t>
      </w:r>
      <w:r>
        <w:rPr>
          <w:rFonts w:hint="eastAsia" w:ascii="宋体" w:hAnsi="宋体" w:eastAsia="宋体" w:cs="宋体"/>
          <w:sz w:val="24"/>
          <w:szCs w:val="24"/>
        </w:rPr>
        <w:t>、WIFI、</w:t>
      </w:r>
      <w:r>
        <w:rPr>
          <w:rFonts w:hint="eastAsia" w:ascii="宋体" w:hAnsi="宋体" w:eastAsia="宋体" w:cs="宋体"/>
          <w:sz w:val="24"/>
          <w:szCs w:val="24"/>
          <w:lang w:val="en-US" w:eastAsia="zh-CN"/>
        </w:rPr>
        <w:t>4G模块</w:t>
      </w:r>
      <w:r>
        <w:rPr>
          <w:rFonts w:hint="eastAsia" w:ascii="宋体" w:hAnsi="宋体" w:eastAsia="宋体" w:cs="宋体"/>
          <w:sz w:val="24"/>
          <w:szCs w:val="24"/>
        </w:rPr>
        <w:t>联网；</w:t>
      </w:r>
    </w:p>
    <w:p w14:paraId="67067B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2.3.2 </w:t>
      </w:r>
      <w:r>
        <w:rPr>
          <w:rFonts w:hint="eastAsia" w:ascii="宋体" w:hAnsi="宋体" w:eastAsia="宋体" w:cs="宋体"/>
          <w:sz w:val="24"/>
          <w:szCs w:val="24"/>
        </w:rPr>
        <w:t>支持DB（SQL Server、Oracle、MySql、Postgre SQL）、Http、WebService数据接口，将检测数据传输至医院网络系统；</w:t>
      </w:r>
    </w:p>
    <w:p w14:paraId="248FBF9E">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实时显示骨质声速值、测量次数、测量时间，直观易懂</w:t>
      </w:r>
      <w:r>
        <w:rPr>
          <w:rFonts w:hint="eastAsia" w:ascii="宋体" w:hAnsi="宋体" w:eastAsia="宋体" w:cs="宋体"/>
          <w:sz w:val="24"/>
          <w:szCs w:val="24"/>
          <w:lang w:eastAsia="zh-CN"/>
        </w:rPr>
        <w:t>；</w:t>
      </w:r>
    </w:p>
    <w:p w14:paraId="48C4761E">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5</w:t>
      </w:r>
      <w:r>
        <w:rPr>
          <w:rFonts w:hint="eastAsia" w:ascii="宋体" w:hAnsi="宋体" w:eastAsia="宋体" w:cs="宋体"/>
          <w:sz w:val="24"/>
          <w:szCs w:val="24"/>
        </w:rPr>
        <w:t>显示患者详细信息资料并可编辑</w:t>
      </w:r>
      <w:r>
        <w:rPr>
          <w:rFonts w:hint="eastAsia" w:ascii="宋体" w:hAnsi="宋体" w:eastAsia="宋体" w:cs="宋体"/>
          <w:sz w:val="24"/>
          <w:szCs w:val="24"/>
          <w:lang w:eastAsia="zh-CN"/>
        </w:rPr>
        <w:t>；</w:t>
      </w:r>
    </w:p>
    <w:p w14:paraId="20E9BD27">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r>
        <w:rPr>
          <w:rFonts w:hint="eastAsia" w:ascii="宋体" w:hAnsi="宋体" w:eastAsia="宋体" w:cs="宋体"/>
          <w:sz w:val="24"/>
          <w:szCs w:val="24"/>
        </w:rPr>
        <w:t>显示历史测量结果</w:t>
      </w:r>
      <w:r>
        <w:rPr>
          <w:rFonts w:hint="eastAsia" w:ascii="宋体" w:hAnsi="宋体" w:eastAsia="宋体" w:cs="宋体"/>
          <w:sz w:val="24"/>
          <w:szCs w:val="24"/>
          <w:lang w:eastAsia="zh-CN"/>
        </w:rPr>
        <w:t>；</w:t>
      </w:r>
    </w:p>
    <w:p w14:paraId="36C731D4">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r>
        <w:rPr>
          <w:rFonts w:hint="eastAsia" w:ascii="宋体" w:hAnsi="宋体" w:eastAsia="宋体" w:cs="宋体"/>
          <w:sz w:val="24"/>
          <w:szCs w:val="24"/>
        </w:rPr>
        <w:t>多外置接口开放：可外接扫码枪（选配）、身份证读卡器（选配），实现病人信息快速录入</w:t>
      </w:r>
      <w:r>
        <w:rPr>
          <w:rFonts w:hint="eastAsia" w:ascii="宋体" w:hAnsi="宋体" w:eastAsia="宋体" w:cs="宋体"/>
          <w:sz w:val="24"/>
          <w:szCs w:val="24"/>
          <w:lang w:eastAsia="zh-CN"/>
        </w:rPr>
        <w:t>；</w:t>
      </w:r>
    </w:p>
    <w:p w14:paraId="52D0456F">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8</w:t>
      </w:r>
      <w:r>
        <w:rPr>
          <w:rFonts w:hint="eastAsia" w:ascii="宋体" w:hAnsi="宋体" w:eastAsia="宋体" w:cs="宋体"/>
          <w:sz w:val="24"/>
          <w:szCs w:val="24"/>
        </w:rPr>
        <w:t>病案管理功能：可对病例进行</w:t>
      </w:r>
      <w:r>
        <w:rPr>
          <w:rFonts w:hint="eastAsia" w:ascii="宋体" w:hAnsi="宋体" w:eastAsia="宋体" w:cs="宋体"/>
          <w:sz w:val="24"/>
          <w:szCs w:val="24"/>
          <w:lang w:eastAsia="zh-CN"/>
        </w:rPr>
        <w:t>保存、显示、检索、</w:t>
      </w:r>
      <w:r>
        <w:rPr>
          <w:rFonts w:hint="eastAsia" w:ascii="宋体" w:hAnsi="宋体" w:eastAsia="宋体" w:cs="宋体"/>
          <w:sz w:val="24"/>
          <w:szCs w:val="24"/>
        </w:rPr>
        <w:t>编辑</w:t>
      </w:r>
      <w:r>
        <w:rPr>
          <w:rFonts w:hint="eastAsia" w:ascii="宋体" w:hAnsi="宋体" w:eastAsia="宋体" w:cs="宋体"/>
          <w:sz w:val="24"/>
          <w:szCs w:val="24"/>
          <w:lang w:eastAsia="zh-CN"/>
        </w:rPr>
        <w:t>、删除、追加、导出</w:t>
      </w:r>
      <w:r>
        <w:rPr>
          <w:rFonts w:hint="eastAsia" w:ascii="宋体" w:hAnsi="宋体" w:cs="宋体"/>
          <w:sz w:val="24"/>
          <w:szCs w:val="24"/>
          <w:lang w:eastAsia="zh-CN"/>
        </w:rPr>
        <w:t>，</w:t>
      </w:r>
      <w:r>
        <w:rPr>
          <w:rFonts w:hint="eastAsia" w:ascii="宋体" w:hAnsi="宋体" w:eastAsia="宋体" w:cs="宋体"/>
          <w:sz w:val="24"/>
          <w:szCs w:val="24"/>
        </w:rPr>
        <w:t>一系列操作管理</w:t>
      </w:r>
      <w:r>
        <w:rPr>
          <w:rFonts w:hint="eastAsia" w:ascii="宋体" w:hAnsi="宋体" w:eastAsia="宋体" w:cs="宋体"/>
          <w:sz w:val="24"/>
          <w:szCs w:val="24"/>
          <w:lang w:eastAsia="zh-CN"/>
        </w:rPr>
        <w:t>；</w:t>
      </w:r>
    </w:p>
    <w:p w14:paraId="6898B788">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9</w:t>
      </w:r>
      <w:r>
        <w:rPr>
          <w:rFonts w:hint="eastAsia" w:ascii="宋体" w:hAnsi="宋体" w:eastAsia="宋体" w:cs="宋体"/>
          <w:sz w:val="24"/>
          <w:szCs w:val="24"/>
        </w:rPr>
        <w:t xml:space="preserve"> 提供A4、16K、B5多种尺寸报告单</w:t>
      </w:r>
      <w:r>
        <w:rPr>
          <w:rFonts w:hint="eastAsia" w:ascii="宋体" w:hAnsi="宋体" w:eastAsia="宋体" w:cs="宋体"/>
          <w:sz w:val="24"/>
          <w:szCs w:val="24"/>
          <w:lang w:eastAsia="zh-CN"/>
        </w:rPr>
        <w:t>；</w:t>
      </w:r>
    </w:p>
    <w:p w14:paraId="246827E3">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10 </w:t>
      </w:r>
      <w:r>
        <w:rPr>
          <w:rFonts w:hint="eastAsia" w:ascii="宋体" w:hAnsi="宋体" w:eastAsia="宋体" w:cs="宋体"/>
          <w:sz w:val="24"/>
          <w:szCs w:val="24"/>
          <w:lang w:eastAsia="zh-CN"/>
        </w:rPr>
        <w:t>自动生成报告单；</w:t>
      </w:r>
    </w:p>
    <w:p w14:paraId="5E9CACE3">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2.11 支持</w:t>
      </w:r>
      <w:r>
        <w:rPr>
          <w:rFonts w:hint="eastAsia" w:ascii="宋体" w:hAnsi="宋体" w:eastAsia="宋体" w:cs="宋体"/>
          <w:sz w:val="24"/>
          <w:szCs w:val="24"/>
          <w:lang w:eastAsia="zh-CN"/>
        </w:rPr>
        <w:t>保存报告单为</w:t>
      </w:r>
      <w:r>
        <w:rPr>
          <w:rFonts w:hint="eastAsia" w:ascii="宋体" w:hAnsi="宋体" w:eastAsia="宋体" w:cs="宋体"/>
          <w:sz w:val="24"/>
          <w:szCs w:val="24"/>
          <w:lang w:val="en-US" w:eastAsia="zh-CN"/>
        </w:rPr>
        <w:t>PNG、JPG、BMP及PDF格式；</w:t>
      </w:r>
    </w:p>
    <w:p w14:paraId="53B0B44F">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2.1</w:t>
      </w:r>
      <w:r>
        <w:rPr>
          <w:rFonts w:hint="eastAsia" w:ascii="宋体" w:hAnsi="宋体" w:eastAsia="宋体" w:cs="宋体"/>
          <w:sz w:val="24"/>
          <w:szCs w:val="24"/>
          <w:lang w:val="en-US" w:eastAsia="zh-CN"/>
        </w:rPr>
        <w:t xml:space="preserve">2 </w:t>
      </w:r>
      <w:r>
        <w:rPr>
          <w:rFonts w:hint="eastAsia" w:ascii="宋体" w:hAnsi="宋体" w:eastAsia="宋体" w:cs="宋体"/>
          <w:sz w:val="24"/>
          <w:szCs w:val="24"/>
        </w:rPr>
        <w:t>便携式校验模块（带温度指示条）：用于检测前设备的校验，确保检测数据准确性</w:t>
      </w:r>
      <w:r>
        <w:rPr>
          <w:rFonts w:hint="eastAsia" w:ascii="宋体" w:hAnsi="宋体" w:eastAsia="宋体" w:cs="宋体"/>
          <w:sz w:val="24"/>
          <w:szCs w:val="24"/>
          <w:lang w:eastAsia="zh-CN"/>
        </w:rPr>
        <w:t>；</w:t>
      </w:r>
    </w:p>
    <w:p w14:paraId="2377E6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2.13</w:t>
      </w:r>
      <w:r>
        <w:rPr>
          <w:rFonts w:hint="eastAsia" w:ascii="宋体" w:hAnsi="宋体" w:eastAsia="宋体" w:cs="宋体"/>
          <w:b w:val="0"/>
          <w:bCs/>
          <w:sz w:val="24"/>
          <w:szCs w:val="24"/>
        </w:rPr>
        <w:t>云服务功能</w:t>
      </w:r>
    </w:p>
    <w:p w14:paraId="47AE3C71">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2.1</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.1检测结果直接传输至受检者微信；</w:t>
      </w:r>
    </w:p>
    <w:p w14:paraId="11FADEB6">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2.1</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受检者多次检测结果统计、分析；</w:t>
      </w:r>
    </w:p>
    <w:p w14:paraId="15311D15">
      <w:pPr>
        <w:keepNext w:val="0"/>
        <w:keepLines w:val="0"/>
        <w:pageBreakBefore w:val="0"/>
        <w:widowControl/>
        <w:shd w:val="clear" w:color="auto" w:fill="FFFFFF"/>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rPr>
        <w:t>2.</w:t>
      </w:r>
      <w:r>
        <w:rPr>
          <w:rFonts w:hint="eastAsia" w:ascii="宋体" w:hAnsi="宋体" w:eastAsia="宋体" w:cs="宋体"/>
          <w:b w:val="0"/>
          <w:bCs/>
          <w:sz w:val="24"/>
          <w:szCs w:val="24"/>
          <w:lang w:val="en-US" w:eastAsia="zh-CN"/>
        </w:rPr>
        <w:t>14</w:t>
      </w:r>
      <w:r>
        <w:rPr>
          <w:rFonts w:hint="eastAsia" w:ascii="宋体" w:hAnsi="宋体" w:eastAsia="宋体" w:cs="宋体"/>
          <w:b w:val="0"/>
          <w:bCs/>
          <w:sz w:val="24"/>
          <w:szCs w:val="24"/>
        </w:rPr>
        <w:t>报告单自定义:可重新编辑报告单字段，针对检测结果，检测图表，检测意见或者医生意见字段，可随意进行缩放，拖动，添加或删除操作</w:t>
      </w:r>
      <w:r>
        <w:rPr>
          <w:rFonts w:hint="eastAsia" w:ascii="宋体" w:hAnsi="宋体" w:eastAsia="宋体" w:cs="宋体"/>
          <w:b w:val="0"/>
          <w:bCs/>
          <w:sz w:val="24"/>
          <w:szCs w:val="24"/>
          <w:lang w:eastAsia="zh-CN"/>
        </w:rPr>
        <w:t>；</w:t>
      </w:r>
    </w:p>
    <w:p w14:paraId="294CA878">
      <w:pPr>
        <w:keepNext w:val="0"/>
        <w:keepLines w:val="0"/>
        <w:pageBreakBefore w:val="0"/>
        <w:widowControl/>
        <w:shd w:val="clear" w:color="auto" w:fill="FFFFFF"/>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15骨密度主机内置探头装置；</w:t>
      </w:r>
    </w:p>
    <w:p w14:paraId="2DA198CB">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sz w:val="24"/>
          <w:szCs w:val="24"/>
        </w:rPr>
        <w:t>2.1</w:t>
      </w:r>
      <w:r>
        <w:rPr>
          <w:rFonts w:hint="eastAsia" w:ascii="宋体" w:hAnsi="宋体" w:eastAsia="宋体" w:cs="宋体"/>
          <w:sz w:val="24"/>
          <w:szCs w:val="24"/>
          <w:lang w:val="en-US" w:eastAsia="zh-CN"/>
        </w:rPr>
        <w:t>6具备</w:t>
      </w:r>
      <w:r>
        <w:rPr>
          <w:rFonts w:hint="eastAsia" w:ascii="宋体" w:hAnsi="宋体" w:eastAsia="宋体" w:cs="宋体"/>
          <w:sz w:val="24"/>
          <w:szCs w:val="24"/>
        </w:rPr>
        <w:t>中国人标准的数据库，婴幼儿（0-5岁）数据库，青少年（5-20岁）数据库，成人（20-90岁）数</w:t>
      </w:r>
      <w:r>
        <w:rPr>
          <w:rFonts w:hint="eastAsia" w:ascii="宋体" w:hAnsi="宋体" w:eastAsia="宋体" w:cs="宋体"/>
          <w:b w:val="0"/>
          <w:bCs w:val="0"/>
          <w:sz w:val="24"/>
          <w:szCs w:val="24"/>
        </w:rPr>
        <w:t>据库</w:t>
      </w:r>
      <w:r>
        <w:rPr>
          <w:rFonts w:hint="eastAsia" w:ascii="宋体" w:hAnsi="宋体" w:eastAsia="宋体" w:cs="宋体"/>
          <w:b w:val="0"/>
          <w:bCs w:val="0"/>
          <w:sz w:val="24"/>
          <w:szCs w:val="24"/>
          <w:lang w:eastAsia="zh-CN"/>
        </w:rPr>
        <w:t>；</w:t>
      </w:r>
    </w:p>
    <w:p w14:paraId="49FCB32F">
      <w:pPr>
        <w:keepNext w:val="0"/>
        <w:keepLines w:val="0"/>
        <w:pageBreakBefore w:val="0"/>
        <w:widowControl/>
        <w:shd w:val="clear" w:color="auto" w:fill="FFFFFF"/>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sz w:val="24"/>
          <w:szCs w:val="24"/>
          <w:lang w:val="en-GB"/>
        </w:rPr>
      </w:pPr>
      <w:r>
        <w:rPr>
          <w:rFonts w:hint="eastAsia" w:ascii="宋体" w:hAnsi="宋体" w:eastAsia="宋体" w:cs="宋体"/>
          <w:b w:val="0"/>
          <w:bCs w:val="0"/>
          <w:sz w:val="24"/>
          <w:szCs w:val="24"/>
        </w:rPr>
        <w:t>2.1</w:t>
      </w:r>
      <w:r>
        <w:rPr>
          <w:rFonts w:hint="eastAsia" w:ascii="宋体" w:hAnsi="宋体" w:eastAsia="宋体" w:cs="宋体"/>
          <w:b w:val="0"/>
          <w:bCs w:val="0"/>
          <w:sz w:val="24"/>
          <w:szCs w:val="24"/>
          <w:lang w:val="en-US" w:eastAsia="zh-CN"/>
        </w:rPr>
        <w:t>7</w:t>
      </w:r>
      <w:r>
        <w:rPr>
          <w:rFonts w:hint="eastAsia" w:ascii="宋体" w:hAnsi="宋体" w:eastAsia="宋体" w:cs="宋体"/>
          <w:sz w:val="24"/>
          <w:szCs w:val="24"/>
          <w:lang w:val="en-US" w:eastAsia="zh-CN"/>
        </w:rPr>
        <w:t>具备</w:t>
      </w:r>
      <w:r>
        <w:rPr>
          <w:rFonts w:hint="eastAsia" w:ascii="宋体" w:hAnsi="宋体" w:eastAsia="宋体" w:cs="宋体"/>
          <w:b w:val="0"/>
          <w:bCs w:val="0"/>
          <w:sz w:val="24"/>
          <w:szCs w:val="24"/>
        </w:rPr>
        <w:t>辅助测量装置：固定桡骨检测部位</w:t>
      </w:r>
      <w:r>
        <w:rPr>
          <w:rFonts w:hint="eastAsia" w:ascii="宋体" w:hAnsi="宋体" w:eastAsia="宋体" w:cs="宋体"/>
          <w:b w:val="0"/>
          <w:bCs w:val="0"/>
          <w:sz w:val="24"/>
          <w:szCs w:val="24"/>
          <w:lang w:eastAsia="zh-CN"/>
        </w:rPr>
        <w:t>；</w:t>
      </w:r>
    </w:p>
    <w:p w14:paraId="31060058">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2.18</w:t>
      </w:r>
      <w:r>
        <w:rPr>
          <w:rFonts w:hint="eastAsia" w:ascii="宋体" w:hAnsi="宋体" w:eastAsia="宋体" w:cs="宋体"/>
          <w:b w:val="0"/>
          <w:bCs w:val="0"/>
          <w:sz w:val="24"/>
          <w:szCs w:val="24"/>
        </w:rPr>
        <w:t>双屏</w:t>
      </w:r>
      <w:r>
        <w:rPr>
          <w:rFonts w:hint="eastAsia" w:ascii="宋体" w:hAnsi="宋体" w:eastAsia="宋体" w:cs="宋体"/>
          <w:b w:val="0"/>
          <w:bCs w:val="0"/>
          <w:sz w:val="24"/>
          <w:szCs w:val="24"/>
          <w:lang w:eastAsia="zh-CN"/>
        </w:rPr>
        <w:t>功能：拓展显示内容，</w:t>
      </w:r>
      <w:r>
        <w:rPr>
          <w:rFonts w:hint="eastAsia" w:ascii="宋体" w:hAnsi="宋体" w:eastAsia="宋体" w:cs="宋体"/>
          <w:b w:val="0"/>
          <w:bCs w:val="0"/>
          <w:sz w:val="24"/>
          <w:szCs w:val="24"/>
        </w:rPr>
        <w:t>检测动画、检测曲线</w:t>
      </w:r>
      <w:r>
        <w:rPr>
          <w:rFonts w:hint="eastAsia" w:ascii="宋体" w:hAnsi="宋体" w:eastAsia="宋体" w:cs="宋体"/>
          <w:b w:val="0"/>
          <w:bCs w:val="0"/>
          <w:sz w:val="24"/>
          <w:szCs w:val="24"/>
          <w:lang w:eastAsia="zh-CN"/>
        </w:rPr>
        <w:t>分屏</w:t>
      </w:r>
      <w:r>
        <w:rPr>
          <w:rFonts w:hint="eastAsia" w:ascii="宋体" w:hAnsi="宋体" w:eastAsia="宋体" w:cs="宋体"/>
          <w:b w:val="0"/>
          <w:bCs w:val="0"/>
          <w:sz w:val="24"/>
          <w:szCs w:val="24"/>
        </w:rPr>
        <w:t>显示</w:t>
      </w:r>
      <w:r>
        <w:rPr>
          <w:rFonts w:hint="eastAsia" w:ascii="宋体" w:hAnsi="宋体" w:eastAsia="宋体" w:cs="宋体"/>
          <w:b w:val="0"/>
          <w:bCs w:val="0"/>
          <w:sz w:val="24"/>
          <w:szCs w:val="24"/>
          <w:lang w:eastAsia="zh-CN"/>
        </w:rPr>
        <w:t>；</w:t>
      </w:r>
    </w:p>
    <w:p w14:paraId="6BAF660A">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2.19具备</w:t>
      </w:r>
      <w:r>
        <w:rPr>
          <w:rFonts w:hint="eastAsia" w:ascii="宋体" w:hAnsi="宋体" w:eastAsia="宋体" w:cs="宋体"/>
          <w:sz w:val="24"/>
          <w:szCs w:val="24"/>
        </w:rPr>
        <w:t>探头自动休眠</w:t>
      </w:r>
      <w:r>
        <w:rPr>
          <w:rFonts w:hint="eastAsia" w:ascii="宋体" w:hAnsi="宋体" w:eastAsia="宋体" w:cs="宋体"/>
          <w:sz w:val="24"/>
          <w:szCs w:val="24"/>
          <w:lang w:val="en-US" w:eastAsia="zh-CN"/>
        </w:rPr>
        <w:t>功能</w:t>
      </w:r>
      <w:r>
        <w:rPr>
          <w:rFonts w:hint="eastAsia" w:ascii="宋体" w:hAnsi="宋体" w:eastAsia="宋体" w:cs="宋体"/>
          <w:sz w:val="24"/>
          <w:szCs w:val="24"/>
          <w:lang w:eastAsia="zh-CN"/>
        </w:rPr>
        <w:t>；</w:t>
      </w:r>
    </w:p>
    <w:p w14:paraId="08224EBD">
      <w:pPr>
        <w:keepNext w:val="0"/>
        <w:keepLines w:val="0"/>
        <w:pageBreakBefore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val="en-US" w:eastAsia="zh-CN"/>
        </w:rPr>
      </w:pPr>
    </w:p>
    <w:p w14:paraId="275796DC">
      <w:pPr>
        <w:keepNext w:val="0"/>
        <w:keepLines w:val="0"/>
        <w:pageBreakBefore w:val="0"/>
        <w:numPr>
          <w:ilvl w:val="0"/>
          <w:numId w:val="5"/>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探头配置：</w:t>
      </w:r>
    </w:p>
    <w:p w14:paraId="3ED0FD3C">
      <w:pPr>
        <w:keepNext w:val="0"/>
        <w:keepLines w:val="0"/>
        <w:pageBreakBefore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3.1 配备：LU探头</w:t>
      </w:r>
    </w:p>
    <w:p w14:paraId="0FF917FD">
      <w:pPr>
        <w:keepNext w:val="0"/>
        <w:keepLines w:val="0"/>
        <w:pageBreakBefore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val="0"/>
          <w:bCs w:val="0"/>
          <w:kern w:val="0"/>
          <w:sz w:val="24"/>
          <w:szCs w:val="24"/>
          <w:highlight w:val="none"/>
          <w:lang w:val="en-US" w:eastAsia="zh-CN"/>
        </w:rPr>
        <w:t>3.2 配备探头要求为高精度、高灵敏度U型探头，剖空结构消除平面探头干扰路径超声波对精度、灵敏度的影响；</w:t>
      </w:r>
    </w:p>
    <w:p w14:paraId="2DE5AF0F">
      <w:pPr>
        <w:keepNext w:val="0"/>
        <w:keepLines w:val="0"/>
        <w:pageBreakBefore w:val="0"/>
        <w:numPr>
          <w:ilvl w:val="0"/>
          <w:numId w:val="0"/>
        </w:numPr>
        <w:kinsoku/>
        <w:wordWrap/>
        <w:overflowPunct/>
        <w:topLinePunct w:val="0"/>
        <w:bidi w:val="0"/>
        <w:snapToGrid/>
        <w:spacing w:line="360" w:lineRule="auto"/>
        <w:textAlignment w:val="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9.24小时动态心电血压一体机</w:t>
      </w:r>
    </w:p>
    <w:p w14:paraId="418337DD">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一、记录仪：</w:t>
      </w:r>
    </w:p>
    <w:p w14:paraId="620302C8">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1、记录仪采用动态心电、动态血压检测二合一设计，一机两用；</w:t>
      </w:r>
    </w:p>
    <w:p w14:paraId="288EA945">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2、支持多种工作模式，单心电、单血压及心电血压二合一监测可调；</w:t>
      </w:r>
    </w:p>
    <w:p w14:paraId="04008427">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3、自动心电血压联动触发技术，检测到记录心电事件时，触发血压追加测量；</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4、支持记录患者运动状态，辅助分析心率和血压变化；</w:t>
      </w:r>
    </w:p>
    <w:p w14:paraId="22DA759B">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5、记录仪具备断电续记功能；</w:t>
      </w:r>
    </w:p>
    <w:p w14:paraId="31DE7FF2">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r>
        <w:rPr>
          <w:rFonts w:hint="eastAsia" w:ascii="宋体" w:hAnsi="宋体" w:eastAsia="宋体" w:cs="宋体"/>
          <w:color w:val="auto"/>
          <w:kern w:val="0"/>
          <w:sz w:val="24"/>
          <w:szCs w:val="24"/>
          <w:lang w:val="zh-TW" w:eastAsia="zh-TW"/>
        </w:rPr>
        <w:t>记录时间：连续记录</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48</w:t>
      </w:r>
      <w:r>
        <w:rPr>
          <w:rFonts w:hint="eastAsia" w:ascii="宋体" w:hAnsi="宋体" w:eastAsia="宋体" w:cs="宋体"/>
          <w:color w:val="auto"/>
          <w:kern w:val="0"/>
          <w:sz w:val="24"/>
          <w:szCs w:val="24"/>
          <w:lang w:val="zh-TW" w:eastAsia="zh-TW"/>
        </w:rPr>
        <w:t>小时</w:t>
      </w:r>
      <w:r>
        <w:rPr>
          <w:rFonts w:hint="eastAsia" w:ascii="宋体" w:hAnsi="宋体" w:eastAsia="宋体" w:cs="宋体"/>
          <w:color w:val="auto"/>
          <w:kern w:val="0"/>
          <w:sz w:val="24"/>
          <w:szCs w:val="24"/>
        </w:rPr>
        <w:t xml:space="preserve">  ；</w:t>
      </w:r>
    </w:p>
    <w:p w14:paraId="3FDF2913">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FF0000"/>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val="zh-TW" w:eastAsia="zh-TW"/>
        </w:rPr>
        <w:t>、重量</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110g；</w:t>
      </w:r>
    </w:p>
    <w:p w14:paraId="6F37A6A6">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2.8英寸OLED彩色屏幕显示 ，能够清晰显示时间 、电池电量、心电波形、血压测量结果，</w:t>
      </w:r>
      <w:r>
        <w:rPr>
          <w:rFonts w:hint="eastAsia" w:ascii="宋体" w:hAnsi="宋体" w:eastAsia="宋体" w:cs="宋体"/>
          <w:color w:val="auto"/>
          <w:kern w:val="0"/>
          <w:sz w:val="24"/>
          <w:szCs w:val="24"/>
          <w:lang w:val="zh-TW" w:eastAsia="zh-TW"/>
        </w:rPr>
        <w:t>支持中、英文</w:t>
      </w:r>
      <w:r>
        <w:rPr>
          <w:rFonts w:hint="eastAsia" w:ascii="宋体" w:hAnsi="宋体" w:eastAsia="宋体" w:cs="宋体"/>
          <w:color w:val="auto"/>
          <w:kern w:val="0"/>
          <w:sz w:val="24"/>
          <w:szCs w:val="24"/>
        </w:rPr>
        <w:t>切换；</w:t>
      </w:r>
    </w:p>
    <w:p w14:paraId="45012BF6">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9、防水等级：支持IP22防水等级；</w:t>
      </w:r>
    </w:p>
    <w:p w14:paraId="5900475F">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10、闪存储存，可存储≥1000组血压数据；</w:t>
      </w:r>
    </w:p>
    <w:p w14:paraId="7ABEDA87">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w:t>
      </w:r>
      <w:r>
        <w:rPr>
          <w:rFonts w:hint="eastAsia" w:ascii="宋体" w:hAnsi="宋体" w:eastAsia="宋体" w:cs="宋体"/>
          <w:color w:val="auto"/>
          <w:kern w:val="0"/>
          <w:sz w:val="24"/>
          <w:szCs w:val="24"/>
          <w:lang w:val="zh-TW" w:eastAsia="zh-TW"/>
        </w:rPr>
        <w:t>、实时时钟：</w:t>
      </w:r>
      <w:r>
        <w:rPr>
          <w:rFonts w:hint="eastAsia" w:ascii="宋体" w:hAnsi="宋体" w:eastAsia="宋体" w:cs="宋体"/>
          <w:color w:val="auto"/>
          <w:kern w:val="0"/>
          <w:sz w:val="24"/>
          <w:szCs w:val="24"/>
        </w:rPr>
        <w:t>支持自动对时功能</w:t>
      </w:r>
    </w:p>
    <w:p w14:paraId="06D27724">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12、支持事件记录功能 ，结合事件记录对心电 、血压数据进行分析。</w:t>
      </w:r>
    </w:p>
    <w:p w14:paraId="53314A90">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p>
    <w:p w14:paraId="25064FC7">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二、测量参数：</w:t>
      </w:r>
    </w:p>
    <w:p w14:paraId="7E2F5A7C">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zh-TW" w:eastAsia="zh-TW"/>
        </w:rPr>
        <w:t>导联</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TW" w:eastAsia="zh-TW"/>
        </w:rPr>
        <w:t>通道</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zh-TW" w:eastAsia="zh-TW"/>
        </w:rPr>
        <w:t>：标准10电极12导联，兼容3通道心电图记录模式</w:t>
      </w:r>
      <w:r>
        <w:rPr>
          <w:rFonts w:hint="eastAsia" w:ascii="宋体" w:hAnsi="宋体" w:eastAsia="宋体" w:cs="宋体"/>
          <w:color w:val="auto"/>
          <w:kern w:val="0"/>
          <w:sz w:val="24"/>
          <w:szCs w:val="24"/>
          <w:lang w:val="zh-TW"/>
        </w:rPr>
        <w:t>，屏幕支持至少同时显示三通道心电波形；</w:t>
      </w:r>
    </w:p>
    <w:p w14:paraId="79AF350A">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zh-TW" w:eastAsia="zh-TW"/>
        </w:rPr>
        <w:t>、频率响应：0.05～</w:t>
      </w:r>
      <w:r>
        <w:rPr>
          <w:rFonts w:hint="eastAsia" w:ascii="宋体" w:hAnsi="宋体" w:eastAsia="宋体" w:cs="宋体"/>
          <w:color w:val="auto"/>
          <w:kern w:val="0"/>
          <w:sz w:val="24"/>
          <w:szCs w:val="24"/>
        </w:rPr>
        <w:t>75</w:t>
      </w:r>
      <w:r>
        <w:rPr>
          <w:rFonts w:hint="eastAsia" w:ascii="宋体" w:hAnsi="宋体" w:eastAsia="宋体" w:cs="宋体"/>
          <w:color w:val="auto"/>
          <w:kern w:val="0"/>
          <w:sz w:val="24"/>
          <w:szCs w:val="24"/>
          <w:lang w:val="zh-TW" w:eastAsia="zh-TW"/>
        </w:rPr>
        <w:t>H</w:t>
      </w:r>
      <w:r>
        <w:rPr>
          <w:rFonts w:hint="eastAsia" w:ascii="宋体" w:hAnsi="宋体" w:eastAsia="宋体" w:cs="宋体"/>
          <w:color w:val="auto"/>
          <w:kern w:val="0"/>
          <w:sz w:val="24"/>
          <w:szCs w:val="24"/>
        </w:rPr>
        <w:t>z；</w:t>
      </w:r>
    </w:p>
    <w:p w14:paraId="5192B359">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zh-TW" w:eastAsia="zh-TW"/>
        </w:rPr>
        <w:t>、输入阻抗：</w:t>
      </w:r>
      <w:r>
        <w:rPr>
          <w:rFonts w:hint="eastAsia" w:ascii="宋体" w:hAnsi="宋体" w:eastAsia="宋体" w:cs="宋体"/>
          <w:color w:val="auto"/>
          <w:kern w:val="0"/>
          <w:sz w:val="24"/>
          <w:szCs w:val="24"/>
        </w:rPr>
        <w:t>≥50MΩ；</w:t>
      </w:r>
    </w:p>
    <w:p w14:paraId="03F73AC6">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zh-TW" w:eastAsia="zh-TW"/>
        </w:rPr>
        <w:t>、共模抑制比：</w:t>
      </w:r>
      <w:r>
        <w:rPr>
          <w:rFonts w:hint="eastAsia" w:ascii="宋体" w:hAnsi="宋体" w:eastAsia="宋体" w:cs="宋体"/>
          <w:color w:val="auto"/>
          <w:kern w:val="0"/>
          <w:sz w:val="24"/>
          <w:szCs w:val="24"/>
        </w:rPr>
        <w:t>≥100dB；</w:t>
      </w:r>
    </w:p>
    <w:p w14:paraId="3E965E73">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r>
        <w:rPr>
          <w:rFonts w:hint="eastAsia" w:ascii="宋体" w:hAnsi="宋体" w:eastAsia="宋体" w:cs="宋体"/>
          <w:color w:val="auto"/>
          <w:kern w:val="0"/>
          <w:sz w:val="24"/>
          <w:szCs w:val="24"/>
          <w:lang w:val="zh-TW" w:eastAsia="zh-TW"/>
        </w:rPr>
        <w:t>、</w:t>
      </w:r>
      <w:r>
        <w:rPr>
          <w:rFonts w:hint="eastAsia" w:ascii="宋体" w:hAnsi="宋体" w:eastAsia="宋体" w:cs="宋体"/>
          <w:color w:val="auto"/>
          <w:kern w:val="0"/>
          <w:sz w:val="24"/>
          <w:szCs w:val="24"/>
        </w:rPr>
        <w:t>起搏</w:t>
      </w:r>
      <w:r>
        <w:rPr>
          <w:rFonts w:hint="eastAsia" w:ascii="宋体" w:hAnsi="宋体" w:eastAsia="宋体" w:cs="宋体"/>
          <w:color w:val="auto"/>
          <w:kern w:val="0"/>
          <w:sz w:val="24"/>
          <w:szCs w:val="24"/>
          <w:lang w:val="zh-TW" w:eastAsia="zh-TW"/>
        </w:rPr>
        <w:t>采样率：</w:t>
      </w:r>
      <w:r>
        <w:rPr>
          <w:rFonts w:hint="eastAsia" w:ascii="宋体" w:hAnsi="宋体" w:eastAsia="宋体" w:cs="宋体"/>
          <w:color w:val="auto"/>
          <w:kern w:val="0"/>
          <w:sz w:val="24"/>
          <w:szCs w:val="24"/>
        </w:rPr>
        <w:t>≥64000Hz；</w:t>
      </w:r>
    </w:p>
    <w:p w14:paraId="29B2352D">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6、心电存储采样率：四档可调，通过记录仪参数设置；</w:t>
      </w:r>
    </w:p>
    <w:p w14:paraId="34AEB931">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7、心电</w:t>
      </w:r>
      <w:r>
        <w:rPr>
          <w:rFonts w:hint="eastAsia" w:ascii="宋体" w:hAnsi="宋体" w:eastAsia="宋体" w:cs="宋体"/>
          <w:color w:val="auto"/>
          <w:kern w:val="0"/>
          <w:sz w:val="24"/>
          <w:szCs w:val="24"/>
          <w:lang w:val="zh-TW" w:eastAsia="zh-TW"/>
        </w:rPr>
        <w:t>转换精度：</w:t>
      </w:r>
      <w:r>
        <w:rPr>
          <w:rFonts w:hint="eastAsia" w:ascii="宋体" w:hAnsi="宋体" w:eastAsia="宋体" w:cs="宋体"/>
          <w:color w:val="auto"/>
          <w:kern w:val="0"/>
          <w:sz w:val="24"/>
          <w:szCs w:val="24"/>
        </w:rPr>
        <w:t>24</w:t>
      </w:r>
      <w:r>
        <w:rPr>
          <w:rFonts w:hint="eastAsia" w:ascii="宋体" w:hAnsi="宋体" w:eastAsia="宋体" w:cs="宋体"/>
          <w:color w:val="auto"/>
          <w:kern w:val="0"/>
          <w:sz w:val="24"/>
          <w:szCs w:val="24"/>
          <w:lang w:val="zh-TW" w:eastAsia="zh-TW"/>
        </w:rPr>
        <w:t>位</w:t>
      </w:r>
      <w:r>
        <w:rPr>
          <w:rFonts w:hint="eastAsia" w:ascii="宋体" w:hAnsi="宋体" w:eastAsia="宋体" w:cs="宋体"/>
          <w:color w:val="auto"/>
          <w:kern w:val="0"/>
          <w:sz w:val="24"/>
          <w:szCs w:val="24"/>
          <w:lang w:val="zh-TW"/>
        </w:rPr>
        <w:t>；</w:t>
      </w:r>
    </w:p>
    <w:p w14:paraId="2E036F55">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w:t>
      </w:r>
      <w:r>
        <w:rPr>
          <w:rFonts w:hint="eastAsia" w:ascii="宋体" w:hAnsi="宋体" w:eastAsia="宋体" w:cs="宋体"/>
          <w:color w:val="auto"/>
          <w:kern w:val="0"/>
          <w:sz w:val="24"/>
          <w:szCs w:val="24"/>
          <w:lang w:val="zh-TW" w:eastAsia="zh-TW"/>
        </w:rPr>
        <w:t>、起博检测：采用多通道起搏脉冲检测技术，自动检测和识别电压幅值很低的起搏脉冲信号，对新型双极型起搏器的记录和分析具有优势</w:t>
      </w:r>
      <w:r>
        <w:rPr>
          <w:rFonts w:hint="eastAsia" w:ascii="宋体" w:hAnsi="宋体" w:eastAsia="宋体" w:cs="宋体"/>
          <w:color w:val="auto"/>
          <w:kern w:val="0"/>
          <w:sz w:val="24"/>
          <w:szCs w:val="24"/>
          <w:lang w:val="zh-TW"/>
        </w:rPr>
        <w:t>；</w:t>
      </w:r>
    </w:p>
    <w:p w14:paraId="54D2E43F">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9、血压测量方法：示波法，支持脉搏波形记录；</w:t>
      </w:r>
    </w:p>
    <w:p w14:paraId="398B32F5">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10、压力测量范围：0~38.6kPa(0mmHg~300mmHg)；</w:t>
      </w:r>
    </w:p>
    <w:p w14:paraId="2C2EB453">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11、脉率测量范围：30bpm~240bpm；</w:t>
      </w:r>
    </w:p>
    <w:p w14:paraId="16C8AD65">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13、具有压力保护系统 ，避免长时间加压引起的手臂淤青；</w:t>
      </w:r>
    </w:p>
    <w:p w14:paraId="2BB0BBFB">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14、血压测量失败，提供自动重测功能；</w:t>
      </w:r>
    </w:p>
    <w:p w14:paraId="3628602E">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15、测量间隔时间：血压测量的间隔时间可选择为5，10，15，20，25，30，35，40，45，50，55，60，65，70，75，80，85，90，95，100，105，110，115，120分钟的任何一种，时间误差不超过选择值的5%；</w:t>
      </w:r>
    </w:p>
    <w:p w14:paraId="525D79E7">
      <w:pPr>
        <w:pStyle w:val="12"/>
        <w:keepNext w:val="0"/>
        <w:keepLines w:val="0"/>
        <w:pageBreakBefore w:val="0"/>
        <w:widowControl/>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rPr>
        <w:t>16、血压提供白天、晚上以及特殊时间段（自定义）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多个测量时间段设置；</w:t>
      </w:r>
    </w:p>
    <w:p w14:paraId="671A64D0">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p>
    <w:p w14:paraId="7A9A6DDB">
      <w:pPr>
        <w:keepNext w:val="0"/>
        <w:keepLines w:val="0"/>
        <w:pageBreakBefore w:val="0"/>
        <w:numPr>
          <w:ilvl w:val="0"/>
          <w:numId w:val="6"/>
        </w:numPr>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分析软件：</w:t>
      </w:r>
    </w:p>
    <w:p w14:paraId="117552C9">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1、分析软件支持独立心电分析、独立血压分析以及心电血压关联同步分析，心电血压数据结论可分开描述 ，提供诊断术语库，一键同步打印血压 ，心电报告</w:t>
      </w:r>
    </w:p>
    <w:p w14:paraId="5CF5B5F8">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2、支持血压数据界面回看心电波形 ，可查看每一条血压数据测量对应时刻的心电波形图</w:t>
      </w:r>
    </w:p>
    <w:p w14:paraId="5952D9D6">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4、采用自动房颤检测功能，提高阵发性房颤编辑的效率</w:t>
      </w:r>
    </w:p>
    <w:p w14:paraId="5A7BD26A">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5、起搏器分析功能</w:t>
      </w:r>
      <w:r>
        <w:rPr>
          <w:rFonts w:hint="eastAsia" w:ascii="宋体" w:hAnsi="宋体" w:eastAsia="宋体" w:cs="宋体"/>
          <w:sz w:val="24"/>
          <w:szCs w:val="24"/>
          <w:lang w:eastAsia="zh-CN"/>
        </w:rPr>
        <w:tab/>
      </w:r>
      <w:r>
        <w:rPr>
          <w:rFonts w:hint="eastAsia" w:ascii="宋体" w:hAnsi="宋体" w:eastAsia="宋体" w:cs="宋体"/>
          <w:sz w:val="24"/>
          <w:szCs w:val="24"/>
          <w:lang w:eastAsia="zh-CN"/>
        </w:rPr>
        <w:t>可做真正的起搏器分析，根据起搏参数统计起搏失败、输出失败、感知过度、感知失灵。</w:t>
      </w:r>
    </w:p>
    <w:p w14:paraId="5B440705">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6、可以提供Lorenz散点图、差值散点图、24小时散点图、小时散点图、时序散点图</w:t>
      </w:r>
      <w:r>
        <w:rPr>
          <w:rFonts w:hint="eastAsia" w:ascii="宋体" w:hAnsi="宋体" w:cs="宋体"/>
          <w:sz w:val="24"/>
          <w:szCs w:val="24"/>
          <w:lang w:eastAsia="zh-CN"/>
        </w:rPr>
        <w:t>，</w:t>
      </w:r>
      <w:r>
        <w:rPr>
          <w:rFonts w:hint="eastAsia" w:ascii="宋体" w:hAnsi="宋体" w:eastAsia="宋体" w:cs="宋体"/>
          <w:sz w:val="24"/>
          <w:szCs w:val="24"/>
          <w:lang w:eastAsia="zh-CN"/>
        </w:rPr>
        <w:t>多种散点图工具 ，支持散点图反向定位心搏操作 ，帮助医生快速诊断异常心搏 ；支持任意时间段散点图显示 ，实现快速编辑和确认短暂房颤 、短阵过速心律失常现象</w:t>
      </w:r>
    </w:p>
    <w:p w14:paraId="5BCE34D7">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7、软件能提供散点图、瀑布图、叠加图同步逆向分析，叠加区域可以多次逆向选取和编辑，提供心率校准、漏波批量添加</w:t>
      </w:r>
    </w:p>
    <w:p w14:paraId="10CDF6C6">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8、软件能提供院内动态心电设备互联,院外远程会诊网络系统</w:t>
      </w:r>
    </w:p>
    <w:p w14:paraId="4880B52A">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9、软件支持心率变异性分析，分析准确，提供时域及频域变异分析</w:t>
      </w:r>
    </w:p>
    <w:p w14:paraId="0CB2DEAF">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10、血压分析为临床提供丰富全面的图形报告，包含圆饼图、散点图、趋势图、直方图、相关图</w:t>
      </w:r>
    </w:p>
    <w:p w14:paraId="45158B8F">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11、软件提供运动状态提示，同步显示心电波形，辅助了解心率及心电图改变，客观了解血压测量准确性</w:t>
      </w:r>
    </w:p>
    <w:p w14:paraId="6697B853">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12、软件提供报告自定义功能，可自定义报告打印项目、页边距、字体、行距、图条打印通道和长度信息，支持单通道长时间打印</w:t>
      </w:r>
    </w:p>
    <w:p w14:paraId="65873E03">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13、软件提供用户管理，支持医生数字签名，支持多医生登陆密码设置，提高安全性</w:t>
      </w:r>
    </w:p>
    <w:p w14:paraId="0AA675DD">
      <w:pPr>
        <w:keepNext w:val="0"/>
        <w:keepLines w:val="0"/>
        <w:pageBreakBefore w:val="0"/>
        <w:kinsoku/>
        <w:wordWrap/>
        <w:overflowPunct/>
        <w:topLinePunct w:val="0"/>
        <w:bidi w:val="0"/>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14、软件提供联网功能，可与医院HIS、PACSS系统及第三方系统进行对接，可兼容医院现有动态心电记录盒，能正常采集医院现有设备数据并进行分析</w:t>
      </w:r>
    </w:p>
    <w:p w14:paraId="2F81F01C">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en-US" w:eastAsia="zh-CN"/>
        </w:rPr>
      </w:pPr>
    </w:p>
    <w:p w14:paraId="189453A3">
      <w:pPr>
        <w:numPr>
          <w:ilvl w:val="0"/>
          <w:numId w:val="0"/>
        </w:numPr>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10.智能血压仪</w:t>
      </w:r>
    </w:p>
    <w:p w14:paraId="0E9D3C7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1、显示方法：液晶数字式</w:t>
      </w:r>
    </w:p>
    <w:p w14:paraId="395420C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2、测量方法：示波法</w:t>
      </w:r>
    </w:p>
    <w:p w14:paraId="6870D64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3、测量范围：血压0-280mmHg(0-37.3kPa)</w:t>
      </w:r>
    </w:p>
    <w:p w14:paraId="1A31F18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脉搏40-195次/分</w:t>
      </w:r>
    </w:p>
    <w:p w14:paraId="5BA47A4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4、精确度：</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压力±3mmHg(±0.4kPa)</w:t>
      </w:r>
    </w:p>
    <w:p w14:paraId="7C0AED0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脉搏数±5%</w:t>
      </w:r>
    </w:p>
    <w:p w14:paraId="598414E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5、数据传输方式：硬件直接传输服务器</w:t>
      </w:r>
    </w:p>
    <w:p w14:paraId="484690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6、传输模式：CAT1，4G网络传输</w:t>
      </w:r>
    </w:p>
    <w:p w14:paraId="4B2FE95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7、电源：锂电池（DC4.2V）</w:t>
      </w:r>
    </w:p>
    <w:p w14:paraId="7CFF618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8、支持直接扫码完成设备与居民档案绑定，测量数据自动传输慢病一体化管理系统。</w:t>
      </w:r>
    </w:p>
    <w:p w14:paraId="12CD61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9、支持每次测量后语音播报本次结果分析，及根据一体化管理系统中的居民健康画像推送的个性化健康知识宣教。</w:t>
      </w:r>
    </w:p>
    <w:p w14:paraId="3796CAB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10、支持测量数值危急后，通过慢病一体化管理系统自动发起高危干预电话，采集患者当前状况，进行危急宣教。</w:t>
      </w:r>
    </w:p>
    <w:p w14:paraId="6449313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11、支持针对长时间未测量的绑定设备患者，慢病一体化管理系统自动发起短信、电话提醒。</w:t>
      </w:r>
    </w:p>
    <w:p w14:paraId="58A98BC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12、支持上述设备播报、危急干预、未测量提醒干预患者在慢病一体化管理系统中查看，调阅自动化服务记录</w:t>
      </w:r>
      <w:r>
        <w:rPr>
          <w:rFonts w:hint="eastAsia" w:ascii="宋体" w:hAnsi="宋体" w:eastAsia="宋体" w:cs="宋体"/>
          <w:sz w:val="24"/>
          <w:szCs w:val="24"/>
          <w:lang w:eastAsia="zh-CN"/>
        </w:rPr>
        <w:t>。</w:t>
      </w:r>
    </w:p>
    <w:p w14:paraId="5DC963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p>
    <w:p w14:paraId="62F2B75C">
      <w:pPr>
        <w:keepNext w:val="0"/>
        <w:keepLines w:val="0"/>
        <w:pageBreakBefore w:val="0"/>
        <w:widowControl w:val="0"/>
        <w:numPr>
          <w:ilvl w:val="0"/>
          <w:numId w:val="0"/>
        </w:numPr>
        <w:kinsoku/>
        <w:wordWrap/>
        <w:overflowPunct/>
        <w:topLinePunct w:val="0"/>
        <w:bidi w:val="0"/>
        <w:snapToGrid/>
        <w:spacing w:line="360" w:lineRule="auto"/>
        <w:textAlignment w:val="auto"/>
        <w:outlineLvl w:val="1"/>
        <w:rPr>
          <w:rFonts w:hint="eastAsia" w:ascii="宋体" w:hAnsi="宋体" w:eastAsia="宋体" w:cs="宋体"/>
          <w:sz w:val="24"/>
          <w:szCs w:val="24"/>
        </w:rPr>
      </w:pPr>
      <w:r>
        <w:rPr>
          <w:rFonts w:hint="eastAsia" w:ascii="宋体" w:hAnsi="宋体" w:eastAsia="宋体" w:cs="宋体"/>
          <w:b/>
          <w:sz w:val="24"/>
          <w:szCs w:val="24"/>
          <w:lang w:val="en-US" w:eastAsia="zh-CN"/>
        </w:rPr>
        <w:t>11.智能血糖仪</w:t>
      </w:r>
    </w:p>
    <w:p w14:paraId="3E8BC62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1、读值显示：LCD</w:t>
      </w:r>
      <w:r>
        <w:rPr>
          <w:rFonts w:hint="eastAsia" w:ascii="宋体" w:hAnsi="宋体" w:eastAsia="宋体" w:cs="宋体"/>
          <w:sz w:val="24"/>
          <w:szCs w:val="24"/>
          <w:lang w:val="en-US" w:eastAsia="zh-CN"/>
        </w:rPr>
        <w:t>显示屏</w:t>
      </w:r>
    </w:p>
    <w:p w14:paraId="4E6FB4B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2、吸血方式：虹吸法</w:t>
      </w:r>
    </w:p>
    <w:p w14:paraId="704DA37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3、测量方法：电化学法</w:t>
      </w:r>
    </w:p>
    <w:p w14:paraId="48D333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4、试纸酶类型：葡萄糖氧化酶</w:t>
      </w:r>
    </w:p>
    <w:p w14:paraId="7F01827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5、密码卡：免条码</w:t>
      </w:r>
    </w:p>
    <w:p w14:paraId="67316F4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6、温度补偿功能：有</w:t>
      </w:r>
    </w:p>
    <w:p w14:paraId="304A12E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7、胴体警示功能：有</w:t>
      </w:r>
    </w:p>
    <w:p w14:paraId="76D85C0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8、采血量：≤0.7微升</w:t>
      </w:r>
    </w:p>
    <w:p w14:paraId="711E96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9、测量时间：5秒±</w:t>
      </w:r>
      <w:r>
        <w:rPr>
          <w:rFonts w:hint="eastAsia" w:ascii="宋体" w:hAnsi="宋体" w:eastAsia="宋体" w:cs="宋体"/>
          <w:sz w:val="24"/>
          <w:szCs w:val="24"/>
          <w:lang w:val="en-US" w:eastAsia="zh-CN"/>
        </w:rPr>
        <w:t>20%</w:t>
      </w:r>
    </w:p>
    <w:p w14:paraId="5D8B928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10、自动退片：有</w:t>
      </w:r>
    </w:p>
    <w:p w14:paraId="2434C11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11、试纸有效期限：24个月</w:t>
      </w:r>
    </w:p>
    <w:p w14:paraId="76E889E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12、采血部位：末梢或多部位采血</w:t>
      </w:r>
    </w:p>
    <w:p w14:paraId="053BA80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13、记忆组：</w:t>
      </w:r>
      <w:r>
        <w:rPr>
          <w:rFonts w:hint="eastAsia" w:ascii="宋体" w:hAnsi="宋体" w:eastAsia="宋体" w:cs="宋体"/>
          <w:sz w:val="24"/>
          <w:szCs w:val="24"/>
          <w:lang w:val="en-US" w:eastAsia="zh-CN"/>
        </w:rPr>
        <w:t>≥</w:t>
      </w:r>
      <w:r>
        <w:rPr>
          <w:rFonts w:hint="eastAsia" w:ascii="宋体" w:hAnsi="宋体" w:eastAsia="宋体" w:cs="宋体"/>
          <w:sz w:val="24"/>
          <w:szCs w:val="24"/>
        </w:rPr>
        <w:t>500组</w:t>
      </w:r>
    </w:p>
    <w:p w14:paraId="42A5B49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14、支持直接扫码完成设备与居民档案绑定，测量数据自动传输慢病一体化管理系统。</w:t>
      </w:r>
    </w:p>
    <w:p w14:paraId="6A115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15、支持每次测量后语音播报本次结果分析，及根据一体化管理系统中的居民健康画像推送的个性化健康知识宣教。</w:t>
      </w:r>
    </w:p>
    <w:p w14:paraId="1E4EB3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16、支持测量数值危急后，通过慢病一体化管理系统自动发起高危干预电话，采集患者当前状况，进行危急宣教。</w:t>
      </w:r>
    </w:p>
    <w:p w14:paraId="38E01ED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17、支持针对长时间未测量的绑定设备患者，慢病一体化管理系统自动发起短信、电话提醒。</w:t>
      </w:r>
    </w:p>
    <w:p w14:paraId="4B9F852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18、支持上述设备播报、危急干预、未测量提醒干预患者在慢病一体化管理系统中查看，调阅自动化服务记录。</w:t>
      </w:r>
    </w:p>
    <w:p w14:paraId="599168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19、每台血糖仪包含50条试纸和50个采血针。</w:t>
      </w:r>
    </w:p>
    <w:p w14:paraId="4E2003AE">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outlineLvl w:val="1"/>
        <w:rPr>
          <w:rFonts w:hint="eastAsia" w:ascii="宋体" w:hAnsi="宋体" w:eastAsia="宋体" w:cs="宋体"/>
          <w:b/>
          <w:sz w:val="24"/>
          <w:szCs w:val="24"/>
          <w:lang w:val="en-US" w:eastAsia="zh-CN"/>
        </w:rPr>
      </w:pPr>
      <w:r>
        <w:rPr>
          <w:rFonts w:hint="eastAsia" w:ascii="宋体" w:hAnsi="宋体" w:eastAsia="宋体" w:cs="宋体"/>
          <w:b/>
          <w:kern w:val="2"/>
          <w:sz w:val="24"/>
          <w:szCs w:val="24"/>
          <w:lang w:val="en-US" w:eastAsia="zh-CN" w:bidi="ar-SA"/>
        </w:rPr>
        <w:t>（三）</w:t>
      </w:r>
      <w:r>
        <w:rPr>
          <w:rFonts w:hint="eastAsia" w:ascii="宋体" w:hAnsi="宋体" w:eastAsia="宋体" w:cs="宋体"/>
          <w:b/>
          <w:sz w:val="24"/>
          <w:szCs w:val="24"/>
          <w:lang w:val="en-US" w:eastAsia="zh-CN"/>
        </w:rPr>
        <w:t>慢病服务</w:t>
      </w:r>
    </w:p>
    <w:p w14:paraId="792ACD9F">
      <w:pPr>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1、智能随访通讯包服务</w:t>
      </w:r>
    </w:p>
    <w:p w14:paraId="03E855F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b/>
          <w:sz w:val="24"/>
          <w:szCs w:val="24"/>
          <w:lang w:val="en-US" w:eastAsia="zh-CN"/>
        </w:rPr>
      </w:pPr>
      <w:r>
        <w:rPr>
          <w:rFonts w:hint="eastAsia" w:ascii="宋体" w:hAnsi="宋体" w:eastAsia="宋体" w:cs="宋体"/>
          <w:sz w:val="24"/>
          <w:szCs w:val="24"/>
          <w:lang w:val="en-US" w:eastAsia="zh-CN"/>
        </w:rPr>
        <w:t>需提供包含30万通电话和100万条短信的随访通讯服务包。</w:t>
      </w:r>
    </w:p>
    <w:p w14:paraId="7DD6D253">
      <w:pPr>
        <w:keepNext w:val="0"/>
        <w:keepLines w:val="0"/>
        <w:pageBreakBefore w:val="0"/>
        <w:widowControl w:val="0"/>
        <w:numPr>
          <w:ilvl w:val="0"/>
          <w:numId w:val="0"/>
        </w:numPr>
        <w:kinsoku/>
        <w:wordWrap/>
        <w:overflowPunct/>
        <w:topLinePunct w:val="0"/>
        <w:bidi w:val="0"/>
        <w:snapToGrid/>
        <w:spacing w:line="360" w:lineRule="auto"/>
        <w:ind w:left="0" w:leftChars="0" w:firstLine="482" w:firstLineChars="200"/>
        <w:textAlignment w:val="auto"/>
        <w:outlineLvl w:val="1"/>
        <w:rPr>
          <w:rFonts w:hint="default"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（四）其他要求</w:t>
      </w:r>
    </w:p>
    <w:p w14:paraId="3B1CDF1C">
      <w:pPr>
        <w:pStyle w:val="7"/>
        <w:numPr>
          <w:ilvl w:val="0"/>
          <w:numId w:val="0"/>
        </w:numPr>
        <w:ind w:left="480" w:leftChars="0" w:firstLine="0" w:firstLineChars="0"/>
        <w:rPr>
          <w:rFonts w:hint="eastAsia" w:cs="Times New Roman"/>
          <w:b w:val="0"/>
          <w:sz w:val="24"/>
          <w:szCs w:val="20"/>
          <w:lang w:val="en-US" w:eastAsia="zh-CN"/>
        </w:rPr>
      </w:pPr>
      <w:r>
        <w:rPr>
          <w:rFonts w:hint="eastAsia" w:ascii="Times New Roman" w:hAnsi="Times New Roman" w:eastAsia="宋体" w:cs="Times New Roman"/>
          <w:b w:val="0"/>
          <w:kern w:val="2"/>
          <w:sz w:val="24"/>
          <w:szCs w:val="20"/>
          <w:lang w:val="en-US" w:eastAsia="zh-CN" w:bidi="ar-SA"/>
        </w:rPr>
        <w:t>1.</w:t>
      </w:r>
      <w:r>
        <w:rPr>
          <w:rFonts w:hint="eastAsia" w:ascii="Times New Roman" w:hAnsi="Times New Roman" w:eastAsia="宋体" w:cs="Times New Roman"/>
          <w:i w:val="0"/>
          <w:iCs w:val="0"/>
          <w:color w:val="auto"/>
          <w:sz w:val="24"/>
          <w:szCs w:val="20"/>
          <w:lang w:val="en-US" w:eastAsia="zh-CN" w:bidi="ar"/>
        </w:rPr>
        <w:t>新技术应用</w:t>
      </w:r>
    </w:p>
    <w:p w14:paraId="106158DB">
      <w:pPr>
        <w:keepNext w:val="0"/>
        <w:keepLines w:val="0"/>
        <w:widowControl w:val="0"/>
        <w:numPr>
          <w:ilvl w:val="-1"/>
          <w:numId w:val="0"/>
        </w:numPr>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本项目需应用医疗相关大模型科学技术，为保证大模型正版及应用成效，应满足以下要求。 </w:t>
      </w:r>
    </w:p>
    <w:p w14:paraId="152F65D5">
      <w:pPr>
        <w:keepNext w:val="0"/>
        <w:keepLines w:val="0"/>
        <w:widowControl w:val="0"/>
        <w:numPr>
          <w:ilvl w:val="-1"/>
          <w:numId w:val="0"/>
        </w:numPr>
        <w:suppressLineNumbers w:val="0"/>
        <w:autoSpaceDE w:val="0"/>
        <w:autoSpaceDN w:val="0"/>
        <w:adjustRightInd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w:t>
      </w:r>
      <w:r>
        <w:rPr>
          <w:rFonts w:hint="eastAsia" w:ascii="宋体" w:hAnsi="宋体" w:cs="宋体"/>
          <w:kern w:val="2"/>
          <w:sz w:val="24"/>
          <w:szCs w:val="24"/>
          <w:lang w:val="en-US" w:eastAsia="zh-CN" w:bidi="ar"/>
        </w:rPr>
        <w:t>（1）</w:t>
      </w:r>
      <w:r>
        <w:rPr>
          <w:rFonts w:hint="eastAsia" w:ascii="宋体" w:hAnsi="宋体" w:eastAsia="宋体" w:cs="宋体"/>
          <w:kern w:val="2"/>
          <w:sz w:val="24"/>
          <w:szCs w:val="24"/>
          <w:lang w:val="en-US" w:eastAsia="zh-CN" w:bidi="ar"/>
        </w:rPr>
        <w:t>根据《互联网信息服务深度合成管理规定》文件要求，深度合成服务技术支持者应当按规定履行备案手续，投标人的医疗相关大模型算法通过国家互联网信息办的深度合成服务算法备案。</w:t>
      </w:r>
      <w:r>
        <w:rPr>
          <w:rFonts w:hint="eastAsia" w:ascii="宋体" w:hAnsi="宋体" w:cs="宋体"/>
          <w:kern w:val="2"/>
          <w:sz w:val="24"/>
          <w:szCs w:val="24"/>
          <w:lang w:val="en-US" w:eastAsia="zh-CN" w:bidi="ar"/>
        </w:rPr>
        <w:t>需</w:t>
      </w:r>
      <w:r>
        <w:rPr>
          <w:rFonts w:hint="eastAsia" w:ascii="宋体" w:hAnsi="宋体" w:eastAsia="宋体" w:cs="宋体"/>
          <w:kern w:val="2"/>
          <w:sz w:val="24"/>
          <w:szCs w:val="24"/>
          <w:lang w:val="en-US" w:eastAsia="zh-CN" w:bidi="ar"/>
        </w:rPr>
        <w:t>提供投标人在互联网信息服务算法备案系统的网站算法备案的查询截图。</w:t>
      </w:r>
    </w:p>
    <w:p w14:paraId="4FD0291A">
      <w:pPr>
        <w:autoSpaceDE w:val="0"/>
        <w:autoSpaceDN w:val="0"/>
        <w:adjustRightInd w:val="0"/>
        <w:spacing w:line="360" w:lineRule="auto"/>
        <w:ind w:firstLine="480" w:firstLineChars="200"/>
        <w:rPr>
          <w:rFonts w:hint="eastAsia" w:ascii="宋体" w:hAnsi="宋体" w:cs="宋体"/>
          <w:sz w:val="24"/>
          <w:lang w:val="en-US" w:eastAsia="zh-CN"/>
        </w:rPr>
      </w:pPr>
      <w:r>
        <w:rPr>
          <w:rFonts w:hint="eastAsia" w:ascii="宋体" w:hAnsi="宋体" w:eastAsia="宋体" w:cs="宋体"/>
          <w:i w:val="0"/>
          <w:iCs w:val="0"/>
          <w:color w:val="000000"/>
          <w:kern w:val="0"/>
          <w:sz w:val="24"/>
          <w:szCs w:val="24"/>
          <w:u w:val="none"/>
          <w:lang w:val="en-US" w:eastAsia="zh-CN" w:bidi="ar"/>
        </w:rPr>
        <w:t>▲</w:t>
      </w:r>
      <w:r>
        <w:rPr>
          <w:rFonts w:hint="eastAsia" w:ascii="宋体" w:hAnsi="宋体" w:cs="宋体"/>
          <w:kern w:val="2"/>
          <w:sz w:val="24"/>
          <w:szCs w:val="24"/>
          <w:lang w:val="en-US" w:eastAsia="zh-CN" w:bidi="ar"/>
        </w:rPr>
        <w:t>（2）</w:t>
      </w:r>
      <w:r>
        <w:rPr>
          <w:rFonts w:hint="eastAsia" w:ascii="宋体" w:hAnsi="宋体" w:eastAsia="宋体" w:cs="宋体"/>
          <w:kern w:val="2"/>
          <w:sz w:val="24"/>
          <w:szCs w:val="24"/>
          <w:lang w:val="en-US" w:eastAsia="zh-CN" w:bidi="ar"/>
        </w:rPr>
        <w:t>投标人的医疗相关大模型需提供相应的检验测报告，至少含</w:t>
      </w:r>
      <w:r>
        <w:rPr>
          <w:rFonts w:hint="eastAsia" w:ascii="宋体" w:hAnsi="宋体" w:cs="宋体"/>
          <w:kern w:val="2"/>
          <w:sz w:val="24"/>
          <w:szCs w:val="24"/>
          <w:lang w:val="en-US" w:eastAsia="zh-CN" w:bidi="ar"/>
        </w:rPr>
        <w:t>疾病知识图谱</w:t>
      </w:r>
      <w:r>
        <w:rPr>
          <w:rFonts w:hint="eastAsia" w:ascii="宋体" w:hAnsi="宋体" w:eastAsia="宋体" w:cs="宋体"/>
          <w:kern w:val="2"/>
          <w:sz w:val="24"/>
          <w:szCs w:val="24"/>
          <w:lang w:val="en-US" w:eastAsia="zh-CN" w:bidi="ar"/>
        </w:rPr>
        <w:t>、</w:t>
      </w:r>
      <w:r>
        <w:rPr>
          <w:rFonts w:hint="eastAsia" w:ascii="宋体" w:hAnsi="宋体" w:cs="宋体"/>
          <w:kern w:val="2"/>
          <w:sz w:val="24"/>
          <w:szCs w:val="24"/>
          <w:lang w:val="en-US" w:eastAsia="zh-CN" w:bidi="ar"/>
        </w:rPr>
        <w:t>常见用药推荐</w:t>
      </w:r>
      <w:r>
        <w:rPr>
          <w:rFonts w:hint="eastAsia" w:ascii="宋体" w:hAnsi="宋体" w:eastAsia="宋体" w:cs="宋体"/>
          <w:kern w:val="2"/>
          <w:sz w:val="24"/>
          <w:szCs w:val="24"/>
          <w:lang w:val="en-US" w:eastAsia="zh-CN" w:bidi="ar"/>
        </w:rPr>
        <w:t>、医疗多模交互检验指标。需提供国家认证认可机构（具有CMA或CNAS标志）出具的检验报告扫描件或影印件并加盖公章。</w:t>
      </w:r>
      <w:r>
        <w:rPr>
          <w:rFonts w:hint="eastAsia" w:ascii="宋体" w:hAnsi="宋体" w:cs="宋体"/>
          <w:kern w:val="2"/>
          <w:sz w:val="24"/>
          <w:szCs w:val="24"/>
          <w:lang w:val="en-US" w:eastAsia="zh-CN" w:bidi="ar"/>
        </w:rPr>
        <w:t xml:space="preserve"> </w:t>
      </w:r>
    </w:p>
    <w:p w14:paraId="68C61076">
      <w:pPr>
        <w:pStyle w:val="7"/>
        <w:numPr>
          <w:ilvl w:val="0"/>
          <w:numId w:val="0"/>
        </w:numPr>
        <w:ind w:left="480" w:leftChars="0" w:firstLine="0" w:firstLineChars="0"/>
        <w:rPr>
          <w:rFonts w:hint="eastAsia" w:ascii="Times New Roman" w:hAnsi="Times New Roman" w:eastAsia="宋体" w:cs="Times New Roman"/>
          <w:lang w:val="en-US" w:eastAsia="zh-CN"/>
        </w:rPr>
      </w:pPr>
      <w:r>
        <w:rPr>
          <w:rFonts w:hint="eastAsia" w:ascii="Times New Roman" w:hAnsi="Times New Roman" w:eastAsia="宋体" w:cs="Times New Roman"/>
          <w:kern w:val="2"/>
          <w:sz w:val="24"/>
          <w:szCs w:val="20"/>
          <w:lang w:val="en-US" w:eastAsia="zh-CN" w:bidi="ar-SA"/>
        </w:rPr>
        <w:t>2.</w:t>
      </w:r>
      <w:r>
        <w:rPr>
          <w:rFonts w:hint="eastAsia" w:ascii="Times New Roman" w:hAnsi="Times New Roman" w:eastAsia="宋体" w:cs="Times New Roman"/>
          <w:lang w:val="en-US" w:eastAsia="zh-CN"/>
        </w:rPr>
        <w:t>项目实施要求</w:t>
      </w:r>
    </w:p>
    <w:p w14:paraId="28F4CE0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实施周期为12个月。为保证项目按计划进度顺利推进，投标人需对项目组织架构、质量管理与控制、风险分析与管理、项目运维管理、项目应用效果保障方案进行详细描述。投标人需要提供完善、合理的实施进度计划，并通过完善的项目实施保障措施，保证本项目顺利上线。</w:t>
      </w:r>
    </w:p>
    <w:p w14:paraId="5FED2BD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投标人需按照北京市《家庭医生健康管理中心建设工作方案（试行）》提供11社区的导视设计和标识制作服务。包括健康管理中心logo标识牌（科室标牌、吊牌、地贴、分诊台背景墙、分诊台台标），所有费用由投标人承担，招标人不再另行支付。</w:t>
      </w:r>
    </w:p>
    <w:p w14:paraId="6488249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（3）投标人需成立项目管理组，设置产品组、开发组、测试组、用户培训组几个职能组，项目实施人员必须是资深技术人员组成，实施人员中需具备信息系统项目管理师（与相关项目经验，项目</w:t>
      </w:r>
      <w:r>
        <w:rPr>
          <w:rFonts w:hint="eastAsia" w:ascii="宋体" w:hAnsi="宋体" w:eastAsia="宋体" w:cs="宋体"/>
          <w:i w:val="0"/>
          <w:iCs w:val="0"/>
          <w:color w:val="auto"/>
          <w:sz w:val="24"/>
          <w:szCs w:val="24"/>
        </w:rPr>
        <w:t>技术服务团队</w:t>
      </w:r>
      <w:r>
        <w:rPr>
          <w:rFonts w:hint="eastAsia" w:ascii="宋体" w:hAnsi="宋体" w:eastAsia="宋体" w:cs="宋体"/>
          <w:i w:val="0"/>
          <w:iCs w:val="0"/>
          <w:color w:val="auto"/>
          <w:sz w:val="24"/>
          <w:szCs w:val="24"/>
          <w:lang w:val="en-US" w:eastAsia="zh-CN"/>
        </w:rPr>
        <w:t>需具备医学背景和健康管理相关背景</w:t>
      </w:r>
      <w:r>
        <w:rPr>
          <w:rFonts w:hint="eastAsia" w:ascii="宋体" w:hAnsi="宋体" w:eastAsia="宋体" w:cs="宋体"/>
          <w:sz w:val="24"/>
          <w:szCs w:val="24"/>
          <w:lang w:val="en-US" w:eastAsia="zh-CN"/>
        </w:rPr>
        <w:t>。</w:t>
      </w:r>
    </w:p>
    <w:p w14:paraId="37AEB3AF">
      <w:pPr>
        <w:pStyle w:val="5"/>
        <w:rPr>
          <w:rFonts w:hint="eastAsia"/>
          <w:lang w:val="en-US" w:eastAsia="zh-CN"/>
        </w:rPr>
      </w:pPr>
    </w:p>
    <w:p w14:paraId="3109765D">
      <w:pPr>
        <w:pStyle w:val="7"/>
        <w:numPr>
          <w:ilvl w:val="0"/>
          <w:numId w:val="0"/>
        </w:numPr>
        <w:ind w:left="480" w:leftChars="0" w:firstLine="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Times New Roman" w:hAnsi="Times New Roman" w:eastAsia="宋体" w:cs="Times New Roman"/>
          <w:lang w:val="en-US" w:eastAsia="zh-CN"/>
        </w:rPr>
        <w:t>培训服务要求</w:t>
      </w:r>
    </w:p>
    <w:p w14:paraId="26488F6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必须根据项目的内容，提供详细的培训方案，确保项目的顺利实施，保证项目建设稳步推进，建成后安全、稳定、高效地运行。</w:t>
      </w:r>
      <w:r>
        <w:rPr>
          <w:rFonts w:hint="eastAsia" w:ascii="宋体" w:hAnsi="宋体" w:eastAsia="宋体" w:cs="宋体"/>
          <w:sz w:val="24"/>
          <w:szCs w:val="24"/>
          <w:lang w:val="en-US" w:eastAsia="zh-CN"/>
        </w:rPr>
        <w:t>培训所有费用包含在投标报价中，采购人后期不再另行支付。</w:t>
      </w:r>
      <w:r>
        <w:rPr>
          <w:rFonts w:hint="eastAsia" w:ascii="宋体" w:hAnsi="宋体" w:cs="宋体"/>
          <w:sz w:val="24"/>
          <w:szCs w:val="24"/>
          <w:lang w:val="en-US" w:eastAsia="zh-CN"/>
        </w:rPr>
        <w:t>具体培训要求为：</w:t>
      </w:r>
    </w:p>
    <w:p w14:paraId="5D82FD4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（1）培训对象：各级领导、项目中各系统的使用人员、系统管理人员。 </w:t>
      </w:r>
    </w:p>
    <w:p w14:paraId="649C5F7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培训内容：培训的目的是保证相关人员了解、掌握本系统所涉及的各种技术，更有效和更全面地应用、管理系统。培训内容包括平台运行与维护管理、用户使用操作。通过培训应使各类用户能独立进行相应应用与管理、故障处理、日常维护工作，确保系统能正常安全运行。 </w:t>
      </w:r>
    </w:p>
    <w:p w14:paraId="3A5E05E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（3）培训要求：</w:t>
      </w:r>
      <w:r>
        <w:rPr>
          <w:rFonts w:hint="eastAsia" w:ascii="宋体" w:hAnsi="宋体" w:cs="宋体"/>
          <w:sz w:val="24"/>
          <w:szCs w:val="24"/>
          <w:lang w:val="en-US" w:eastAsia="zh-CN"/>
        </w:rPr>
        <w:t>中标人</w:t>
      </w:r>
      <w:r>
        <w:rPr>
          <w:rFonts w:hint="eastAsia" w:ascii="宋体" w:hAnsi="宋体" w:eastAsia="宋体" w:cs="宋体"/>
          <w:sz w:val="24"/>
          <w:szCs w:val="24"/>
          <w:lang w:val="en-US" w:eastAsia="zh-CN"/>
        </w:rPr>
        <w:t xml:space="preserve">向采购人提供必要的培训资料，培训次数不少于 3 次，每次培训前做出详细的培训计划，列出包括培训内容、地点，准备培训资料、培训签到表。 </w:t>
      </w:r>
    </w:p>
    <w:p w14:paraId="331C588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（4）培训方式：采用集中培训、现场培训或线上培训相结合的方式，针对不同层次的人员，确定不同的培训课程和培训方式。</w:t>
      </w:r>
    </w:p>
    <w:p w14:paraId="3A35D45D">
      <w:pPr>
        <w:pStyle w:val="7"/>
        <w:numPr>
          <w:ilvl w:val="0"/>
          <w:numId w:val="0"/>
        </w:numPr>
        <w:ind w:left="480" w:leftChars="0" w:firstLine="0" w:firstLineChars="0"/>
        <w:rPr>
          <w:rFonts w:hint="eastAsia" w:ascii="Times New Roman" w:hAnsi="Times New Roman" w:eastAsia="宋体" w:cs="Times New Roman"/>
          <w:lang w:val="en-US" w:eastAsia="zh-CN"/>
        </w:rPr>
      </w:pPr>
      <w:r>
        <w:rPr>
          <w:rFonts w:hint="eastAsia" w:ascii="Times New Roman" w:hAnsi="Times New Roman" w:eastAsia="宋体" w:cs="Times New Roman"/>
          <w:kern w:val="2"/>
          <w:sz w:val="24"/>
          <w:szCs w:val="20"/>
          <w:lang w:val="en-US" w:eastAsia="zh-CN" w:bidi="ar-SA"/>
        </w:rPr>
        <w:t>4.</w:t>
      </w:r>
      <w:r>
        <w:rPr>
          <w:rFonts w:hint="eastAsia" w:ascii="Times New Roman" w:hAnsi="Times New Roman" w:eastAsia="宋体" w:cs="Times New Roman"/>
          <w:lang w:val="en-US" w:eastAsia="zh-CN"/>
        </w:rPr>
        <w:t xml:space="preserve">验收要求： </w:t>
      </w:r>
    </w:p>
    <w:p w14:paraId="3CF215B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（1）各项服务功能完成供货、调试、安装后，中标人可向采购人申请提出项目验收申请， 采购人在收到验收申请 5 个工作日内组织项目验收工作： </w:t>
      </w:r>
    </w:p>
    <w:p w14:paraId="300AA3F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（2）采购人确认验收要求后组织验收准备会，完成功能性验收、分阶段验收目标，制定项目验收计划及工作流程； </w:t>
      </w:r>
    </w:p>
    <w:p w14:paraId="48AE50D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（3）采购人成立项目验收小组; </w:t>
      </w:r>
    </w:p>
    <w:p w14:paraId="02A4D6F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（4）中标人将待验收的工作成果准备好，并将必要的材料（合同中规定）提交给验收小组; </w:t>
      </w:r>
    </w:p>
    <w:p w14:paraId="3E89C5A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（5）采购人正式验收前，中标人应对各项功能测试进行先行自查； </w:t>
      </w:r>
    </w:p>
    <w:p w14:paraId="7E36B3C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（6）采购人组织验收汇总各项功能测试报告，组织项目验收会议，对系统功能是否达到要求作出合理评估； </w:t>
      </w:r>
    </w:p>
    <w:p w14:paraId="735324F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（7）如果评估结论为验收通过，中标人交付给采购人使用； </w:t>
      </w:r>
    </w:p>
    <w:p w14:paraId="11F6818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（8）如果评估结论为验收不通过，采购人应提出理由及主要问题，中标人将在规定时间内进行整改并与采购人协商第二次验收的时间。</w:t>
      </w:r>
    </w:p>
    <w:p w14:paraId="3403AD1A">
      <w:pPr>
        <w:pStyle w:val="7"/>
        <w:numPr>
          <w:ilvl w:val="0"/>
          <w:numId w:val="0"/>
        </w:numPr>
        <w:ind w:left="480" w:leftChars="0" w:firstLine="0" w:firstLineChars="0"/>
        <w:rPr>
          <w:rFonts w:hint="eastAsia" w:ascii="Times New Roman" w:hAnsi="Times New Roman" w:eastAsia="宋体" w:cs="Times New Roman"/>
          <w:lang w:val="en-US" w:eastAsia="zh-CN"/>
        </w:rPr>
      </w:pPr>
      <w:r>
        <w:rPr>
          <w:rFonts w:hint="eastAsia" w:ascii="Times New Roman" w:hAnsi="Times New Roman" w:eastAsia="宋体" w:cs="Times New Roman"/>
          <w:kern w:val="2"/>
          <w:sz w:val="24"/>
          <w:szCs w:val="20"/>
          <w:lang w:val="en-US" w:eastAsia="zh-CN" w:bidi="ar-SA"/>
        </w:rPr>
        <w:t>5.</w:t>
      </w:r>
      <w:r>
        <w:rPr>
          <w:rFonts w:hint="eastAsia" w:ascii="Times New Roman" w:hAnsi="Times New Roman" w:eastAsia="宋体" w:cs="Times New Roman"/>
          <w:lang w:val="en-US" w:eastAsia="zh-CN"/>
        </w:rPr>
        <w:t>售后服务要求</w:t>
      </w:r>
    </w:p>
    <w:p w14:paraId="0D8BD40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①</w:t>
      </w:r>
      <w:r>
        <w:rPr>
          <w:rFonts w:hint="eastAsia" w:ascii="宋体" w:hAnsi="宋体" w:eastAsia="宋体" w:cs="宋体"/>
          <w:sz w:val="24"/>
          <w:szCs w:val="24"/>
        </w:rPr>
        <w:t>项目需提供3年免费质保期，免费质保期从项目验收通过之日起计算。服务内容包括功能维护，咨询服务，安装维护服务。免费质保期过后，每年产生的运维服务费不高于合同额的10%，具体费用可通过维保合同或协议与采购人另行协商。</w:t>
      </w:r>
    </w:p>
    <w:p w14:paraId="6280EF62">
      <w:pPr>
        <w:pStyle w:val="5"/>
        <w:numPr>
          <w:ilvl w:val="0"/>
          <w:numId w:val="0"/>
        </w:numPr>
        <w:ind w:leftChars="200"/>
        <w:rPr>
          <w:rFonts w:hint="eastAsia"/>
        </w:rPr>
      </w:pPr>
    </w:p>
    <w:p w14:paraId="2EDC877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cs="宋体"/>
          <w:sz w:val="24"/>
          <w:szCs w:val="24"/>
          <w:lang w:val="en-US" w:eastAsia="zh-CN"/>
        </w:rPr>
        <w:t>①</w:t>
      </w:r>
      <w:r>
        <w:rPr>
          <w:rFonts w:hint="eastAsia" w:ascii="宋体" w:hAnsi="宋体" w:eastAsia="宋体" w:cs="宋体"/>
          <w:sz w:val="24"/>
          <w:szCs w:val="24"/>
        </w:rPr>
        <w:t>投标人应有良好的服务理念和完善的售后服务体系，能够提供本地化技术服务支持，能提供快速的售后服务响应。针对本项目至少应提供7×24小时热线电话、远程网络、现场支持</w:t>
      </w:r>
      <w:r>
        <w:rPr>
          <w:rFonts w:hint="eastAsia" w:ascii="宋体" w:hAnsi="宋体" w:cs="宋体"/>
          <w:sz w:val="24"/>
          <w:szCs w:val="24"/>
          <w:lang w:eastAsia="zh-CN"/>
        </w:rPr>
        <w:t>，</w:t>
      </w:r>
      <w:r>
        <w:rPr>
          <w:rFonts w:hint="eastAsia" w:ascii="宋体" w:hAnsi="宋体" w:eastAsia="宋体" w:cs="宋体"/>
          <w:sz w:val="24"/>
          <w:szCs w:val="24"/>
        </w:rPr>
        <w:t>多种服务方式。</w:t>
      </w:r>
      <w:r>
        <w:rPr>
          <w:rFonts w:hint="eastAsia" w:ascii="宋体" w:hAnsi="宋体" w:eastAsia="宋体" w:cs="宋体"/>
          <w:sz w:val="24"/>
          <w:szCs w:val="24"/>
          <w:lang w:val="en-US" w:eastAsia="zh-CN"/>
        </w:rPr>
        <w:t>负责解答采购人在系统运行过程中遇到的问题，并及时提出解决问题的建议和操作方法</w:t>
      </w:r>
      <w:r>
        <w:rPr>
          <w:rFonts w:hint="eastAsia" w:ascii="宋体" w:hAnsi="宋体" w:eastAsia="宋体" w:cs="宋体"/>
          <w:sz w:val="24"/>
          <w:szCs w:val="24"/>
        </w:rPr>
        <w:t>。</w:t>
      </w:r>
    </w:p>
    <w:p w14:paraId="3ADAC73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(3)服务响应时间要求：提供 7×24 小时维修服务，自接到响应通知后，8 小时内到达采购人现场，需在12小时之内到达现场予以解决或提供备用机更换，一般故障在到达现场 12 个小时内完成</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重大故障 2 个工作日内完成，在此期间不得影响采购人单位的正常运行（人为因素或不可抗力造成的事故除外）。</w:t>
      </w:r>
    </w:p>
    <w:p w14:paraId="6FD4F8C3">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modern"/>
    <w:pitch w:val="default"/>
    <w:sig w:usb0="00000000" w:usb1="00000000" w:usb2="0000003F" w:usb3="00000000" w:csb0="603F01FF" w:csb1="FFFF0000"/>
  </w:font>
  <w:font w:name="Segoe UI Symbol">
    <w:panose1 w:val="020B0502040204020203"/>
    <w:charset w:val="00"/>
    <w:family w:val="modern"/>
    <w:pitch w:val="default"/>
    <w:sig w:usb0="800001E3" w:usb1="1200FFEF" w:usb2="00040000" w:usb3="04000000" w:csb0="00000001" w:csb1="4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6A0744"/>
    <w:multiLevelType w:val="singleLevel"/>
    <w:tmpl w:val="946A0744"/>
    <w:lvl w:ilvl="0" w:tentative="0">
      <w:start w:val="3"/>
      <w:numFmt w:val="chineseCounting"/>
      <w:suff w:val="nothing"/>
      <w:lvlText w:val="%1、"/>
      <w:lvlJc w:val="left"/>
      <w:rPr>
        <w:rFonts w:hint="eastAsia"/>
      </w:rPr>
    </w:lvl>
  </w:abstractNum>
  <w:abstractNum w:abstractNumId="1">
    <w:nsid w:val="E6629EB9"/>
    <w:multiLevelType w:val="singleLevel"/>
    <w:tmpl w:val="E6629EB9"/>
    <w:lvl w:ilvl="0" w:tentative="0">
      <w:start w:val="2"/>
      <w:numFmt w:val="decimal"/>
      <w:suff w:val="space"/>
      <w:lvlText w:val="%1."/>
      <w:lvlJc w:val="left"/>
    </w:lvl>
  </w:abstractNum>
  <w:abstractNum w:abstractNumId="2">
    <w:nsid w:val="FD37085C"/>
    <w:multiLevelType w:val="singleLevel"/>
    <w:tmpl w:val="FD37085C"/>
    <w:lvl w:ilvl="0" w:tentative="0">
      <w:start w:val="1"/>
      <w:numFmt w:val="decimal"/>
      <w:lvlText w:val="%1."/>
      <w:lvlJc w:val="left"/>
      <w:pPr>
        <w:tabs>
          <w:tab w:val="left" w:pos="312"/>
        </w:tabs>
      </w:pPr>
    </w:lvl>
  </w:abstractNum>
  <w:abstractNum w:abstractNumId="3">
    <w:nsid w:val="FE3D8191"/>
    <w:multiLevelType w:val="multilevel"/>
    <w:tmpl w:val="FE3D8191"/>
    <w:lvl w:ilvl="0" w:tentative="0">
      <w:start w:val="1"/>
      <w:numFmt w:val="decimal"/>
      <w:suff w:val="space"/>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1"/>
    <w:multiLevelType w:val="singleLevel"/>
    <w:tmpl w:val="00000001"/>
    <w:lvl w:ilvl="0" w:tentative="0">
      <w:start w:val="3"/>
      <w:numFmt w:val="decimal"/>
      <w:suff w:val="nothing"/>
      <w:lvlText w:val="%1、"/>
      <w:lvlJc w:val="left"/>
    </w:lvl>
  </w:abstractNum>
  <w:abstractNum w:abstractNumId="5">
    <w:nsid w:val="1260129E"/>
    <w:multiLevelType w:val="multilevel"/>
    <w:tmpl w:val="1260129E"/>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65A37"/>
    <w:rsid w:val="2AF65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3">
    <w:name w:val="annotation text"/>
    <w:basedOn w:val="1"/>
    <w:qFormat/>
    <w:uiPriority w:val="99"/>
    <w:pPr>
      <w:jc w:val="left"/>
    </w:pPr>
  </w:style>
  <w:style w:type="paragraph" w:styleId="4">
    <w:name w:val="Body Text Indent"/>
    <w:basedOn w:val="1"/>
    <w:next w:val="2"/>
    <w:qFormat/>
    <w:uiPriority w:val="0"/>
    <w:pPr>
      <w:spacing w:line="360" w:lineRule="auto"/>
      <w:ind w:firstLine="570"/>
    </w:pPr>
    <w:rPr>
      <w:sz w:val="24"/>
    </w:rPr>
  </w:style>
  <w:style w:type="paragraph" w:styleId="5">
    <w:name w:val="footnote text"/>
    <w:basedOn w:val="1"/>
    <w:qFormat/>
    <w:uiPriority w:val="0"/>
    <w:pPr>
      <w:snapToGrid w:val="0"/>
      <w:jc w:val="left"/>
    </w:pPr>
    <w:rPr>
      <w:sz w:val="18"/>
    </w:rPr>
  </w:style>
  <w:style w:type="paragraph" w:styleId="6">
    <w:name w:val="Title"/>
    <w:basedOn w:val="1"/>
    <w:qFormat/>
    <w:uiPriority w:val="0"/>
    <w:pPr>
      <w:jc w:val="center"/>
      <w:outlineLvl w:val="0"/>
    </w:pPr>
    <w:rPr>
      <w:b/>
      <w:sz w:val="32"/>
      <w:szCs w:val="20"/>
    </w:rPr>
  </w:style>
  <w:style w:type="paragraph" w:styleId="7">
    <w:name w:val="Body Text First Indent 2"/>
    <w:basedOn w:val="4"/>
    <w:qFormat/>
    <w:uiPriority w:val="0"/>
    <w:pPr>
      <w:spacing w:after="120" w:line="480" w:lineRule="exact"/>
      <w:ind w:left="420" w:leftChars="200" w:firstLine="420" w:firstLineChars="200"/>
    </w:pPr>
    <w:rPr>
      <w:szCs w:val="20"/>
    </w:rPr>
  </w:style>
  <w:style w:type="paragraph" w:customStyle="1" w:styleId="10">
    <w:name w:val="List Paragraph"/>
    <w:basedOn w:val="1"/>
    <w:qFormat/>
    <w:uiPriority w:val="34"/>
    <w:pPr>
      <w:ind w:firstLine="420" w:firstLineChars="200"/>
    </w:pPr>
    <w:rPr>
      <w:rFonts w:ascii="Calibri" w:hAnsi="Calibri"/>
      <w:szCs w:val="22"/>
    </w:rPr>
  </w:style>
  <w:style w:type="paragraph" w:customStyle="1" w:styleId="11">
    <w:name w:val="正文3"/>
    <w:qFormat/>
    <w:uiPriority w:val="0"/>
    <w:pPr>
      <w:jc w:val="both"/>
    </w:pPr>
    <w:rPr>
      <w:rFonts w:ascii="Calibri" w:hAnsi="Calibri" w:eastAsia="宋体" w:cs="Times New Roman"/>
      <w:kern w:val="2"/>
      <w:sz w:val="21"/>
      <w:szCs w:val="21"/>
      <w:lang w:val="en-US" w:eastAsia="zh-CN" w:bidi="ar-SA"/>
    </w:rPr>
  </w:style>
  <w:style w:type="paragraph" w:customStyle="1" w:styleId="12">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2025-08-14T03:20:00Z</dcterms:created>
  <dc:creator>吻安</dc:creator>
  <cp:lastModifiedBy>吻安</cp:lastModifiedBy>
  <dcterms:modified xsi:type="dcterms:W3CDTF">2025-08-14T03:21:13Z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5DD2515BA28F4C78BD8EA714EBF53010_11</vt:lpwstr>
  </property>
  <property fmtid="{D5CDD505-2E9C-101B-9397-08002B2CF9AE}" pid="4" name="KSOTemplateDocerSaveRecord">
    <vt:lpwstr>eyJoZGlkIjoiNTU3MWFmY2JmYjBmNTA2M2Q0ZWY5MzgxYzE5YjliMzUiLCJ1c2VySWQiOiI0NjI2NDg4MjcifQ==</vt:lpwstr>
  </property>
</Properties>
</file>