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48451">
      <w:pPr>
        <w:spacing w:line="360" w:lineRule="auto"/>
        <w:jc w:val="center"/>
        <w:outlineLvl w:val="0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采购需求</w:t>
      </w:r>
    </w:p>
    <w:p w14:paraId="6E64F1A3">
      <w:pPr>
        <w:tabs>
          <w:tab w:val="left" w:pos="360"/>
          <w:tab w:val="left" w:pos="900"/>
        </w:tabs>
        <w:snapToGrid w:val="0"/>
        <w:spacing w:line="360" w:lineRule="auto"/>
        <w:jc w:val="left"/>
        <w:outlineLvl w:val="1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一、项目概况及内容</w:t>
      </w:r>
    </w:p>
    <w:p w14:paraId="3196EEBB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项目内容：水面保洁、绿地养护、岸坡保洁、园路保洁；</w:t>
      </w:r>
    </w:p>
    <w:p w14:paraId="065140CC">
      <w:pPr>
        <w:spacing w:line="360" w:lineRule="auto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1、崔家窑水环境改善工程</w:t>
      </w:r>
    </w:p>
    <w:p w14:paraId="762F82CF">
      <w:pPr>
        <w:pStyle w:val="8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0"/>
          <w:highlight w:val="none"/>
        </w:rPr>
      </w:pPr>
      <w:bookmarkStart w:id="0" w:name="OLE_LINK20"/>
      <w:r>
        <w:rPr>
          <w:rFonts w:hint="eastAsia"/>
          <w:sz w:val="24"/>
          <w:szCs w:val="20"/>
          <w:highlight w:val="none"/>
        </w:rPr>
        <w:t>水面保洁</w:t>
      </w:r>
      <w:bookmarkEnd w:id="0"/>
      <w:r>
        <w:rPr>
          <w:rFonts w:hint="eastAsia"/>
          <w:sz w:val="24"/>
          <w:szCs w:val="20"/>
          <w:highlight w:val="none"/>
        </w:rPr>
        <w:t>：</w:t>
      </w:r>
      <w:r>
        <w:rPr>
          <w:sz w:val="24"/>
          <w:szCs w:val="20"/>
          <w:highlight w:val="none"/>
        </w:rPr>
        <w:t>24447.26</w:t>
      </w:r>
      <w:r>
        <w:rPr>
          <w:rFonts w:hint="eastAsia"/>
          <w:sz w:val="24"/>
          <w:szCs w:val="20"/>
          <w:highlight w:val="none"/>
        </w:rPr>
        <w:t>㎡；</w:t>
      </w:r>
    </w:p>
    <w:p w14:paraId="17BA41F4">
      <w:pPr>
        <w:pStyle w:val="8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0"/>
          <w:highlight w:val="none"/>
        </w:rPr>
      </w:pPr>
      <w:r>
        <w:rPr>
          <w:rFonts w:hint="eastAsia"/>
          <w:sz w:val="24"/>
          <w:szCs w:val="20"/>
          <w:highlight w:val="none"/>
        </w:rPr>
        <w:t>绿地养护：</w:t>
      </w:r>
      <w:r>
        <w:rPr>
          <w:sz w:val="24"/>
          <w:szCs w:val="20"/>
          <w:highlight w:val="none"/>
        </w:rPr>
        <w:t>55630</w:t>
      </w:r>
      <w:r>
        <w:rPr>
          <w:rFonts w:hint="eastAsia"/>
          <w:sz w:val="24"/>
          <w:szCs w:val="20"/>
          <w:highlight w:val="none"/>
        </w:rPr>
        <w:t>㎡；</w:t>
      </w:r>
    </w:p>
    <w:p w14:paraId="42A70166">
      <w:pPr>
        <w:spacing w:line="360" w:lineRule="auto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2、五一渠运维养护项目</w:t>
      </w:r>
    </w:p>
    <w:p w14:paraId="1BED6D9D">
      <w:pPr>
        <w:spacing w:line="360" w:lineRule="auto"/>
        <w:rPr>
          <w:kern w:val="0"/>
          <w:sz w:val="24"/>
          <w:highlight w:val="none"/>
        </w:rPr>
      </w:pPr>
      <w:bookmarkStart w:id="1" w:name="OLE_LINK5"/>
      <w:r>
        <w:rPr>
          <w:rFonts w:hint="eastAsia"/>
          <w:kern w:val="0"/>
          <w:sz w:val="24"/>
          <w:highlight w:val="none"/>
        </w:rPr>
        <w:t>1）水面保洁：</w:t>
      </w:r>
      <w:r>
        <w:rPr>
          <w:kern w:val="0"/>
          <w:sz w:val="24"/>
          <w:highlight w:val="none"/>
        </w:rPr>
        <w:t>67664</w:t>
      </w:r>
      <w:r>
        <w:rPr>
          <w:rFonts w:hint="eastAsia"/>
          <w:kern w:val="0"/>
          <w:sz w:val="24"/>
          <w:highlight w:val="none"/>
        </w:rPr>
        <w:t>㎡</w:t>
      </w:r>
    </w:p>
    <w:p w14:paraId="7E92E56A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2）绿地养护：</w:t>
      </w:r>
      <w:r>
        <w:rPr>
          <w:kern w:val="0"/>
          <w:sz w:val="24"/>
          <w:highlight w:val="none"/>
        </w:rPr>
        <w:t>250656.97</w:t>
      </w:r>
      <w:r>
        <w:rPr>
          <w:rFonts w:hint="eastAsia"/>
          <w:kern w:val="0"/>
          <w:sz w:val="24"/>
          <w:highlight w:val="none"/>
        </w:rPr>
        <w:t>㎡</w:t>
      </w:r>
    </w:p>
    <w:p w14:paraId="64781B5A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3）岸坡保洁：</w:t>
      </w:r>
      <w:r>
        <w:rPr>
          <w:kern w:val="0"/>
          <w:sz w:val="24"/>
          <w:highlight w:val="none"/>
        </w:rPr>
        <w:t>30850</w:t>
      </w:r>
      <w:r>
        <w:rPr>
          <w:rFonts w:hint="eastAsia"/>
          <w:kern w:val="0"/>
          <w:sz w:val="24"/>
          <w:highlight w:val="none"/>
        </w:rPr>
        <w:t>㎡</w:t>
      </w:r>
    </w:p>
    <w:bookmarkEnd w:id="1"/>
    <w:p w14:paraId="6EBE31AC">
      <w:pPr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3、翠湖片区补水及循环工程</w:t>
      </w:r>
    </w:p>
    <w:p w14:paraId="1184757E">
      <w:pPr>
        <w:spacing w:line="360" w:lineRule="auto"/>
        <w:rPr>
          <w:kern w:val="0"/>
          <w:sz w:val="24"/>
          <w:highlight w:val="none"/>
        </w:rPr>
      </w:pPr>
      <w:bookmarkStart w:id="2" w:name="OLE_LINK6"/>
      <w:r>
        <w:rPr>
          <w:rFonts w:hint="eastAsia"/>
          <w:kern w:val="0"/>
          <w:sz w:val="24"/>
          <w:highlight w:val="none"/>
        </w:rPr>
        <w:t>1）泵站养护：1座</w:t>
      </w:r>
    </w:p>
    <w:p w14:paraId="219C2CBB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2）循环管线养护：</w:t>
      </w:r>
      <w:r>
        <w:rPr>
          <w:kern w:val="0"/>
          <w:sz w:val="24"/>
          <w:highlight w:val="none"/>
        </w:rPr>
        <w:t>11.75</w:t>
      </w:r>
      <w:r>
        <w:rPr>
          <w:rFonts w:hint="eastAsia"/>
          <w:kern w:val="0"/>
          <w:sz w:val="24"/>
          <w:highlight w:val="none"/>
        </w:rPr>
        <w:t>km</w:t>
      </w:r>
    </w:p>
    <w:p w14:paraId="7F6CC01F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3）岸坡保洁：15215.5㎡</w:t>
      </w:r>
    </w:p>
    <w:bookmarkEnd w:id="2"/>
    <w:p w14:paraId="0A135C54">
      <w:pPr>
        <w:spacing w:line="360" w:lineRule="auto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4、永丰泵站</w:t>
      </w:r>
    </w:p>
    <w:p w14:paraId="23C9A7C2">
      <w:pPr>
        <w:spacing w:line="360" w:lineRule="auto"/>
        <w:rPr>
          <w:kern w:val="0"/>
          <w:sz w:val="24"/>
          <w:highlight w:val="none"/>
        </w:rPr>
      </w:pPr>
      <w:bookmarkStart w:id="3" w:name="OLE_LINK7"/>
      <w:r>
        <w:rPr>
          <w:rFonts w:hint="eastAsia"/>
          <w:kern w:val="0"/>
          <w:sz w:val="24"/>
          <w:highlight w:val="none"/>
        </w:rPr>
        <w:t>1）泵站维修养护中型四等：1座</w:t>
      </w:r>
    </w:p>
    <w:p w14:paraId="0A357B85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2）管线运维养护:</w:t>
      </w:r>
      <w:r>
        <w:rPr>
          <w:highlight w:val="none"/>
        </w:rPr>
        <w:t xml:space="preserve"> </w:t>
      </w:r>
      <w:r>
        <w:rPr>
          <w:rFonts w:hint="eastAsia"/>
          <w:kern w:val="0"/>
          <w:sz w:val="24"/>
          <w:highlight w:val="none"/>
        </w:rPr>
        <w:t>7.</w:t>
      </w:r>
      <w:r>
        <w:rPr>
          <w:kern w:val="0"/>
          <w:sz w:val="24"/>
          <w:highlight w:val="none"/>
        </w:rPr>
        <w:t>5</w:t>
      </w:r>
      <w:r>
        <w:rPr>
          <w:rFonts w:hint="eastAsia"/>
          <w:kern w:val="0"/>
          <w:sz w:val="24"/>
          <w:highlight w:val="none"/>
        </w:rPr>
        <w:t>KM</w:t>
      </w:r>
    </w:p>
    <w:bookmarkEnd w:id="3"/>
    <w:p w14:paraId="1502B30A">
      <w:pPr>
        <w:spacing w:line="360" w:lineRule="auto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5、崔家窑湿地公园</w:t>
      </w:r>
    </w:p>
    <w:p w14:paraId="51A38139">
      <w:pPr>
        <w:spacing w:line="360" w:lineRule="auto"/>
        <w:rPr>
          <w:rFonts w:hint="eastAsia"/>
          <w:kern w:val="0"/>
          <w:sz w:val="24"/>
          <w:highlight w:val="none"/>
        </w:rPr>
      </w:pPr>
      <w:bookmarkStart w:id="4" w:name="OLE_LINK8"/>
      <w:r>
        <w:rPr>
          <w:rFonts w:hint="eastAsia"/>
          <w:kern w:val="0"/>
          <w:sz w:val="24"/>
          <w:highlight w:val="none"/>
        </w:rPr>
        <w:t>1）</w:t>
      </w:r>
      <w:bookmarkEnd w:id="4"/>
      <w:r>
        <w:rPr>
          <w:rFonts w:hint="eastAsia"/>
          <w:kern w:val="0"/>
          <w:sz w:val="24"/>
          <w:highlight w:val="none"/>
        </w:rPr>
        <w:t>绿化养护:</w:t>
      </w:r>
      <w:r>
        <w:rPr>
          <w:highlight w:val="none"/>
        </w:rPr>
        <w:t xml:space="preserve"> </w:t>
      </w:r>
      <w:r>
        <w:rPr>
          <w:kern w:val="0"/>
          <w:sz w:val="24"/>
          <w:highlight w:val="none"/>
        </w:rPr>
        <w:t>129788</w:t>
      </w:r>
      <w:r>
        <w:rPr>
          <w:rFonts w:hint="eastAsia"/>
          <w:kern w:val="0"/>
          <w:sz w:val="24"/>
          <w:highlight w:val="none"/>
        </w:rPr>
        <w:t>㎡</w:t>
      </w:r>
    </w:p>
    <w:p w14:paraId="138BDFE5">
      <w:pPr>
        <w:spacing w:line="360" w:lineRule="auto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二、日常运维养护工作内容</w:t>
      </w:r>
    </w:p>
    <w:p w14:paraId="781920EA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根据《水利工程维修养护定额标准（试点）》实用指南、《水闸技术管理规程》（SL75-2014）、《水工钢闸门和启闭机安全运行规程》（SL722-2015）、《泵站技术管理规程》（GB/T30948-2014）、《城市水域保洁作业及质量标准》（CJJT174-2013）、《水生植物建植及养护管理技术规范》（DB13T1773-2013）、《城镇绿地养护管理规范》（DB11/T213-2014）等规程规范，并结合大寨渠生态治理工程等“水清岸绿”项目的实际情况，日常运维养护工作内容详见表2-1。</w:t>
      </w:r>
    </w:p>
    <w:p w14:paraId="7710B135">
      <w:pPr>
        <w:rPr>
          <w:rFonts w:hint="eastAsia" w:ascii="宋体" w:hAnsi="宋体" w:cs="宋体"/>
          <w:bCs/>
          <w:sz w:val="24"/>
          <w:highlight w:val="none"/>
        </w:rPr>
        <w:sectPr>
          <w:pgSz w:w="11907" w:h="16840"/>
          <w:pgMar w:top="1418" w:right="1134" w:bottom="1418" w:left="1701" w:header="851" w:footer="851" w:gutter="0"/>
          <w:cols w:space="720" w:num="1"/>
          <w:docGrid w:linePitch="462" w:charSpace="0"/>
        </w:sectPr>
      </w:pPr>
    </w:p>
    <w:p w14:paraId="566B365D">
      <w:pPr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表2-1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>日常运维养护工作内容</w:t>
      </w:r>
    </w:p>
    <w:tbl>
      <w:tblPr>
        <w:tblStyle w:val="6"/>
        <w:tblW w:w="139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5"/>
        <w:gridCol w:w="3035"/>
        <w:gridCol w:w="5565"/>
        <w:gridCol w:w="936"/>
      </w:tblGrid>
      <w:tr w14:paraId="49796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A116E37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39BE2B6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4F946FE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子项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0C94D39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工作内容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48550CB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备注</w:t>
            </w:r>
          </w:p>
        </w:tc>
      </w:tr>
      <w:tr w14:paraId="419FA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0FA3476">
            <w:pPr>
              <w:spacing w:line="360" w:lineRule="auto"/>
              <w:jc w:val="center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29BB7EC4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水环境保洁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18FAEE43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6D9337A2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3CA4401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25572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40260E5"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0A4C050A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216A0DED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水库水面保洁</w:t>
            </w:r>
          </w:p>
          <w:p w14:paraId="7CA506E6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河（渠）道水面保洁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6206A289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人工乘船清除、打捞水草、漂浮物等，运至岸上集中堆放。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3963AB6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38A3E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AE28FAC">
            <w:pPr>
              <w:spacing w:line="360" w:lineRule="auto"/>
              <w:jc w:val="center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00AE8338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林草绿地养护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41ECA4A1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2E74918D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900A417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570D1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2C8653C"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5CE0692A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282F5D35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绿地养护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3C1788C8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清除杂草、病虫防治、浇水施肥、清理、修剪、树木防寒。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DE721EB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342C2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C1A919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12509551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设备维修养护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387D0C22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304747AC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9956ABA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39999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C1BC8EB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0F7AA99">
            <w:pPr>
              <w:spacing w:line="360" w:lineRule="auto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68589781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公园基础设施维护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29B92DAB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座椅、路灯等公园基础设施的维修与养护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019D1FD">
            <w:pPr>
              <w:spacing w:line="360" w:lineRule="auto"/>
              <w:rPr>
                <w:sz w:val="24"/>
                <w:highlight w:val="none"/>
              </w:rPr>
            </w:pPr>
          </w:p>
        </w:tc>
      </w:tr>
    </w:tbl>
    <w:p w14:paraId="54D16D71">
      <w:pPr>
        <w:spacing w:line="360" w:lineRule="auto"/>
        <w:rPr>
          <w:rFonts w:eastAsia="黑体"/>
          <w:sz w:val="24"/>
          <w:highlight w:val="none"/>
        </w:rPr>
      </w:pPr>
    </w:p>
    <w:p w14:paraId="016077C6">
      <w:pPr>
        <w:pStyle w:val="5"/>
        <w:spacing w:line="360" w:lineRule="auto"/>
        <w:rPr>
          <w:rFonts w:hint="default"/>
          <w:sz w:val="24"/>
          <w:szCs w:val="24"/>
          <w:highlight w:val="none"/>
        </w:rPr>
      </w:pPr>
    </w:p>
    <w:p w14:paraId="6CDF93BC">
      <w:pPr>
        <w:tabs>
          <w:tab w:val="left" w:pos="630"/>
        </w:tabs>
        <w:rPr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highlight w:val="none"/>
        </w:rPr>
        <w:tab/>
      </w:r>
    </w:p>
    <w:p w14:paraId="583384F7">
      <w:pPr>
        <w:tabs>
          <w:tab w:val="left" w:pos="360"/>
          <w:tab w:val="left" w:pos="900"/>
        </w:tabs>
        <w:snapToGrid w:val="0"/>
        <w:spacing w:line="360" w:lineRule="auto"/>
        <w:jc w:val="left"/>
        <w:outlineLvl w:val="1"/>
        <w:rPr>
          <w:b/>
          <w:sz w:val="24"/>
          <w:highlight w:val="none"/>
        </w:rPr>
      </w:pPr>
      <w:bookmarkStart w:id="5" w:name="_Toc89268384"/>
      <w:bookmarkStart w:id="6" w:name="_Toc3824"/>
      <w:r>
        <w:rPr>
          <w:rFonts w:hint="eastAsia"/>
          <w:b/>
          <w:sz w:val="24"/>
          <w:highlight w:val="none"/>
        </w:rPr>
        <w:t>三、日常运维养护等级目标</w:t>
      </w:r>
      <w:bookmarkEnd w:id="5"/>
      <w:bookmarkEnd w:id="6"/>
    </w:p>
    <w:p w14:paraId="4B80CBE0">
      <w:pPr>
        <w:pStyle w:val="2"/>
        <w:spacing w:before="0"/>
        <w:rPr>
          <w:highlight w:val="none"/>
        </w:rPr>
      </w:pPr>
      <w:bookmarkStart w:id="7" w:name="_Toc5195"/>
      <w:bookmarkStart w:id="8" w:name="_Toc89268385"/>
      <w:bookmarkStart w:id="9" w:name="_Toc22358"/>
      <w:bookmarkStart w:id="10" w:name="_Toc27318"/>
      <w:r>
        <w:rPr>
          <w:rFonts w:hint="eastAsia"/>
          <w:highlight w:val="none"/>
        </w:rPr>
        <w:t>1水域保洁等级目标</w:t>
      </w:r>
      <w:bookmarkEnd w:id="7"/>
      <w:bookmarkEnd w:id="8"/>
      <w:bookmarkEnd w:id="9"/>
      <w:bookmarkEnd w:id="10"/>
    </w:p>
    <w:p w14:paraId="271A298B"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根据《城市水域保洁作业及质量标准》（CJJ/T174-2013、J1649-2013）的相关规定，水域保洁等级目标为一级。</w:t>
      </w:r>
    </w:p>
    <w:p w14:paraId="31B872D1">
      <w:pPr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表</w:t>
      </w:r>
      <w:r>
        <w:rPr>
          <w:rFonts w:hint="eastAsia" w:eastAsia="黑体"/>
          <w:sz w:val="24"/>
          <w:highlight w:val="none"/>
        </w:rPr>
        <w:t>3</w:t>
      </w:r>
      <w:r>
        <w:rPr>
          <w:rFonts w:eastAsia="黑体"/>
          <w:sz w:val="24"/>
          <w:highlight w:val="none"/>
        </w:rPr>
        <w:t>-</w:t>
      </w:r>
      <w:r>
        <w:rPr>
          <w:rFonts w:hint="eastAsia" w:eastAsia="黑体"/>
          <w:sz w:val="24"/>
          <w:highlight w:val="none"/>
        </w:rPr>
        <w:t>1              各级</w:t>
      </w:r>
      <w:r>
        <w:rPr>
          <w:rFonts w:eastAsia="黑体"/>
          <w:sz w:val="24"/>
          <w:highlight w:val="none"/>
        </w:rPr>
        <w:t>水域</w:t>
      </w:r>
      <w:r>
        <w:rPr>
          <w:rFonts w:hint="eastAsia" w:eastAsia="黑体"/>
          <w:sz w:val="24"/>
          <w:highlight w:val="none"/>
        </w:rPr>
        <w:t>水面保洁质量</w:t>
      </w:r>
      <w:r>
        <w:rPr>
          <w:rFonts w:eastAsia="黑体"/>
          <w:sz w:val="24"/>
          <w:highlight w:val="none"/>
        </w:rPr>
        <w:t>一览表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29"/>
        <w:gridCol w:w="2121"/>
        <w:gridCol w:w="2121"/>
      </w:tblGrid>
      <w:tr w14:paraId="62655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2252" w:type="dxa"/>
            <w:vMerge w:val="restart"/>
            <w:vAlign w:val="center"/>
          </w:tcPr>
          <w:p w14:paraId="0C19940C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项目</w:t>
            </w:r>
          </w:p>
        </w:tc>
        <w:tc>
          <w:tcPr>
            <w:tcW w:w="6758" w:type="dxa"/>
            <w:gridSpan w:val="3"/>
            <w:vAlign w:val="center"/>
          </w:tcPr>
          <w:p w14:paraId="4C5134D9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级别</w:t>
            </w:r>
          </w:p>
        </w:tc>
      </w:tr>
      <w:tr w14:paraId="44D86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2252" w:type="dxa"/>
            <w:vMerge w:val="continue"/>
            <w:vAlign w:val="center"/>
          </w:tcPr>
          <w:p w14:paraId="645F13C3">
            <w:pPr>
              <w:spacing w:line="360" w:lineRule="auto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2252" w:type="dxa"/>
            <w:vAlign w:val="center"/>
          </w:tcPr>
          <w:p w14:paraId="2E86163A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一级</w:t>
            </w:r>
          </w:p>
        </w:tc>
        <w:tc>
          <w:tcPr>
            <w:tcW w:w="2253" w:type="dxa"/>
            <w:vAlign w:val="center"/>
          </w:tcPr>
          <w:p w14:paraId="690F889C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二级</w:t>
            </w:r>
          </w:p>
        </w:tc>
        <w:tc>
          <w:tcPr>
            <w:tcW w:w="2253" w:type="dxa"/>
            <w:vAlign w:val="center"/>
          </w:tcPr>
          <w:p w14:paraId="13F8A4D6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三级</w:t>
            </w:r>
          </w:p>
        </w:tc>
      </w:tr>
      <w:tr w14:paraId="5CBD5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52" w:type="dxa"/>
            <w:vAlign w:val="center"/>
          </w:tcPr>
          <w:p w14:paraId="3D4AAF57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每5000m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水域水面垃圾累计面积（m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252" w:type="dxa"/>
            <w:vAlign w:val="center"/>
          </w:tcPr>
          <w:p w14:paraId="75357671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1</w:t>
            </w:r>
          </w:p>
        </w:tc>
        <w:tc>
          <w:tcPr>
            <w:tcW w:w="2253" w:type="dxa"/>
            <w:vAlign w:val="center"/>
          </w:tcPr>
          <w:p w14:paraId="1F0DC517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2253" w:type="dxa"/>
            <w:vAlign w:val="center"/>
          </w:tcPr>
          <w:p w14:paraId="6E4EB687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3</w:t>
            </w:r>
          </w:p>
        </w:tc>
      </w:tr>
      <w:tr w14:paraId="09453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52" w:type="dxa"/>
            <w:vAlign w:val="center"/>
          </w:tcPr>
          <w:p w14:paraId="676EB3B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每5000m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水域水生植物面积（m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252" w:type="dxa"/>
            <w:vAlign w:val="center"/>
          </w:tcPr>
          <w:p w14:paraId="1CF0B4B1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单处面积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50或累计面积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250</w:t>
            </w:r>
          </w:p>
        </w:tc>
        <w:tc>
          <w:tcPr>
            <w:tcW w:w="4506" w:type="dxa"/>
            <w:gridSpan w:val="2"/>
            <w:vAlign w:val="center"/>
          </w:tcPr>
          <w:p w14:paraId="5950BBE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单处面积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100或累计面积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500</w:t>
            </w:r>
          </w:p>
        </w:tc>
      </w:tr>
    </w:tbl>
    <w:p w14:paraId="3FA7A12B">
      <w:pPr>
        <w:spacing w:line="360" w:lineRule="auto"/>
        <w:rPr>
          <w:rFonts w:eastAsia="黑体"/>
          <w:sz w:val="24"/>
          <w:highlight w:val="none"/>
        </w:rPr>
      </w:pPr>
    </w:p>
    <w:p w14:paraId="1CDEBA00">
      <w:pPr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表</w:t>
      </w:r>
      <w:r>
        <w:rPr>
          <w:rFonts w:hint="eastAsia" w:eastAsia="黑体"/>
          <w:sz w:val="24"/>
          <w:highlight w:val="none"/>
        </w:rPr>
        <w:t>3</w:t>
      </w:r>
      <w:r>
        <w:rPr>
          <w:rFonts w:eastAsia="黑体"/>
          <w:sz w:val="24"/>
          <w:highlight w:val="none"/>
        </w:rPr>
        <w:t>-</w:t>
      </w:r>
      <w:r>
        <w:rPr>
          <w:rFonts w:hint="eastAsia" w:eastAsia="黑体"/>
          <w:sz w:val="24"/>
          <w:highlight w:val="none"/>
        </w:rPr>
        <w:t>2               各级</w:t>
      </w:r>
      <w:r>
        <w:rPr>
          <w:rFonts w:eastAsia="黑体"/>
          <w:sz w:val="24"/>
          <w:highlight w:val="none"/>
        </w:rPr>
        <w:t>水域</w:t>
      </w:r>
      <w:r>
        <w:rPr>
          <w:rFonts w:hint="eastAsia" w:eastAsia="黑体"/>
          <w:sz w:val="24"/>
          <w:highlight w:val="none"/>
        </w:rPr>
        <w:t>堤岸保洁质量</w:t>
      </w:r>
      <w:r>
        <w:rPr>
          <w:rFonts w:eastAsia="黑体"/>
          <w:sz w:val="24"/>
          <w:highlight w:val="none"/>
        </w:rPr>
        <w:t>一览表</w:t>
      </w:r>
    </w:p>
    <w:tbl>
      <w:tblPr>
        <w:tblStyle w:val="6"/>
        <w:tblW w:w="85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006"/>
        <w:gridCol w:w="2141"/>
        <w:gridCol w:w="2114"/>
      </w:tblGrid>
      <w:tr w14:paraId="37DCD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01" w:hRule="atLeast"/>
        </w:trPr>
        <w:tc>
          <w:tcPr>
            <w:tcW w:w="2260" w:type="dxa"/>
            <w:vMerge w:val="restart"/>
            <w:vAlign w:val="center"/>
          </w:tcPr>
          <w:p w14:paraId="27926180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项目</w:t>
            </w:r>
          </w:p>
        </w:tc>
        <w:tc>
          <w:tcPr>
            <w:tcW w:w="6261" w:type="dxa"/>
            <w:gridSpan w:val="3"/>
            <w:vAlign w:val="center"/>
          </w:tcPr>
          <w:p w14:paraId="35B33AA0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级别</w:t>
            </w:r>
          </w:p>
        </w:tc>
      </w:tr>
      <w:tr w14:paraId="2C472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60" w:type="dxa"/>
            <w:vMerge w:val="continue"/>
            <w:vAlign w:val="center"/>
          </w:tcPr>
          <w:p w14:paraId="2F5B12D2">
            <w:pPr>
              <w:spacing w:line="360" w:lineRule="auto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2006" w:type="dxa"/>
            <w:vAlign w:val="center"/>
          </w:tcPr>
          <w:p w14:paraId="53EDC14E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一级</w:t>
            </w:r>
          </w:p>
        </w:tc>
        <w:tc>
          <w:tcPr>
            <w:tcW w:w="2141" w:type="dxa"/>
            <w:vAlign w:val="center"/>
          </w:tcPr>
          <w:p w14:paraId="631D9DF5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二级</w:t>
            </w:r>
          </w:p>
        </w:tc>
        <w:tc>
          <w:tcPr>
            <w:tcW w:w="2114" w:type="dxa"/>
            <w:vAlign w:val="center"/>
          </w:tcPr>
          <w:p w14:paraId="0241AAEE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三级</w:t>
            </w:r>
          </w:p>
        </w:tc>
      </w:tr>
      <w:tr w14:paraId="51779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60" w:type="dxa"/>
            <w:vAlign w:val="center"/>
          </w:tcPr>
          <w:p w14:paraId="40C91E8B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每200m堤岸坡面暴露垃圾累计（m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006" w:type="dxa"/>
            <w:vAlign w:val="center"/>
          </w:tcPr>
          <w:p w14:paraId="7EA5820D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0.05</w:t>
            </w:r>
          </w:p>
        </w:tc>
        <w:tc>
          <w:tcPr>
            <w:tcW w:w="2141" w:type="dxa"/>
            <w:vAlign w:val="center"/>
          </w:tcPr>
          <w:p w14:paraId="2E7B187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0.1</w:t>
            </w:r>
          </w:p>
        </w:tc>
        <w:tc>
          <w:tcPr>
            <w:tcW w:w="2114" w:type="dxa"/>
            <w:vAlign w:val="center"/>
          </w:tcPr>
          <w:p w14:paraId="4366953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0.2</w:t>
            </w:r>
          </w:p>
        </w:tc>
      </w:tr>
      <w:tr w14:paraId="02DA1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60" w:type="dxa"/>
            <w:vAlign w:val="center"/>
          </w:tcPr>
          <w:p w14:paraId="753090A7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每200m</w:t>
            </w:r>
            <w:r>
              <w:rPr>
                <w:rFonts w:hint="eastAsia"/>
                <w:sz w:val="24"/>
                <w:highlight w:val="none"/>
              </w:rPr>
              <w:t>堤岸立面吊挂杂物</w:t>
            </w:r>
            <w:r>
              <w:rPr>
                <w:sz w:val="24"/>
                <w:highlight w:val="none"/>
              </w:rPr>
              <w:t>（</w:t>
            </w:r>
            <w:r>
              <w:rPr>
                <w:rFonts w:hint="eastAsia"/>
                <w:sz w:val="24"/>
                <w:highlight w:val="none"/>
              </w:rPr>
              <w:t>处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006" w:type="dxa"/>
            <w:vAlign w:val="center"/>
          </w:tcPr>
          <w:p w14:paraId="632A4BDB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0</w:t>
            </w:r>
          </w:p>
        </w:tc>
        <w:tc>
          <w:tcPr>
            <w:tcW w:w="2141" w:type="dxa"/>
            <w:vAlign w:val="center"/>
          </w:tcPr>
          <w:p w14:paraId="68ACEDB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2114" w:type="dxa"/>
            <w:vAlign w:val="center"/>
          </w:tcPr>
          <w:p w14:paraId="4D27970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5</w:t>
            </w:r>
          </w:p>
        </w:tc>
      </w:tr>
    </w:tbl>
    <w:p w14:paraId="03DD4885">
      <w:pPr>
        <w:pStyle w:val="2"/>
        <w:spacing w:before="0"/>
        <w:rPr>
          <w:highlight w:val="none"/>
        </w:rPr>
      </w:pPr>
      <w:bookmarkStart w:id="11" w:name="_Toc31611"/>
      <w:bookmarkStart w:id="12" w:name="_Toc89268386"/>
      <w:bookmarkStart w:id="13" w:name="_Toc4433"/>
      <w:bookmarkStart w:id="14" w:name="_Toc7911"/>
      <w:r>
        <w:rPr>
          <w:rFonts w:hint="eastAsia"/>
          <w:highlight w:val="none"/>
        </w:rPr>
        <w:t>2园林绿化等级目标</w:t>
      </w:r>
      <w:bookmarkEnd w:id="11"/>
      <w:bookmarkEnd w:id="12"/>
      <w:bookmarkEnd w:id="13"/>
      <w:bookmarkEnd w:id="14"/>
    </w:p>
    <w:p w14:paraId="5B33BA35"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根据《城镇绿地养护管理规范》（DB11/T213-2014）的相关规定，园林绿化运维养护等级目标为一级。具体园林绿化养护管理质量标准如表4-3~4-8。</w:t>
      </w:r>
    </w:p>
    <w:p w14:paraId="6A7B744F">
      <w:pPr>
        <w:pStyle w:val="4"/>
        <w:spacing w:line="360" w:lineRule="auto"/>
        <w:ind w:firstLine="0"/>
        <w:rPr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1D29EF4A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表3-3           园林绿化养护管理质量标准</w:t>
      </w:r>
    </w:p>
    <w:tbl>
      <w:tblPr>
        <w:tblStyle w:val="6"/>
        <w:tblW w:w="14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76"/>
        <w:gridCol w:w="3046"/>
        <w:gridCol w:w="3046"/>
        <w:gridCol w:w="3046"/>
        <w:gridCol w:w="3051"/>
      </w:tblGrid>
      <w:tr w14:paraId="48906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 w14:paraId="6CCDB5A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14:paraId="2ABDFA3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89" w:type="dxa"/>
            <w:gridSpan w:val="4"/>
            <w:tcBorders>
              <w:tl2br w:val="nil"/>
              <w:tr2bl w:val="nil"/>
            </w:tcBorders>
            <w:vAlign w:val="center"/>
          </w:tcPr>
          <w:p w14:paraId="55340AD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29AD9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 w14:paraId="681F322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 w14:paraId="0FD3814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013070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500DADA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CD8B21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2034EE7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5438C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04262966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70ED5B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绿地</w:t>
            </w:r>
          </w:p>
          <w:p w14:paraId="1F28C48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规模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A07ADED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（1）面积≥3000m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13A86339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kern w:val="0"/>
                <w:sz w:val="24"/>
                <w:highlight w:val="none"/>
              </w:rPr>
              <w:t>2）植物种植应以乔木为主，乔灌木种植面积占绿地面积≈70%，其</w:t>
            </w:r>
            <w:r>
              <w:rPr>
                <w:color w:val="000000"/>
                <w:kern w:val="0"/>
                <w:sz w:val="24"/>
                <w:highlight w:val="none"/>
              </w:rPr>
              <w:t>余为非林下草坪和地被植物。</w:t>
            </w:r>
          </w:p>
          <w:p w14:paraId="3DF33A94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（3）道路绿化绿地率：市区主干道≥30%，次干道≥20%，其他等级道路≥15%；道路长度≥1000m。乔灌木种植面积≈80%，其余为非林下草坪和地被植物。立交桥区乔灌木种植面积≈60%至70%。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71B14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（1）面积≥2000m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24EBC9E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（2）植物种植应以乔木为主，乔灌木种植面积比例≈70%，其余为非林下草坪和地被植物。</w:t>
            </w:r>
          </w:p>
          <w:p w14:paraId="04AD8C1F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（3）道路绿化绿地率：市区主干道≥30%，次干道≥20%，其他等级道路≥15%；道路长度≥500m。乔灌木种植面积≈80%，其余为非林下草坪和地被植物。立交桥区乔灌木种植面积≈60%至70%。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0E535A4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（1）面积≥1000m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444786C8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（2）道路绿化绿地率：市区主干道≥</w:t>
            </w:r>
          </w:p>
          <w:p w14:paraId="070A74F6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30%，次干道≥20%，其他等级道路≥15%；道路长度≥200m。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735ADBA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（1）面积≥500m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2156806E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（2）道路绿化绿地率：市区主干道≥</w:t>
            </w:r>
          </w:p>
          <w:p w14:paraId="0E89B6DC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30%，次干道≥20%，其他等级道路≥15%；道路长度≥200m。</w:t>
            </w:r>
          </w:p>
        </w:tc>
      </w:tr>
      <w:tr w14:paraId="38857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203FEEFD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FC02CDC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植物配置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A85E2A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乔灌花草相结合，植物种类（含品种）≥</w:t>
            </w:r>
            <w:r>
              <w:rPr>
                <w:color w:val="000000"/>
                <w:kern w:val="0"/>
                <w:sz w:val="24"/>
                <w:highlight w:val="none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种，非林下草坪≤</w:t>
            </w:r>
            <w:r>
              <w:rPr>
                <w:color w:val="000000"/>
                <w:kern w:val="0"/>
                <w:sz w:val="24"/>
                <w:highlight w:val="none"/>
              </w:rPr>
              <w:t>30%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D557F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乔灌花草相结合，植物种类（含品种）≥</w:t>
            </w:r>
            <w:r>
              <w:rPr>
                <w:color w:val="000000"/>
                <w:kern w:val="0"/>
                <w:sz w:val="24"/>
                <w:highlight w:val="none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种，非林下草坪≤</w:t>
            </w:r>
            <w:r>
              <w:rPr>
                <w:color w:val="000000"/>
                <w:kern w:val="0"/>
                <w:sz w:val="24"/>
                <w:highlight w:val="none"/>
              </w:rPr>
              <w:t>30%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406797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乔灌花草相结合，植物种类（含品种）≥</w:t>
            </w:r>
            <w:r>
              <w:rPr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种，单纯草坪≤</w:t>
            </w:r>
            <w:r>
              <w:rPr>
                <w:color w:val="000000"/>
                <w:kern w:val="0"/>
                <w:sz w:val="24"/>
                <w:highlight w:val="none"/>
              </w:rPr>
              <w:t>50%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76F00F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植物规格与密度协调，层次和色彩配比合理。</w:t>
            </w:r>
          </w:p>
        </w:tc>
      </w:tr>
      <w:tr w14:paraId="30FAB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356714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6456546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树木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F4B013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B7ADCE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3791A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7F3D9E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见表4-4三级</w:t>
            </w:r>
          </w:p>
        </w:tc>
      </w:tr>
      <w:tr w14:paraId="4129D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1E44776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3A62C3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花卉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8FC47B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1577D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478C77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5889FFD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见表4-5三级</w:t>
            </w:r>
          </w:p>
        </w:tc>
      </w:tr>
      <w:tr w14:paraId="149CD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C7A4CD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AE33C4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草坪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A8D78F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06592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3A23C6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1F4BA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见表4-6三级</w:t>
            </w:r>
          </w:p>
        </w:tc>
      </w:tr>
      <w:tr w14:paraId="69FAB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605FF49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C36385D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水生植物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71D31E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60F8CB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D96D5C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5E93DFB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见表4-7三级</w:t>
            </w:r>
          </w:p>
        </w:tc>
      </w:tr>
      <w:tr w14:paraId="5A720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51744CD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5B4326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竹类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CFDE3D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31AB44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281F2D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E4DD1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见表4-8三级</w:t>
            </w:r>
          </w:p>
        </w:tc>
      </w:tr>
      <w:tr w14:paraId="3869B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647DBD8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6DD84F7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植物防护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B42E12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措施得当，无危害症状，具体如下：</w:t>
            </w:r>
          </w:p>
          <w:p w14:paraId="0FC484D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0127EBC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738C8DA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722221A5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27199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基本无危害症状，具体如下：</w:t>
            </w:r>
          </w:p>
          <w:p w14:paraId="7B13CBA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4178E95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569B70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2438324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AEC80D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无明显危害症状，具体如下：</w:t>
            </w:r>
          </w:p>
          <w:p w14:paraId="7E18804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0CFE873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1B95942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54619A3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F655DE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无明显危害症状，具体如下：</w:t>
            </w:r>
          </w:p>
          <w:p w14:paraId="2ED177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34E76B9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2D16CB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5E8BE8A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</w:tr>
      <w:tr w14:paraId="028D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AECBB6E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6DF3C08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清洁保洁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D0EED4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垃圾及杂物随产随清，具体如下：</w:t>
            </w:r>
          </w:p>
          <w:p w14:paraId="70B185B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6562F3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2030D0B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0BC438B4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1C00FA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垃圾及杂物日产日清，具体如下：</w:t>
            </w:r>
          </w:p>
          <w:p w14:paraId="402577B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786DD5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28A1F8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68B9377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490FD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垃圾及杂物日产日清，具体如下：</w:t>
            </w:r>
          </w:p>
          <w:p w14:paraId="6954904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6C30F10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2C9B7A9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63BA3BE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A9A143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垃圾及杂物五日内清除，具体如下：</w:t>
            </w:r>
          </w:p>
          <w:p w14:paraId="040589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638703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4D9A8CF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3D1FA871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</w:tr>
      <w:tr w14:paraId="00AD1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14C1B5F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66DB1D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附属设施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94DA84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安全、完整、维护及时，具体如下：（1）建筑及构筑物</w:t>
            </w:r>
          </w:p>
          <w:p w14:paraId="533CA3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584DB05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3773117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5472A30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4CE438D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6A65D4B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5F9E62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5A2DD41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2B2DCE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174F00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4CC32FB9">
            <w:pPr>
              <w:spacing w:line="360" w:lineRule="auto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（4）娱乐健身设施</w:t>
            </w:r>
          </w:p>
          <w:p w14:paraId="770A9CFA">
            <w:pPr>
              <w:spacing w:line="360" w:lineRule="auto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6D351BA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2973BB9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57F0D13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4C9830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058D988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242154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2DABDEF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3595B77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4BAD501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52E64AB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67CDF9F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63FB79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4175195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4459AC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3F3D221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2751C5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0704C86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5D89C8F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09EFEE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54968EE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2EF579A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1A48E2EC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93636B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安全、完整、维护基本及时，具体如下：（1）建筑及构筑物</w:t>
            </w:r>
          </w:p>
          <w:p w14:paraId="2FDF346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20E90B7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276882E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6F71DE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7E75DD9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0AC2B84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6B25691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153C9E2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518AE9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5924E0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76D3CA2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（4）娱乐健身设施</w:t>
            </w:r>
          </w:p>
          <w:p w14:paraId="35FF907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2855EB9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033BC8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2794907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0975D23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080F257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481CD54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152F654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564D362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6B22419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1C3B212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2373091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0F318FB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7B63A5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38D195B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5B69628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74F58EB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0B71BD4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257643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4500AEE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464283C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00C7059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6E2D916C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530BE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安全、基本完整、能进行维护，具体如下：（1）建筑及构筑物</w:t>
            </w:r>
          </w:p>
          <w:p w14:paraId="1A1624F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5E959A1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2C44FCD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6DA546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78929B7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2B6351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1C4779B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7D14A4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1BFCEE8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5157D83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320E4C4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（4）娱乐健身设施</w:t>
            </w:r>
          </w:p>
          <w:p w14:paraId="6992517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2D4CD3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7751D40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193F37A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2947D7D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4431285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2CE4FFB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683240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6AD044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52E4E13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31A2204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33BE11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1DBE9C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347574B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190C64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0B7B6D8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19251C1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3FB2C4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4826FE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1AEE86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4BA80E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09334F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1075F6B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887B29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安全、基本完整、能进行维护，具体如下：（1）建筑及构筑物</w:t>
            </w:r>
          </w:p>
          <w:p w14:paraId="28DAFCF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742816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41028C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19D7F7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0D45E0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4CBB8B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51DABBF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4F69F42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2EC78A6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38165B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4CCBB5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（4）娱乐健身设施</w:t>
            </w:r>
          </w:p>
          <w:p w14:paraId="3DFF42B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04AF8EC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5E04F4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7F13AA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308B918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7559A3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0AD13BD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17F13C0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1C980C9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1026E97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3FD795C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4C99F6C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499D9B1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3E54B1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5234FE0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5601369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0799257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193F067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21E710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386E8E6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0459C69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032503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3DF87BAB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</w:tr>
      <w:tr w14:paraId="01FA1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0B127030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D66992F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景观水体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40F8AC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安全、清洁、驳岸完好，具体要求如下：</w:t>
            </w:r>
          </w:p>
          <w:p w14:paraId="234D0A8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5D9ABDE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147347D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2597DA8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4DA805B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41F07461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0AD95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安全、水面基本无杂物、驳岸基本完好，具体要求如下：</w:t>
            </w:r>
          </w:p>
          <w:p w14:paraId="5E5A227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42E8DC0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7A4E36E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259E5D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477E2F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4EE157A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5EB7FE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安全、水面无明显杂物、驳岸稳固，具体要求如下：</w:t>
            </w:r>
          </w:p>
          <w:p w14:paraId="26966E2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740D831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456B2C4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3B8D68E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3AFDE4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392B050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426DC9B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安全、水面无明显杂物、驳岸稳固，具体要求如下：</w:t>
            </w:r>
          </w:p>
          <w:p w14:paraId="08DF82D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01AA34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79AE56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3046659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17B48EC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04D5325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</w:tr>
      <w:tr w14:paraId="1A623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2A1522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1D8C6D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安全作业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450BA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0800B11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1D97A9C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5E594E5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231F8D5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0C7F0B3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00DF16E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097F4DE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73DD500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0C549E4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25482D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5D0889C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2B9ABEC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6A94F10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6EF0014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086E935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1516EBBD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B5E6C8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607754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5CF4BF8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3464915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11293EC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765B2A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226CA7F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3D7425A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2BD5C56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430391D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7AFE6AC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0D540C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6C7C9F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0409127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6B1736E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74A3030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2CB90BB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20397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6EE11E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4D5083F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24E4455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64442E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26B540E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128767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6F9509E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43AA39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746D38D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1D29AF2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63311D2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6E37F4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73A0279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621C78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7954C2F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43C88F64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031CD5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11A041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4BEC688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47725B2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092023B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3105F11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4BFE537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76D42BA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449CA8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48F14F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6C890CD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60BF3C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23790A8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759490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5F7DA9A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72E1A5C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55A0F19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</w:tr>
      <w:tr w14:paraId="5DA2A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585F69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F5190E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技术档案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731323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档案内容完整，具体要求如下：</w:t>
            </w:r>
          </w:p>
          <w:p w14:paraId="7560D76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1F3364D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11AFE2A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2397A92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0C4191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4A75661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14D9F8CA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92A29F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档案内容基本完整，具体要求如下：</w:t>
            </w:r>
          </w:p>
          <w:p w14:paraId="31988E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4496C6F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675C63D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5E6E6AE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4D08AE5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6114E17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791ABCB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1C5B50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档案内容基本完整，具体要求如下：</w:t>
            </w:r>
          </w:p>
          <w:p w14:paraId="68BFC38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1FBC41D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1437D43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3CD511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55098AF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6A23EFF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7FB94A8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26C92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档案内容基本完整，具体要求如下：</w:t>
            </w:r>
          </w:p>
          <w:p w14:paraId="1A4A9A6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3B130A4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647E765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628E25E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0250909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67C6E4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5433ADE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</w:tr>
    </w:tbl>
    <w:p w14:paraId="453CAA12">
      <w:pPr>
        <w:spacing w:line="360" w:lineRule="auto"/>
        <w:rPr>
          <w:rFonts w:eastAsia="黑体"/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43554829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表4-4                                树木养护管理质量等级</w:t>
      </w:r>
    </w:p>
    <w:tbl>
      <w:tblPr>
        <w:tblStyle w:val="6"/>
        <w:tblW w:w="14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76"/>
        <w:gridCol w:w="3046"/>
        <w:gridCol w:w="3046"/>
        <w:gridCol w:w="3046"/>
        <w:gridCol w:w="3051"/>
      </w:tblGrid>
      <w:tr w14:paraId="59FC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 w14:paraId="39BE1BA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14:paraId="4D375F1C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89" w:type="dxa"/>
            <w:gridSpan w:val="4"/>
            <w:tcBorders>
              <w:tl2br w:val="nil"/>
              <w:tr2bl w:val="nil"/>
            </w:tcBorders>
            <w:vAlign w:val="center"/>
          </w:tcPr>
          <w:p w14:paraId="60488AAA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44562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 w14:paraId="46AB0F9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 w14:paraId="2B8132E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68A79C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96D663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4F6E69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EF8A81D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186A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390A9D9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74BA1B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B879B6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（1）树林、树丛群落结构合理，植株疏密得当，层次分明，林冠线和林缘线清晰饱满；</w:t>
            </w:r>
          </w:p>
          <w:p w14:paraId="7C60D76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（2）孤植树树形完美，树冠饱满；</w:t>
            </w:r>
          </w:p>
          <w:p w14:paraId="2A33FA8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（3）行道树树冠完整，规格整齐、一致，缺株≤3%，树干挺直；</w:t>
            </w:r>
          </w:p>
          <w:p w14:paraId="271F202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（4）绿篱无缺株，修剪面平整饱满，直线处平直，曲线处弧度圆润。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0205AF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（1）树林、树丛群落结构基本合理，林冠线和林缘线基本完整；</w:t>
            </w:r>
          </w:p>
          <w:p w14:paraId="244EB2C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（2）孤植树树形基本完美，树冠基本饱满；</w:t>
            </w:r>
          </w:p>
          <w:p w14:paraId="7A2DA90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（3）行道树树冠基本完整，规格基本整齐，无死树，缺株≤5%，树冠基本完整统一，树干基本挺直；</w:t>
            </w:r>
          </w:p>
          <w:p w14:paraId="44B958F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（4）绿篱基本无缺株，修剪面平整饱满，直线处平直，曲线处弧度圆润。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597C2A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（1）树林、树丛具有基本完整的外貌，有一定的群落结构；</w:t>
            </w:r>
          </w:p>
          <w:p w14:paraId="7A12FA8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（2）孤植树树形基本完美，树冠基本饱满；</w:t>
            </w:r>
          </w:p>
          <w:p w14:paraId="4521C49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（3）行道树无死树，缺株≤8%，树冠基本统一，树干基本挺直；</w:t>
            </w:r>
          </w:p>
          <w:p w14:paraId="3B7EB91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（4）绿篱基本无缺株，修剪面平整饱满，直线处平直，曲线处弧度圆润。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78F1C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（1）树林、树丛具有基本完整，有一定的群落结构；</w:t>
            </w:r>
          </w:p>
          <w:p w14:paraId="183C3B0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（2）孤植树树形基本完美，树冠基本完整；</w:t>
            </w:r>
          </w:p>
          <w:p w14:paraId="59B1BC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（3）行道树无死树，缺株≤10%，树冠基本统一，树干基本挺直；</w:t>
            </w:r>
          </w:p>
          <w:p w14:paraId="1295D07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（4）绿篱基本无缺株，修剪面基本平整。</w:t>
            </w:r>
          </w:p>
        </w:tc>
      </w:tr>
      <w:tr w14:paraId="476C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50013D5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A9A3613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919551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枝叶生长茂盛，观花、观果树种正常开花结果，彩色树种季相特征明显，</w:t>
            </w:r>
          </w:p>
          <w:p w14:paraId="0BE213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无枯枝。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B0735B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枝叶生长正常，观花、观果树种正常开花结果，无大型枯枝。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EA46B1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植株生长量和色泽基本正常，观花、观果树种基本正常开花结果，无大型枯枝。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64AC77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植株生长量和色泽基本正常，观花、观果树种基本正常开花结果，无大型枯枝。</w:t>
            </w:r>
          </w:p>
        </w:tc>
      </w:tr>
      <w:tr w14:paraId="06DC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1ADCA78B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E143CF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9729AE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植株未出现失水萎蔫和沥涝现象。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CAE6A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植株基本无失水萎蔫和沥涝现象。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A456D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植株失水或积水现象1d内消除。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483FF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植株失水或积水现象2d内消除。</w:t>
            </w:r>
          </w:p>
        </w:tc>
      </w:tr>
      <w:tr w14:paraId="5DFA8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5E5B272E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9FAE97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9DBB80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（1）基本无危害状；</w:t>
            </w:r>
          </w:p>
          <w:p w14:paraId="5D2F9B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（2）枝叶受害率≤3%，树干受害率≤3%。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674A32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（1）无明显危害状；</w:t>
            </w:r>
          </w:p>
          <w:p w14:paraId="43A3DE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（2）枝叶受害率≤8%，树干受害率≤5%。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09975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（1）无严重危害状；</w:t>
            </w:r>
          </w:p>
          <w:p w14:paraId="1A42A6D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（2）枝叶受害率≤12%，树干受害率≤8%。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A082C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（1）无严重危害状；</w:t>
            </w:r>
          </w:p>
          <w:p w14:paraId="768EC3C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（2）枝叶受害率≤15%，树干受害率≤8%。</w:t>
            </w:r>
          </w:p>
        </w:tc>
      </w:tr>
      <w:tr w14:paraId="5BF63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6EFB11FD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0EE1158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补植完成时间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81C2F51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≤3d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C5001CE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≤7d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4620B56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≤20d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059B15F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≤20d</w:t>
            </w:r>
          </w:p>
        </w:tc>
      </w:tr>
    </w:tbl>
    <w:p w14:paraId="0F7A9400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6C8C8303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表3-5                              花卉养护管理质量等级</w:t>
      </w:r>
    </w:p>
    <w:tbl>
      <w:tblPr>
        <w:tblStyle w:val="6"/>
        <w:tblW w:w="140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74"/>
        <w:gridCol w:w="3042"/>
        <w:gridCol w:w="3042"/>
        <w:gridCol w:w="3042"/>
        <w:gridCol w:w="3046"/>
      </w:tblGrid>
      <w:tr w14:paraId="5C15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14:paraId="658B011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 w14:paraId="20B520D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72" w:type="dxa"/>
            <w:gridSpan w:val="4"/>
            <w:tcBorders>
              <w:tl2br w:val="nil"/>
              <w:tr2bl w:val="nil"/>
            </w:tcBorders>
            <w:vAlign w:val="center"/>
          </w:tcPr>
          <w:p w14:paraId="5FB9203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614BF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vAlign w:val="center"/>
          </w:tcPr>
          <w:p w14:paraId="3F94688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 w14:paraId="3B7B6AF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8C2A69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E7D150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F9C1C7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2FCA4D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3410D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39635F5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44C7FE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5D3230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（1）缺株倒伏的花苗≤3%；</w:t>
            </w:r>
          </w:p>
          <w:p w14:paraId="3FF364D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（2）基本无枯枝、残花。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76F4BE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（1）缺株倒伏的花苗≤8%；</w:t>
            </w:r>
          </w:p>
          <w:p w14:paraId="03C02D5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（2）枯枝、残花量≤3%。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E99559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（1）缺株倒伏的花苗≤12%；</w:t>
            </w:r>
          </w:p>
          <w:p w14:paraId="5B74CD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（2）枯枝、残花量≤8%。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B0A22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（1）缺株倒伏的花苗≤15%；</w:t>
            </w:r>
          </w:p>
          <w:p w14:paraId="3ED2B25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（2）枯枝、残花量≤12%。</w:t>
            </w:r>
          </w:p>
        </w:tc>
      </w:tr>
      <w:tr w14:paraId="651EE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0588DBEB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6E6981A3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花期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09F3E0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花期一致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81C720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花期一致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64F79A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花期基本一致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1FB6A0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花期基本一致</w:t>
            </w:r>
          </w:p>
        </w:tc>
      </w:tr>
      <w:tr w14:paraId="33BD8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6E8CFD3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1DBE906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C87595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（1）植株生长健壮；</w:t>
            </w:r>
          </w:p>
          <w:p w14:paraId="4F7AD6A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（2）茎干粗壮，基部分枝强健，蓬径饱满；</w:t>
            </w:r>
          </w:p>
          <w:p w14:paraId="368A07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（3）花型美观，花色鲜艳，株高一致。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85C3D1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（1）植株生长基本健壮；</w:t>
            </w:r>
          </w:p>
          <w:p w14:paraId="359F8D3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（2）茎干粗壮，基部分枝强健，蓬径基本饱满；</w:t>
            </w:r>
          </w:p>
          <w:p w14:paraId="44F9613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（3）株高一致。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E13DDA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（1）植株生长基本健壮；</w:t>
            </w:r>
          </w:p>
          <w:p w14:paraId="4B2AA1D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（2）茎干粗壮，基部分枝强健，蓬径基本饱满；</w:t>
            </w:r>
          </w:p>
          <w:p w14:paraId="3D8E7C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（3）株高基本一致。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E3C05F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（1）植株生长基本健壮；</w:t>
            </w:r>
          </w:p>
          <w:p w14:paraId="7FBD3BE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（2）茎干粗壮，基部分枝强健，蓬径基本饱满；</w:t>
            </w:r>
          </w:p>
          <w:p w14:paraId="19B0EE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（3）株高基本一致。</w:t>
            </w:r>
          </w:p>
        </w:tc>
      </w:tr>
      <w:tr w14:paraId="3BCB9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09825E3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69656754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239EB5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植株不得出现失水萎蔫现象。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305482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植株基无干旱和沥涝现象。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CAF111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植株基本无失水萎蔫现象。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33037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植株基本无失水萎蔫现象。</w:t>
            </w:r>
          </w:p>
        </w:tc>
      </w:tr>
      <w:tr w14:paraId="6C82C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0D44974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1B6BF02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6EA04C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（1）基本无有害生物危害状；</w:t>
            </w:r>
          </w:p>
          <w:p w14:paraId="2AC7227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（2）植株受害率≤3%。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482CC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（1）无明显有害生物危害状；</w:t>
            </w:r>
          </w:p>
          <w:p w14:paraId="18DD189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（2）植株受害率≤8%。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504A76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（1）无严重有害生物危害状；</w:t>
            </w:r>
          </w:p>
          <w:p w14:paraId="4E96F8C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（2）植株受害率≤10%。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0D1D1F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（1）无严重有害生物危害状；</w:t>
            </w:r>
          </w:p>
          <w:p w14:paraId="5C70C00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（2）植株受害率≤15%。</w:t>
            </w:r>
          </w:p>
        </w:tc>
      </w:tr>
      <w:tr w14:paraId="721DA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701710E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FF113DD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杂草覆盖率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E93CEF1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≤2%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776BC3C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≤5%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120049E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≤10%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45DEB6E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≤15%</w:t>
            </w:r>
          </w:p>
        </w:tc>
      </w:tr>
      <w:tr w14:paraId="47323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759491D6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5FABB128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补植完成时间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8B83375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≤2d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D9AE6DF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≤4d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A97CAE9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≤6d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C501494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≤8d</w:t>
            </w:r>
          </w:p>
        </w:tc>
      </w:tr>
    </w:tbl>
    <w:p w14:paraId="6BF3745D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75C3FB8F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表3-6                               草坪养护管理质量等级</w:t>
      </w:r>
    </w:p>
    <w:tbl>
      <w:tblPr>
        <w:tblStyle w:val="6"/>
        <w:tblW w:w="139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67"/>
        <w:gridCol w:w="3025"/>
        <w:gridCol w:w="3025"/>
        <w:gridCol w:w="3025"/>
        <w:gridCol w:w="3028"/>
      </w:tblGrid>
      <w:tr w14:paraId="6056C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8" w:type="dxa"/>
            <w:vMerge w:val="restart"/>
            <w:tcBorders>
              <w:tl2br w:val="nil"/>
              <w:tr2bl w:val="nil"/>
            </w:tcBorders>
            <w:vAlign w:val="center"/>
          </w:tcPr>
          <w:p w14:paraId="7A968CD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vAlign w:val="center"/>
          </w:tcPr>
          <w:p w14:paraId="7CA50F1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03" w:type="dxa"/>
            <w:gridSpan w:val="4"/>
            <w:tcBorders>
              <w:tl2br w:val="nil"/>
              <w:tr2bl w:val="nil"/>
            </w:tcBorders>
            <w:vAlign w:val="center"/>
          </w:tcPr>
          <w:p w14:paraId="63416F4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7B398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8" w:type="dxa"/>
            <w:vMerge w:val="continue"/>
            <w:tcBorders>
              <w:tl2br w:val="nil"/>
              <w:tr2bl w:val="nil"/>
            </w:tcBorders>
            <w:vAlign w:val="center"/>
          </w:tcPr>
          <w:p w14:paraId="7B83800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7ED4ADF7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4022D9F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140F93B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4A3CBC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0ACD260D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4B8E4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7FA6560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0C10086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5E1EA9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</w:t>
            </w:r>
          </w:p>
          <w:p w14:paraId="594A8DA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要求，平坦整洁；</w:t>
            </w:r>
          </w:p>
          <w:p w14:paraId="1C2860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）修剪后无残留草屑，剪口无焦</w:t>
            </w:r>
          </w:p>
          <w:p w14:paraId="5405817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枯、撕裂现象。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7244761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）成坪高度应符合GB/T18247.7要求，基本平整；</w:t>
            </w:r>
          </w:p>
          <w:p w14:paraId="4774261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）修剪后基本无残留草屑，剪口无明显撕裂现象。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4DE69F1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）成坪高度应符合GB/T18247.7要求，基本平整；</w:t>
            </w:r>
          </w:p>
          <w:p w14:paraId="23731C6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）修剪后基本无残留草屑，剪口基本无明显撕裂现象。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1215D22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）成坪高度应符合GB/T18247.7要求，基本平整；</w:t>
            </w:r>
          </w:p>
          <w:p w14:paraId="6A2C964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）修剪后基本无残留草屑，剪口基本无明显撕裂现象。</w:t>
            </w:r>
          </w:p>
        </w:tc>
      </w:tr>
      <w:tr w14:paraId="1FED6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B3E915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A59C923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1860F1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生长茂盛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EFDDB3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生长良好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BCFC27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</w:t>
            </w:r>
            <w:r>
              <w:rPr>
                <w:color w:val="000000"/>
                <w:kern w:val="0"/>
                <w:sz w:val="24"/>
                <w:highlight w:val="none"/>
              </w:rPr>
              <w:t>良好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2C6453B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</w:t>
            </w:r>
            <w:r>
              <w:rPr>
                <w:color w:val="000000"/>
                <w:kern w:val="0"/>
                <w:sz w:val="24"/>
                <w:highlight w:val="none"/>
              </w:rPr>
              <w:t>良好</w:t>
            </w:r>
          </w:p>
        </w:tc>
      </w:tr>
      <w:tr w14:paraId="6C6F2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2DF16A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7375B95F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65559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草坪无明显失水萎蔫现象。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134975A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草坪基本无失水萎蔫现象。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433244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草坪无明显失水萎蔫现象。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390413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草坪无明显失水萎蔫现象。</w:t>
            </w:r>
          </w:p>
        </w:tc>
      </w:tr>
      <w:tr w14:paraId="27DA8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EF5BD7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3472E37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68C0BB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）草坪草受害度≤</w:t>
            </w:r>
            <w:r>
              <w:rPr>
                <w:color w:val="000000"/>
                <w:kern w:val="0"/>
                <w:sz w:val="24"/>
                <w:highlight w:val="none"/>
              </w:rPr>
              <w:t>3%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35AB39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）无杂草。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4CA26F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）草坪草受害度≤6%；</w:t>
            </w:r>
          </w:p>
          <w:p w14:paraId="5A468DE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）杂草率不超过2%。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5FBFAB0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）草坪草受害度≤10%；</w:t>
            </w:r>
          </w:p>
          <w:p w14:paraId="5710A4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）杂草率不超过5%。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34781A0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）草坪草受害≤15%；</w:t>
            </w:r>
          </w:p>
          <w:p w14:paraId="7E8AA4A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）杂草率不超过10%。</w:t>
            </w:r>
          </w:p>
        </w:tc>
      </w:tr>
      <w:tr w14:paraId="5EA73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6C0FC3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3497CEF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绿色期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EEB106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冷季型草不低于300天，暖季型草不少于210天。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5AE0136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冷季型草不低于270天，暖季型草不少于180天。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61546EA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冷季型草不低于240天，暖季型草不少于160天。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7F2573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冷季型草不低于240天，暖季型</w:t>
            </w:r>
          </w:p>
          <w:p w14:paraId="5AD9553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草不少于160天。</w:t>
            </w:r>
          </w:p>
        </w:tc>
      </w:tr>
      <w:tr w14:paraId="17580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F1040F7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3D992DC1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覆盖率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87D1FC7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≥98%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338E6E4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≥95%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28FE8B40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≥90%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4830E899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≥80%</w:t>
            </w:r>
          </w:p>
        </w:tc>
      </w:tr>
      <w:tr w14:paraId="5C1A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629ACDE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27D98FC6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补植完成时间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606D7193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≤3d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61AAFBA7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≤5d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77851B0B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≤7d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486B6BFB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≤9d</w:t>
            </w:r>
          </w:p>
        </w:tc>
      </w:tr>
    </w:tbl>
    <w:p w14:paraId="7BF2585D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1B34D4A9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表3-7                            水生植物养护管理质量等级</w:t>
      </w:r>
    </w:p>
    <w:tbl>
      <w:tblPr>
        <w:tblStyle w:val="6"/>
        <w:tblW w:w="14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76"/>
        <w:gridCol w:w="3046"/>
        <w:gridCol w:w="3046"/>
        <w:gridCol w:w="3046"/>
        <w:gridCol w:w="3051"/>
      </w:tblGrid>
      <w:tr w14:paraId="2B2FC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 w14:paraId="54CF080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14:paraId="2573A39A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89" w:type="dxa"/>
            <w:gridSpan w:val="4"/>
            <w:tcBorders>
              <w:tl2br w:val="nil"/>
              <w:tr2bl w:val="nil"/>
            </w:tcBorders>
            <w:vAlign w:val="center"/>
          </w:tcPr>
          <w:p w14:paraId="6058011E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38A93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 w14:paraId="623BEFBC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 w14:paraId="3068DB0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1A6C227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573379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029A65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8DFB17E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6201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EB2709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E968D3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0B4B6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景观效果美观。无残花败叶漂浮。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FC16A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景观效果明显。基本无残花败叶漂浮。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A2D1B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景观效果明显。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F8D123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景观效果明显。</w:t>
            </w:r>
          </w:p>
        </w:tc>
      </w:tr>
      <w:tr w14:paraId="369D2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D3EDED0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FF6BDC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7DAA06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）植株生长健壮；</w:t>
            </w:r>
          </w:p>
          <w:p w14:paraId="4948830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）叶色正常；观花、观果植株正常开花结果；花开艳丽；</w:t>
            </w:r>
          </w:p>
          <w:p w14:paraId="7DD7AE2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）枯死植株≤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641361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）植株生长良好；</w:t>
            </w:r>
          </w:p>
          <w:p w14:paraId="1EC49F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）叶色正常；观花、观果植株正常开花结果；花色正常；</w:t>
            </w:r>
          </w:p>
          <w:p w14:paraId="7830126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）枯死植株小于≤</w:t>
            </w:r>
            <w:r>
              <w:rPr>
                <w:color w:val="000000"/>
                <w:kern w:val="0"/>
                <w:sz w:val="24"/>
                <w:highlight w:val="none"/>
              </w:rPr>
              <w:t>10%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73E30C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）植株生长基本正常；</w:t>
            </w:r>
          </w:p>
          <w:p w14:paraId="57E3751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）观花、观果植株正常开花结果；</w:t>
            </w:r>
          </w:p>
          <w:p w14:paraId="4C1042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）枯死植株小于≤1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26D81E2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）植株生长基本正常；</w:t>
            </w:r>
          </w:p>
          <w:p w14:paraId="4C0ABDC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 xml:space="preserve">）观花、观果植株正常开花结 </w:t>
            </w:r>
          </w:p>
          <w:p w14:paraId="53203B5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果；</w:t>
            </w:r>
          </w:p>
          <w:p w14:paraId="16903D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）枯死植株小于≤1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</w:tr>
      <w:tr w14:paraId="4082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714E42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781EB04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E219E1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</w:t>
            </w:r>
            <w:r>
              <w:rPr>
                <w:color w:val="000000"/>
                <w:kern w:val="0"/>
                <w:sz w:val="24"/>
                <w:highlight w:val="none"/>
              </w:rPr>
              <w:t>12h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AB9D31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暴雨后24</w:t>
            </w:r>
            <w:r>
              <w:rPr>
                <w:color w:val="000000"/>
                <w:kern w:val="0"/>
                <w:sz w:val="24"/>
                <w:highlight w:val="none"/>
              </w:rPr>
              <w:t>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5E2BAF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暴雨后36</w:t>
            </w:r>
            <w:r>
              <w:rPr>
                <w:color w:val="000000"/>
                <w:kern w:val="0"/>
                <w:sz w:val="24"/>
                <w:highlight w:val="none"/>
              </w:rPr>
              <w:t>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62B91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暴雨后48</w:t>
            </w:r>
            <w:r>
              <w:rPr>
                <w:color w:val="000000"/>
                <w:kern w:val="0"/>
                <w:sz w:val="24"/>
                <w:highlight w:val="none"/>
              </w:rPr>
              <w:t>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</w:tr>
      <w:tr w14:paraId="21F46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4A88EA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17555EB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D6DC32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基本无危害状，无杂草。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6E4A48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无明显危害状，无杂草。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C87DF7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无严重危害状。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393A38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无严重危害状。</w:t>
            </w:r>
          </w:p>
        </w:tc>
      </w:tr>
    </w:tbl>
    <w:p w14:paraId="374203D3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7A9979C2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表3-8                                 竹类养护管理质量等级</w:t>
      </w:r>
    </w:p>
    <w:tbl>
      <w:tblPr>
        <w:tblStyle w:val="6"/>
        <w:tblW w:w="140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74"/>
        <w:gridCol w:w="3042"/>
        <w:gridCol w:w="3042"/>
        <w:gridCol w:w="3042"/>
        <w:gridCol w:w="3046"/>
      </w:tblGrid>
      <w:tr w14:paraId="7CFD0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14:paraId="6CE10BF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 w14:paraId="1094488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72" w:type="dxa"/>
            <w:gridSpan w:val="4"/>
            <w:tcBorders>
              <w:tl2br w:val="nil"/>
              <w:tr2bl w:val="nil"/>
            </w:tcBorders>
            <w:vAlign w:val="center"/>
          </w:tcPr>
          <w:p w14:paraId="23AE9E5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2BBB9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vAlign w:val="center"/>
          </w:tcPr>
          <w:p w14:paraId="12F8F3AE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 w14:paraId="73A90F0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7B2A84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BEEAE1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E99A3A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729700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2EE39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565CC11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F682F5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AED58A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1E6FBB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2%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3F7A7D0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）有完整的林相。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91BD5A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1BE04C8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06E476E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）有完整的林相。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5B1C3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0FB420F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8%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0C60C31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）林相基本完整。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7287D9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676764A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10%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048CF6C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）林相基本完整。</w:t>
            </w:r>
          </w:p>
        </w:tc>
      </w:tr>
      <w:tr w14:paraId="1D6F5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6CCFEB0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7F78AB0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34742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）竹丛通风透光，植株生长健壮；</w:t>
            </w:r>
          </w:p>
          <w:p w14:paraId="6FD9AE8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）新、老竹生长比例适当；</w:t>
            </w:r>
          </w:p>
          <w:p w14:paraId="0D0929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）竹鞭无裸露。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38B6B7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）竹丛通风透光，植株生长良好；</w:t>
            </w:r>
          </w:p>
          <w:p w14:paraId="06A6E0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）新、老竹生长比例基本适当；</w:t>
            </w:r>
          </w:p>
          <w:p w14:paraId="4B07AB9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）竹鞭基本无裸露。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04DA06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）植株生长良好；</w:t>
            </w:r>
          </w:p>
          <w:p w14:paraId="3D0FA1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）竹鞭无明显裸露。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BB7796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）植株生长良好；</w:t>
            </w:r>
          </w:p>
          <w:p w14:paraId="68B907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）竹鞭无明显裸露。</w:t>
            </w:r>
          </w:p>
        </w:tc>
      </w:tr>
      <w:tr w14:paraId="2290E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53CADC1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8698FA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4B9EA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植株无失水萎蔫现象。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B6D520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植株基本不出现失水萎蔫现象。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4BF0CC8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植株失水萎蔫现象</w:t>
            </w:r>
            <w:r>
              <w:rPr>
                <w:color w:val="000000"/>
                <w:kern w:val="0"/>
                <w:sz w:val="24"/>
                <w:highlight w:val="none"/>
              </w:rPr>
              <w:t>1d~2d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内消除。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FE440A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植株失水萎蔫现象</w:t>
            </w:r>
            <w:r>
              <w:rPr>
                <w:color w:val="000000"/>
                <w:kern w:val="0"/>
                <w:sz w:val="24"/>
                <w:highlight w:val="none"/>
              </w:rPr>
              <w:t>1d~2d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内消除。</w:t>
            </w:r>
          </w:p>
        </w:tc>
      </w:tr>
      <w:tr w14:paraId="4029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2C8909D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04AEF5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5CBE6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）基本无危害状；</w:t>
            </w:r>
          </w:p>
          <w:p w14:paraId="2A546C1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3C3B6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）无明显危害状；</w:t>
            </w:r>
          </w:p>
          <w:p w14:paraId="062BE8B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8%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D8A8B3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）无严重危害状；</w:t>
            </w:r>
          </w:p>
          <w:p w14:paraId="270BB0A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10%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6857B5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）无严重危害状；</w:t>
            </w:r>
          </w:p>
          <w:p w14:paraId="49D9B60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15%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</w:tr>
    </w:tbl>
    <w:p w14:paraId="0C7B2C73">
      <w:pPr>
        <w:pStyle w:val="4"/>
        <w:spacing w:line="360" w:lineRule="auto"/>
        <w:ind w:firstLine="0"/>
        <w:rPr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 w14:paraId="6C64F823">
      <w:pPr>
        <w:tabs>
          <w:tab w:val="left" w:pos="360"/>
          <w:tab w:val="left" w:pos="900"/>
        </w:tabs>
        <w:snapToGrid w:val="0"/>
        <w:spacing w:line="360" w:lineRule="auto"/>
        <w:jc w:val="left"/>
        <w:outlineLvl w:val="1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四、项目服务期及最高限价</w:t>
      </w:r>
    </w:p>
    <w:p w14:paraId="7890580A">
      <w:pPr>
        <w:pStyle w:val="9"/>
        <w:spacing w:after="0"/>
        <w:ind w:firstLine="0" w:firstLineChars="0"/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服务期：自合同签订之日起一年</w:t>
      </w:r>
      <w:bookmarkStart w:id="15" w:name="_GoBack"/>
      <w:bookmarkEnd w:id="15"/>
    </w:p>
    <w:p w14:paraId="548E6541">
      <w:pPr>
        <w:pStyle w:val="9"/>
        <w:spacing w:after="0"/>
        <w:ind w:firstLine="0" w:firstLineChars="0"/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最高限价：491.764660万元</w:t>
      </w:r>
    </w:p>
    <w:p w14:paraId="3E11C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803D3"/>
    <w:multiLevelType w:val="multilevel"/>
    <w:tmpl w:val="75F803D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6-正文"/>
    <w:basedOn w:val="1"/>
    <w:autoRedefine/>
    <w:qFormat/>
    <w:uiPriority w:val="0"/>
    <w:pPr>
      <w:widowControl/>
      <w:spacing w:after="160" w:line="360" w:lineRule="auto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2025-08-25T01:37:01Z</dcterms:created>
  <dc:creator>YZ</dc:creator>
  <cp:lastModifiedBy>搁浅的流年</cp:lastModifiedBy>
  <dcterms:modified xsi:type="dcterms:W3CDTF">2025-08-25T01:37:44Z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eyJoZGlkIjoiZDgxMmVkZTc3N2I3MTE3NzdmOWRkZjJjNDM1OGQxNmYiLCJ1c2VySWQiOiI3ODM1NTczMjgifQ==</vt:lpwstr>
  </property>
  <property fmtid="{D5CDD505-2E9C-101B-9397-08002B2CF9AE}" pid="4" name="ICV">
    <vt:lpwstr>53E7A630A6F848B2A66F62E7A473A6C2_12</vt:lpwstr>
  </property>
</Properties>
</file>