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9EDAB8">
      <w:pPr>
        <w:spacing w:line="360" w:lineRule="auto"/>
        <w:jc w:val="center"/>
        <w:outlineLvl w:val="0"/>
        <w:rPr>
          <w:b/>
          <w:sz w:val="36"/>
          <w:szCs w:val="36"/>
        </w:rPr>
      </w:pPr>
      <w:r>
        <w:rPr>
          <w:b/>
          <w:sz w:val="36"/>
          <w:szCs w:val="36"/>
        </w:rPr>
        <w:t>采购需求</w:t>
      </w:r>
    </w:p>
    <w:p w14:paraId="0B9AD096">
      <w:pPr>
        <w:spacing w:line="360" w:lineRule="auto"/>
        <w:contextualSpacing/>
        <w:rPr>
          <w:sz w:val="24"/>
        </w:rPr>
      </w:pPr>
    </w:p>
    <w:p w14:paraId="1E53523F">
      <w:pPr>
        <w:pStyle w:val="7"/>
        <w:spacing w:line="360" w:lineRule="auto"/>
        <w:ind w:left="500" w:hanging="500" w:firstLineChars="0"/>
        <w:contextualSpacing/>
        <w:rPr>
          <w:rFonts w:ascii="Times New Roman" w:hAnsi="Times New Roman"/>
          <w:b/>
          <w:sz w:val="24"/>
          <w:szCs w:val="24"/>
        </w:rPr>
      </w:pPr>
      <w:r>
        <w:rPr>
          <w:rFonts w:ascii="Times New Roman" w:hAnsi="Times New Roman"/>
          <w:b/>
          <w:sz w:val="24"/>
          <w:szCs w:val="24"/>
        </w:rPr>
        <w:t>一、采购标的</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2"/>
        <w:gridCol w:w="3367"/>
        <w:gridCol w:w="1963"/>
      </w:tblGrid>
      <w:tr w14:paraId="74899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exact"/>
          <w:jc w:val="center"/>
        </w:trPr>
        <w:tc>
          <w:tcPr>
            <w:tcW w:w="1232" w:type="dxa"/>
            <w:noWrap w:val="0"/>
            <w:vAlign w:val="center"/>
          </w:tcPr>
          <w:p w14:paraId="5C9EF526">
            <w:pPr>
              <w:jc w:val="center"/>
              <w:rPr>
                <w:rFonts w:ascii="宋体"/>
                <w:b/>
                <w:bCs/>
                <w:kern w:val="0"/>
                <w:sz w:val="24"/>
              </w:rPr>
            </w:pPr>
            <w:r>
              <w:rPr>
                <w:rFonts w:hint="eastAsia" w:ascii="宋体" w:hAnsi="宋体" w:cs="宋体"/>
                <w:b/>
                <w:bCs/>
                <w:kern w:val="0"/>
                <w:sz w:val="24"/>
              </w:rPr>
              <w:t>包号</w:t>
            </w:r>
          </w:p>
        </w:tc>
        <w:tc>
          <w:tcPr>
            <w:tcW w:w="3367" w:type="dxa"/>
            <w:noWrap w:val="0"/>
            <w:vAlign w:val="center"/>
          </w:tcPr>
          <w:p w14:paraId="39410B00">
            <w:pPr>
              <w:widowControl/>
              <w:jc w:val="center"/>
              <w:rPr>
                <w:rFonts w:ascii="宋体"/>
                <w:b/>
                <w:bCs/>
                <w:kern w:val="0"/>
                <w:sz w:val="24"/>
              </w:rPr>
            </w:pPr>
            <w:r>
              <w:rPr>
                <w:rFonts w:hint="eastAsia" w:ascii="宋体" w:hAnsi="宋体" w:cs="宋体"/>
                <w:b/>
                <w:bCs/>
                <w:kern w:val="0"/>
                <w:sz w:val="24"/>
              </w:rPr>
              <w:t>采购内容</w:t>
            </w:r>
          </w:p>
        </w:tc>
        <w:tc>
          <w:tcPr>
            <w:tcW w:w="1963" w:type="dxa"/>
            <w:noWrap w:val="0"/>
            <w:vAlign w:val="center"/>
          </w:tcPr>
          <w:p w14:paraId="3F90CE4D">
            <w:pPr>
              <w:widowControl/>
              <w:jc w:val="center"/>
              <w:rPr>
                <w:rFonts w:ascii="宋体"/>
                <w:b/>
                <w:bCs/>
                <w:kern w:val="0"/>
                <w:sz w:val="24"/>
              </w:rPr>
            </w:pPr>
            <w:r>
              <w:rPr>
                <w:rFonts w:hint="eastAsia" w:ascii="宋体" w:hAnsi="宋体" w:cs="宋体"/>
                <w:b/>
                <w:bCs/>
                <w:kern w:val="0"/>
                <w:sz w:val="24"/>
              </w:rPr>
              <w:t>数量</w:t>
            </w:r>
          </w:p>
        </w:tc>
      </w:tr>
      <w:tr w14:paraId="31E81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jc w:val="center"/>
        </w:trPr>
        <w:tc>
          <w:tcPr>
            <w:tcW w:w="1232" w:type="dxa"/>
            <w:noWrap w:val="0"/>
            <w:vAlign w:val="center"/>
          </w:tcPr>
          <w:p w14:paraId="3C9AB25D">
            <w:pPr>
              <w:spacing w:before="120" w:beforeLines="50" w:line="360" w:lineRule="auto"/>
              <w:jc w:val="center"/>
              <w:rPr>
                <w:rFonts w:hint="eastAsia" w:ascii="宋体" w:hAnsi="宋体" w:cs="宋体"/>
                <w:sz w:val="24"/>
              </w:rPr>
            </w:pPr>
            <w:r>
              <w:rPr>
                <w:rFonts w:hint="eastAsia" w:ascii="宋体" w:hAnsi="宋体" w:cs="宋体"/>
                <w:sz w:val="24"/>
              </w:rPr>
              <w:t>02</w:t>
            </w:r>
          </w:p>
        </w:tc>
        <w:tc>
          <w:tcPr>
            <w:tcW w:w="3367" w:type="dxa"/>
            <w:noWrap w:val="0"/>
            <w:vAlign w:val="center"/>
          </w:tcPr>
          <w:p w14:paraId="4CA0B947">
            <w:pPr>
              <w:widowControl/>
              <w:jc w:val="center"/>
              <w:textAlignment w:val="center"/>
              <w:rPr>
                <w:rFonts w:hint="eastAsia" w:ascii="宋体" w:hAnsi="宋体" w:cs="宋体"/>
                <w:bCs/>
                <w:sz w:val="24"/>
              </w:rPr>
            </w:pPr>
            <w:r>
              <w:rPr>
                <w:rFonts w:hint="eastAsia" w:ascii="宋体" w:hAnsi="宋体" w:cs="宋体"/>
                <w:bCs/>
                <w:sz w:val="24"/>
              </w:rPr>
              <w:t>云资源及网络安全服务项目</w:t>
            </w:r>
          </w:p>
        </w:tc>
        <w:tc>
          <w:tcPr>
            <w:tcW w:w="1963" w:type="dxa"/>
            <w:noWrap w:val="0"/>
            <w:vAlign w:val="center"/>
          </w:tcPr>
          <w:p w14:paraId="6D7EB008">
            <w:pPr>
              <w:pStyle w:val="8"/>
              <w:spacing w:before="50"/>
              <w:jc w:val="center"/>
              <w:rPr>
                <w:rFonts w:ascii="宋体"/>
                <w:sz w:val="24"/>
              </w:rPr>
            </w:pPr>
            <w:r>
              <w:rPr>
                <w:rFonts w:hint="eastAsia" w:ascii="宋体"/>
                <w:sz w:val="24"/>
              </w:rPr>
              <w:t>1项</w:t>
            </w:r>
          </w:p>
        </w:tc>
      </w:tr>
    </w:tbl>
    <w:p w14:paraId="5F44D74A">
      <w:pPr>
        <w:pStyle w:val="7"/>
        <w:spacing w:line="360" w:lineRule="auto"/>
        <w:ind w:left="499" w:hanging="499" w:firstLineChars="0"/>
        <w:contextualSpacing/>
        <w:rPr>
          <w:rFonts w:ascii="Times New Roman" w:hAnsi="Times New Roman"/>
          <w:b/>
          <w:sz w:val="24"/>
          <w:szCs w:val="24"/>
        </w:rPr>
      </w:pPr>
    </w:p>
    <w:p w14:paraId="15E03728">
      <w:pPr>
        <w:pStyle w:val="7"/>
        <w:spacing w:line="500" w:lineRule="exact"/>
        <w:ind w:left="499" w:hanging="499" w:firstLineChars="0"/>
        <w:contextualSpacing/>
        <w:rPr>
          <w:rFonts w:ascii="Times New Roman" w:hAnsi="Times New Roman"/>
          <w:b/>
          <w:sz w:val="24"/>
          <w:szCs w:val="24"/>
        </w:rPr>
      </w:pPr>
      <w:r>
        <w:rPr>
          <w:rFonts w:ascii="Times New Roman" w:hAnsi="Times New Roman"/>
          <w:b/>
          <w:sz w:val="24"/>
          <w:szCs w:val="24"/>
        </w:rPr>
        <w:t>二、商务要求</w:t>
      </w:r>
    </w:p>
    <w:p w14:paraId="492DC1F5">
      <w:pPr>
        <w:spacing w:line="500" w:lineRule="exact"/>
        <w:contextualSpacing/>
        <w:rPr>
          <w:i/>
          <w:sz w:val="24"/>
        </w:rPr>
      </w:pPr>
      <w:r>
        <w:rPr>
          <w:sz w:val="24"/>
        </w:rPr>
        <w:t>1.实施的期限和地点</w:t>
      </w:r>
    </w:p>
    <w:p w14:paraId="3041A0E6">
      <w:pPr>
        <w:pStyle w:val="4"/>
        <w:spacing w:line="500" w:lineRule="exact"/>
        <w:jc w:val="both"/>
        <w:outlineLvl w:val="9"/>
        <w:rPr>
          <w:rFonts w:hint="eastAsia" w:ascii="宋体" w:hAnsi="宋体" w:cs="宋体"/>
          <w:b w:val="0"/>
          <w:color w:val="000000"/>
          <w:sz w:val="24"/>
          <w:szCs w:val="24"/>
        </w:rPr>
      </w:pPr>
      <w:bookmarkStart w:id="0" w:name="_Toc27148"/>
      <w:r>
        <w:rPr>
          <w:rFonts w:ascii="宋体" w:hAnsi="宋体" w:cs="宋体"/>
          <w:b w:val="0"/>
          <w:sz w:val="24"/>
          <w:szCs w:val="24"/>
        </w:rPr>
        <w:t>1.</w:t>
      </w:r>
      <w:r>
        <w:rPr>
          <w:rFonts w:hint="eastAsia" w:ascii="宋体" w:hAnsi="宋体" w:cs="宋体"/>
          <w:b w:val="0"/>
          <w:sz w:val="24"/>
          <w:szCs w:val="24"/>
        </w:rPr>
        <w:t>1采购项目（标的）实施的时间：</w:t>
      </w:r>
      <w:bookmarkEnd w:id="0"/>
      <w:r>
        <w:rPr>
          <w:rFonts w:hint="eastAsia" w:ascii="宋体" w:hAnsi="宋体" w:cs="宋体"/>
          <w:b w:val="0"/>
          <w:sz w:val="24"/>
          <w:szCs w:val="24"/>
        </w:rPr>
        <w:t>建设周期3个月之内，服务周期为自建设完成投入使用起</w:t>
      </w:r>
      <w:r>
        <w:rPr>
          <w:rFonts w:hint="eastAsia" w:ascii="宋体" w:hAnsi="宋体" w:cs="宋体"/>
          <w:b w:val="0"/>
          <w:sz w:val="24"/>
          <w:szCs w:val="24"/>
          <w:lang w:val="en-US" w:eastAsia="zh-CN"/>
        </w:rPr>
        <w:t>3</w:t>
      </w:r>
      <w:r>
        <w:rPr>
          <w:rFonts w:hint="eastAsia" w:ascii="宋体" w:hAnsi="宋体" w:cs="宋体"/>
          <w:b w:val="0"/>
          <w:sz w:val="24"/>
          <w:szCs w:val="24"/>
        </w:rPr>
        <w:t>年。</w:t>
      </w:r>
    </w:p>
    <w:p w14:paraId="64351375">
      <w:pPr>
        <w:pStyle w:val="4"/>
        <w:tabs>
          <w:tab w:val="left" w:pos="0"/>
        </w:tabs>
        <w:spacing w:line="500" w:lineRule="exact"/>
        <w:jc w:val="both"/>
        <w:outlineLvl w:val="9"/>
        <w:rPr>
          <w:i/>
          <w:sz w:val="24"/>
        </w:rPr>
      </w:pPr>
      <w:bookmarkStart w:id="1" w:name="_Toc6283"/>
      <w:r>
        <w:rPr>
          <w:rFonts w:hint="eastAsia" w:ascii="宋体" w:hAnsi="宋体" w:cs="宋体"/>
          <w:b w:val="0"/>
          <w:sz w:val="24"/>
          <w:szCs w:val="24"/>
        </w:rPr>
        <w:t>1.</w:t>
      </w:r>
      <w:r>
        <w:rPr>
          <w:rFonts w:ascii="宋体" w:hAnsi="宋体" w:cs="宋体"/>
          <w:b w:val="0"/>
          <w:sz w:val="24"/>
          <w:szCs w:val="24"/>
        </w:rPr>
        <w:t>2</w:t>
      </w:r>
      <w:r>
        <w:rPr>
          <w:rFonts w:hint="eastAsia" w:ascii="宋体" w:hAnsi="宋体" w:cs="宋体"/>
          <w:b w:val="0"/>
          <w:sz w:val="24"/>
          <w:szCs w:val="24"/>
        </w:rPr>
        <w:t>采购项目（标的）实施的地点：北京市门头沟区卫生健康委员会指定地点</w:t>
      </w:r>
      <w:bookmarkEnd w:id="1"/>
    </w:p>
    <w:p w14:paraId="158583A3">
      <w:pPr>
        <w:spacing w:line="500" w:lineRule="exact"/>
        <w:contextualSpacing/>
        <w:rPr>
          <w:sz w:val="24"/>
        </w:rPr>
      </w:pPr>
      <w:r>
        <w:rPr>
          <w:sz w:val="24"/>
        </w:rPr>
        <w:t>2.付款条件（进度和方式）</w:t>
      </w:r>
    </w:p>
    <w:p w14:paraId="66B290A0">
      <w:pPr>
        <w:spacing w:line="500" w:lineRule="exact"/>
        <w:contextualSpacing/>
        <w:rPr>
          <w:bCs/>
          <w:iCs/>
          <w:sz w:val="24"/>
        </w:rPr>
      </w:pPr>
      <w:r>
        <w:rPr>
          <w:rFonts w:hint="eastAsia" w:ascii="宋体" w:hAnsi="宋体" w:cs="宋体"/>
          <w:sz w:val="24"/>
        </w:rPr>
        <w:t>详见“拟签订的合同文本”。</w:t>
      </w:r>
    </w:p>
    <w:p w14:paraId="5FD6EC84">
      <w:pPr>
        <w:pStyle w:val="7"/>
        <w:spacing w:line="500" w:lineRule="exact"/>
        <w:ind w:firstLine="0" w:firstLineChars="0"/>
        <w:contextualSpacing/>
        <w:rPr>
          <w:rFonts w:ascii="Times New Roman" w:hAnsi="Times New Roman"/>
          <w:b/>
          <w:sz w:val="24"/>
          <w:szCs w:val="24"/>
        </w:rPr>
      </w:pPr>
    </w:p>
    <w:p w14:paraId="41AAB51A">
      <w:pPr>
        <w:pStyle w:val="7"/>
        <w:spacing w:line="360" w:lineRule="auto"/>
        <w:ind w:left="500" w:hanging="500" w:firstLineChars="0"/>
        <w:contextualSpacing/>
        <w:rPr>
          <w:rFonts w:ascii="Times New Roman" w:hAnsi="Times New Roman"/>
          <w:b/>
          <w:sz w:val="24"/>
          <w:szCs w:val="24"/>
        </w:rPr>
      </w:pPr>
      <w:r>
        <w:rPr>
          <w:rFonts w:ascii="Times New Roman" w:hAnsi="Times New Roman"/>
          <w:b/>
          <w:sz w:val="24"/>
          <w:szCs w:val="24"/>
        </w:rPr>
        <w:t>三、技术要求</w:t>
      </w:r>
    </w:p>
    <w:p w14:paraId="30452B52">
      <w:pPr>
        <w:spacing w:line="360" w:lineRule="auto"/>
        <w:contextualSpacing/>
        <w:rPr>
          <w:sz w:val="24"/>
        </w:rPr>
      </w:pPr>
      <w:r>
        <w:rPr>
          <w:sz w:val="24"/>
        </w:rPr>
        <w:t>1.基本要求</w:t>
      </w:r>
    </w:p>
    <w:p w14:paraId="0B2BEDA8">
      <w:pPr>
        <w:spacing w:line="360" w:lineRule="auto"/>
        <w:contextualSpacing/>
        <w:rPr>
          <w:sz w:val="24"/>
        </w:rPr>
      </w:pPr>
      <w:r>
        <w:rPr>
          <w:sz w:val="24"/>
        </w:rPr>
        <w:t>1.1采购标的需实现的功能或者目标</w:t>
      </w:r>
    </w:p>
    <w:p w14:paraId="17B62B86">
      <w:pPr>
        <w:spacing w:line="360" w:lineRule="auto"/>
        <w:ind w:firstLine="480" w:firstLineChars="200"/>
        <w:jc w:val="left"/>
        <w:rPr>
          <w:rFonts w:ascii="宋体"/>
          <w:sz w:val="24"/>
        </w:rPr>
      </w:pPr>
      <w:r>
        <w:rPr>
          <w:rFonts w:hint="eastAsia"/>
          <w:sz w:val="24"/>
        </w:rPr>
        <w:t>本次招标采购是为</w:t>
      </w:r>
      <w:r>
        <w:rPr>
          <w:rFonts w:hint="eastAsia" w:ascii="宋体" w:hAnsi="宋体" w:cs="宋体"/>
          <w:sz w:val="24"/>
        </w:rPr>
        <w:t>北京市门头沟区卫生健康委员会</w:t>
      </w:r>
      <w:r>
        <w:rPr>
          <w:rFonts w:hint="eastAsia"/>
          <w:sz w:val="24"/>
        </w:rPr>
        <w:t>提供信息化平台建设相关服务，供应商应根据招标文件所提出的技术规格和服务要求以先进的技术、优良的服务和优惠的价格，充分显示自己的竞争实力。</w:t>
      </w:r>
    </w:p>
    <w:p w14:paraId="347A7101">
      <w:pPr>
        <w:pStyle w:val="9"/>
        <w:numPr>
          <w:ilvl w:val="1"/>
          <w:numId w:val="0"/>
        </w:numPr>
        <w:tabs>
          <w:tab w:val="left" w:pos="1101"/>
        </w:tabs>
        <w:spacing w:line="360" w:lineRule="auto"/>
        <w:ind w:firstLine="480" w:firstLineChars="200"/>
        <w:rPr>
          <w:sz w:val="24"/>
        </w:rPr>
      </w:pPr>
      <w:r>
        <w:rPr>
          <w:rFonts w:hint="eastAsia"/>
          <w:sz w:val="24"/>
          <w:szCs w:val="24"/>
        </w:rPr>
        <w:t>1.2</w:t>
      </w:r>
      <w:r>
        <w:rPr>
          <w:rFonts w:hint="eastAsia"/>
          <w:sz w:val="24"/>
        </w:rPr>
        <w:t>需执行的国家相关标准、行业标准、地方标准或者其他标准、规范</w:t>
      </w:r>
    </w:p>
    <w:p w14:paraId="6C5479A9">
      <w:pPr>
        <w:pStyle w:val="2"/>
        <w:spacing w:before="0" w:line="360" w:lineRule="auto"/>
        <w:ind w:firstLine="480" w:firstLineChars="200"/>
        <w:rPr>
          <w:rFonts w:hint="eastAsia"/>
        </w:rPr>
      </w:pPr>
      <w:r>
        <w:rPr>
          <w:rFonts w:hint="eastAsia"/>
        </w:rPr>
        <w:t>供应商应保证所提供的服务符合国家相关法律法规的要求。</w:t>
      </w:r>
    </w:p>
    <w:p w14:paraId="3FA11066">
      <w:pPr>
        <w:pStyle w:val="9"/>
        <w:tabs>
          <w:tab w:val="left" w:pos="470"/>
        </w:tabs>
        <w:spacing w:line="360" w:lineRule="auto"/>
        <w:ind w:firstLine="480"/>
        <w:rPr>
          <w:sz w:val="24"/>
        </w:rPr>
      </w:pPr>
      <w:r>
        <w:rPr>
          <w:rFonts w:hint="eastAsia"/>
          <w:sz w:val="24"/>
          <w:szCs w:val="24"/>
        </w:rPr>
        <w:t>2.</w:t>
      </w:r>
      <w:r>
        <w:rPr>
          <w:rFonts w:hint="eastAsia"/>
          <w:sz w:val="24"/>
        </w:rPr>
        <w:t>验收标准</w:t>
      </w:r>
    </w:p>
    <w:p w14:paraId="5034450B">
      <w:pPr>
        <w:pStyle w:val="4"/>
        <w:spacing w:line="360" w:lineRule="auto"/>
        <w:ind w:firstLine="480" w:firstLineChars="200"/>
        <w:jc w:val="both"/>
        <w:outlineLvl w:val="9"/>
        <w:rPr>
          <w:b w:val="0"/>
          <w:sz w:val="24"/>
          <w:szCs w:val="24"/>
        </w:rPr>
      </w:pPr>
      <w:bookmarkStart w:id="2" w:name="_Toc22918"/>
      <w:bookmarkStart w:id="3" w:name="_Toc28261"/>
      <w:bookmarkStart w:id="4" w:name="_Toc4955"/>
      <w:r>
        <w:rPr>
          <w:rFonts w:hint="eastAsia"/>
          <w:b w:val="0"/>
          <w:sz w:val="24"/>
          <w:szCs w:val="24"/>
        </w:rPr>
        <w:t>2.1符合采购人服务范围要求。</w:t>
      </w:r>
      <w:bookmarkEnd w:id="2"/>
      <w:bookmarkEnd w:id="3"/>
      <w:bookmarkEnd w:id="4"/>
    </w:p>
    <w:p w14:paraId="3D6F3764">
      <w:pPr>
        <w:pStyle w:val="4"/>
        <w:spacing w:line="360" w:lineRule="auto"/>
        <w:ind w:firstLine="480" w:firstLineChars="200"/>
        <w:jc w:val="both"/>
        <w:outlineLvl w:val="9"/>
        <w:rPr>
          <w:b w:val="0"/>
          <w:sz w:val="24"/>
          <w:szCs w:val="24"/>
        </w:rPr>
      </w:pPr>
      <w:bookmarkStart w:id="5" w:name="_Toc8142"/>
      <w:bookmarkStart w:id="6" w:name="_Toc24188"/>
      <w:bookmarkStart w:id="7" w:name="_Toc21148"/>
      <w:r>
        <w:rPr>
          <w:rFonts w:hint="eastAsia"/>
          <w:b w:val="0"/>
          <w:sz w:val="24"/>
          <w:szCs w:val="24"/>
        </w:rPr>
        <w:t>2.2供应商配置的硬件设备符合采购人要求。</w:t>
      </w:r>
      <w:bookmarkEnd w:id="5"/>
      <w:bookmarkEnd w:id="6"/>
      <w:bookmarkEnd w:id="7"/>
    </w:p>
    <w:p w14:paraId="3F69D9B3">
      <w:pPr>
        <w:pStyle w:val="4"/>
        <w:spacing w:line="360" w:lineRule="auto"/>
        <w:ind w:firstLine="480" w:firstLineChars="200"/>
        <w:jc w:val="both"/>
        <w:outlineLvl w:val="9"/>
        <w:rPr>
          <w:b w:val="0"/>
          <w:sz w:val="24"/>
          <w:szCs w:val="24"/>
        </w:rPr>
      </w:pPr>
      <w:bookmarkStart w:id="8" w:name="_Toc26582"/>
      <w:bookmarkStart w:id="9" w:name="_Toc2456"/>
      <w:bookmarkStart w:id="10" w:name="_Toc6189"/>
      <w:r>
        <w:rPr>
          <w:rFonts w:hint="eastAsia"/>
          <w:b w:val="0"/>
          <w:sz w:val="24"/>
          <w:szCs w:val="24"/>
        </w:rPr>
        <w:t>2.3完成采购人要求的工作内容。</w:t>
      </w:r>
      <w:bookmarkEnd w:id="8"/>
      <w:bookmarkEnd w:id="9"/>
      <w:bookmarkEnd w:id="10"/>
    </w:p>
    <w:p w14:paraId="7D260677">
      <w:pPr>
        <w:pStyle w:val="2"/>
        <w:spacing w:before="0" w:line="360" w:lineRule="auto"/>
        <w:ind w:firstLine="480" w:firstLineChars="200"/>
        <w:rPr>
          <w:rFonts w:hint="eastAsia"/>
        </w:rPr>
      </w:pPr>
      <w:r>
        <w:rPr>
          <w:rFonts w:hint="eastAsia"/>
        </w:rPr>
        <w:t>2.4达到采购人要求的服务和质量标准。</w:t>
      </w:r>
    </w:p>
    <w:p w14:paraId="45AD01D7">
      <w:pPr>
        <w:pStyle w:val="9"/>
        <w:tabs>
          <w:tab w:val="left" w:pos="470"/>
        </w:tabs>
        <w:spacing w:line="360" w:lineRule="auto"/>
        <w:ind w:firstLine="480"/>
        <w:rPr>
          <w:sz w:val="24"/>
        </w:rPr>
      </w:pPr>
      <w:r>
        <w:rPr>
          <w:rFonts w:hint="eastAsia"/>
          <w:sz w:val="24"/>
        </w:rPr>
        <w:t>3.服务内容及要求/货物技术要求</w:t>
      </w:r>
    </w:p>
    <w:p w14:paraId="465B3FF0">
      <w:pPr>
        <w:pStyle w:val="9"/>
        <w:numPr>
          <w:ilvl w:val="1"/>
          <w:numId w:val="0"/>
        </w:numPr>
        <w:tabs>
          <w:tab w:val="left" w:pos="1041"/>
        </w:tabs>
        <w:spacing w:line="360" w:lineRule="auto"/>
        <w:ind w:firstLine="480" w:firstLineChars="200"/>
        <w:rPr>
          <w:sz w:val="24"/>
        </w:rPr>
      </w:pPr>
      <w:r>
        <w:rPr>
          <w:rFonts w:hint="eastAsia"/>
          <w:sz w:val="24"/>
        </w:rPr>
        <w:t>3.1采购标的需满足的性能、材料、结构、外观、质量、安全、技术规格、物理特性等要求</w:t>
      </w:r>
    </w:p>
    <w:p w14:paraId="11781297">
      <w:pPr>
        <w:pStyle w:val="9"/>
        <w:tabs>
          <w:tab w:val="left" w:pos="1041"/>
        </w:tabs>
        <w:spacing w:line="360" w:lineRule="auto"/>
        <w:ind w:firstLine="480"/>
        <w:rPr>
          <w:sz w:val="24"/>
        </w:rPr>
      </w:pPr>
      <w:r>
        <w:rPr>
          <w:rFonts w:hint="eastAsia"/>
          <w:sz w:val="24"/>
        </w:rPr>
        <w:t>详见其他技术、服务等要求</w:t>
      </w:r>
    </w:p>
    <w:p w14:paraId="2457EEF4">
      <w:pPr>
        <w:pStyle w:val="9"/>
        <w:numPr>
          <w:ilvl w:val="1"/>
          <w:numId w:val="0"/>
        </w:numPr>
        <w:tabs>
          <w:tab w:val="left" w:pos="1041"/>
        </w:tabs>
        <w:spacing w:line="360" w:lineRule="auto"/>
        <w:ind w:firstLine="480" w:firstLineChars="200"/>
        <w:rPr>
          <w:sz w:val="24"/>
        </w:rPr>
      </w:pPr>
      <w:r>
        <w:rPr>
          <w:rFonts w:hint="eastAsia"/>
          <w:sz w:val="24"/>
        </w:rPr>
        <w:t>3.2采购标的需满足的服务标准、期限、效率等要求</w:t>
      </w:r>
    </w:p>
    <w:p w14:paraId="3CC1DDFA">
      <w:pPr>
        <w:pStyle w:val="9"/>
        <w:tabs>
          <w:tab w:val="left" w:pos="1041"/>
        </w:tabs>
        <w:spacing w:line="360" w:lineRule="auto"/>
        <w:ind w:firstLine="480"/>
        <w:rPr>
          <w:sz w:val="24"/>
        </w:rPr>
      </w:pPr>
      <w:r>
        <w:rPr>
          <w:rFonts w:hint="eastAsia"/>
          <w:sz w:val="24"/>
        </w:rPr>
        <w:t>详见其他技术、服务等要求</w:t>
      </w:r>
    </w:p>
    <w:p w14:paraId="5144F1CE">
      <w:pPr>
        <w:pStyle w:val="9"/>
        <w:numPr>
          <w:ilvl w:val="1"/>
          <w:numId w:val="0"/>
        </w:numPr>
        <w:tabs>
          <w:tab w:val="left" w:pos="1041"/>
        </w:tabs>
        <w:spacing w:line="360" w:lineRule="auto"/>
        <w:ind w:firstLine="480" w:firstLineChars="200"/>
        <w:rPr>
          <w:sz w:val="24"/>
        </w:rPr>
      </w:pPr>
      <w:r>
        <w:rPr>
          <w:rFonts w:hint="eastAsia"/>
          <w:sz w:val="24"/>
        </w:rPr>
        <w:t>3.3为落实政府采</w:t>
      </w:r>
      <w:r>
        <w:rPr>
          <w:sz w:val="24"/>
        </w:rPr>
        <w:t>购政策需满足的要求</w:t>
      </w:r>
      <w:r>
        <w:rPr>
          <w:rFonts w:hint="eastAsia"/>
          <w:b/>
          <w:bCs/>
          <w:sz w:val="24"/>
        </w:rPr>
        <w:t>（专门面向中小企业采购或预留份额的情况不享受政策优惠扣除）</w:t>
      </w:r>
    </w:p>
    <w:p w14:paraId="69C621D4">
      <w:pPr>
        <w:tabs>
          <w:tab w:val="left" w:pos="900"/>
        </w:tabs>
        <w:spacing w:line="360" w:lineRule="auto"/>
        <w:ind w:firstLine="480" w:firstLineChars="200"/>
        <w:rPr>
          <w:sz w:val="24"/>
        </w:rPr>
      </w:pPr>
      <w:r>
        <w:rPr>
          <w:rFonts w:hint="eastAsia"/>
          <w:sz w:val="24"/>
        </w:rPr>
        <w:t>1）促进中小企业发展政策：根据《政府采购促进中小企业发展管理办法》的通知（财库〔</w:t>
      </w:r>
      <w:r>
        <w:rPr>
          <w:sz w:val="24"/>
        </w:rPr>
        <w:t>2020</w:t>
      </w:r>
      <w:r>
        <w:rPr>
          <w:rFonts w:hint="eastAsia"/>
          <w:sz w:val="24"/>
        </w:rPr>
        <w:t>〕</w:t>
      </w:r>
      <w:r>
        <w:rPr>
          <w:sz w:val="24"/>
        </w:rPr>
        <w:t>46</w:t>
      </w:r>
      <w:r>
        <w:rPr>
          <w:rFonts w:hint="eastAsia"/>
          <w:sz w:val="24"/>
        </w:rPr>
        <w:t>号）规定，本项目供应商所投产品为中小企业制造或提供服务由中小企业承接的，</w:t>
      </w:r>
      <w:r>
        <w:rPr>
          <w:rFonts w:hint="eastAsia"/>
          <w:b/>
          <w:bCs/>
          <w:sz w:val="24"/>
        </w:rPr>
        <w:t>供应商应出具招标文件要求的《中小企业声明函》给予证明，否则评标时不予认可</w:t>
      </w:r>
      <w:r>
        <w:rPr>
          <w:rFonts w:hint="eastAsia"/>
          <w:sz w:val="24"/>
        </w:rPr>
        <w:t>。</w:t>
      </w:r>
      <w:r>
        <w:rPr>
          <w:rFonts w:hint="eastAsia"/>
          <w:b/>
          <w:bCs/>
          <w:sz w:val="24"/>
        </w:rPr>
        <w:t>供应商应对提交的中小企业声明函的真实性负责，</w:t>
      </w:r>
      <w:r>
        <w:rPr>
          <w:rFonts w:hint="eastAsia"/>
          <w:sz w:val="24"/>
        </w:rPr>
        <w:t>提交的中小企业声明函不真实的，应承担相应的法律责任。</w:t>
      </w:r>
    </w:p>
    <w:p w14:paraId="2F077220">
      <w:pPr>
        <w:tabs>
          <w:tab w:val="left" w:pos="900"/>
        </w:tabs>
        <w:spacing w:line="360" w:lineRule="auto"/>
        <w:ind w:firstLine="480" w:firstLineChars="200"/>
        <w:rPr>
          <w:sz w:val="24"/>
        </w:rPr>
      </w:pPr>
      <w:r>
        <w:rPr>
          <w:rFonts w:hint="eastAsia"/>
          <w:sz w:val="24"/>
        </w:rPr>
        <w:t>2）监狱企业扶持政策：供应商如为监狱企业将视同为小型或微型企业，应提供由省级以上监狱管理局、戒毒管理局（含新疆生产建设兵团）出具的属于监狱企业的证明文件。供应商应对提交的属于监狱企业的证明文件的真实性负责，提交的监狱企业的证明文件不真实的，应承担相应的法律责任。</w:t>
      </w:r>
    </w:p>
    <w:p w14:paraId="4D8D0994">
      <w:pPr>
        <w:tabs>
          <w:tab w:val="left" w:pos="900"/>
        </w:tabs>
        <w:spacing w:line="360" w:lineRule="auto"/>
        <w:ind w:firstLine="480" w:firstLineChars="200"/>
        <w:rPr>
          <w:sz w:val="24"/>
        </w:rPr>
      </w:pPr>
      <w:r>
        <w:rPr>
          <w:rFonts w:hint="eastAsia"/>
          <w:sz w:val="24"/>
        </w:rPr>
        <w:t>3）促进残疾人就业政府采购政策：根据《三部门联合发布关于促进残疾人就业政府采购政策的通知》（财库〔</w:t>
      </w:r>
      <w:r>
        <w:rPr>
          <w:sz w:val="24"/>
        </w:rPr>
        <w:t>2017</w:t>
      </w:r>
      <w:r>
        <w:rPr>
          <w:rFonts w:hint="eastAsia"/>
          <w:sz w:val="24"/>
        </w:rPr>
        <w:t>〕</w:t>
      </w:r>
      <w:r>
        <w:rPr>
          <w:sz w:val="24"/>
        </w:rPr>
        <w:t>141</w:t>
      </w:r>
      <w:r>
        <w:rPr>
          <w:rFonts w:hint="eastAsia"/>
          <w:sz w:val="24"/>
        </w:rPr>
        <w:t>号）规定，符合条件的残疾人福利性单位在参加本项目政府采购活动时，供应商应出具招标文件要求的《残疾人福利性单位声明函》，并对声明的真实性承担法律责任。中标、成交供应商为残疾人福利性单位的，采购代理机构将随中标结果同时公告其《残疾人福利性单位声明函》，接受社会监督。残疾人福利性单位视同小型、微型企业。不重复享受政策。</w:t>
      </w:r>
    </w:p>
    <w:p w14:paraId="5D8F4437">
      <w:pPr>
        <w:tabs>
          <w:tab w:val="left" w:pos="900"/>
        </w:tabs>
        <w:spacing w:line="360" w:lineRule="auto"/>
        <w:ind w:firstLine="480" w:firstLineChars="200"/>
        <w:rPr>
          <w:sz w:val="24"/>
        </w:rPr>
      </w:pPr>
      <w:r>
        <w:rPr>
          <w:rFonts w:hint="eastAsia"/>
          <w:sz w:val="24"/>
        </w:rPr>
        <w:t>4）鼓励节能、环保政策：依据《财政部发展改革委生态环境部市场监管总局关于调整优化节能产品、环境标志产品政府采购执行机制的通知（财库（</w:t>
      </w:r>
      <w:r>
        <w:rPr>
          <w:sz w:val="24"/>
        </w:rPr>
        <w:t>2019</w:t>
      </w:r>
      <w:r>
        <w:rPr>
          <w:rFonts w:hint="eastAsia"/>
          <w:sz w:val="24"/>
        </w:rPr>
        <w:t>）</w:t>
      </w:r>
      <w:r>
        <w:rPr>
          <w:sz w:val="24"/>
        </w:rPr>
        <w:t>9</w:t>
      </w:r>
      <w:r>
        <w:rPr>
          <w:rFonts w:hint="eastAsia"/>
          <w:sz w:val="24"/>
        </w:rPr>
        <w:t>号）》执行。</w:t>
      </w:r>
    </w:p>
    <w:p w14:paraId="0D98783F">
      <w:pPr>
        <w:pStyle w:val="9"/>
        <w:numPr>
          <w:ilvl w:val="1"/>
          <w:numId w:val="0"/>
        </w:numPr>
        <w:tabs>
          <w:tab w:val="left" w:pos="1041"/>
        </w:tabs>
        <w:spacing w:line="360" w:lineRule="auto"/>
        <w:ind w:firstLine="480" w:firstLineChars="200"/>
        <w:rPr>
          <w:sz w:val="24"/>
          <w:szCs w:val="24"/>
        </w:rPr>
      </w:pPr>
      <w:r>
        <w:rPr>
          <w:rFonts w:hint="eastAsia"/>
          <w:sz w:val="24"/>
        </w:rPr>
        <w:t>3.4</w:t>
      </w:r>
      <w:r>
        <w:rPr>
          <w:rFonts w:hint="eastAsia"/>
          <w:sz w:val="24"/>
          <w:szCs w:val="24"/>
        </w:rPr>
        <w:t>采购标的的其他技术、服务等要求</w:t>
      </w:r>
    </w:p>
    <w:p w14:paraId="01E2D0B0">
      <w:pPr>
        <w:wordWrap w:val="0"/>
        <w:spacing w:line="360" w:lineRule="auto"/>
        <w:ind w:firstLine="420"/>
        <w:rPr>
          <w:rFonts w:hint="eastAsia" w:ascii="宋体" w:hAnsi="宋体" w:cs="宋体"/>
          <w:sz w:val="24"/>
        </w:rPr>
      </w:pPr>
      <w:r>
        <w:rPr>
          <w:rFonts w:hint="eastAsia" w:ascii="宋体" w:hAnsi="宋体" w:cs="宋体"/>
          <w:sz w:val="24"/>
        </w:rPr>
        <w:t>本包旨在通过采购服务，满足对招标人现有所有业务系统进行迁移与整合的资源支撑及安全保障，最终搭建一套基于C86架构的信创超融合资源池，用于稳定承载所有业务系统，并提供专线接入服务，将资源池与各需求单位进行打通，实现业务系统统一部署，集中管控，集中访问。投标人需具备丰富经验与专业能力，确保项目顺利实施，满足招标人业务发展的信息化需求。</w:t>
      </w:r>
    </w:p>
    <w:p w14:paraId="5451D0BC">
      <w:pPr>
        <w:keepNext/>
        <w:keepLines/>
        <w:spacing w:before="160" w:after="80" w:line="360" w:lineRule="auto"/>
        <w:outlineLvl w:val="1"/>
        <w:rPr>
          <w:rFonts w:hint="eastAsia" w:ascii="宋体" w:hAnsi="宋体" w:cs="宋体"/>
          <w:b/>
          <w:bCs/>
          <w:sz w:val="24"/>
        </w:rPr>
      </w:pPr>
      <w:bookmarkStart w:id="11" w:name="_Toc203292977"/>
      <w:r>
        <w:rPr>
          <w:rFonts w:hint="eastAsia" w:ascii="宋体" w:hAnsi="宋体" w:cs="宋体"/>
          <w:b/>
          <w:bCs/>
          <w:sz w:val="24"/>
        </w:rPr>
        <w:t>一、物理环境</w:t>
      </w:r>
      <w:bookmarkEnd w:id="11"/>
    </w:p>
    <w:p w14:paraId="7ABBF613">
      <w:pPr>
        <w:spacing w:line="360" w:lineRule="auto"/>
        <w:rPr>
          <w:rFonts w:hint="eastAsia" w:ascii="宋体" w:hAnsi="宋体" w:cs="宋体"/>
          <w:sz w:val="24"/>
        </w:rPr>
      </w:pPr>
      <w:r>
        <w:rPr>
          <w:rFonts w:hint="eastAsia" w:ascii="宋体" w:hAnsi="宋体" w:cs="宋体"/>
          <w:sz w:val="24"/>
        </w:rPr>
        <w:t>1.2机房需求</w:t>
      </w:r>
    </w:p>
    <w:p w14:paraId="7658617C">
      <w:pPr>
        <w:numPr>
          <w:ilvl w:val="0"/>
          <w:numId w:val="1"/>
        </w:numPr>
        <w:spacing w:line="360" w:lineRule="auto"/>
        <w:ind w:firstLine="472" w:firstLineChars="197"/>
        <w:rPr>
          <w:rFonts w:hint="eastAsia" w:ascii="宋体" w:hAnsi="宋体" w:cs="宋体"/>
          <w:sz w:val="24"/>
        </w:rPr>
      </w:pPr>
      <w:r>
        <w:rPr>
          <w:rFonts w:hint="eastAsia" w:ascii="宋体" w:hAnsi="宋体" w:cs="宋体"/>
          <w:sz w:val="24"/>
        </w:rPr>
        <w:t>提供放置设备（包括网络设备、安全设备、服务器等）所需的≥500平米的独立空间的标准机房环境，提供云资源设备所需的标准网络环境，集中放置、管理机柜。</w:t>
      </w:r>
    </w:p>
    <w:p w14:paraId="6089724A">
      <w:pPr>
        <w:spacing w:line="360" w:lineRule="auto"/>
        <w:ind w:firstLine="472" w:firstLineChars="197"/>
        <w:rPr>
          <w:rFonts w:hint="eastAsia" w:ascii="宋体" w:hAnsi="宋体" w:cs="宋体"/>
          <w:sz w:val="24"/>
        </w:rPr>
      </w:pPr>
      <w:r>
        <w:rPr>
          <w:rFonts w:hint="eastAsia" w:ascii="宋体" w:hAnsi="宋体" w:cs="宋体"/>
          <w:sz w:val="24"/>
        </w:rPr>
        <w:t>（2）机房电缆总线输入应不低于 双路2000Kva市电引入标准，并配备UPS配电柜、发电车等，确保机房供电稳定性。</w:t>
      </w:r>
    </w:p>
    <w:p w14:paraId="3A88D900">
      <w:pPr>
        <w:spacing w:line="360" w:lineRule="auto"/>
        <w:ind w:firstLine="472" w:firstLineChars="197"/>
        <w:rPr>
          <w:rFonts w:hint="eastAsia" w:ascii="宋体" w:hAnsi="宋体" w:cs="宋体"/>
          <w:sz w:val="24"/>
        </w:rPr>
      </w:pPr>
      <w:r>
        <w:rPr>
          <w:rFonts w:hint="eastAsia" w:ascii="宋体" w:hAnsi="宋体" w:cs="宋体"/>
          <w:sz w:val="24"/>
        </w:rPr>
        <w:t>每个机柜提供双路PDU进行供电，单柜配备≥16A，总功率不低于6kW，且可根据业务需求，对供电指标进行相应扩容。</w:t>
      </w:r>
    </w:p>
    <w:p w14:paraId="6930C442">
      <w:pPr>
        <w:spacing w:line="360" w:lineRule="auto"/>
        <w:ind w:firstLine="472" w:firstLineChars="197"/>
        <w:rPr>
          <w:rFonts w:hint="eastAsia" w:ascii="宋体" w:hAnsi="宋体" w:cs="宋体"/>
          <w:sz w:val="24"/>
        </w:rPr>
      </w:pPr>
      <w:r>
        <w:rPr>
          <w:rFonts w:hint="eastAsia" w:ascii="宋体" w:hAnsi="宋体" w:cs="宋体"/>
          <w:sz w:val="24"/>
        </w:rPr>
        <w:t>（3）机房应配备完善的消防系统，部署烟感、喷淋系统，并具备干粉、气灭、水浸等多种灭火手段，同时需具备防水、防涝措施。</w:t>
      </w:r>
    </w:p>
    <w:p w14:paraId="7FFAAE42">
      <w:pPr>
        <w:spacing w:line="360" w:lineRule="auto"/>
        <w:ind w:firstLine="472" w:firstLineChars="197"/>
        <w:rPr>
          <w:rFonts w:hint="eastAsia" w:ascii="宋体" w:hAnsi="宋体" w:cs="宋体"/>
          <w:sz w:val="24"/>
        </w:rPr>
      </w:pPr>
      <w:r>
        <w:rPr>
          <w:rFonts w:hint="eastAsia" w:ascii="宋体" w:hAnsi="宋体" w:cs="宋体"/>
          <w:sz w:val="24"/>
        </w:rPr>
        <w:t>（4）机房需部署精密空调，满足设备运行所需的温湿度环境。</w:t>
      </w:r>
    </w:p>
    <w:p w14:paraId="182B5EC9">
      <w:pPr>
        <w:spacing w:line="360" w:lineRule="auto"/>
        <w:ind w:firstLine="480" w:firstLineChars="200"/>
        <w:rPr>
          <w:rFonts w:hint="eastAsia" w:ascii="宋体" w:hAnsi="宋体" w:cs="宋体"/>
          <w:sz w:val="24"/>
        </w:rPr>
      </w:pPr>
      <w:r>
        <w:rPr>
          <w:rFonts w:hint="eastAsia" w:ascii="宋体" w:hAnsi="宋体" w:cs="宋体"/>
          <w:sz w:val="24"/>
        </w:rPr>
        <w:t>（5）机房具备安全实时监控的视频图像数字信号，对机房环境进行全方位监控覆盖，并具备相应的安防措施及安全管理手段。</w:t>
      </w:r>
    </w:p>
    <w:p w14:paraId="16C803F3">
      <w:pPr>
        <w:spacing w:line="360" w:lineRule="auto"/>
        <w:ind w:firstLine="480" w:firstLineChars="200"/>
        <w:rPr>
          <w:rFonts w:hint="eastAsia" w:ascii="宋体" w:hAnsi="宋体" w:cs="宋体"/>
          <w:sz w:val="24"/>
        </w:rPr>
      </w:pPr>
      <w:r>
        <w:rPr>
          <w:rFonts w:hint="eastAsia" w:ascii="宋体" w:hAnsi="宋体" w:cs="宋体"/>
          <w:sz w:val="24"/>
        </w:rPr>
        <w:t>（6）为配合业务系统评定国家信息安全等级保护三级认证，机房标准需满足三级等保要求物理环境的要求。</w:t>
      </w:r>
    </w:p>
    <w:p w14:paraId="7F796330">
      <w:pPr>
        <w:spacing w:line="360" w:lineRule="auto"/>
        <w:ind w:firstLine="472" w:firstLineChars="197"/>
        <w:rPr>
          <w:rFonts w:hint="eastAsia" w:ascii="宋体" w:hAnsi="宋体" w:cs="宋体"/>
          <w:sz w:val="24"/>
        </w:rPr>
      </w:pPr>
      <w:r>
        <w:rPr>
          <w:rFonts w:hint="eastAsia" w:ascii="宋体" w:hAnsi="宋体" w:cs="宋体"/>
          <w:sz w:val="24"/>
        </w:rPr>
        <w:t>（7）实行7*24小时专人值守制度，以保证云资源系统的正常运行和专线链路的畅通，并重点保障重大活动期间及国庆、春节等国家法定节假日期间业务的连续。</w:t>
      </w:r>
    </w:p>
    <w:p w14:paraId="27725622">
      <w:pPr>
        <w:keepNext/>
        <w:keepLines/>
        <w:spacing w:before="160" w:after="80" w:line="360" w:lineRule="auto"/>
        <w:outlineLvl w:val="1"/>
        <w:rPr>
          <w:rFonts w:hint="eastAsia" w:ascii="宋体" w:hAnsi="宋体" w:cs="宋体"/>
          <w:b/>
          <w:bCs/>
          <w:sz w:val="24"/>
        </w:rPr>
      </w:pPr>
      <w:bookmarkStart w:id="12" w:name="_Toc203292978"/>
      <w:r>
        <w:rPr>
          <w:rFonts w:hint="eastAsia" w:ascii="宋体" w:hAnsi="宋体" w:cs="宋体"/>
          <w:b/>
          <w:bCs/>
          <w:sz w:val="24"/>
        </w:rPr>
        <w:t>二、专线需求</w:t>
      </w:r>
      <w:bookmarkEnd w:id="12"/>
    </w:p>
    <w:p w14:paraId="1A33349A">
      <w:pPr>
        <w:spacing w:line="360" w:lineRule="auto"/>
        <w:rPr>
          <w:rFonts w:hint="eastAsia" w:ascii="宋体" w:hAnsi="宋体" w:cs="宋体"/>
          <w:sz w:val="24"/>
        </w:rPr>
      </w:pPr>
      <w:r>
        <w:rPr>
          <w:rFonts w:hint="eastAsia" w:ascii="宋体" w:hAnsi="宋体" w:cs="宋体"/>
          <w:sz w:val="24"/>
        </w:rPr>
        <w:t>2.1专线资源需求</w:t>
      </w:r>
    </w:p>
    <w:tbl>
      <w:tblPr>
        <w:tblStyle w:val="5"/>
        <w:tblW w:w="0" w:type="auto"/>
        <w:tblInd w:w="0" w:type="dxa"/>
        <w:tblLayout w:type="fixed"/>
        <w:tblCellMar>
          <w:top w:w="0" w:type="dxa"/>
          <w:left w:w="108" w:type="dxa"/>
          <w:bottom w:w="0" w:type="dxa"/>
          <w:right w:w="108" w:type="dxa"/>
        </w:tblCellMar>
      </w:tblPr>
      <w:tblGrid>
        <w:gridCol w:w="1167"/>
        <w:gridCol w:w="2418"/>
        <w:gridCol w:w="2001"/>
        <w:gridCol w:w="2625"/>
        <w:gridCol w:w="1355"/>
      </w:tblGrid>
      <w:tr w14:paraId="320E7718">
        <w:tblPrEx>
          <w:tblCellMar>
            <w:top w:w="0" w:type="dxa"/>
            <w:left w:w="108" w:type="dxa"/>
            <w:bottom w:w="0" w:type="dxa"/>
            <w:right w:w="108" w:type="dxa"/>
          </w:tblCellMar>
        </w:tblPrEx>
        <w:trPr>
          <w:trHeight w:val="280" w:hRule="atLeast"/>
        </w:trPr>
        <w:tc>
          <w:tcPr>
            <w:tcW w:w="1167" w:type="dxa"/>
            <w:tcBorders>
              <w:top w:val="single" w:color="auto" w:sz="4" w:space="0"/>
              <w:left w:val="single" w:color="auto" w:sz="4" w:space="0"/>
              <w:bottom w:val="single" w:color="auto" w:sz="4" w:space="0"/>
              <w:right w:val="single" w:color="auto" w:sz="4" w:space="0"/>
            </w:tcBorders>
            <w:noWrap w:val="0"/>
            <w:vAlign w:val="center"/>
          </w:tcPr>
          <w:p w14:paraId="7AAD952F">
            <w:pPr>
              <w:widowControl/>
              <w:spacing w:line="360" w:lineRule="auto"/>
              <w:jc w:val="center"/>
              <w:rPr>
                <w:rFonts w:hint="eastAsia" w:ascii="宋体" w:hAnsi="宋体" w:cs="宋体"/>
                <w:color w:val="000000"/>
                <w:kern w:val="0"/>
                <w:sz w:val="24"/>
              </w:rPr>
            </w:pPr>
            <w:r>
              <w:rPr>
                <w:rFonts w:hint="eastAsia" w:ascii="宋体" w:hAnsi="宋体" w:cs="宋体"/>
                <w:color w:val="000000"/>
                <w:kern w:val="0"/>
                <w:sz w:val="24"/>
              </w:rPr>
              <w:t>序号</w:t>
            </w:r>
          </w:p>
        </w:tc>
        <w:tc>
          <w:tcPr>
            <w:tcW w:w="2418" w:type="dxa"/>
            <w:tcBorders>
              <w:top w:val="single" w:color="auto" w:sz="4" w:space="0"/>
              <w:left w:val="nil"/>
              <w:bottom w:val="single" w:color="auto" w:sz="4" w:space="0"/>
              <w:right w:val="single" w:color="auto" w:sz="4" w:space="0"/>
            </w:tcBorders>
            <w:noWrap w:val="0"/>
            <w:vAlign w:val="center"/>
          </w:tcPr>
          <w:p w14:paraId="2768342D">
            <w:pPr>
              <w:widowControl/>
              <w:spacing w:line="360" w:lineRule="auto"/>
              <w:jc w:val="center"/>
              <w:rPr>
                <w:rFonts w:hint="eastAsia" w:ascii="宋体" w:hAnsi="宋体" w:cs="宋体"/>
                <w:color w:val="000000"/>
                <w:kern w:val="0"/>
                <w:sz w:val="24"/>
              </w:rPr>
            </w:pPr>
            <w:r>
              <w:rPr>
                <w:rFonts w:hint="eastAsia" w:ascii="宋体" w:hAnsi="宋体" w:cs="宋体"/>
                <w:color w:val="000000"/>
                <w:kern w:val="0"/>
                <w:sz w:val="24"/>
              </w:rPr>
              <w:t>专线类型</w:t>
            </w:r>
          </w:p>
        </w:tc>
        <w:tc>
          <w:tcPr>
            <w:tcW w:w="2001" w:type="dxa"/>
            <w:tcBorders>
              <w:top w:val="single" w:color="auto" w:sz="4" w:space="0"/>
              <w:left w:val="nil"/>
              <w:bottom w:val="single" w:color="auto" w:sz="4" w:space="0"/>
              <w:right w:val="single" w:color="auto" w:sz="4" w:space="0"/>
            </w:tcBorders>
            <w:noWrap w:val="0"/>
            <w:vAlign w:val="center"/>
          </w:tcPr>
          <w:p w14:paraId="1E63A847">
            <w:pPr>
              <w:widowControl/>
              <w:spacing w:line="360" w:lineRule="auto"/>
              <w:jc w:val="center"/>
              <w:rPr>
                <w:rFonts w:hint="eastAsia" w:ascii="宋体" w:hAnsi="宋体" w:cs="宋体"/>
                <w:color w:val="000000"/>
                <w:kern w:val="0"/>
                <w:sz w:val="24"/>
              </w:rPr>
            </w:pPr>
            <w:r>
              <w:rPr>
                <w:rFonts w:hint="eastAsia" w:ascii="宋体" w:hAnsi="宋体" w:cs="宋体"/>
                <w:color w:val="000000"/>
                <w:kern w:val="0"/>
                <w:sz w:val="24"/>
              </w:rPr>
              <w:t>带宽需求</w:t>
            </w:r>
          </w:p>
        </w:tc>
        <w:tc>
          <w:tcPr>
            <w:tcW w:w="2625" w:type="dxa"/>
            <w:tcBorders>
              <w:top w:val="single" w:color="auto" w:sz="4" w:space="0"/>
              <w:left w:val="nil"/>
              <w:bottom w:val="single" w:color="auto" w:sz="4" w:space="0"/>
              <w:right w:val="single" w:color="auto" w:sz="4" w:space="0"/>
            </w:tcBorders>
            <w:noWrap w:val="0"/>
            <w:vAlign w:val="center"/>
          </w:tcPr>
          <w:p w14:paraId="2B6D7005">
            <w:pPr>
              <w:widowControl/>
              <w:spacing w:line="360" w:lineRule="auto"/>
              <w:jc w:val="center"/>
              <w:rPr>
                <w:rFonts w:hint="eastAsia" w:ascii="宋体" w:hAnsi="宋体" w:cs="宋体"/>
                <w:color w:val="000000"/>
                <w:kern w:val="0"/>
                <w:sz w:val="24"/>
              </w:rPr>
            </w:pPr>
            <w:r>
              <w:rPr>
                <w:rFonts w:hint="eastAsia" w:ascii="宋体" w:hAnsi="宋体" w:cs="宋体"/>
                <w:color w:val="000000"/>
                <w:kern w:val="0"/>
                <w:sz w:val="24"/>
              </w:rPr>
              <w:t>固定IP需求</w:t>
            </w:r>
          </w:p>
        </w:tc>
        <w:tc>
          <w:tcPr>
            <w:tcW w:w="1355" w:type="dxa"/>
            <w:tcBorders>
              <w:top w:val="single" w:color="auto" w:sz="4" w:space="0"/>
              <w:left w:val="nil"/>
              <w:bottom w:val="single" w:color="auto" w:sz="4" w:space="0"/>
              <w:right w:val="single" w:color="auto" w:sz="4" w:space="0"/>
            </w:tcBorders>
            <w:noWrap w:val="0"/>
            <w:vAlign w:val="center"/>
          </w:tcPr>
          <w:p w14:paraId="3639B637">
            <w:pPr>
              <w:widowControl/>
              <w:spacing w:line="360" w:lineRule="auto"/>
              <w:jc w:val="center"/>
              <w:rPr>
                <w:rFonts w:hint="eastAsia" w:ascii="宋体" w:hAnsi="宋体" w:cs="宋体"/>
                <w:color w:val="000000"/>
                <w:kern w:val="0"/>
                <w:sz w:val="24"/>
              </w:rPr>
            </w:pPr>
            <w:r>
              <w:rPr>
                <w:rFonts w:hint="eastAsia" w:ascii="宋体" w:hAnsi="宋体" w:cs="宋体"/>
                <w:color w:val="000000"/>
                <w:kern w:val="0"/>
                <w:sz w:val="24"/>
              </w:rPr>
              <w:t>专线数量</w:t>
            </w:r>
          </w:p>
        </w:tc>
      </w:tr>
      <w:tr w14:paraId="737F380F">
        <w:tblPrEx>
          <w:tblCellMar>
            <w:top w:w="0" w:type="dxa"/>
            <w:left w:w="108" w:type="dxa"/>
            <w:bottom w:w="0" w:type="dxa"/>
            <w:right w:w="108" w:type="dxa"/>
          </w:tblCellMar>
        </w:tblPrEx>
        <w:trPr>
          <w:trHeight w:val="280" w:hRule="atLeast"/>
        </w:trPr>
        <w:tc>
          <w:tcPr>
            <w:tcW w:w="1167" w:type="dxa"/>
            <w:tcBorders>
              <w:top w:val="nil"/>
              <w:left w:val="single" w:color="auto" w:sz="4" w:space="0"/>
              <w:bottom w:val="single" w:color="auto" w:sz="4" w:space="0"/>
              <w:right w:val="single" w:color="auto" w:sz="4" w:space="0"/>
            </w:tcBorders>
            <w:noWrap w:val="0"/>
            <w:vAlign w:val="center"/>
          </w:tcPr>
          <w:p w14:paraId="64E7880F">
            <w:pPr>
              <w:widowControl/>
              <w:spacing w:line="360" w:lineRule="auto"/>
              <w:jc w:val="center"/>
              <w:rPr>
                <w:rFonts w:hint="eastAsia" w:ascii="宋体" w:hAnsi="宋体" w:cs="宋体"/>
                <w:color w:val="000000"/>
                <w:kern w:val="0"/>
                <w:sz w:val="24"/>
              </w:rPr>
            </w:pPr>
            <w:r>
              <w:rPr>
                <w:rFonts w:hint="eastAsia" w:ascii="宋体" w:hAnsi="宋体" w:cs="宋体"/>
                <w:color w:val="000000"/>
                <w:kern w:val="0"/>
                <w:sz w:val="24"/>
              </w:rPr>
              <w:t>1</w:t>
            </w:r>
          </w:p>
        </w:tc>
        <w:tc>
          <w:tcPr>
            <w:tcW w:w="2418" w:type="dxa"/>
            <w:tcBorders>
              <w:top w:val="nil"/>
              <w:left w:val="nil"/>
              <w:bottom w:val="single" w:color="auto" w:sz="4" w:space="0"/>
              <w:right w:val="single" w:color="auto" w:sz="4" w:space="0"/>
            </w:tcBorders>
            <w:noWrap w:val="0"/>
            <w:vAlign w:val="center"/>
          </w:tcPr>
          <w:p w14:paraId="17E968DD">
            <w:pPr>
              <w:widowControl/>
              <w:spacing w:line="360" w:lineRule="auto"/>
              <w:jc w:val="center"/>
              <w:rPr>
                <w:rFonts w:hint="eastAsia" w:ascii="宋体" w:hAnsi="宋体" w:cs="宋体"/>
                <w:color w:val="000000"/>
                <w:kern w:val="0"/>
                <w:sz w:val="24"/>
              </w:rPr>
            </w:pPr>
            <w:r>
              <w:rPr>
                <w:rFonts w:hint="eastAsia" w:ascii="宋体" w:hAnsi="宋体" w:cs="宋体"/>
                <w:color w:val="000000"/>
                <w:kern w:val="0"/>
                <w:sz w:val="24"/>
              </w:rPr>
              <w:t>互联网专线</w:t>
            </w:r>
          </w:p>
        </w:tc>
        <w:tc>
          <w:tcPr>
            <w:tcW w:w="2001" w:type="dxa"/>
            <w:tcBorders>
              <w:top w:val="nil"/>
              <w:left w:val="nil"/>
              <w:bottom w:val="single" w:color="auto" w:sz="4" w:space="0"/>
              <w:right w:val="single" w:color="auto" w:sz="4" w:space="0"/>
            </w:tcBorders>
            <w:noWrap w:val="0"/>
            <w:vAlign w:val="center"/>
          </w:tcPr>
          <w:p w14:paraId="4ECC1E6E">
            <w:pPr>
              <w:widowControl/>
              <w:spacing w:line="360" w:lineRule="auto"/>
              <w:jc w:val="center"/>
              <w:rPr>
                <w:rFonts w:hint="eastAsia" w:ascii="宋体" w:hAnsi="宋体" w:cs="宋体"/>
                <w:color w:val="000000"/>
                <w:kern w:val="0"/>
                <w:sz w:val="24"/>
              </w:rPr>
            </w:pPr>
            <w:r>
              <w:rPr>
                <w:rFonts w:hint="eastAsia" w:ascii="宋体" w:hAnsi="宋体" w:cs="宋体"/>
                <w:color w:val="000000"/>
                <w:kern w:val="0"/>
                <w:sz w:val="24"/>
              </w:rPr>
              <w:t>≥100M</w:t>
            </w:r>
          </w:p>
        </w:tc>
        <w:tc>
          <w:tcPr>
            <w:tcW w:w="2625" w:type="dxa"/>
            <w:tcBorders>
              <w:top w:val="nil"/>
              <w:left w:val="nil"/>
              <w:bottom w:val="single" w:color="auto" w:sz="4" w:space="0"/>
              <w:right w:val="single" w:color="auto" w:sz="4" w:space="0"/>
            </w:tcBorders>
            <w:noWrap w:val="0"/>
            <w:vAlign w:val="center"/>
          </w:tcPr>
          <w:p w14:paraId="13E1E728">
            <w:pPr>
              <w:widowControl/>
              <w:spacing w:line="360" w:lineRule="auto"/>
              <w:jc w:val="center"/>
              <w:rPr>
                <w:rFonts w:hint="eastAsia" w:ascii="宋体" w:hAnsi="宋体" w:cs="宋体"/>
                <w:color w:val="000000"/>
                <w:kern w:val="0"/>
                <w:sz w:val="24"/>
              </w:rPr>
            </w:pPr>
            <w:r>
              <w:rPr>
                <w:rFonts w:hint="eastAsia" w:ascii="宋体" w:hAnsi="宋体" w:cs="宋体"/>
                <w:color w:val="000000"/>
                <w:kern w:val="0"/>
                <w:sz w:val="24"/>
              </w:rPr>
              <w:t>≥16个</w:t>
            </w:r>
          </w:p>
        </w:tc>
        <w:tc>
          <w:tcPr>
            <w:tcW w:w="1355" w:type="dxa"/>
            <w:tcBorders>
              <w:top w:val="nil"/>
              <w:left w:val="nil"/>
              <w:bottom w:val="single" w:color="auto" w:sz="4" w:space="0"/>
              <w:right w:val="single" w:color="auto" w:sz="4" w:space="0"/>
            </w:tcBorders>
            <w:noWrap w:val="0"/>
            <w:vAlign w:val="center"/>
          </w:tcPr>
          <w:p w14:paraId="26D0AFDF">
            <w:pPr>
              <w:widowControl/>
              <w:spacing w:line="360" w:lineRule="auto"/>
              <w:jc w:val="center"/>
              <w:rPr>
                <w:rFonts w:hint="eastAsia" w:ascii="宋体" w:hAnsi="宋体" w:cs="宋体"/>
                <w:color w:val="000000"/>
                <w:kern w:val="0"/>
                <w:sz w:val="24"/>
              </w:rPr>
            </w:pPr>
            <w:r>
              <w:rPr>
                <w:rFonts w:hint="eastAsia" w:ascii="宋体" w:hAnsi="宋体" w:cs="宋体"/>
                <w:color w:val="000000"/>
                <w:kern w:val="0"/>
                <w:sz w:val="24"/>
              </w:rPr>
              <w:t>≥1条</w:t>
            </w:r>
          </w:p>
        </w:tc>
      </w:tr>
      <w:tr w14:paraId="30008FB9">
        <w:tblPrEx>
          <w:tblCellMar>
            <w:top w:w="0" w:type="dxa"/>
            <w:left w:w="108" w:type="dxa"/>
            <w:bottom w:w="0" w:type="dxa"/>
            <w:right w:w="108" w:type="dxa"/>
          </w:tblCellMar>
        </w:tblPrEx>
        <w:trPr>
          <w:trHeight w:val="280" w:hRule="atLeast"/>
        </w:trPr>
        <w:tc>
          <w:tcPr>
            <w:tcW w:w="1167" w:type="dxa"/>
            <w:tcBorders>
              <w:top w:val="nil"/>
              <w:left w:val="single" w:color="auto" w:sz="4" w:space="0"/>
              <w:bottom w:val="single" w:color="auto" w:sz="4" w:space="0"/>
              <w:right w:val="single" w:color="auto" w:sz="4" w:space="0"/>
            </w:tcBorders>
            <w:noWrap w:val="0"/>
            <w:vAlign w:val="center"/>
          </w:tcPr>
          <w:p w14:paraId="33F4A0F3">
            <w:pPr>
              <w:widowControl/>
              <w:spacing w:line="360" w:lineRule="auto"/>
              <w:jc w:val="center"/>
              <w:rPr>
                <w:rFonts w:hint="eastAsia" w:ascii="宋体" w:hAnsi="宋体" w:cs="宋体"/>
                <w:color w:val="000000"/>
                <w:kern w:val="0"/>
                <w:sz w:val="24"/>
              </w:rPr>
            </w:pPr>
            <w:r>
              <w:rPr>
                <w:rFonts w:hint="eastAsia" w:ascii="宋体" w:hAnsi="宋体" w:cs="宋体"/>
                <w:color w:val="000000"/>
                <w:kern w:val="0"/>
                <w:sz w:val="24"/>
              </w:rPr>
              <w:t>2</w:t>
            </w:r>
          </w:p>
        </w:tc>
        <w:tc>
          <w:tcPr>
            <w:tcW w:w="2418" w:type="dxa"/>
            <w:tcBorders>
              <w:top w:val="nil"/>
              <w:left w:val="nil"/>
              <w:bottom w:val="single" w:color="auto" w:sz="4" w:space="0"/>
              <w:right w:val="single" w:color="auto" w:sz="4" w:space="0"/>
            </w:tcBorders>
            <w:noWrap w:val="0"/>
            <w:vAlign w:val="center"/>
          </w:tcPr>
          <w:p w14:paraId="6066D9A0">
            <w:pPr>
              <w:widowControl/>
              <w:spacing w:line="360" w:lineRule="auto"/>
              <w:jc w:val="center"/>
              <w:rPr>
                <w:rFonts w:hint="eastAsia" w:ascii="宋体" w:hAnsi="宋体" w:cs="宋体"/>
                <w:color w:val="000000"/>
                <w:kern w:val="0"/>
                <w:sz w:val="24"/>
              </w:rPr>
            </w:pPr>
            <w:r>
              <w:rPr>
                <w:rFonts w:hint="eastAsia" w:ascii="宋体" w:hAnsi="宋体" w:cs="宋体"/>
                <w:color w:val="000000"/>
                <w:kern w:val="0"/>
                <w:sz w:val="24"/>
              </w:rPr>
              <w:t>政务网专线</w:t>
            </w:r>
          </w:p>
        </w:tc>
        <w:tc>
          <w:tcPr>
            <w:tcW w:w="2001" w:type="dxa"/>
            <w:tcBorders>
              <w:top w:val="nil"/>
              <w:left w:val="nil"/>
              <w:bottom w:val="single" w:color="auto" w:sz="4" w:space="0"/>
              <w:right w:val="single" w:color="auto" w:sz="4" w:space="0"/>
            </w:tcBorders>
            <w:noWrap w:val="0"/>
            <w:vAlign w:val="center"/>
          </w:tcPr>
          <w:p w14:paraId="29D5894A">
            <w:pPr>
              <w:widowControl/>
              <w:spacing w:line="360" w:lineRule="auto"/>
              <w:jc w:val="center"/>
              <w:rPr>
                <w:rFonts w:hint="eastAsia" w:ascii="宋体" w:hAnsi="宋体" w:cs="宋体"/>
                <w:color w:val="000000"/>
                <w:kern w:val="0"/>
                <w:sz w:val="24"/>
              </w:rPr>
            </w:pPr>
            <w:r>
              <w:rPr>
                <w:rFonts w:hint="eastAsia" w:ascii="宋体" w:hAnsi="宋体" w:cs="宋体"/>
                <w:color w:val="000000"/>
                <w:kern w:val="0"/>
                <w:sz w:val="24"/>
              </w:rPr>
              <w:t>≥100M</w:t>
            </w:r>
          </w:p>
        </w:tc>
        <w:tc>
          <w:tcPr>
            <w:tcW w:w="2625" w:type="dxa"/>
            <w:tcBorders>
              <w:top w:val="nil"/>
              <w:left w:val="nil"/>
              <w:bottom w:val="single" w:color="auto" w:sz="4" w:space="0"/>
              <w:right w:val="single" w:color="auto" w:sz="4" w:space="0"/>
            </w:tcBorders>
            <w:noWrap w:val="0"/>
            <w:vAlign w:val="center"/>
          </w:tcPr>
          <w:p w14:paraId="27E04B4B">
            <w:pPr>
              <w:widowControl/>
              <w:spacing w:line="360" w:lineRule="auto"/>
              <w:jc w:val="center"/>
              <w:rPr>
                <w:rFonts w:hint="eastAsia" w:ascii="宋体" w:hAnsi="宋体" w:cs="宋体"/>
                <w:color w:val="000000"/>
                <w:kern w:val="0"/>
                <w:sz w:val="24"/>
              </w:rPr>
            </w:pPr>
            <w:r>
              <w:rPr>
                <w:rFonts w:hint="eastAsia" w:ascii="宋体" w:hAnsi="宋体" w:cs="宋体"/>
                <w:color w:val="000000"/>
                <w:kern w:val="0"/>
                <w:sz w:val="24"/>
              </w:rPr>
              <w:t>/</w:t>
            </w:r>
          </w:p>
        </w:tc>
        <w:tc>
          <w:tcPr>
            <w:tcW w:w="1355" w:type="dxa"/>
            <w:tcBorders>
              <w:top w:val="nil"/>
              <w:left w:val="nil"/>
              <w:bottom w:val="single" w:color="auto" w:sz="4" w:space="0"/>
              <w:right w:val="single" w:color="auto" w:sz="4" w:space="0"/>
            </w:tcBorders>
            <w:noWrap w:val="0"/>
            <w:vAlign w:val="center"/>
          </w:tcPr>
          <w:p w14:paraId="08EECA6B">
            <w:pPr>
              <w:widowControl/>
              <w:spacing w:line="360" w:lineRule="auto"/>
              <w:jc w:val="center"/>
              <w:rPr>
                <w:rFonts w:hint="eastAsia" w:ascii="宋体" w:hAnsi="宋体" w:cs="宋体"/>
                <w:color w:val="000000"/>
                <w:kern w:val="0"/>
                <w:sz w:val="24"/>
              </w:rPr>
            </w:pPr>
            <w:r>
              <w:rPr>
                <w:rFonts w:hint="eastAsia" w:ascii="宋体" w:hAnsi="宋体" w:cs="宋体"/>
                <w:color w:val="000000"/>
                <w:kern w:val="0"/>
                <w:sz w:val="24"/>
              </w:rPr>
              <w:t>≥1条</w:t>
            </w:r>
          </w:p>
        </w:tc>
      </w:tr>
      <w:tr w14:paraId="042BFCB5">
        <w:tblPrEx>
          <w:tblCellMar>
            <w:top w:w="0" w:type="dxa"/>
            <w:left w:w="108" w:type="dxa"/>
            <w:bottom w:w="0" w:type="dxa"/>
            <w:right w:w="108" w:type="dxa"/>
          </w:tblCellMar>
        </w:tblPrEx>
        <w:trPr>
          <w:trHeight w:val="280" w:hRule="atLeast"/>
        </w:trPr>
        <w:tc>
          <w:tcPr>
            <w:tcW w:w="1167" w:type="dxa"/>
            <w:tcBorders>
              <w:top w:val="nil"/>
              <w:left w:val="single" w:color="auto" w:sz="4" w:space="0"/>
              <w:bottom w:val="single" w:color="auto" w:sz="4" w:space="0"/>
              <w:right w:val="single" w:color="auto" w:sz="4" w:space="0"/>
            </w:tcBorders>
            <w:noWrap w:val="0"/>
            <w:vAlign w:val="center"/>
          </w:tcPr>
          <w:p w14:paraId="2F8C038C">
            <w:pPr>
              <w:widowControl/>
              <w:spacing w:line="360" w:lineRule="auto"/>
              <w:jc w:val="center"/>
              <w:rPr>
                <w:rFonts w:hint="eastAsia" w:ascii="宋体" w:hAnsi="宋体" w:cs="宋体"/>
                <w:color w:val="000000"/>
                <w:kern w:val="0"/>
                <w:sz w:val="24"/>
              </w:rPr>
            </w:pPr>
            <w:r>
              <w:rPr>
                <w:rFonts w:hint="eastAsia" w:ascii="宋体" w:hAnsi="宋体" w:cs="宋体"/>
                <w:color w:val="000000"/>
                <w:kern w:val="0"/>
                <w:sz w:val="24"/>
              </w:rPr>
              <w:t>3</w:t>
            </w:r>
          </w:p>
        </w:tc>
        <w:tc>
          <w:tcPr>
            <w:tcW w:w="2418" w:type="dxa"/>
            <w:tcBorders>
              <w:top w:val="nil"/>
              <w:left w:val="nil"/>
              <w:bottom w:val="single" w:color="auto" w:sz="4" w:space="0"/>
              <w:right w:val="single" w:color="auto" w:sz="4" w:space="0"/>
            </w:tcBorders>
            <w:noWrap w:val="0"/>
            <w:vAlign w:val="center"/>
          </w:tcPr>
          <w:p w14:paraId="5B622F13">
            <w:pPr>
              <w:widowControl/>
              <w:spacing w:line="360" w:lineRule="auto"/>
              <w:jc w:val="center"/>
              <w:rPr>
                <w:rFonts w:hint="eastAsia" w:ascii="宋体" w:hAnsi="宋体" w:cs="宋体"/>
                <w:color w:val="000000"/>
                <w:kern w:val="0"/>
                <w:sz w:val="24"/>
              </w:rPr>
            </w:pPr>
            <w:r>
              <w:rPr>
                <w:rFonts w:hint="eastAsia" w:ascii="宋体" w:hAnsi="宋体" w:cs="宋体"/>
                <w:color w:val="000000"/>
                <w:kern w:val="0"/>
                <w:sz w:val="24"/>
              </w:rPr>
              <w:t>卫生网专线</w:t>
            </w:r>
          </w:p>
        </w:tc>
        <w:tc>
          <w:tcPr>
            <w:tcW w:w="2001" w:type="dxa"/>
            <w:tcBorders>
              <w:top w:val="nil"/>
              <w:left w:val="nil"/>
              <w:bottom w:val="single" w:color="auto" w:sz="4" w:space="0"/>
              <w:right w:val="single" w:color="auto" w:sz="4" w:space="0"/>
            </w:tcBorders>
            <w:noWrap w:val="0"/>
            <w:vAlign w:val="center"/>
          </w:tcPr>
          <w:p w14:paraId="54027B38">
            <w:pPr>
              <w:widowControl/>
              <w:spacing w:line="360" w:lineRule="auto"/>
              <w:jc w:val="center"/>
              <w:rPr>
                <w:rFonts w:hint="eastAsia" w:ascii="宋体" w:hAnsi="宋体" w:cs="宋体"/>
                <w:color w:val="000000"/>
                <w:kern w:val="0"/>
                <w:sz w:val="24"/>
              </w:rPr>
            </w:pPr>
            <w:r>
              <w:rPr>
                <w:rFonts w:hint="eastAsia" w:ascii="宋体" w:hAnsi="宋体" w:cs="宋体"/>
                <w:color w:val="000000"/>
                <w:kern w:val="0"/>
                <w:sz w:val="24"/>
              </w:rPr>
              <w:t>≥1000M</w:t>
            </w:r>
          </w:p>
        </w:tc>
        <w:tc>
          <w:tcPr>
            <w:tcW w:w="2625" w:type="dxa"/>
            <w:tcBorders>
              <w:top w:val="nil"/>
              <w:left w:val="nil"/>
              <w:bottom w:val="single" w:color="auto" w:sz="4" w:space="0"/>
              <w:right w:val="single" w:color="auto" w:sz="4" w:space="0"/>
            </w:tcBorders>
            <w:noWrap w:val="0"/>
            <w:vAlign w:val="center"/>
          </w:tcPr>
          <w:p w14:paraId="31016598">
            <w:pPr>
              <w:widowControl/>
              <w:spacing w:line="360" w:lineRule="auto"/>
              <w:jc w:val="center"/>
              <w:rPr>
                <w:rFonts w:hint="eastAsia" w:ascii="宋体" w:hAnsi="宋体" w:cs="宋体"/>
                <w:color w:val="000000"/>
                <w:kern w:val="0"/>
                <w:sz w:val="24"/>
              </w:rPr>
            </w:pPr>
            <w:r>
              <w:rPr>
                <w:rFonts w:hint="eastAsia" w:ascii="宋体" w:hAnsi="宋体" w:cs="宋体"/>
                <w:color w:val="000000"/>
                <w:kern w:val="0"/>
                <w:sz w:val="24"/>
              </w:rPr>
              <w:t>/</w:t>
            </w:r>
          </w:p>
        </w:tc>
        <w:tc>
          <w:tcPr>
            <w:tcW w:w="1355" w:type="dxa"/>
            <w:tcBorders>
              <w:top w:val="nil"/>
              <w:left w:val="nil"/>
              <w:bottom w:val="single" w:color="auto" w:sz="4" w:space="0"/>
              <w:right w:val="single" w:color="auto" w:sz="4" w:space="0"/>
            </w:tcBorders>
            <w:noWrap w:val="0"/>
            <w:vAlign w:val="center"/>
          </w:tcPr>
          <w:p w14:paraId="618E948E">
            <w:pPr>
              <w:widowControl/>
              <w:spacing w:line="360" w:lineRule="auto"/>
              <w:jc w:val="center"/>
              <w:rPr>
                <w:rFonts w:hint="eastAsia" w:ascii="宋体" w:hAnsi="宋体" w:cs="宋体"/>
                <w:color w:val="000000"/>
                <w:kern w:val="0"/>
                <w:sz w:val="24"/>
              </w:rPr>
            </w:pPr>
            <w:r>
              <w:rPr>
                <w:rFonts w:hint="eastAsia" w:ascii="宋体" w:hAnsi="宋体" w:cs="宋体"/>
                <w:color w:val="000000"/>
                <w:kern w:val="0"/>
                <w:sz w:val="24"/>
              </w:rPr>
              <w:t>≥1条</w:t>
            </w:r>
          </w:p>
        </w:tc>
      </w:tr>
    </w:tbl>
    <w:p w14:paraId="132B020A">
      <w:pPr>
        <w:spacing w:line="360" w:lineRule="auto"/>
        <w:rPr>
          <w:rFonts w:hint="eastAsia" w:ascii="宋体" w:hAnsi="宋体" w:cs="宋体"/>
          <w:sz w:val="24"/>
        </w:rPr>
      </w:pPr>
    </w:p>
    <w:p w14:paraId="3521B2C7">
      <w:pPr>
        <w:spacing w:line="360" w:lineRule="auto"/>
        <w:rPr>
          <w:rFonts w:hint="eastAsia" w:ascii="宋体" w:hAnsi="宋体" w:cs="宋体"/>
          <w:sz w:val="24"/>
        </w:rPr>
      </w:pPr>
      <w:r>
        <w:rPr>
          <w:rFonts w:hint="eastAsia" w:ascii="宋体" w:hAnsi="宋体" w:cs="宋体"/>
          <w:sz w:val="24"/>
        </w:rPr>
        <w:t>2.2专线指标需求</w:t>
      </w:r>
    </w:p>
    <w:p w14:paraId="0B45093A">
      <w:pPr>
        <w:spacing w:line="360" w:lineRule="auto"/>
        <w:ind w:firstLine="480" w:firstLineChars="200"/>
        <w:rPr>
          <w:rFonts w:hint="eastAsia" w:ascii="宋体" w:hAnsi="宋体" w:cs="宋体"/>
          <w:sz w:val="24"/>
        </w:rPr>
      </w:pPr>
      <w:r>
        <w:rPr>
          <w:rFonts w:hint="eastAsia" w:ascii="宋体" w:hAnsi="宋体" w:cs="宋体"/>
          <w:sz w:val="24"/>
        </w:rPr>
        <w:t>（1）通信链路采用点到点独立通道，在传输过程中，专网传输平台不对所传输的数据做任何处理，完全实现了数据在网络中透明、安全的传输,网内所有设备专网专用，与其他网络物理隔离。</w:t>
      </w:r>
      <w:bookmarkStart w:id="13" w:name="_Toc142980887"/>
    </w:p>
    <w:bookmarkEnd w:id="13"/>
    <w:p w14:paraId="2FD059A0">
      <w:pPr>
        <w:spacing w:line="360" w:lineRule="auto"/>
        <w:ind w:firstLine="480" w:firstLineChars="200"/>
        <w:rPr>
          <w:rFonts w:hint="eastAsia" w:ascii="宋体" w:hAnsi="宋体" w:cs="宋体"/>
          <w:sz w:val="24"/>
        </w:rPr>
      </w:pPr>
      <w:r>
        <w:rPr>
          <w:rFonts w:hint="eastAsia" w:ascii="宋体" w:hAnsi="宋体" w:cs="宋体"/>
          <w:sz w:val="24"/>
        </w:rPr>
        <w:t>（2）具备自云平台至门头沟区各卫生点位专线敷设能力。</w:t>
      </w:r>
    </w:p>
    <w:p w14:paraId="417FBF65">
      <w:pPr>
        <w:wordWrap w:val="0"/>
        <w:spacing w:line="360" w:lineRule="auto"/>
        <w:ind w:firstLine="480" w:firstLineChars="200"/>
        <w:rPr>
          <w:rFonts w:hint="eastAsia" w:ascii="宋体" w:hAnsi="宋体" w:cs="宋体"/>
          <w:color w:val="FF0000"/>
          <w:sz w:val="24"/>
        </w:rPr>
      </w:pPr>
      <w:r>
        <w:rPr>
          <w:rFonts w:hint="eastAsia" w:ascii="宋体" w:hAnsi="宋体" w:cs="宋体"/>
          <w:color w:val="000000"/>
          <w:sz w:val="24"/>
        </w:rPr>
        <w:t>（3）线路质量与维护：专线应具备高质量的线路稳定性，投标人需提供</w:t>
      </w:r>
      <w:r>
        <w:rPr>
          <w:rFonts w:hint="eastAsia" w:ascii="宋体" w:hAnsi="宋体" w:cs="宋体"/>
          <w:color w:val="FF0000"/>
          <w:sz w:val="24"/>
        </w:rPr>
        <w:t xml:space="preserve"> </w:t>
      </w:r>
      <w:r>
        <w:rPr>
          <w:rFonts w:hint="eastAsia" w:ascii="宋体" w:hAnsi="宋体" w:cs="宋体"/>
          <w:sz w:val="24"/>
        </w:rPr>
        <w:t>7×24 小时的线路监测与维护服务，服务团队不少于4人，可及时处理线路故障，保障专线通信质量。故障响应时间不超过10分钟，故障修复时间不超过2小时。</w:t>
      </w:r>
    </w:p>
    <w:p w14:paraId="4EE590AB">
      <w:pPr>
        <w:spacing w:line="360" w:lineRule="auto"/>
        <w:ind w:firstLine="480" w:firstLineChars="200"/>
        <w:rPr>
          <w:rFonts w:hint="eastAsia" w:ascii="宋体" w:hAnsi="宋体" w:cs="宋体"/>
          <w:sz w:val="24"/>
        </w:rPr>
      </w:pPr>
      <w:r>
        <w:rPr>
          <w:rFonts w:hint="eastAsia" w:ascii="宋体" w:hAnsi="宋体" w:cs="宋体"/>
          <w:sz w:val="24"/>
        </w:rPr>
        <w:t>（4）可管理性：采用先进专用的网管系统，全程全网管理模式，能及时监视全网的运行状况，网管采用7*24小时值班制度，随时有较强的技术力量支持，当网络出现故障时，网管可实施直接的垂直指挥调度，跨越环节少、反应时间短、解决问题快。</w:t>
      </w:r>
    </w:p>
    <w:p w14:paraId="30B8E8ED">
      <w:pPr>
        <w:keepNext/>
        <w:keepLines/>
        <w:spacing w:before="160" w:after="80"/>
        <w:outlineLvl w:val="1"/>
        <w:rPr>
          <w:rFonts w:hint="eastAsia" w:ascii="宋体" w:hAnsi="宋体" w:cs="宋体"/>
          <w:b/>
          <w:bCs/>
          <w:sz w:val="24"/>
        </w:rPr>
      </w:pPr>
      <w:bookmarkStart w:id="14" w:name="_Toc203292979"/>
      <w:r>
        <w:rPr>
          <w:rFonts w:hint="eastAsia" w:ascii="宋体" w:hAnsi="宋体" w:cs="宋体"/>
          <w:b/>
          <w:bCs/>
          <w:sz w:val="24"/>
        </w:rPr>
        <w:t>三、资源需求</w:t>
      </w:r>
      <w:bookmarkEnd w:id="14"/>
    </w:p>
    <w:p w14:paraId="0A662F87">
      <w:pPr>
        <w:spacing w:line="360" w:lineRule="auto"/>
        <w:ind w:firstLine="420"/>
        <w:rPr>
          <w:rFonts w:hint="eastAsia" w:ascii="宋体" w:hAnsi="宋体" w:cs="宋体"/>
          <w:sz w:val="24"/>
        </w:rPr>
      </w:pPr>
      <w:r>
        <w:rPr>
          <w:rFonts w:hint="eastAsia" w:ascii="宋体" w:hAnsi="宋体" w:cs="宋体"/>
          <w:sz w:val="24"/>
        </w:rPr>
        <w:t>3.1业务系统资源需求</w:t>
      </w:r>
    </w:p>
    <w:tbl>
      <w:tblPr>
        <w:tblStyle w:val="5"/>
        <w:tblW w:w="0" w:type="auto"/>
        <w:jc w:val="center"/>
        <w:tblLayout w:type="fixed"/>
        <w:tblCellMar>
          <w:top w:w="0" w:type="dxa"/>
          <w:left w:w="108" w:type="dxa"/>
          <w:bottom w:w="0" w:type="dxa"/>
          <w:right w:w="108" w:type="dxa"/>
        </w:tblCellMar>
      </w:tblPr>
      <w:tblGrid>
        <w:gridCol w:w="913"/>
        <w:gridCol w:w="1716"/>
        <w:gridCol w:w="1591"/>
        <w:gridCol w:w="1640"/>
        <w:gridCol w:w="1740"/>
        <w:gridCol w:w="1040"/>
      </w:tblGrid>
      <w:tr w14:paraId="2CE4B704">
        <w:tblPrEx>
          <w:tblCellMar>
            <w:top w:w="0" w:type="dxa"/>
            <w:left w:w="108" w:type="dxa"/>
            <w:bottom w:w="0" w:type="dxa"/>
            <w:right w:w="108" w:type="dxa"/>
          </w:tblCellMar>
        </w:tblPrEx>
        <w:trPr>
          <w:trHeight w:val="454" w:hRule="atLeast"/>
          <w:jc w:val="center"/>
        </w:trPr>
        <w:tc>
          <w:tcPr>
            <w:tcW w:w="913" w:type="dxa"/>
            <w:tcBorders>
              <w:top w:val="single" w:color="auto" w:sz="4" w:space="0"/>
              <w:left w:val="single" w:color="auto" w:sz="4" w:space="0"/>
              <w:bottom w:val="single" w:color="auto" w:sz="4" w:space="0"/>
              <w:right w:val="single" w:color="auto" w:sz="4" w:space="0"/>
            </w:tcBorders>
            <w:noWrap w:val="0"/>
            <w:vAlign w:val="center"/>
          </w:tcPr>
          <w:p w14:paraId="772B6DDC">
            <w:pPr>
              <w:widowControl/>
              <w:jc w:val="center"/>
              <w:rPr>
                <w:rFonts w:hint="eastAsia" w:ascii="宋体" w:hAnsi="宋体" w:cs="宋体"/>
                <w:color w:val="000000"/>
                <w:kern w:val="0"/>
                <w:sz w:val="24"/>
              </w:rPr>
            </w:pPr>
            <w:r>
              <w:rPr>
                <w:rFonts w:hint="eastAsia" w:ascii="宋体" w:hAnsi="宋体" w:cs="宋体"/>
                <w:color w:val="000000"/>
                <w:kern w:val="0"/>
                <w:sz w:val="24"/>
              </w:rPr>
              <w:t>序号</w:t>
            </w:r>
          </w:p>
        </w:tc>
        <w:tc>
          <w:tcPr>
            <w:tcW w:w="1716" w:type="dxa"/>
            <w:tcBorders>
              <w:top w:val="single" w:color="auto" w:sz="4" w:space="0"/>
              <w:left w:val="nil"/>
              <w:bottom w:val="single" w:color="auto" w:sz="4" w:space="0"/>
              <w:right w:val="single" w:color="auto" w:sz="4" w:space="0"/>
            </w:tcBorders>
            <w:noWrap w:val="0"/>
            <w:vAlign w:val="center"/>
          </w:tcPr>
          <w:p w14:paraId="359C6DBA">
            <w:pPr>
              <w:widowControl/>
              <w:jc w:val="center"/>
              <w:rPr>
                <w:rFonts w:hint="eastAsia" w:ascii="宋体" w:hAnsi="宋体" w:cs="宋体"/>
                <w:color w:val="000000"/>
                <w:kern w:val="0"/>
                <w:sz w:val="24"/>
              </w:rPr>
            </w:pPr>
            <w:r>
              <w:rPr>
                <w:rFonts w:hint="eastAsia" w:ascii="宋体" w:hAnsi="宋体" w:cs="宋体"/>
                <w:color w:val="000000"/>
                <w:kern w:val="0"/>
                <w:sz w:val="24"/>
              </w:rPr>
              <w:t>业务系统名称</w:t>
            </w:r>
          </w:p>
        </w:tc>
        <w:tc>
          <w:tcPr>
            <w:tcW w:w="1591" w:type="dxa"/>
            <w:tcBorders>
              <w:top w:val="single" w:color="auto" w:sz="4" w:space="0"/>
              <w:left w:val="nil"/>
              <w:bottom w:val="single" w:color="auto" w:sz="4" w:space="0"/>
              <w:right w:val="single" w:color="auto" w:sz="4" w:space="0"/>
            </w:tcBorders>
            <w:noWrap w:val="0"/>
            <w:vAlign w:val="center"/>
          </w:tcPr>
          <w:p w14:paraId="2BDD9CAB">
            <w:pPr>
              <w:widowControl/>
              <w:jc w:val="center"/>
              <w:rPr>
                <w:rFonts w:hint="eastAsia" w:ascii="宋体" w:hAnsi="宋体" w:cs="宋体"/>
                <w:color w:val="000000"/>
                <w:kern w:val="0"/>
                <w:sz w:val="24"/>
              </w:rPr>
            </w:pPr>
            <w:r>
              <w:rPr>
                <w:rFonts w:hint="eastAsia" w:ascii="宋体" w:hAnsi="宋体" w:cs="宋体"/>
                <w:color w:val="000000"/>
                <w:kern w:val="0"/>
                <w:sz w:val="24"/>
              </w:rPr>
              <w:t>CPU资源（核）</w:t>
            </w:r>
          </w:p>
        </w:tc>
        <w:tc>
          <w:tcPr>
            <w:tcW w:w="1640" w:type="dxa"/>
            <w:tcBorders>
              <w:top w:val="single" w:color="auto" w:sz="4" w:space="0"/>
              <w:left w:val="nil"/>
              <w:bottom w:val="single" w:color="auto" w:sz="4" w:space="0"/>
              <w:right w:val="single" w:color="auto" w:sz="4" w:space="0"/>
            </w:tcBorders>
            <w:noWrap w:val="0"/>
            <w:vAlign w:val="center"/>
          </w:tcPr>
          <w:p w14:paraId="6C3551D8">
            <w:pPr>
              <w:widowControl/>
              <w:jc w:val="center"/>
              <w:rPr>
                <w:rFonts w:hint="eastAsia" w:ascii="宋体" w:hAnsi="宋体" w:cs="宋体"/>
                <w:color w:val="000000"/>
                <w:kern w:val="0"/>
                <w:sz w:val="24"/>
              </w:rPr>
            </w:pPr>
            <w:r>
              <w:rPr>
                <w:rFonts w:hint="eastAsia" w:ascii="宋体" w:hAnsi="宋体" w:cs="宋体"/>
                <w:color w:val="000000"/>
                <w:kern w:val="0"/>
                <w:sz w:val="24"/>
              </w:rPr>
              <w:t>内存资源（G）</w:t>
            </w:r>
          </w:p>
        </w:tc>
        <w:tc>
          <w:tcPr>
            <w:tcW w:w="1740" w:type="dxa"/>
            <w:tcBorders>
              <w:top w:val="single" w:color="auto" w:sz="4" w:space="0"/>
              <w:left w:val="nil"/>
              <w:bottom w:val="single" w:color="auto" w:sz="4" w:space="0"/>
              <w:right w:val="single" w:color="auto" w:sz="4" w:space="0"/>
            </w:tcBorders>
            <w:noWrap w:val="0"/>
            <w:vAlign w:val="center"/>
          </w:tcPr>
          <w:p w14:paraId="369F4069">
            <w:pPr>
              <w:widowControl/>
              <w:jc w:val="center"/>
              <w:rPr>
                <w:rFonts w:hint="eastAsia" w:ascii="宋体" w:hAnsi="宋体" w:cs="宋体"/>
                <w:color w:val="000000"/>
                <w:kern w:val="0"/>
                <w:sz w:val="24"/>
              </w:rPr>
            </w:pPr>
            <w:r>
              <w:rPr>
                <w:rFonts w:hint="eastAsia" w:ascii="宋体" w:hAnsi="宋体" w:cs="宋体"/>
                <w:color w:val="000000"/>
                <w:kern w:val="0"/>
                <w:sz w:val="24"/>
              </w:rPr>
              <w:t>存储资源（TB）</w:t>
            </w:r>
          </w:p>
        </w:tc>
        <w:tc>
          <w:tcPr>
            <w:tcW w:w="1040" w:type="dxa"/>
            <w:tcBorders>
              <w:top w:val="single" w:color="auto" w:sz="4" w:space="0"/>
              <w:left w:val="nil"/>
              <w:bottom w:val="single" w:color="auto" w:sz="4" w:space="0"/>
              <w:right w:val="single" w:color="auto" w:sz="4" w:space="0"/>
            </w:tcBorders>
            <w:noWrap w:val="0"/>
            <w:vAlign w:val="center"/>
          </w:tcPr>
          <w:p w14:paraId="44564812">
            <w:pPr>
              <w:widowControl/>
              <w:jc w:val="center"/>
              <w:rPr>
                <w:rFonts w:hint="eastAsia" w:ascii="宋体" w:hAnsi="宋体" w:cs="宋体"/>
                <w:color w:val="000000"/>
                <w:kern w:val="0"/>
                <w:sz w:val="24"/>
              </w:rPr>
            </w:pPr>
            <w:r>
              <w:rPr>
                <w:rFonts w:hint="eastAsia" w:ascii="宋体" w:hAnsi="宋体" w:cs="宋体"/>
                <w:color w:val="000000"/>
                <w:kern w:val="0"/>
                <w:sz w:val="24"/>
              </w:rPr>
              <w:t>备注</w:t>
            </w:r>
          </w:p>
        </w:tc>
      </w:tr>
      <w:tr w14:paraId="5208EC4C">
        <w:tblPrEx>
          <w:tblCellMar>
            <w:top w:w="0" w:type="dxa"/>
            <w:left w:w="108" w:type="dxa"/>
            <w:bottom w:w="0" w:type="dxa"/>
            <w:right w:w="108" w:type="dxa"/>
          </w:tblCellMar>
        </w:tblPrEx>
        <w:trPr>
          <w:trHeight w:val="454" w:hRule="atLeast"/>
          <w:jc w:val="center"/>
        </w:trPr>
        <w:tc>
          <w:tcPr>
            <w:tcW w:w="913" w:type="dxa"/>
            <w:tcBorders>
              <w:top w:val="nil"/>
              <w:left w:val="single" w:color="auto" w:sz="4" w:space="0"/>
              <w:bottom w:val="single" w:color="auto" w:sz="4" w:space="0"/>
              <w:right w:val="single" w:color="auto" w:sz="4" w:space="0"/>
            </w:tcBorders>
            <w:noWrap w:val="0"/>
            <w:vAlign w:val="center"/>
          </w:tcPr>
          <w:p w14:paraId="66BEA230">
            <w:pPr>
              <w:widowControl/>
              <w:jc w:val="center"/>
              <w:rPr>
                <w:rFonts w:hint="eastAsia" w:ascii="宋体" w:hAnsi="宋体" w:cs="宋体"/>
                <w:color w:val="000000"/>
                <w:kern w:val="0"/>
                <w:sz w:val="24"/>
              </w:rPr>
            </w:pPr>
            <w:r>
              <w:rPr>
                <w:rFonts w:hint="eastAsia" w:ascii="宋体" w:hAnsi="宋体" w:cs="宋体"/>
                <w:color w:val="000000"/>
                <w:kern w:val="0"/>
                <w:sz w:val="24"/>
              </w:rPr>
              <w:t>1</w:t>
            </w:r>
          </w:p>
        </w:tc>
        <w:tc>
          <w:tcPr>
            <w:tcW w:w="1716" w:type="dxa"/>
            <w:tcBorders>
              <w:top w:val="nil"/>
              <w:left w:val="nil"/>
              <w:bottom w:val="single" w:color="auto" w:sz="4" w:space="0"/>
              <w:right w:val="single" w:color="auto" w:sz="4" w:space="0"/>
            </w:tcBorders>
            <w:noWrap w:val="0"/>
            <w:vAlign w:val="center"/>
          </w:tcPr>
          <w:p w14:paraId="46115222">
            <w:pPr>
              <w:widowControl/>
              <w:jc w:val="center"/>
              <w:rPr>
                <w:rFonts w:hint="eastAsia" w:ascii="宋体" w:hAnsi="宋体" w:cs="宋体"/>
                <w:color w:val="000000"/>
                <w:kern w:val="0"/>
                <w:sz w:val="24"/>
              </w:rPr>
            </w:pPr>
            <w:r>
              <w:rPr>
                <w:rFonts w:hint="eastAsia" w:ascii="宋体" w:hAnsi="宋体" w:cs="宋体"/>
                <w:color w:val="000000"/>
                <w:kern w:val="0"/>
                <w:sz w:val="24"/>
              </w:rPr>
              <w:t>业务系统A</w:t>
            </w:r>
          </w:p>
        </w:tc>
        <w:tc>
          <w:tcPr>
            <w:tcW w:w="1591" w:type="dxa"/>
            <w:tcBorders>
              <w:top w:val="nil"/>
              <w:left w:val="nil"/>
              <w:bottom w:val="single" w:color="auto" w:sz="4" w:space="0"/>
              <w:right w:val="single" w:color="auto" w:sz="4" w:space="0"/>
            </w:tcBorders>
            <w:noWrap w:val="0"/>
            <w:vAlign w:val="center"/>
          </w:tcPr>
          <w:p w14:paraId="3DA75232">
            <w:pPr>
              <w:widowControl/>
              <w:jc w:val="center"/>
              <w:rPr>
                <w:rFonts w:hint="eastAsia" w:ascii="宋体" w:hAnsi="宋体" w:cs="宋体"/>
                <w:color w:val="000000"/>
                <w:kern w:val="0"/>
                <w:sz w:val="24"/>
              </w:rPr>
            </w:pPr>
            <w:r>
              <w:rPr>
                <w:rFonts w:hint="eastAsia" w:ascii="宋体" w:hAnsi="宋体" w:cs="宋体"/>
                <w:color w:val="000000"/>
                <w:kern w:val="0"/>
                <w:sz w:val="24"/>
              </w:rPr>
              <w:t>96</w:t>
            </w:r>
          </w:p>
        </w:tc>
        <w:tc>
          <w:tcPr>
            <w:tcW w:w="1640" w:type="dxa"/>
            <w:tcBorders>
              <w:top w:val="nil"/>
              <w:left w:val="nil"/>
              <w:bottom w:val="single" w:color="auto" w:sz="4" w:space="0"/>
              <w:right w:val="single" w:color="auto" w:sz="4" w:space="0"/>
            </w:tcBorders>
            <w:noWrap w:val="0"/>
            <w:vAlign w:val="center"/>
          </w:tcPr>
          <w:p w14:paraId="0FE9703F">
            <w:pPr>
              <w:widowControl/>
              <w:jc w:val="center"/>
              <w:rPr>
                <w:rFonts w:hint="eastAsia" w:ascii="宋体" w:hAnsi="宋体" w:cs="宋体"/>
                <w:color w:val="000000"/>
                <w:kern w:val="0"/>
                <w:sz w:val="24"/>
              </w:rPr>
            </w:pPr>
            <w:r>
              <w:rPr>
                <w:rFonts w:hint="eastAsia" w:ascii="宋体" w:hAnsi="宋体" w:cs="宋体"/>
                <w:color w:val="000000"/>
                <w:kern w:val="0"/>
                <w:sz w:val="24"/>
              </w:rPr>
              <w:t>128</w:t>
            </w:r>
          </w:p>
        </w:tc>
        <w:tc>
          <w:tcPr>
            <w:tcW w:w="1740" w:type="dxa"/>
            <w:tcBorders>
              <w:top w:val="nil"/>
              <w:left w:val="nil"/>
              <w:bottom w:val="single" w:color="auto" w:sz="4" w:space="0"/>
              <w:right w:val="single" w:color="auto" w:sz="4" w:space="0"/>
            </w:tcBorders>
            <w:noWrap w:val="0"/>
            <w:vAlign w:val="center"/>
          </w:tcPr>
          <w:p w14:paraId="6E1568CD">
            <w:pPr>
              <w:widowControl/>
              <w:jc w:val="center"/>
              <w:rPr>
                <w:rFonts w:hint="eastAsia" w:ascii="宋体" w:hAnsi="宋体" w:cs="宋体"/>
                <w:color w:val="000000"/>
                <w:kern w:val="0"/>
                <w:sz w:val="24"/>
              </w:rPr>
            </w:pPr>
            <w:r>
              <w:rPr>
                <w:rFonts w:hint="eastAsia" w:ascii="宋体" w:hAnsi="宋体" w:cs="宋体"/>
                <w:color w:val="000000"/>
                <w:kern w:val="0"/>
                <w:sz w:val="24"/>
              </w:rPr>
              <w:t>8</w:t>
            </w:r>
          </w:p>
        </w:tc>
        <w:tc>
          <w:tcPr>
            <w:tcW w:w="1040" w:type="dxa"/>
            <w:tcBorders>
              <w:top w:val="nil"/>
              <w:left w:val="nil"/>
              <w:bottom w:val="single" w:color="auto" w:sz="4" w:space="0"/>
              <w:right w:val="single" w:color="auto" w:sz="4" w:space="0"/>
            </w:tcBorders>
            <w:noWrap w:val="0"/>
            <w:vAlign w:val="center"/>
          </w:tcPr>
          <w:p w14:paraId="2A8AFA85">
            <w:pPr>
              <w:widowControl/>
              <w:jc w:val="center"/>
              <w:rPr>
                <w:rFonts w:hint="eastAsia" w:ascii="宋体" w:hAnsi="宋体" w:cs="宋体"/>
                <w:color w:val="000000"/>
                <w:kern w:val="0"/>
                <w:sz w:val="24"/>
              </w:rPr>
            </w:pPr>
          </w:p>
        </w:tc>
      </w:tr>
      <w:tr w14:paraId="522B0F21">
        <w:tblPrEx>
          <w:tblCellMar>
            <w:top w:w="0" w:type="dxa"/>
            <w:left w:w="108" w:type="dxa"/>
            <w:bottom w:w="0" w:type="dxa"/>
            <w:right w:w="108" w:type="dxa"/>
          </w:tblCellMar>
        </w:tblPrEx>
        <w:trPr>
          <w:trHeight w:val="454" w:hRule="atLeast"/>
          <w:jc w:val="center"/>
        </w:trPr>
        <w:tc>
          <w:tcPr>
            <w:tcW w:w="913" w:type="dxa"/>
            <w:tcBorders>
              <w:top w:val="nil"/>
              <w:left w:val="single" w:color="auto" w:sz="4" w:space="0"/>
              <w:bottom w:val="single" w:color="auto" w:sz="4" w:space="0"/>
              <w:right w:val="single" w:color="auto" w:sz="4" w:space="0"/>
            </w:tcBorders>
            <w:noWrap w:val="0"/>
            <w:vAlign w:val="center"/>
          </w:tcPr>
          <w:p w14:paraId="58DB14B6">
            <w:pPr>
              <w:widowControl/>
              <w:jc w:val="center"/>
              <w:rPr>
                <w:rFonts w:hint="eastAsia" w:ascii="宋体" w:hAnsi="宋体" w:cs="宋体"/>
                <w:color w:val="000000"/>
                <w:kern w:val="0"/>
                <w:sz w:val="24"/>
              </w:rPr>
            </w:pPr>
            <w:r>
              <w:rPr>
                <w:rFonts w:hint="eastAsia" w:ascii="宋体" w:hAnsi="宋体" w:cs="宋体"/>
                <w:color w:val="000000"/>
                <w:kern w:val="0"/>
                <w:sz w:val="24"/>
              </w:rPr>
              <w:t>2</w:t>
            </w:r>
          </w:p>
        </w:tc>
        <w:tc>
          <w:tcPr>
            <w:tcW w:w="1716" w:type="dxa"/>
            <w:tcBorders>
              <w:top w:val="nil"/>
              <w:left w:val="nil"/>
              <w:bottom w:val="single" w:color="auto" w:sz="4" w:space="0"/>
              <w:right w:val="single" w:color="auto" w:sz="4" w:space="0"/>
            </w:tcBorders>
            <w:noWrap w:val="0"/>
            <w:vAlign w:val="center"/>
          </w:tcPr>
          <w:p w14:paraId="62C1AED5">
            <w:pPr>
              <w:widowControl/>
              <w:jc w:val="center"/>
              <w:rPr>
                <w:rFonts w:hint="eastAsia" w:ascii="宋体" w:hAnsi="宋体" w:cs="宋体"/>
                <w:color w:val="000000"/>
                <w:kern w:val="0"/>
                <w:sz w:val="24"/>
              </w:rPr>
            </w:pPr>
            <w:r>
              <w:rPr>
                <w:rFonts w:hint="eastAsia" w:ascii="宋体" w:hAnsi="宋体" w:cs="宋体"/>
                <w:color w:val="000000"/>
                <w:kern w:val="0"/>
                <w:sz w:val="24"/>
              </w:rPr>
              <w:t>业务系统B</w:t>
            </w:r>
          </w:p>
        </w:tc>
        <w:tc>
          <w:tcPr>
            <w:tcW w:w="1591" w:type="dxa"/>
            <w:tcBorders>
              <w:top w:val="nil"/>
              <w:left w:val="nil"/>
              <w:bottom w:val="single" w:color="auto" w:sz="4" w:space="0"/>
              <w:right w:val="single" w:color="auto" w:sz="4" w:space="0"/>
            </w:tcBorders>
            <w:noWrap w:val="0"/>
            <w:vAlign w:val="center"/>
          </w:tcPr>
          <w:p w14:paraId="6260B7C5">
            <w:pPr>
              <w:widowControl/>
              <w:jc w:val="center"/>
              <w:rPr>
                <w:rFonts w:hint="eastAsia" w:ascii="宋体" w:hAnsi="宋体" w:cs="宋体"/>
                <w:color w:val="000000"/>
                <w:kern w:val="0"/>
                <w:sz w:val="24"/>
              </w:rPr>
            </w:pPr>
            <w:r>
              <w:rPr>
                <w:rFonts w:hint="eastAsia" w:ascii="宋体" w:hAnsi="宋体" w:cs="宋体"/>
                <w:color w:val="000000"/>
                <w:kern w:val="0"/>
                <w:sz w:val="24"/>
              </w:rPr>
              <w:t>96</w:t>
            </w:r>
          </w:p>
        </w:tc>
        <w:tc>
          <w:tcPr>
            <w:tcW w:w="1640" w:type="dxa"/>
            <w:tcBorders>
              <w:top w:val="nil"/>
              <w:left w:val="nil"/>
              <w:bottom w:val="single" w:color="auto" w:sz="4" w:space="0"/>
              <w:right w:val="single" w:color="auto" w:sz="4" w:space="0"/>
            </w:tcBorders>
            <w:noWrap w:val="0"/>
            <w:vAlign w:val="center"/>
          </w:tcPr>
          <w:p w14:paraId="3A938CF1">
            <w:pPr>
              <w:widowControl/>
              <w:jc w:val="center"/>
              <w:rPr>
                <w:rFonts w:hint="eastAsia" w:ascii="宋体" w:hAnsi="宋体" w:cs="宋体"/>
                <w:color w:val="000000"/>
                <w:kern w:val="0"/>
                <w:sz w:val="24"/>
              </w:rPr>
            </w:pPr>
            <w:r>
              <w:rPr>
                <w:rFonts w:hint="eastAsia" w:ascii="宋体" w:hAnsi="宋体" w:cs="宋体"/>
                <w:color w:val="000000"/>
                <w:kern w:val="0"/>
                <w:sz w:val="24"/>
              </w:rPr>
              <w:t>256</w:t>
            </w:r>
          </w:p>
        </w:tc>
        <w:tc>
          <w:tcPr>
            <w:tcW w:w="1740" w:type="dxa"/>
            <w:tcBorders>
              <w:top w:val="nil"/>
              <w:left w:val="nil"/>
              <w:bottom w:val="single" w:color="auto" w:sz="4" w:space="0"/>
              <w:right w:val="single" w:color="auto" w:sz="4" w:space="0"/>
            </w:tcBorders>
            <w:noWrap w:val="0"/>
            <w:vAlign w:val="center"/>
          </w:tcPr>
          <w:p w14:paraId="2CB92E37">
            <w:pPr>
              <w:widowControl/>
              <w:jc w:val="center"/>
              <w:rPr>
                <w:rFonts w:hint="eastAsia" w:ascii="宋体" w:hAnsi="宋体" w:cs="宋体"/>
                <w:color w:val="000000"/>
                <w:kern w:val="0"/>
                <w:sz w:val="24"/>
              </w:rPr>
            </w:pPr>
            <w:r>
              <w:rPr>
                <w:rFonts w:hint="eastAsia" w:ascii="宋体" w:hAnsi="宋体" w:cs="宋体"/>
                <w:color w:val="000000"/>
                <w:kern w:val="0"/>
                <w:sz w:val="24"/>
              </w:rPr>
              <w:t>8</w:t>
            </w:r>
          </w:p>
        </w:tc>
        <w:tc>
          <w:tcPr>
            <w:tcW w:w="1040" w:type="dxa"/>
            <w:tcBorders>
              <w:top w:val="nil"/>
              <w:left w:val="nil"/>
              <w:bottom w:val="single" w:color="auto" w:sz="4" w:space="0"/>
              <w:right w:val="single" w:color="auto" w:sz="4" w:space="0"/>
            </w:tcBorders>
            <w:noWrap w:val="0"/>
            <w:vAlign w:val="center"/>
          </w:tcPr>
          <w:p w14:paraId="3CDA183E">
            <w:pPr>
              <w:widowControl/>
              <w:jc w:val="center"/>
              <w:rPr>
                <w:rFonts w:hint="eastAsia" w:ascii="宋体" w:hAnsi="宋体" w:cs="宋体"/>
                <w:color w:val="000000"/>
                <w:kern w:val="0"/>
                <w:sz w:val="24"/>
              </w:rPr>
            </w:pPr>
          </w:p>
        </w:tc>
      </w:tr>
      <w:tr w14:paraId="4F478180">
        <w:tblPrEx>
          <w:tblCellMar>
            <w:top w:w="0" w:type="dxa"/>
            <w:left w:w="108" w:type="dxa"/>
            <w:bottom w:w="0" w:type="dxa"/>
            <w:right w:w="108" w:type="dxa"/>
          </w:tblCellMar>
        </w:tblPrEx>
        <w:trPr>
          <w:trHeight w:val="454" w:hRule="atLeast"/>
          <w:jc w:val="center"/>
        </w:trPr>
        <w:tc>
          <w:tcPr>
            <w:tcW w:w="913" w:type="dxa"/>
            <w:tcBorders>
              <w:top w:val="nil"/>
              <w:left w:val="single" w:color="auto" w:sz="4" w:space="0"/>
              <w:bottom w:val="single" w:color="auto" w:sz="4" w:space="0"/>
              <w:right w:val="single" w:color="auto" w:sz="4" w:space="0"/>
            </w:tcBorders>
            <w:noWrap w:val="0"/>
            <w:vAlign w:val="center"/>
          </w:tcPr>
          <w:p w14:paraId="2EAD4A2E">
            <w:pPr>
              <w:widowControl/>
              <w:jc w:val="center"/>
              <w:rPr>
                <w:rFonts w:hint="eastAsia" w:ascii="宋体" w:hAnsi="宋体" w:cs="宋体"/>
                <w:color w:val="000000"/>
                <w:kern w:val="0"/>
                <w:sz w:val="24"/>
              </w:rPr>
            </w:pPr>
            <w:r>
              <w:rPr>
                <w:rFonts w:hint="eastAsia" w:ascii="宋体" w:hAnsi="宋体" w:cs="宋体"/>
                <w:color w:val="000000"/>
                <w:kern w:val="0"/>
                <w:sz w:val="24"/>
              </w:rPr>
              <w:t>3</w:t>
            </w:r>
          </w:p>
        </w:tc>
        <w:tc>
          <w:tcPr>
            <w:tcW w:w="1716" w:type="dxa"/>
            <w:tcBorders>
              <w:top w:val="nil"/>
              <w:left w:val="nil"/>
              <w:bottom w:val="single" w:color="auto" w:sz="4" w:space="0"/>
              <w:right w:val="single" w:color="auto" w:sz="4" w:space="0"/>
            </w:tcBorders>
            <w:noWrap w:val="0"/>
            <w:vAlign w:val="center"/>
          </w:tcPr>
          <w:p w14:paraId="2D52BBC8">
            <w:pPr>
              <w:widowControl/>
              <w:jc w:val="center"/>
              <w:rPr>
                <w:rFonts w:hint="eastAsia" w:ascii="宋体" w:hAnsi="宋体" w:cs="宋体"/>
                <w:color w:val="000000"/>
                <w:kern w:val="0"/>
                <w:sz w:val="24"/>
              </w:rPr>
            </w:pPr>
            <w:r>
              <w:rPr>
                <w:rFonts w:hint="eastAsia" w:ascii="宋体" w:hAnsi="宋体" w:cs="宋体"/>
                <w:color w:val="000000"/>
                <w:kern w:val="0"/>
                <w:sz w:val="24"/>
              </w:rPr>
              <w:t>业务系统C</w:t>
            </w:r>
          </w:p>
        </w:tc>
        <w:tc>
          <w:tcPr>
            <w:tcW w:w="1591" w:type="dxa"/>
            <w:tcBorders>
              <w:top w:val="nil"/>
              <w:left w:val="nil"/>
              <w:bottom w:val="single" w:color="auto" w:sz="4" w:space="0"/>
              <w:right w:val="single" w:color="auto" w:sz="4" w:space="0"/>
            </w:tcBorders>
            <w:noWrap w:val="0"/>
            <w:vAlign w:val="center"/>
          </w:tcPr>
          <w:p w14:paraId="4E18C7F3">
            <w:pPr>
              <w:widowControl/>
              <w:jc w:val="center"/>
              <w:rPr>
                <w:rFonts w:hint="eastAsia" w:ascii="宋体" w:hAnsi="宋体" w:cs="宋体"/>
                <w:color w:val="000000"/>
                <w:kern w:val="0"/>
                <w:sz w:val="24"/>
              </w:rPr>
            </w:pPr>
            <w:r>
              <w:rPr>
                <w:rFonts w:hint="eastAsia" w:ascii="宋体" w:hAnsi="宋体" w:cs="宋体"/>
                <w:color w:val="000000"/>
                <w:kern w:val="0"/>
                <w:sz w:val="24"/>
              </w:rPr>
              <w:t>96</w:t>
            </w:r>
          </w:p>
        </w:tc>
        <w:tc>
          <w:tcPr>
            <w:tcW w:w="1640" w:type="dxa"/>
            <w:tcBorders>
              <w:top w:val="nil"/>
              <w:left w:val="nil"/>
              <w:bottom w:val="single" w:color="auto" w:sz="4" w:space="0"/>
              <w:right w:val="single" w:color="auto" w:sz="4" w:space="0"/>
            </w:tcBorders>
            <w:noWrap w:val="0"/>
            <w:vAlign w:val="center"/>
          </w:tcPr>
          <w:p w14:paraId="339386ED">
            <w:pPr>
              <w:widowControl/>
              <w:jc w:val="center"/>
              <w:rPr>
                <w:rFonts w:hint="eastAsia" w:ascii="宋体" w:hAnsi="宋体" w:cs="宋体"/>
                <w:color w:val="000000"/>
                <w:kern w:val="0"/>
                <w:sz w:val="24"/>
              </w:rPr>
            </w:pPr>
            <w:r>
              <w:rPr>
                <w:rFonts w:hint="eastAsia" w:ascii="宋体" w:hAnsi="宋体" w:cs="宋体"/>
                <w:color w:val="000000"/>
                <w:kern w:val="0"/>
                <w:sz w:val="24"/>
              </w:rPr>
              <w:t>256</w:t>
            </w:r>
          </w:p>
        </w:tc>
        <w:tc>
          <w:tcPr>
            <w:tcW w:w="1740" w:type="dxa"/>
            <w:tcBorders>
              <w:top w:val="nil"/>
              <w:left w:val="nil"/>
              <w:bottom w:val="single" w:color="auto" w:sz="4" w:space="0"/>
              <w:right w:val="single" w:color="auto" w:sz="4" w:space="0"/>
            </w:tcBorders>
            <w:noWrap w:val="0"/>
            <w:vAlign w:val="center"/>
          </w:tcPr>
          <w:p w14:paraId="3B850B03">
            <w:pPr>
              <w:widowControl/>
              <w:jc w:val="center"/>
              <w:rPr>
                <w:rFonts w:hint="eastAsia" w:ascii="宋体" w:hAnsi="宋体" w:cs="宋体"/>
                <w:color w:val="000000"/>
                <w:kern w:val="0"/>
                <w:sz w:val="24"/>
              </w:rPr>
            </w:pPr>
            <w:r>
              <w:rPr>
                <w:rFonts w:hint="eastAsia" w:ascii="宋体" w:hAnsi="宋体" w:cs="宋体"/>
                <w:color w:val="000000"/>
                <w:kern w:val="0"/>
                <w:sz w:val="24"/>
              </w:rPr>
              <w:t>8</w:t>
            </w:r>
          </w:p>
        </w:tc>
        <w:tc>
          <w:tcPr>
            <w:tcW w:w="1040" w:type="dxa"/>
            <w:tcBorders>
              <w:top w:val="nil"/>
              <w:left w:val="nil"/>
              <w:bottom w:val="single" w:color="auto" w:sz="4" w:space="0"/>
              <w:right w:val="single" w:color="auto" w:sz="4" w:space="0"/>
            </w:tcBorders>
            <w:noWrap w:val="0"/>
            <w:vAlign w:val="center"/>
          </w:tcPr>
          <w:p w14:paraId="15A406C6">
            <w:pPr>
              <w:widowControl/>
              <w:jc w:val="center"/>
              <w:rPr>
                <w:rFonts w:hint="eastAsia" w:ascii="宋体" w:hAnsi="宋体" w:cs="宋体"/>
                <w:color w:val="000000"/>
                <w:kern w:val="0"/>
                <w:sz w:val="24"/>
              </w:rPr>
            </w:pPr>
          </w:p>
        </w:tc>
      </w:tr>
      <w:tr w14:paraId="7E625C51">
        <w:tblPrEx>
          <w:tblCellMar>
            <w:top w:w="0" w:type="dxa"/>
            <w:left w:w="108" w:type="dxa"/>
            <w:bottom w:w="0" w:type="dxa"/>
            <w:right w:w="108" w:type="dxa"/>
          </w:tblCellMar>
        </w:tblPrEx>
        <w:trPr>
          <w:trHeight w:val="454" w:hRule="atLeast"/>
          <w:jc w:val="center"/>
        </w:trPr>
        <w:tc>
          <w:tcPr>
            <w:tcW w:w="913" w:type="dxa"/>
            <w:tcBorders>
              <w:top w:val="nil"/>
              <w:left w:val="single" w:color="auto" w:sz="4" w:space="0"/>
              <w:bottom w:val="single" w:color="auto" w:sz="4" w:space="0"/>
              <w:right w:val="single" w:color="auto" w:sz="4" w:space="0"/>
            </w:tcBorders>
            <w:noWrap w:val="0"/>
            <w:vAlign w:val="center"/>
          </w:tcPr>
          <w:p w14:paraId="12291AA5">
            <w:pPr>
              <w:widowControl/>
              <w:jc w:val="center"/>
              <w:rPr>
                <w:rFonts w:hint="eastAsia" w:ascii="宋体" w:hAnsi="宋体" w:cs="宋体"/>
                <w:color w:val="000000"/>
                <w:kern w:val="0"/>
                <w:sz w:val="24"/>
              </w:rPr>
            </w:pPr>
            <w:r>
              <w:rPr>
                <w:rFonts w:hint="eastAsia" w:ascii="宋体" w:hAnsi="宋体" w:cs="宋体"/>
                <w:color w:val="000000"/>
                <w:kern w:val="0"/>
                <w:sz w:val="24"/>
              </w:rPr>
              <w:t>4</w:t>
            </w:r>
          </w:p>
        </w:tc>
        <w:tc>
          <w:tcPr>
            <w:tcW w:w="1716" w:type="dxa"/>
            <w:tcBorders>
              <w:top w:val="nil"/>
              <w:left w:val="nil"/>
              <w:bottom w:val="single" w:color="auto" w:sz="4" w:space="0"/>
              <w:right w:val="single" w:color="auto" w:sz="4" w:space="0"/>
            </w:tcBorders>
            <w:noWrap w:val="0"/>
            <w:vAlign w:val="center"/>
          </w:tcPr>
          <w:p w14:paraId="639EC2FF">
            <w:pPr>
              <w:widowControl/>
              <w:jc w:val="center"/>
              <w:rPr>
                <w:rFonts w:hint="eastAsia" w:ascii="宋体" w:hAnsi="宋体" w:cs="宋体"/>
                <w:color w:val="000000"/>
                <w:kern w:val="0"/>
                <w:sz w:val="24"/>
              </w:rPr>
            </w:pPr>
            <w:r>
              <w:rPr>
                <w:rFonts w:hint="eastAsia" w:ascii="宋体" w:hAnsi="宋体" w:cs="宋体"/>
                <w:color w:val="000000"/>
                <w:kern w:val="0"/>
                <w:sz w:val="24"/>
              </w:rPr>
              <w:t>数据库A</w:t>
            </w:r>
          </w:p>
        </w:tc>
        <w:tc>
          <w:tcPr>
            <w:tcW w:w="1591" w:type="dxa"/>
            <w:tcBorders>
              <w:top w:val="nil"/>
              <w:left w:val="nil"/>
              <w:bottom w:val="single" w:color="auto" w:sz="4" w:space="0"/>
              <w:right w:val="single" w:color="auto" w:sz="4" w:space="0"/>
            </w:tcBorders>
            <w:noWrap w:val="0"/>
            <w:vAlign w:val="center"/>
          </w:tcPr>
          <w:p w14:paraId="6D56E9CB">
            <w:pPr>
              <w:widowControl/>
              <w:jc w:val="center"/>
              <w:rPr>
                <w:rFonts w:hint="eastAsia" w:ascii="宋体" w:hAnsi="宋体" w:cs="宋体"/>
                <w:color w:val="000000"/>
                <w:kern w:val="0"/>
                <w:sz w:val="24"/>
              </w:rPr>
            </w:pPr>
            <w:r>
              <w:rPr>
                <w:rFonts w:hint="eastAsia" w:ascii="宋体" w:hAnsi="宋体" w:cs="宋体"/>
                <w:color w:val="000000"/>
                <w:kern w:val="0"/>
                <w:sz w:val="24"/>
              </w:rPr>
              <w:t>96</w:t>
            </w:r>
          </w:p>
        </w:tc>
        <w:tc>
          <w:tcPr>
            <w:tcW w:w="1640" w:type="dxa"/>
            <w:tcBorders>
              <w:top w:val="nil"/>
              <w:left w:val="nil"/>
              <w:bottom w:val="single" w:color="auto" w:sz="4" w:space="0"/>
              <w:right w:val="single" w:color="auto" w:sz="4" w:space="0"/>
            </w:tcBorders>
            <w:noWrap w:val="0"/>
            <w:vAlign w:val="center"/>
          </w:tcPr>
          <w:p w14:paraId="125A0486">
            <w:pPr>
              <w:widowControl/>
              <w:jc w:val="center"/>
              <w:rPr>
                <w:rFonts w:hint="eastAsia" w:ascii="宋体" w:hAnsi="宋体" w:cs="宋体"/>
                <w:color w:val="000000"/>
                <w:kern w:val="0"/>
                <w:sz w:val="24"/>
              </w:rPr>
            </w:pPr>
            <w:r>
              <w:rPr>
                <w:rFonts w:hint="eastAsia" w:ascii="宋体" w:hAnsi="宋体" w:cs="宋体"/>
                <w:color w:val="000000"/>
                <w:kern w:val="0"/>
                <w:sz w:val="24"/>
              </w:rPr>
              <w:t>256</w:t>
            </w:r>
          </w:p>
        </w:tc>
        <w:tc>
          <w:tcPr>
            <w:tcW w:w="1740" w:type="dxa"/>
            <w:tcBorders>
              <w:top w:val="nil"/>
              <w:left w:val="nil"/>
              <w:bottom w:val="single" w:color="auto" w:sz="4" w:space="0"/>
              <w:right w:val="single" w:color="auto" w:sz="4" w:space="0"/>
            </w:tcBorders>
            <w:noWrap w:val="0"/>
            <w:vAlign w:val="center"/>
          </w:tcPr>
          <w:p w14:paraId="26BB1C97">
            <w:pPr>
              <w:widowControl/>
              <w:jc w:val="center"/>
              <w:rPr>
                <w:rFonts w:hint="eastAsia" w:ascii="宋体" w:hAnsi="宋体" w:cs="宋体"/>
                <w:color w:val="000000"/>
                <w:kern w:val="0"/>
                <w:sz w:val="24"/>
              </w:rPr>
            </w:pPr>
            <w:r>
              <w:rPr>
                <w:rFonts w:hint="eastAsia" w:ascii="宋体" w:hAnsi="宋体" w:cs="宋体"/>
                <w:color w:val="000000"/>
                <w:kern w:val="0"/>
                <w:sz w:val="24"/>
              </w:rPr>
              <w:t>32</w:t>
            </w:r>
          </w:p>
        </w:tc>
        <w:tc>
          <w:tcPr>
            <w:tcW w:w="1040" w:type="dxa"/>
            <w:tcBorders>
              <w:top w:val="nil"/>
              <w:left w:val="nil"/>
              <w:bottom w:val="single" w:color="auto" w:sz="4" w:space="0"/>
              <w:right w:val="single" w:color="auto" w:sz="4" w:space="0"/>
            </w:tcBorders>
            <w:noWrap w:val="0"/>
            <w:vAlign w:val="center"/>
          </w:tcPr>
          <w:p w14:paraId="03829CC4">
            <w:pPr>
              <w:widowControl/>
              <w:jc w:val="center"/>
              <w:rPr>
                <w:rFonts w:hint="eastAsia" w:ascii="宋体" w:hAnsi="宋体" w:cs="宋体"/>
                <w:color w:val="000000"/>
                <w:kern w:val="0"/>
                <w:sz w:val="24"/>
              </w:rPr>
            </w:pPr>
          </w:p>
        </w:tc>
      </w:tr>
      <w:tr w14:paraId="2FDB14BB">
        <w:tblPrEx>
          <w:tblCellMar>
            <w:top w:w="0" w:type="dxa"/>
            <w:left w:w="108" w:type="dxa"/>
            <w:bottom w:w="0" w:type="dxa"/>
            <w:right w:w="108" w:type="dxa"/>
          </w:tblCellMar>
        </w:tblPrEx>
        <w:trPr>
          <w:trHeight w:val="454" w:hRule="atLeast"/>
          <w:jc w:val="center"/>
        </w:trPr>
        <w:tc>
          <w:tcPr>
            <w:tcW w:w="913" w:type="dxa"/>
            <w:tcBorders>
              <w:top w:val="nil"/>
              <w:left w:val="single" w:color="auto" w:sz="4" w:space="0"/>
              <w:bottom w:val="single" w:color="auto" w:sz="4" w:space="0"/>
              <w:right w:val="single" w:color="auto" w:sz="4" w:space="0"/>
            </w:tcBorders>
            <w:noWrap w:val="0"/>
            <w:vAlign w:val="center"/>
          </w:tcPr>
          <w:p w14:paraId="79D35E8F">
            <w:pPr>
              <w:widowControl/>
              <w:jc w:val="center"/>
              <w:rPr>
                <w:rFonts w:hint="eastAsia" w:ascii="宋体" w:hAnsi="宋体" w:cs="宋体"/>
                <w:color w:val="000000"/>
                <w:kern w:val="0"/>
                <w:sz w:val="24"/>
              </w:rPr>
            </w:pPr>
            <w:r>
              <w:rPr>
                <w:rFonts w:hint="eastAsia" w:ascii="宋体" w:hAnsi="宋体" w:cs="宋体"/>
                <w:color w:val="000000"/>
                <w:kern w:val="0"/>
                <w:sz w:val="24"/>
              </w:rPr>
              <w:t>5</w:t>
            </w:r>
          </w:p>
        </w:tc>
        <w:tc>
          <w:tcPr>
            <w:tcW w:w="1716" w:type="dxa"/>
            <w:tcBorders>
              <w:top w:val="nil"/>
              <w:left w:val="nil"/>
              <w:bottom w:val="single" w:color="auto" w:sz="4" w:space="0"/>
              <w:right w:val="single" w:color="auto" w:sz="4" w:space="0"/>
            </w:tcBorders>
            <w:noWrap w:val="0"/>
            <w:vAlign w:val="center"/>
          </w:tcPr>
          <w:p w14:paraId="59D2DCDB">
            <w:pPr>
              <w:widowControl/>
              <w:jc w:val="center"/>
              <w:rPr>
                <w:rFonts w:hint="eastAsia" w:ascii="宋体" w:hAnsi="宋体" w:cs="宋体"/>
                <w:color w:val="000000"/>
                <w:kern w:val="0"/>
                <w:sz w:val="24"/>
              </w:rPr>
            </w:pPr>
            <w:r>
              <w:rPr>
                <w:rFonts w:hint="eastAsia" w:ascii="宋体" w:hAnsi="宋体" w:cs="宋体"/>
                <w:color w:val="000000"/>
                <w:kern w:val="0"/>
                <w:sz w:val="24"/>
              </w:rPr>
              <w:t>数据库B</w:t>
            </w:r>
          </w:p>
        </w:tc>
        <w:tc>
          <w:tcPr>
            <w:tcW w:w="1591" w:type="dxa"/>
            <w:tcBorders>
              <w:top w:val="nil"/>
              <w:left w:val="nil"/>
              <w:bottom w:val="single" w:color="auto" w:sz="4" w:space="0"/>
              <w:right w:val="single" w:color="auto" w:sz="4" w:space="0"/>
            </w:tcBorders>
            <w:noWrap w:val="0"/>
            <w:vAlign w:val="center"/>
          </w:tcPr>
          <w:p w14:paraId="66BEB434">
            <w:pPr>
              <w:widowControl/>
              <w:jc w:val="center"/>
              <w:rPr>
                <w:rFonts w:hint="eastAsia" w:ascii="宋体" w:hAnsi="宋体" w:cs="宋体"/>
                <w:color w:val="000000"/>
                <w:kern w:val="0"/>
                <w:sz w:val="24"/>
              </w:rPr>
            </w:pPr>
            <w:r>
              <w:rPr>
                <w:rFonts w:hint="eastAsia" w:ascii="宋体" w:hAnsi="宋体" w:cs="宋体"/>
                <w:color w:val="000000"/>
                <w:kern w:val="0"/>
                <w:sz w:val="24"/>
              </w:rPr>
              <w:t>96</w:t>
            </w:r>
          </w:p>
        </w:tc>
        <w:tc>
          <w:tcPr>
            <w:tcW w:w="1640" w:type="dxa"/>
            <w:tcBorders>
              <w:top w:val="nil"/>
              <w:left w:val="nil"/>
              <w:bottom w:val="single" w:color="auto" w:sz="4" w:space="0"/>
              <w:right w:val="single" w:color="auto" w:sz="4" w:space="0"/>
            </w:tcBorders>
            <w:noWrap w:val="0"/>
            <w:vAlign w:val="center"/>
          </w:tcPr>
          <w:p w14:paraId="610DC0BC">
            <w:pPr>
              <w:widowControl/>
              <w:jc w:val="center"/>
              <w:rPr>
                <w:rFonts w:hint="eastAsia" w:ascii="宋体" w:hAnsi="宋体" w:cs="宋体"/>
                <w:color w:val="000000"/>
                <w:kern w:val="0"/>
                <w:sz w:val="24"/>
              </w:rPr>
            </w:pPr>
            <w:r>
              <w:rPr>
                <w:rFonts w:hint="eastAsia" w:ascii="宋体" w:hAnsi="宋体" w:cs="宋体"/>
                <w:color w:val="000000"/>
                <w:kern w:val="0"/>
                <w:sz w:val="24"/>
              </w:rPr>
              <w:t>512</w:t>
            </w:r>
          </w:p>
        </w:tc>
        <w:tc>
          <w:tcPr>
            <w:tcW w:w="1740" w:type="dxa"/>
            <w:tcBorders>
              <w:top w:val="nil"/>
              <w:left w:val="nil"/>
              <w:bottom w:val="single" w:color="auto" w:sz="4" w:space="0"/>
              <w:right w:val="single" w:color="auto" w:sz="4" w:space="0"/>
            </w:tcBorders>
            <w:noWrap w:val="0"/>
            <w:vAlign w:val="center"/>
          </w:tcPr>
          <w:p w14:paraId="1577A0DE">
            <w:pPr>
              <w:widowControl/>
              <w:jc w:val="center"/>
              <w:rPr>
                <w:rFonts w:hint="eastAsia" w:ascii="宋体" w:hAnsi="宋体" w:cs="宋体"/>
                <w:color w:val="000000"/>
                <w:kern w:val="0"/>
                <w:sz w:val="24"/>
              </w:rPr>
            </w:pPr>
            <w:r>
              <w:rPr>
                <w:rFonts w:hint="eastAsia" w:ascii="宋体" w:hAnsi="宋体" w:cs="宋体"/>
                <w:color w:val="000000"/>
                <w:kern w:val="0"/>
                <w:sz w:val="24"/>
              </w:rPr>
              <w:t>32</w:t>
            </w:r>
          </w:p>
        </w:tc>
        <w:tc>
          <w:tcPr>
            <w:tcW w:w="1040" w:type="dxa"/>
            <w:tcBorders>
              <w:top w:val="nil"/>
              <w:left w:val="nil"/>
              <w:bottom w:val="single" w:color="auto" w:sz="4" w:space="0"/>
              <w:right w:val="single" w:color="auto" w:sz="4" w:space="0"/>
            </w:tcBorders>
            <w:noWrap w:val="0"/>
            <w:vAlign w:val="center"/>
          </w:tcPr>
          <w:p w14:paraId="71A06F1B">
            <w:pPr>
              <w:widowControl/>
              <w:jc w:val="center"/>
              <w:rPr>
                <w:rFonts w:hint="eastAsia" w:ascii="宋体" w:hAnsi="宋体" w:cs="宋体"/>
                <w:color w:val="000000"/>
                <w:kern w:val="0"/>
                <w:sz w:val="24"/>
              </w:rPr>
            </w:pPr>
          </w:p>
        </w:tc>
      </w:tr>
      <w:tr w14:paraId="76A7C02F">
        <w:tblPrEx>
          <w:tblCellMar>
            <w:top w:w="0" w:type="dxa"/>
            <w:left w:w="108" w:type="dxa"/>
            <w:bottom w:w="0" w:type="dxa"/>
            <w:right w:w="108" w:type="dxa"/>
          </w:tblCellMar>
        </w:tblPrEx>
        <w:trPr>
          <w:trHeight w:val="454" w:hRule="atLeast"/>
          <w:jc w:val="center"/>
        </w:trPr>
        <w:tc>
          <w:tcPr>
            <w:tcW w:w="913" w:type="dxa"/>
            <w:tcBorders>
              <w:top w:val="nil"/>
              <w:left w:val="single" w:color="auto" w:sz="4" w:space="0"/>
              <w:bottom w:val="single" w:color="auto" w:sz="4" w:space="0"/>
              <w:right w:val="single" w:color="auto" w:sz="4" w:space="0"/>
            </w:tcBorders>
            <w:noWrap w:val="0"/>
            <w:vAlign w:val="center"/>
          </w:tcPr>
          <w:p w14:paraId="19172113">
            <w:pPr>
              <w:widowControl/>
              <w:jc w:val="center"/>
              <w:rPr>
                <w:rFonts w:hint="eastAsia" w:ascii="宋体" w:hAnsi="宋体" w:cs="宋体"/>
                <w:color w:val="000000"/>
                <w:kern w:val="0"/>
                <w:sz w:val="24"/>
              </w:rPr>
            </w:pPr>
            <w:r>
              <w:rPr>
                <w:rFonts w:hint="eastAsia" w:ascii="宋体" w:hAnsi="宋体" w:cs="宋体"/>
                <w:color w:val="000000"/>
                <w:kern w:val="0"/>
                <w:sz w:val="24"/>
              </w:rPr>
              <w:t>6</w:t>
            </w:r>
          </w:p>
        </w:tc>
        <w:tc>
          <w:tcPr>
            <w:tcW w:w="1716" w:type="dxa"/>
            <w:tcBorders>
              <w:top w:val="nil"/>
              <w:left w:val="nil"/>
              <w:bottom w:val="single" w:color="auto" w:sz="4" w:space="0"/>
              <w:right w:val="single" w:color="auto" w:sz="4" w:space="0"/>
            </w:tcBorders>
            <w:noWrap w:val="0"/>
            <w:vAlign w:val="center"/>
          </w:tcPr>
          <w:p w14:paraId="17B84C4B">
            <w:pPr>
              <w:widowControl/>
              <w:jc w:val="center"/>
              <w:rPr>
                <w:rFonts w:hint="eastAsia" w:ascii="宋体" w:hAnsi="宋体" w:cs="宋体"/>
                <w:color w:val="000000"/>
                <w:kern w:val="0"/>
                <w:sz w:val="24"/>
              </w:rPr>
            </w:pPr>
            <w:r>
              <w:rPr>
                <w:rFonts w:hint="eastAsia" w:ascii="宋体" w:hAnsi="宋体" w:cs="宋体"/>
                <w:color w:val="000000"/>
                <w:kern w:val="0"/>
                <w:sz w:val="24"/>
              </w:rPr>
              <w:t>数据库C</w:t>
            </w:r>
          </w:p>
        </w:tc>
        <w:tc>
          <w:tcPr>
            <w:tcW w:w="1591" w:type="dxa"/>
            <w:tcBorders>
              <w:top w:val="nil"/>
              <w:left w:val="nil"/>
              <w:bottom w:val="single" w:color="auto" w:sz="4" w:space="0"/>
              <w:right w:val="single" w:color="auto" w:sz="4" w:space="0"/>
            </w:tcBorders>
            <w:noWrap w:val="0"/>
            <w:vAlign w:val="center"/>
          </w:tcPr>
          <w:p w14:paraId="08A4A96B">
            <w:pPr>
              <w:widowControl/>
              <w:jc w:val="center"/>
              <w:rPr>
                <w:rFonts w:hint="eastAsia" w:ascii="宋体" w:hAnsi="宋体" w:cs="宋体"/>
                <w:color w:val="000000"/>
                <w:kern w:val="0"/>
                <w:sz w:val="24"/>
              </w:rPr>
            </w:pPr>
            <w:r>
              <w:rPr>
                <w:rFonts w:hint="eastAsia" w:ascii="宋体" w:hAnsi="宋体" w:cs="宋体"/>
                <w:color w:val="000000"/>
                <w:kern w:val="0"/>
                <w:sz w:val="24"/>
              </w:rPr>
              <w:t>96</w:t>
            </w:r>
          </w:p>
        </w:tc>
        <w:tc>
          <w:tcPr>
            <w:tcW w:w="1640" w:type="dxa"/>
            <w:tcBorders>
              <w:top w:val="nil"/>
              <w:left w:val="nil"/>
              <w:bottom w:val="single" w:color="auto" w:sz="4" w:space="0"/>
              <w:right w:val="single" w:color="auto" w:sz="4" w:space="0"/>
            </w:tcBorders>
            <w:noWrap w:val="0"/>
            <w:vAlign w:val="center"/>
          </w:tcPr>
          <w:p w14:paraId="6888162D">
            <w:pPr>
              <w:widowControl/>
              <w:jc w:val="center"/>
              <w:rPr>
                <w:rFonts w:hint="eastAsia" w:ascii="宋体" w:hAnsi="宋体" w:cs="宋体"/>
                <w:color w:val="000000"/>
                <w:kern w:val="0"/>
                <w:sz w:val="24"/>
              </w:rPr>
            </w:pPr>
            <w:r>
              <w:rPr>
                <w:rFonts w:hint="eastAsia" w:ascii="宋体" w:hAnsi="宋体" w:cs="宋体"/>
                <w:color w:val="000000"/>
                <w:kern w:val="0"/>
                <w:sz w:val="24"/>
              </w:rPr>
              <w:t>512</w:t>
            </w:r>
          </w:p>
        </w:tc>
        <w:tc>
          <w:tcPr>
            <w:tcW w:w="1740" w:type="dxa"/>
            <w:tcBorders>
              <w:top w:val="nil"/>
              <w:left w:val="nil"/>
              <w:bottom w:val="single" w:color="auto" w:sz="4" w:space="0"/>
              <w:right w:val="single" w:color="auto" w:sz="4" w:space="0"/>
            </w:tcBorders>
            <w:noWrap w:val="0"/>
            <w:vAlign w:val="center"/>
          </w:tcPr>
          <w:p w14:paraId="73A6BA4A">
            <w:pPr>
              <w:widowControl/>
              <w:jc w:val="center"/>
              <w:rPr>
                <w:rFonts w:hint="eastAsia" w:ascii="宋体" w:hAnsi="宋体" w:cs="宋体"/>
                <w:color w:val="000000"/>
                <w:kern w:val="0"/>
                <w:sz w:val="24"/>
              </w:rPr>
            </w:pPr>
            <w:r>
              <w:rPr>
                <w:rFonts w:hint="eastAsia" w:ascii="宋体" w:hAnsi="宋体" w:cs="宋体"/>
                <w:color w:val="000000"/>
                <w:kern w:val="0"/>
                <w:sz w:val="24"/>
              </w:rPr>
              <w:t>56</w:t>
            </w:r>
          </w:p>
        </w:tc>
        <w:tc>
          <w:tcPr>
            <w:tcW w:w="1040" w:type="dxa"/>
            <w:tcBorders>
              <w:top w:val="nil"/>
              <w:left w:val="nil"/>
              <w:bottom w:val="single" w:color="auto" w:sz="4" w:space="0"/>
              <w:right w:val="single" w:color="auto" w:sz="4" w:space="0"/>
            </w:tcBorders>
            <w:noWrap w:val="0"/>
            <w:vAlign w:val="center"/>
          </w:tcPr>
          <w:p w14:paraId="27581800">
            <w:pPr>
              <w:widowControl/>
              <w:jc w:val="center"/>
              <w:rPr>
                <w:rFonts w:hint="eastAsia" w:ascii="宋体" w:hAnsi="宋体" w:cs="宋体"/>
                <w:color w:val="000000"/>
                <w:kern w:val="0"/>
                <w:sz w:val="24"/>
              </w:rPr>
            </w:pPr>
          </w:p>
        </w:tc>
      </w:tr>
      <w:tr w14:paraId="2843F26D">
        <w:tblPrEx>
          <w:tblCellMar>
            <w:top w:w="0" w:type="dxa"/>
            <w:left w:w="108" w:type="dxa"/>
            <w:bottom w:w="0" w:type="dxa"/>
            <w:right w:w="108" w:type="dxa"/>
          </w:tblCellMar>
        </w:tblPrEx>
        <w:trPr>
          <w:trHeight w:val="454" w:hRule="atLeast"/>
          <w:jc w:val="center"/>
        </w:trPr>
        <w:tc>
          <w:tcPr>
            <w:tcW w:w="913" w:type="dxa"/>
            <w:tcBorders>
              <w:top w:val="nil"/>
              <w:left w:val="single" w:color="auto" w:sz="4" w:space="0"/>
              <w:bottom w:val="single" w:color="auto" w:sz="4" w:space="0"/>
              <w:right w:val="single" w:color="auto" w:sz="4" w:space="0"/>
            </w:tcBorders>
            <w:noWrap w:val="0"/>
            <w:vAlign w:val="center"/>
          </w:tcPr>
          <w:p w14:paraId="4D4C5786">
            <w:pPr>
              <w:widowControl/>
              <w:jc w:val="center"/>
              <w:rPr>
                <w:rFonts w:hint="eastAsia" w:ascii="宋体" w:hAnsi="宋体" w:cs="宋体"/>
                <w:color w:val="000000"/>
                <w:kern w:val="0"/>
                <w:sz w:val="24"/>
              </w:rPr>
            </w:pPr>
            <w:r>
              <w:rPr>
                <w:rFonts w:hint="eastAsia" w:ascii="宋体" w:hAnsi="宋体" w:cs="宋体"/>
                <w:color w:val="000000"/>
                <w:kern w:val="0"/>
                <w:sz w:val="24"/>
              </w:rPr>
              <w:t>合计：</w:t>
            </w:r>
          </w:p>
        </w:tc>
        <w:tc>
          <w:tcPr>
            <w:tcW w:w="1716" w:type="dxa"/>
            <w:tcBorders>
              <w:top w:val="nil"/>
              <w:left w:val="nil"/>
              <w:bottom w:val="single" w:color="auto" w:sz="4" w:space="0"/>
              <w:right w:val="single" w:color="auto" w:sz="4" w:space="0"/>
            </w:tcBorders>
            <w:noWrap w:val="0"/>
            <w:vAlign w:val="center"/>
          </w:tcPr>
          <w:p w14:paraId="7A1434C4">
            <w:pPr>
              <w:widowControl/>
              <w:jc w:val="center"/>
              <w:rPr>
                <w:rFonts w:hint="eastAsia" w:ascii="宋体" w:hAnsi="宋体" w:cs="宋体"/>
                <w:color w:val="000000"/>
                <w:kern w:val="0"/>
                <w:sz w:val="24"/>
              </w:rPr>
            </w:pPr>
          </w:p>
        </w:tc>
        <w:tc>
          <w:tcPr>
            <w:tcW w:w="1591" w:type="dxa"/>
            <w:tcBorders>
              <w:top w:val="nil"/>
              <w:left w:val="nil"/>
              <w:bottom w:val="single" w:color="auto" w:sz="4" w:space="0"/>
              <w:right w:val="single" w:color="auto" w:sz="4" w:space="0"/>
            </w:tcBorders>
            <w:noWrap w:val="0"/>
            <w:vAlign w:val="center"/>
          </w:tcPr>
          <w:p w14:paraId="7CB747D2">
            <w:pPr>
              <w:widowControl/>
              <w:jc w:val="center"/>
              <w:rPr>
                <w:rFonts w:hint="eastAsia" w:ascii="宋体" w:hAnsi="宋体" w:cs="宋体"/>
                <w:color w:val="000000"/>
                <w:kern w:val="0"/>
                <w:sz w:val="24"/>
              </w:rPr>
            </w:pPr>
            <w:r>
              <w:rPr>
                <w:rFonts w:hint="eastAsia" w:ascii="宋体" w:hAnsi="宋体" w:cs="宋体"/>
                <w:color w:val="000000"/>
                <w:kern w:val="0"/>
                <w:sz w:val="24"/>
              </w:rPr>
              <w:t>576</w:t>
            </w:r>
          </w:p>
        </w:tc>
        <w:tc>
          <w:tcPr>
            <w:tcW w:w="1640" w:type="dxa"/>
            <w:tcBorders>
              <w:top w:val="nil"/>
              <w:left w:val="nil"/>
              <w:bottom w:val="single" w:color="auto" w:sz="4" w:space="0"/>
              <w:right w:val="single" w:color="auto" w:sz="4" w:space="0"/>
            </w:tcBorders>
            <w:noWrap w:val="0"/>
            <w:vAlign w:val="center"/>
          </w:tcPr>
          <w:p w14:paraId="55BD41B3">
            <w:pPr>
              <w:widowControl/>
              <w:jc w:val="center"/>
              <w:rPr>
                <w:rFonts w:hint="eastAsia" w:ascii="宋体" w:hAnsi="宋体" w:cs="宋体"/>
                <w:color w:val="000000"/>
                <w:kern w:val="0"/>
                <w:sz w:val="24"/>
              </w:rPr>
            </w:pPr>
            <w:r>
              <w:rPr>
                <w:rFonts w:hint="eastAsia" w:ascii="宋体" w:hAnsi="宋体" w:cs="宋体"/>
                <w:color w:val="000000"/>
                <w:kern w:val="0"/>
                <w:sz w:val="24"/>
              </w:rPr>
              <w:t>1800</w:t>
            </w:r>
          </w:p>
        </w:tc>
        <w:tc>
          <w:tcPr>
            <w:tcW w:w="1740" w:type="dxa"/>
            <w:tcBorders>
              <w:top w:val="nil"/>
              <w:left w:val="nil"/>
              <w:bottom w:val="single" w:color="auto" w:sz="4" w:space="0"/>
              <w:right w:val="single" w:color="auto" w:sz="4" w:space="0"/>
            </w:tcBorders>
            <w:noWrap w:val="0"/>
            <w:vAlign w:val="center"/>
          </w:tcPr>
          <w:p w14:paraId="6E143493">
            <w:pPr>
              <w:widowControl/>
              <w:jc w:val="center"/>
              <w:rPr>
                <w:rFonts w:hint="eastAsia" w:ascii="宋体" w:hAnsi="宋体" w:cs="宋体"/>
                <w:color w:val="000000"/>
                <w:kern w:val="0"/>
                <w:sz w:val="24"/>
              </w:rPr>
            </w:pPr>
            <w:r>
              <w:rPr>
                <w:rFonts w:hint="eastAsia" w:ascii="宋体" w:hAnsi="宋体" w:cs="宋体"/>
                <w:color w:val="000000"/>
                <w:kern w:val="0"/>
                <w:sz w:val="24"/>
              </w:rPr>
              <w:t>144</w:t>
            </w:r>
          </w:p>
        </w:tc>
        <w:tc>
          <w:tcPr>
            <w:tcW w:w="1040" w:type="dxa"/>
            <w:tcBorders>
              <w:top w:val="nil"/>
              <w:left w:val="nil"/>
              <w:bottom w:val="single" w:color="auto" w:sz="4" w:space="0"/>
              <w:right w:val="single" w:color="auto" w:sz="4" w:space="0"/>
            </w:tcBorders>
            <w:noWrap w:val="0"/>
            <w:vAlign w:val="center"/>
          </w:tcPr>
          <w:p w14:paraId="23D57E80">
            <w:pPr>
              <w:widowControl/>
              <w:jc w:val="center"/>
              <w:rPr>
                <w:rFonts w:hint="eastAsia" w:ascii="宋体" w:hAnsi="宋体" w:cs="宋体"/>
                <w:color w:val="000000"/>
                <w:kern w:val="0"/>
                <w:sz w:val="24"/>
              </w:rPr>
            </w:pPr>
          </w:p>
        </w:tc>
      </w:tr>
    </w:tbl>
    <w:p w14:paraId="1EA4E0AB">
      <w:pPr>
        <w:spacing w:line="360" w:lineRule="auto"/>
        <w:rPr>
          <w:rFonts w:hint="eastAsia" w:ascii="宋体" w:hAnsi="宋体" w:cs="宋体"/>
          <w:sz w:val="24"/>
        </w:rPr>
      </w:pPr>
    </w:p>
    <w:p w14:paraId="529285E7">
      <w:pPr>
        <w:spacing w:line="360" w:lineRule="auto"/>
        <w:ind w:firstLine="420"/>
        <w:rPr>
          <w:rFonts w:hint="eastAsia" w:ascii="宋体" w:hAnsi="宋体" w:cs="宋体"/>
          <w:sz w:val="24"/>
        </w:rPr>
      </w:pPr>
      <w:r>
        <w:rPr>
          <w:rFonts w:hint="eastAsia" w:ascii="宋体" w:hAnsi="宋体" w:cs="宋体"/>
          <w:sz w:val="24"/>
        </w:rPr>
        <w:t>（1）计算资源需求</w:t>
      </w:r>
    </w:p>
    <w:p w14:paraId="77FC3E38">
      <w:pPr>
        <w:wordWrap w:val="0"/>
        <w:spacing w:line="360" w:lineRule="auto"/>
        <w:ind w:firstLine="420"/>
        <w:rPr>
          <w:rFonts w:hint="eastAsia" w:ascii="宋体" w:hAnsi="宋体" w:cs="宋体"/>
          <w:color w:val="000000"/>
          <w:sz w:val="24"/>
        </w:rPr>
      </w:pPr>
      <w:r>
        <w:rPr>
          <w:rFonts w:hint="eastAsia" w:ascii="宋体" w:hAnsi="宋体" w:cs="宋体"/>
          <w:color w:val="000000"/>
          <w:sz w:val="24"/>
        </w:rPr>
        <w:t>要求投标人提供Vcpu*600以及1800 GB内存的计算资源，以满足业务系统的计算资源需求。资源池物理节点不少于3个，节点配置为海光4代系列CPU，每节点配备2个CPU，每个CPU主频不低于2.5Ghz，核心数不少于32个，内存不少于640GB，确保计算资源的高效性与可靠性。</w:t>
      </w:r>
    </w:p>
    <w:p w14:paraId="700921F0">
      <w:pPr>
        <w:spacing w:line="360" w:lineRule="auto"/>
        <w:ind w:firstLine="420"/>
        <w:rPr>
          <w:rFonts w:hint="eastAsia" w:ascii="宋体" w:hAnsi="宋体" w:cs="宋体"/>
          <w:sz w:val="24"/>
        </w:rPr>
      </w:pPr>
      <w:r>
        <w:rPr>
          <w:rFonts w:hint="eastAsia" w:ascii="宋体" w:hAnsi="宋体" w:cs="宋体"/>
          <w:sz w:val="24"/>
        </w:rPr>
        <w:t>（2）存储资源需求</w:t>
      </w:r>
    </w:p>
    <w:p w14:paraId="290C2917">
      <w:pPr>
        <w:spacing w:line="360" w:lineRule="auto"/>
        <w:ind w:firstLine="420"/>
        <w:rPr>
          <w:rFonts w:hint="eastAsia" w:ascii="宋体" w:hAnsi="宋体" w:cs="宋体"/>
          <w:color w:val="000000"/>
          <w:sz w:val="24"/>
        </w:rPr>
      </w:pPr>
      <w:r>
        <w:rPr>
          <w:rFonts w:hint="eastAsia" w:ascii="宋体" w:hAnsi="宋体" w:cs="宋体"/>
          <w:color w:val="000000"/>
          <w:sz w:val="24"/>
        </w:rPr>
        <w:t>要求投标人提供不少于144TB的存储裸容量，底层采用分布式存储架构，支持多副本数据冗余技术，保障数据安全存储，存储读写性能满足业务系统并发访问需求。</w:t>
      </w:r>
    </w:p>
    <w:p w14:paraId="154270A6">
      <w:pPr>
        <w:spacing w:line="360" w:lineRule="auto"/>
        <w:ind w:firstLine="420"/>
        <w:rPr>
          <w:rFonts w:hint="eastAsia" w:ascii="宋体" w:hAnsi="宋体" w:cs="宋体"/>
          <w:color w:val="000000"/>
          <w:sz w:val="24"/>
        </w:rPr>
      </w:pPr>
      <w:r>
        <w:rPr>
          <w:rFonts w:hint="eastAsia" w:ascii="宋体" w:hAnsi="宋体" w:cs="宋体"/>
          <w:color w:val="000000"/>
          <w:sz w:val="24"/>
        </w:rPr>
        <w:t>（3）国产化需求</w:t>
      </w:r>
    </w:p>
    <w:p w14:paraId="38CD2B9C">
      <w:pPr>
        <w:spacing w:line="360" w:lineRule="auto"/>
        <w:ind w:firstLine="420"/>
        <w:rPr>
          <w:rFonts w:hint="eastAsia" w:ascii="宋体" w:hAnsi="宋体" w:cs="宋体"/>
          <w:color w:val="000000"/>
          <w:sz w:val="24"/>
        </w:rPr>
      </w:pPr>
      <w:r>
        <w:rPr>
          <w:rFonts w:hint="eastAsia" w:ascii="宋体" w:hAnsi="宋体" w:cs="宋体"/>
          <w:color w:val="000000"/>
          <w:sz w:val="24"/>
        </w:rPr>
        <w:t>为满足国产化业务需求，云平台需要支持部署中标麒麟、银河麒麟、麒麟信安、深度Linux、统信UOS、openEuler、Anolis等国产化操作系统。</w:t>
      </w:r>
    </w:p>
    <w:p w14:paraId="34ADEB3A">
      <w:pPr>
        <w:spacing w:line="360" w:lineRule="auto"/>
        <w:ind w:firstLine="420"/>
        <w:rPr>
          <w:rFonts w:hint="eastAsia" w:ascii="宋体" w:hAnsi="宋体" w:cs="宋体"/>
          <w:color w:val="000000"/>
          <w:sz w:val="24"/>
        </w:rPr>
      </w:pPr>
      <w:r>
        <w:rPr>
          <w:rFonts w:hint="eastAsia" w:ascii="宋体" w:hAnsi="宋体" w:cs="宋体"/>
          <w:color w:val="000000"/>
          <w:sz w:val="24"/>
        </w:rPr>
        <w:t>另外所投设备CPU等核心部件，需在中国信息安全评测中心认证目录，并可查询相关信息。https://www.itsec.gov.cn/</w:t>
      </w:r>
    </w:p>
    <w:p w14:paraId="53946E4E">
      <w:pPr>
        <w:keepNext/>
        <w:keepLines/>
        <w:spacing w:before="160" w:after="80"/>
        <w:outlineLvl w:val="1"/>
        <w:rPr>
          <w:rFonts w:hint="eastAsia" w:ascii="宋体" w:hAnsi="宋体" w:cs="宋体"/>
          <w:b/>
          <w:bCs/>
          <w:sz w:val="24"/>
        </w:rPr>
      </w:pPr>
      <w:bookmarkStart w:id="15" w:name="_Toc203292980"/>
      <w:r>
        <w:rPr>
          <w:rFonts w:hint="eastAsia" w:ascii="宋体" w:hAnsi="宋体" w:cs="宋体"/>
          <w:b/>
          <w:bCs/>
          <w:sz w:val="24"/>
        </w:rPr>
        <w:t>四．服务需求</w:t>
      </w:r>
      <w:bookmarkEnd w:id="15"/>
    </w:p>
    <w:p w14:paraId="41A29CD4">
      <w:pPr>
        <w:keepNext/>
        <w:keepLines/>
        <w:spacing w:before="160" w:after="80"/>
        <w:outlineLvl w:val="2"/>
        <w:rPr>
          <w:rFonts w:hint="eastAsia" w:ascii="宋体" w:hAnsi="宋体" w:cs="宋体"/>
          <w:b/>
          <w:bCs/>
          <w:sz w:val="24"/>
        </w:rPr>
      </w:pPr>
      <w:bookmarkStart w:id="16" w:name="_Toc203292981"/>
      <w:r>
        <w:rPr>
          <w:rFonts w:hint="eastAsia" w:ascii="宋体" w:hAnsi="宋体" w:cs="宋体"/>
          <w:b/>
          <w:bCs/>
          <w:sz w:val="24"/>
        </w:rPr>
        <w:t>4.1服务需求</w:t>
      </w:r>
      <w:bookmarkEnd w:id="16"/>
    </w:p>
    <w:p w14:paraId="413CBB04">
      <w:pPr>
        <w:spacing w:line="360" w:lineRule="auto"/>
        <w:rPr>
          <w:rFonts w:hint="eastAsia" w:ascii="宋体" w:hAnsi="宋体" w:cs="宋体"/>
          <w:color w:val="000000"/>
          <w:sz w:val="24"/>
        </w:rPr>
      </w:pPr>
      <w:r>
        <w:rPr>
          <w:rFonts w:hint="eastAsia" w:ascii="宋体" w:hAnsi="宋体" w:cs="宋体"/>
          <w:color w:val="000000"/>
          <w:sz w:val="24"/>
        </w:rPr>
        <w:t>为确保招标人业务系统顺利迁移、稳定安全运行，投标人需提供以下服务：</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1"/>
        <w:gridCol w:w="1361"/>
        <w:gridCol w:w="6842"/>
      </w:tblGrid>
      <w:tr w14:paraId="21ED0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1361" w:type="dxa"/>
            <w:noWrap w:val="0"/>
            <w:vAlign w:val="top"/>
          </w:tcPr>
          <w:p w14:paraId="6927ED38">
            <w:pPr>
              <w:jc w:val="center"/>
              <w:rPr>
                <w:rFonts w:hint="eastAsia" w:ascii="宋体" w:hAnsi="宋体" w:cs="宋体"/>
                <w:b/>
                <w:bCs/>
                <w:sz w:val="24"/>
              </w:rPr>
            </w:pPr>
            <w:r>
              <w:rPr>
                <w:rFonts w:hint="eastAsia" w:ascii="宋体" w:hAnsi="宋体" w:cs="宋体"/>
                <w:b/>
                <w:bCs/>
                <w:sz w:val="24"/>
              </w:rPr>
              <w:t>序号</w:t>
            </w:r>
          </w:p>
        </w:tc>
        <w:tc>
          <w:tcPr>
            <w:tcW w:w="1361" w:type="dxa"/>
            <w:noWrap w:val="0"/>
            <w:vAlign w:val="top"/>
          </w:tcPr>
          <w:p w14:paraId="345B743F">
            <w:pPr>
              <w:jc w:val="center"/>
              <w:rPr>
                <w:rFonts w:hint="eastAsia" w:ascii="宋体" w:hAnsi="宋体" w:cs="宋体"/>
                <w:b/>
                <w:bCs/>
                <w:sz w:val="24"/>
              </w:rPr>
            </w:pPr>
            <w:r>
              <w:rPr>
                <w:rFonts w:hint="eastAsia" w:ascii="宋体" w:hAnsi="宋体" w:cs="宋体"/>
                <w:b/>
                <w:bCs/>
                <w:sz w:val="24"/>
              </w:rPr>
              <w:t>服务名称</w:t>
            </w:r>
          </w:p>
        </w:tc>
        <w:tc>
          <w:tcPr>
            <w:tcW w:w="6842" w:type="dxa"/>
            <w:noWrap w:val="0"/>
            <w:vAlign w:val="top"/>
          </w:tcPr>
          <w:p w14:paraId="2EF99503">
            <w:pPr>
              <w:jc w:val="center"/>
              <w:rPr>
                <w:rFonts w:hint="eastAsia" w:ascii="宋体" w:hAnsi="宋体" w:cs="宋体"/>
                <w:b/>
                <w:bCs/>
                <w:sz w:val="24"/>
              </w:rPr>
            </w:pPr>
            <w:r>
              <w:rPr>
                <w:rFonts w:hint="eastAsia" w:ascii="宋体" w:hAnsi="宋体" w:cs="宋体"/>
                <w:b/>
                <w:bCs/>
                <w:sz w:val="24"/>
              </w:rPr>
              <w:t>服务内容</w:t>
            </w:r>
          </w:p>
        </w:tc>
      </w:tr>
      <w:tr w14:paraId="39A31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jc w:val="center"/>
        </w:trPr>
        <w:tc>
          <w:tcPr>
            <w:tcW w:w="1361" w:type="dxa"/>
            <w:noWrap w:val="0"/>
            <w:vAlign w:val="center"/>
          </w:tcPr>
          <w:p w14:paraId="18C16EF1">
            <w:pPr>
              <w:jc w:val="center"/>
              <w:rPr>
                <w:rFonts w:hint="eastAsia" w:ascii="宋体" w:hAnsi="宋体" w:cs="宋体"/>
                <w:sz w:val="24"/>
              </w:rPr>
            </w:pPr>
            <w:r>
              <w:rPr>
                <w:rFonts w:hint="eastAsia" w:ascii="宋体" w:hAnsi="宋体" w:cs="宋体"/>
                <w:sz w:val="24"/>
              </w:rPr>
              <w:t>1</w:t>
            </w:r>
          </w:p>
        </w:tc>
        <w:tc>
          <w:tcPr>
            <w:tcW w:w="1361" w:type="dxa"/>
            <w:noWrap w:val="0"/>
            <w:vAlign w:val="center"/>
          </w:tcPr>
          <w:p w14:paraId="649D5EFA">
            <w:pPr>
              <w:jc w:val="center"/>
              <w:rPr>
                <w:rFonts w:hint="eastAsia" w:ascii="宋体" w:hAnsi="宋体" w:cs="宋体"/>
                <w:b/>
                <w:bCs/>
                <w:sz w:val="24"/>
              </w:rPr>
            </w:pPr>
            <w:r>
              <w:rPr>
                <w:rFonts w:hint="eastAsia" w:ascii="宋体" w:hAnsi="宋体" w:cs="宋体"/>
                <w:sz w:val="24"/>
              </w:rPr>
              <w:t>等保服务</w:t>
            </w:r>
          </w:p>
        </w:tc>
        <w:tc>
          <w:tcPr>
            <w:tcW w:w="6842" w:type="dxa"/>
            <w:noWrap w:val="0"/>
            <w:vAlign w:val="top"/>
          </w:tcPr>
          <w:p w14:paraId="289CD9D8">
            <w:pPr>
              <w:rPr>
                <w:rFonts w:hint="eastAsia" w:ascii="宋体" w:hAnsi="宋体" w:cs="宋体"/>
                <w:sz w:val="24"/>
              </w:rPr>
            </w:pPr>
            <w:r>
              <w:rPr>
                <w:rFonts w:hint="eastAsia" w:ascii="宋体" w:hAnsi="宋体" w:cs="宋体"/>
                <w:sz w:val="24"/>
              </w:rPr>
              <w:t>需满足《信息安全技术 网络安全等级保护基本要求》（GB/T 22239-2019）第三级系统所对应的关键设备和节点冗余要求，投标人需提供承诺函并加盖公章。</w:t>
            </w:r>
          </w:p>
        </w:tc>
      </w:tr>
      <w:tr w14:paraId="36691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361" w:type="dxa"/>
            <w:noWrap w:val="0"/>
            <w:vAlign w:val="center"/>
          </w:tcPr>
          <w:p w14:paraId="0EE31B18">
            <w:pPr>
              <w:jc w:val="center"/>
              <w:rPr>
                <w:rFonts w:hint="eastAsia" w:ascii="宋体" w:hAnsi="宋体" w:cs="宋体"/>
                <w:sz w:val="24"/>
              </w:rPr>
            </w:pPr>
            <w:r>
              <w:rPr>
                <w:rFonts w:hint="eastAsia" w:ascii="宋体" w:hAnsi="宋体" w:cs="宋体"/>
                <w:sz w:val="24"/>
              </w:rPr>
              <w:t>2</w:t>
            </w:r>
          </w:p>
        </w:tc>
        <w:tc>
          <w:tcPr>
            <w:tcW w:w="1361" w:type="dxa"/>
            <w:noWrap w:val="0"/>
            <w:vAlign w:val="center"/>
          </w:tcPr>
          <w:p w14:paraId="46F4B9CD">
            <w:pPr>
              <w:jc w:val="center"/>
              <w:rPr>
                <w:rFonts w:hint="eastAsia" w:ascii="宋体" w:hAnsi="宋体" w:cs="宋体"/>
                <w:b/>
                <w:bCs/>
                <w:sz w:val="24"/>
              </w:rPr>
            </w:pPr>
            <w:r>
              <w:rPr>
                <w:rFonts w:hint="eastAsia" w:ascii="宋体" w:hAnsi="宋体" w:cs="宋体"/>
                <w:sz w:val="24"/>
              </w:rPr>
              <w:t>系统整合服务</w:t>
            </w:r>
          </w:p>
        </w:tc>
        <w:tc>
          <w:tcPr>
            <w:tcW w:w="6842" w:type="dxa"/>
            <w:noWrap w:val="0"/>
            <w:vAlign w:val="top"/>
          </w:tcPr>
          <w:p w14:paraId="1D149655">
            <w:pPr>
              <w:rPr>
                <w:rFonts w:hint="eastAsia" w:ascii="宋体" w:hAnsi="宋体" w:cs="宋体"/>
                <w:sz w:val="24"/>
              </w:rPr>
            </w:pPr>
            <w:r>
              <w:rPr>
                <w:rFonts w:hint="eastAsia" w:ascii="宋体" w:hAnsi="宋体" w:cs="宋体"/>
                <w:sz w:val="24"/>
              </w:rPr>
              <w:t>为了满足招标人需求，投标人需将招标人现有安全产品与安全架构相结合，提供定制化的安全服务。这包括但不限于对现有安全产品的评估、优化和整合，确保它们能够无缝地协同工作，以提供更加强大和全面的安全防护。</w:t>
            </w:r>
          </w:p>
        </w:tc>
      </w:tr>
      <w:tr w14:paraId="78BCE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jc w:val="center"/>
        </w:trPr>
        <w:tc>
          <w:tcPr>
            <w:tcW w:w="1361" w:type="dxa"/>
            <w:noWrap w:val="0"/>
            <w:vAlign w:val="center"/>
          </w:tcPr>
          <w:p w14:paraId="0B57607A">
            <w:pPr>
              <w:jc w:val="center"/>
              <w:rPr>
                <w:rFonts w:hint="eastAsia" w:ascii="宋体" w:hAnsi="宋体" w:cs="宋体"/>
                <w:sz w:val="24"/>
              </w:rPr>
            </w:pPr>
            <w:r>
              <w:rPr>
                <w:rFonts w:hint="eastAsia" w:ascii="宋体" w:hAnsi="宋体" w:cs="宋体"/>
                <w:sz w:val="24"/>
              </w:rPr>
              <w:t>3</w:t>
            </w:r>
          </w:p>
        </w:tc>
        <w:tc>
          <w:tcPr>
            <w:tcW w:w="1361" w:type="dxa"/>
            <w:noWrap w:val="0"/>
            <w:vAlign w:val="center"/>
          </w:tcPr>
          <w:p w14:paraId="08632736">
            <w:pPr>
              <w:jc w:val="center"/>
              <w:rPr>
                <w:rFonts w:hint="eastAsia" w:ascii="宋体" w:hAnsi="宋体" w:cs="宋体"/>
                <w:sz w:val="24"/>
              </w:rPr>
            </w:pPr>
            <w:r>
              <w:rPr>
                <w:rFonts w:hint="eastAsia" w:ascii="宋体" w:hAnsi="宋体" w:cs="宋体"/>
                <w:sz w:val="24"/>
              </w:rPr>
              <w:t>云互联网出口边界防护服务</w:t>
            </w:r>
          </w:p>
        </w:tc>
        <w:tc>
          <w:tcPr>
            <w:tcW w:w="6842" w:type="dxa"/>
            <w:noWrap w:val="0"/>
            <w:vAlign w:val="top"/>
          </w:tcPr>
          <w:p w14:paraId="1F75675D">
            <w:pPr>
              <w:rPr>
                <w:rFonts w:hint="eastAsia" w:ascii="宋体" w:hAnsi="宋体" w:cs="宋体"/>
                <w:sz w:val="24"/>
              </w:rPr>
            </w:pPr>
            <w:r>
              <w:rPr>
                <w:rFonts w:hint="eastAsia" w:ascii="宋体" w:hAnsi="宋体" w:cs="宋体"/>
                <w:sz w:val="24"/>
              </w:rPr>
              <w:t>需提供服务工具，对云互联网出口进行安全防护，对云互联网出口的流量进行监控、过滤和阻断，有效防止外部攻击和恶意软件的入侵。服务应包含但不限于DDoS攻击防护、入侵防御、恶意代码防范、策略分析、防勒索、防扫描等功能确保云互联网出口的稳定性和安全性。</w:t>
            </w:r>
          </w:p>
        </w:tc>
      </w:tr>
      <w:tr w14:paraId="1A578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361" w:type="dxa"/>
            <w:noWrap w:val="0"/>
            <w:vAlign w:val="center"/>
          </w:tcPr>
          <w:p w14:paraId="055A92E8">
            <w:pPr>
              <w:jc w:val="center"/>
              <w:rPr>
                <w:rFonts w:hint="eastAsia" w:ascii="宋体" w:hAnsi="宋体" w:cs="宋体"/>
                <w:sz w:val="24"/>
              </w:rPr>
            </w:pPr>
            <w:r>
              <w:rPr>
                <w:rFonts w:hint="eastAsia" w:ascii="宋体" w:hAnsi="宋体" w:cs="宋体"/>
                <w:sz w:val="24"/>
              </w:rPr>
              <w:t>4</w:t>
            </w:r>
          </w:p>
        </w:tc>
        <w:tc>
          <w:tcPr>
            <w:tcW w:w="1361" w:type="dxa"/>
            <w:noWrap w:val="0"/>
            <w:vAlign w:val="center"/>
          </w:tcPr>
          <w:p w14:paraId="037EF996">
            <w:pPr>
              <w:jc w:val="center"/>
              <w:rPr>
                <w:rFonts w:hint="eastAsia" w:ascii="宋体" w:hAnsi="宋体" w:cs="宋体"/>
                <w:sz w:val="24"/>
              </w:rPr>
            </w:pPr>
            <w:r>
              <w:rPr>
                <w:rFonts w:hint="eastAsia" w:ascii="宋体" w:hAnsi="宋体" w:cs="宋体"/>
                <w:sz w:val="24"/>
              </w:rPr>
              <w:t>端点安全服务</w:t>
            </w:r>
          </w:p>
        </w:tc>
        <w:tc>
          <w:tcPr>
            <w:tcW w:w="6842" w:type="dxa"/>
            <w:noWrap w:val="0"/>
            <w:vAlign w:val="top"/>
          </w:tcPr>
          <w:p w14:paraId="5D6C14FC">
            <w:pPr>
              <w:rPr>
                <w:rFonts w:hint="eastAsia" w:ascii="宋体" w:hAnsi="宋体" w:cs="宋体"/>
                <w:sz w:val="24"/>
              </w:rPr>
            </w:pPr>
            <w:r>
              <w:rPr>
                <w:rFonts w:hint="eastAsia" w:ascii="宋体" w:hAnsi="宋体" w:cs="宋体"/>
                <w:sz w:val="24"/>
              </w:rPr>
              <w:t>需通过工具对云主机实施全面的端点安全防护措施，包括主机漏洞扫描、补丁修复管理、终端基线检查、资产盘点、资产主动发现、轻补丁漏洞免疫以及弱密码检测等，以确保云主机的安全性。</w:t>
            </w:r>
          </w:p>
        </w:tc>
      </w:tr>
      <w:tr w14:paraId="1478C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361" w:type="dxa"/>
            <w:noWrap w:val="0"/>
            <w:vAlign w:val="center"/>
          </w:tcPr>
          <w:p w14:paraId="7B608B11">
            <w:pPr>
              <w:jc w:val="center"/>
              <w:rPr>
                <w:rFonts w:hint="eastAsia" w:ascii="宋体" w:hAnsi="宋体" w:cs="宋体"/>
                <w:sz w:val="24"/>
              </w:rPr>
            </w:pPr>
            <w:r>
              <w:rPr>
                <w:rFonts w:hint="eastAsia" w:ascii="宋体" w:hAnsi="宋体" w:cs="宋体"/>
                <w:sz w:val="24"/>
              </w:rPr>
              <w:t>5</w:t>
            </w:r>
          </w:p>
        </w:tc>
        <w:tc>
          <w:tcPr>
            <w:tcW w:w="1361" w:type="dxa"/>
            <w:noWrap w:val="0"/>
            <w:vAlign w:val="center"/>
          </w:tcPr>
          <w:p w14:paraId="7749D6D8">
            <w:pPr>
              <w:jc w:val="center"/>
              <w:rPr>
                <w:rFonts w:hint="eastAsia" w:ascii="宋体" w:hAnsi="宋体" w:cs="宋体"/>
                <w:sz w:val="24"/>
              </w:rPr>
            </w:pPr>
            <w:r>
              <w:rPr>
                <w:rFonts w:hint="eastAsia" w:ascii="宋体" w:hAnsi="宋体" w:cs="宋体"/>
                <w:sz w:val="24"/>
              </w:rPr>
              <w:t>日志审计服务</w:t>
            </w:r>
          </w:p>
        </w:tc>
        <w:tc>
          <w:tcPr>
            <w:tcW w:w="6842" w:type="dxa"/>
            <w:noWrap w:val="0"/>
            <w:vAlign w:val="top"/>
          </w:tcPr>
          <w:p w14:paraId="38741298">
            <w:pPr>
              <w:rPr>
                <w:rFonts w:hint="eastAsia" w:ascii="宋体" w:hAnsi="宋体" w:cs="宋体"/>
                <w:sz w:val="24"/>
              </w:rPr>
            </w:pPr>
            <w:r>
              <w:rPr>
                <w:rFonts w:hint="eastAsia" w:ascii="宋体" w:hAnsi="宋体" w:cs="宋体"/>
                <w:sz w:val="24"/>
              </w:rPr>
              <w:t>需通过日志审计工具对招标人云上系统相关云资产进行日志审计，提供一站式采集、加工、查询与分析、可视化与告警等功能，并满足日志留存合规要求。</w:t>
            </w:r>
          </w:p>
        </w:tc>
      </w:tr>
      <w:tr w14:paraId="00D5B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jc w:val="center"/>
        </w:trPr>
        <w:tc>
          <w:tcPr>
            <w:tcW w:w="1361" w:type="dxa"/>
            <w:noWrap w:val="0"/>
            <w:vAlign w:val="center"/>
          </w:tcPr>
          <w:p w14:paraId="775C8D73">
            <w:pPr>
              <w:jc w:val="center"/>
              <w:rPr>
                <w:rFonts w:hint="eastAsia" w:ascii="宋体" w:hAnsi="宋体" w:cs="宋体"/>
                <w:sz w:val="24"/>
              </w:rPr>
            </w:pPr>
            <w:r>
              <w:rPr>
                <w:rFonts w:hint="eastAsia" w:ascii="宋体" w:hAnsi="宋体" w:cs="宋体"/>
                <w:sz w:val="24"/>
              </w:rPr>
              <w:t>6</w:t>
            </w:r>
          </w:p>
        </w:tc>
        <w:tc>
          <w:tcPr>
            <w:tcW w:w="1361" w:type="dxa"/>
            <w:noWrap w:val="0"/>
            <w:vAlign w:val="center"/>
          </w:tcPr>
          <w:p w14:paraId="04291B01">
            <w:pPr>
              <w:jc w:val="center"/>
              <w:rPr>
                <w:rFonts w:hint="eastAsia" w:ascii="宋体" w:hAnsi="宋体" w:cs="宋体"/>
                <w:sz w:val="24"/>
              </w:rPr>
            </w:pPr>
            <w:r>
              <w:rPr>
                <w:rFonts w:hint="eastAsia" w:ascii="宋体" w:hAnsi="宋体" w:cs="宋体"/>
                <w:sz w:val="24"/>
              </w:rPr>
              <w:t>数据库审计服务</w:t>
            </w:r>
          </w:p>
        </w:tc>
        <w:tc>
          <w:tcPr>
            <w:tcW w:w="6842" w:type="dxa"/>
            <w:noWrap w:val="0"/>
            <w:vAlign w:val="top"/>
          </w:tcPr>
          <w:p w14:paraId="250B7C47">
            <w:pPr>
              <w:rPr>
                <w:rFonts w:hint="eastAsia" w:ascii="宋体" w:hAnsi="宋体" w:cs="宋体"/>
                <w:sz w:val="24"/>
              </w:rPr>
            </w:pPr>
            <w:r>
              <w:rPr>
                <w:rFonts w:hint="eastAsia" w:ascii="宋体" w:hAnsi="宋体" w:cs="宋体"/>
                <w:sz w:val="24"/>
              </w:rPr>
              <w:t>需通过数据库审计工具，在满足等保2.0安全审计相关要求的同时，智能解析云数据库通信流量，细粒度审计数据库访问行为，通过对数据库全量行为的审计溯源、危险攻击的实时告警、风险语句的智能预警，提供敏感的数据库资产安全的监控保障。</w:t>
            </w:r>
          </w:p>
        </w:tc>
      </w:tr>
      <w:tr w14:paraId="1DF15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361" w:type="dxa"/>
            <w:noWrap w:val="0"/>
            <w:vAlign w:val="center"/>
          </w:tcPr>
          <w:p w14:paraId="0B01B8DB">
            <w:pPr>
              <w:jc w:val="center"/>
              <w:rPr>
                <w:rFonts w:hint="eastAsia" w:ascii="宋体" w:hAnsi="宋体" w:cs="宋体"/>
                <w:sz w:val="24"/>
              </w:rPr>
            </w:pPr>
            <w:r>
              <w:rPr>
                <w:rFonts w:hint="eastAsia" w:ascii="宋体" w:hAnsi="宋体" w:cs="宋体"/>
                <w:sz w:val="24"/>
              </w:rPr>
              <w:t>7</w:t>
            </w:r>
          </w:p>
        </w:tc>
        <w:tc>
          <w:tcPr>
            <w:tcW w:w="1361" w:type="dxa"/>
            <w:noWrap w:val="0"/>
            <w:vAlign w:val="center"/>
          </w:tcPr>
          <w:p w14:paraId="67419C4A">
            <w:pPr>
              <w:jc w:val="center"/>
              <w:rPr>
                <w:rFonts w:hint="eastAsia" w:ascii="宋体" w:hAnsi="宋体" w:cs="宋体"/>
                <w:sz w:val="24"/>
              </w:rPr>
            </w:pPr>
            <w:r>
              <w:rPr>
                <w:rFonts w:hint="eastAsia" w:ascii="宋体" w:hAnsi="宋体" w:cs="宋体"/>
                <w:sz w:val="24"/>
              </w:rPr>
              <w:t>安全运营服务</w:t>
            </w:r>
          </w:p>
        </w:tc>
        <w:tc>
          <w:tcPr>
            <w:tcW w:w="6842" w:type="dxa"/>
            <w:noWrap w:val="0"/>
            <w:vAlign w:val="top"/>
          </w:tcPr>
          <w:p w14:paraId="64C4770D">
            <w:pPr>
              <w:rPr>
                <w:rFonts w:hint="eastAsia" w:ascii="宋体" w:hAnsi="宋体" w:cs="宋体"/>
                <w:sz w:val="24"/>
              </w:rPr>
            </w:pPr>
            <w:r>
              <w:rPr>
                <w:rFonts w:hint="eastAsia" w:ascii="宋体" w:hAnsi="宋体" w:cs="宋体"/>
                <w:sz w:val="24"/>
              </w:rPr>
              <w:t>需通过提供服务工具，收集操作系统、网络产品、安全产品等基础设施的原始安全数据，对业务系统的网络安全情况进行分析，对分析结果进行整体、分段的展示，提升安全运营能力。</w:t>
            </w:r>
          </w:p>
        </w:tc>
      </w:tr>
      <w:tr w14:paraId="1830B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61" w:type="dxa"/>
            <w:noWrap w:val="0"/>
            <w:vAlign w:val="center"/>
          </w:tcPr>
          <w:p w14:paraId="7B8847CE">
            <w:pPr>
              <w:jc w:val="center"/>
              <w:rPr>
                <w:rFonts w:hint="eastAsia" w:ascii="宋体" w:hAnsi="宋体" w:cs="宋体"/>
                <w:sz w:val="24"/>
              </w:rPr>
            </w:pPr>
            <w:r>
              <w:rPr>
                <w:rFonts w:hint="eastAsia" w:ascii="宋体" w:hAnsi="宋体" w:cs="宋体"/>
                <w:sz w:val="24"/>
              </w:rPr>
              <w:t>8</w:t>
            </w:r>
          </w:p>
        </w:tc>
        <w:tc>
          <w:tcPr>
            <w:tcW w:w="1361" w:type="dxa"/>
            <w:noWrap w:val="0"/>
            <w:vAlign w:val="center"/>
          </w:tcPr>
          <w:p w14:paraId="643441CE">
            <w:pPr>
              <w:jc w:val="center"/>
              <w:rPr>
                <w:rFonts w:hint="eastAsia" w:ascii="宋体" w:hAnsi="宋体" w:cs="宋体"/>
                <w:sz w:val="24"/>
              </w:rPr>
            </w:pPr>
            <w:r>
              <w:rPr>
                <w:rFonts w:hint="eastAsia" w:ascii="宋体" w:hAnsi="宋体" w:cs="宋体"/>
                <w:sz w:val="24"/>
              </w:rPr>
              <w:t>运维审计服务</w:t>
            </w:r>
          </w:p>
        </w:tc>
        <w:tc>
          <w:tcPr>
            <w:tcW w:w="6842" w:type="dxa"/>
            <w:noWrap w:val="0"/>
            <w:vAlign w:val="top"/>
          </w:tcPr>
          <w:p w14:paraId="315EB183">
            <w:pPr>
              <w:rPr>
                <w:rFonts w:hint="eastAsia" w:ascii="宋体" w:hAnsi="宋体" w:cs="宋体"/>
                <w:sz w:val="24"/>
              </w:rPr>
            </w:pPr>
            <w:r>
              <w:rPr>
                <w:rFonts w:hint="eastAsia" w:ascii="宋体" w:hAnsi="宋体" w:cs="宋体"/>
                <w:sz w:val="24"/>
              </w:rPr>
              <w:t>需通过服务工具构建统一运维管理通道，集中管理资产权限，并支持分级分权管理，全程监控操作行为，实时还原运维场景，保障云端运维身份可鉴别、权限可管控、风险可阻断、操作可审计，助力等保合规。</w:t>
            </w:r>
          </w:p>
        </w:tc>
      </w:tr>
      <w:tr w14:paraId="16CCC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jc w:val="center"/>
        </w:trPr>
        <w:tc>
          <w:tcPr>
            <w:tcW w:w="1361" w:type="dxa"/>
            <w:noWrap w:val="0"/>
            <w:vAlign w:val="center"/>
          </w:tcPr>
          <w:p w14:paraId="34510D4E">
            <w:pPr>
              <w:jc w:val="center"/>
              <w:rPr>
                <w:rFonts w:hint="eastAsia" w:ascii="宋体" w:hAnsi="宋体" w:cs="宋体"/>
                <w:sz w:val="24"/>
              </w:rPr>
            </w:pPr>
            <w:r>
              <w:rPr>
                <w:rFonts w:hint="eastAsia" w:ascii="宋体" w:hAnsi="宋体" w:cs="宋体"/>
                <w:sz w:val="24"/>
              </w:rPr>
              <w:t>9</w:t>
            </w:r>
          </w:p>
        </w:tc>
        <w:tc>
          <w:tcPr>
            <w:tcW w:w="1361" w:type="dxa"/>
            <w:noWrap w:val="0"/>
            <w:vAlign w:val="center"/>
          </w:tcPr>
          <w:p w14:paraId="03E74C29">
            <w:pPr>
              <w:jc w:val="center"/>
              <w:rPr>
                <w:rFonts w:hint="eastAsia" w:ascii="宋体" w:hAnsi="宋体" w:cs="宋体"/>
                <w:sz w:val="24"/>
              </w:rPr>
            </w:pPr>
            <w:r>
              <w:rPr>
                <w:rFonts w:hint="eastAsia" w:ascii="宋体" w:hAnsi="宋体" w:cs="宋体"/>
                <w:sz w:val="24"/>
              </w:rPr>
              <w:t>边界隔离防护服务</w:t>
            </w:r>
          </w:p>
        </w:tc>
        <w:tc>
          <w:tcPr>
            <w:tcW w:w="6842" w:type="dxa"/>
            <w:noWrap w:val="0"/>
            <w:vAlign w:val="top"/>
          </w:tcPr>
          <w:p w14:paraId="5016C5DB">
            <w:pPr>
              <w:rPr>
                <w:rFonts w:hint="eastAsia" w:ascii="宋体" w:hAnsi="宋体" w:cs="宋体"/>
                <w:sz w:val="24"/>
              </w:rPr>
            </w:pPr>
            <w:r>
              <w:rPr>
                <w:rFonts w:hint="eastAsia" w:ascii="宋体" w:hAnsi="宋体" w:cs="宋体"/>
                <w:sz w:val="24"/>
              </w:rPr>
              <w:t>需提供服务工具，对招标人接入云平台的接入区域边界进行安全防护，对边界出口的流量进行监控、过滤和阻断，有效防止外部攻击和恶意软件的入侵。服务应包含但不限于DDoS攻击防护、入侵防御、恶意代码防范、策略分析等功能，确保接入边界的稳定性和安全性。</w:t>
            </w:r>
          </w:p>
        </w:tc>
      </w:tr>
      <w:tr w14:paraId="640CC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1361" w:type="dxa"/>
            <w:noWrap w:val="0"/>
            <w:vAlign w:val="center"/>
          </w:tcPr>
          <w:p w14:paraId="002A8864">
            <w:pPr>
              <w:jc w:val="center"/>
              <w:rPr>
                <w:rFonts w:hint="eastAsia" w:ascii="宋体" w:hAnsi="宋体" w:cs="宋体"/>
                <w:sz w:val="24"/>
              </w:rPr>
            </w:pPr>
            <w:r>
              <w:rPr>
                <w:rFonts w:hint="eastAsia" w:ascii="宋体" w:hAnsi="宋体" w:cs="宋体"/>
                <w:sz w:val="24"/>
              </w:rPr>
              <w:t>10</w:t>
            </w:r>
          </w:p>
        </w:tc>
        <w:tc>
          <w:tcPr>
            <w:tcW w:w="1361" w:type="dxa"/>
            <w:noWrap w:val="0"/>
            <w:vAlign w:val="center"/>
          </w:tcPr>
          <w:p w14:paraId="29EA2817">
            <w:pPr>
              <w:jc w:val="center"/>
              <w:rPr>
                <w:rFonts w:hint="eastAsia" w:ascii="宋体" w:hAnsi="宋体" w:cs="宋体"/>
                <w:sz w:val="24"/>
              </w:rPr>
            </w:pPr>
            <w:r>
              <w:rPr>
                <w:rFonts w:hint="eastAsia" w:ascii="宋体" w:hAnsi="宋体" w:cs="宋体"/>
                <w:sz w:val="24"/>
              </w:rPr>
              <w:t>定级备案服务</w:t>
            </w:r>
          </w:p>
        </w:tc>
        <w:tc>
          <w:tcPr>
            <w:tcW w:w="6842" w:type="dxa"/>
            <w:noWrap w:val="0"/>
            <w:vAlign w:val="top"/>
          </w:tcPr>
          <w:p w14:paraId="40F97EFC">
            <w:pPr>
              <w:rPr>
                <w:rFonts w:hint="eastAsia" w:ascii="宋体" w:hAnsi="宋体" w:cs="宋体"/>
                <w:sz w:val="24"/>
              </w:rPr>
            </w:pPr>
            <w:r>
              <w:rPr>
                <w:rFonts w:hint="eastAsia" w:ascii="宋体" w:hAnsi="宋体" w:cs="宋体"/>
                <w:sz w:val="24"/>
              </w:rPr>
              <w:t>需基于招标人信息系统现状，参照《信息安全技术网络安全等级保护定级指南》（GB/T 22240-2020），对系统现状进行调研，根据调研结果，确定定级对象，分析定级要素，根据等级保护对象受到破坏时所侵害的客体和对客体造成的侵害程度确定系统等级，编制定级报告并协助备案。</w:t>
            </w:r>
          </w:p>
        </w:tc>
      </w:tr>
      <w:tr w14:paraId="3B4F8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0" w:hRule="atLeast"/>
          <w:jc w:val="center"/>
        </w:trPr>
        <w:tc>
          <w:tcPr>
            <w:tcW w:w="1361" w:type="dxa"/>
            <w:noWrap w:val="0"/>
            <w:vAlign w:val="center"/>
          </w:tcPr>
          <w:p w14:paraId="098C7FF6">
            <w:pPr>
              <w:jc w:val="center"/>
              <w:rPr>
                <w:rFonts w:hint="eastAsia" w:ascii="宋体" w:hAnsi="宋体" w:cs="宋体"/>
                <w:sz w:val="24"/>
              </w:rPr>
            </w:pPr>
            <w:r>
              <w:rPr>
                <w:rFonts w:hint="eastAsia" w:ascii="宋体" w:hAnsi="宋体" w:cs="宋体"/>
                <w:sz w:val="24"/>
              </w:rPr>
              <w:t>11</w:t>
            </w:r>
          </w:p>
        </w:tc>
        <w:tc>
          <w:tcPr>
            <w:tcW w:w="1361" w:type="dxa"/>
            <w:noWrap w:val="0"/>
            <w:vAlign w:val="center"/>
          </w:tcPr>
          <w:p w14:paraId="316FE5D5">
            <w:pPr>
              <w:jc w:val="center"/>
              <w:rPr>
                <w:rFonts w:hint="eastAsia" w:ascii="宋体" w:hAnsi="宋体" w:cs="宋体"/>
                <w:sz w:val="24"/>
              </w:rPr>
            </w:pPr>
            <w:r>
              <w:rPr>
                <w:rFonts w:hint="eastAsia" w:ascii="宋体" w:hAnsi="宋体" w:cs="宋体"/>
                <w:sz w:val="24"/>
              </w:rPr>
              <w:t>脆弱性检测服务</w:t>
            </w:r>
          </w:p>
        </w:tc>
        <w:tc>
          <w:tcPr>
            <w:tcW w:w="6842" w:type="dxa"/>
            <w:noWrap w:val="0"/>
            <w:vAlign w:val="top"/>
          </w:tcPr>
          <w:p w14:paraId="6A692851">
            <w:pPr>
              <w:rPr>
                <w:rFonts w:hint="eastAsia" w:ascii="宋体" w:hAnsi="宋体" w:cs="宋体"/>
                <w:sz w:val="24"/>
              </w:rPr>
            </w:pPr>
            <w:r>
              <w:rPr>
                <w:rFonts w:hint="eastAsia" w:ascii="宋体" w:hAnsi="宋体" w:cs="宋体"/>
                <w:sz w:val="24"/>
              </w:rPr>
              <w:t>需指派专业技术服务团队在招标人相关负责人现场监督下，对招标人信息系统通过手工脆弱性检查和使用漏洞扫描工具方式分别进行全面深入的脆弱性检测，全面深入地对网络及安全、主机、数据库等存在的各种技术漏洞进行检查，为安全加固提供客观依据，减少信息安全隐患，提高网络和系统安全防护能力。</w:t>
            </w:r>
          </w:p>
        </w:tc>
      </w:tr>
      <w:tr w14:paraId="41D64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0" w:hRule="atLeast"/>
          <w:jc w:val="center"/>
        </w:trPr>
        <w:tc>
          <w:tcPr>
            <w:tcW w:w="1361" w:type="dxa"/>
            <w:noWrap w:val="0"/>
            <w:vAlign w:val="center"/>
          </w:tcPr>
          <w:p w14:paraId="057DCA23">
            <w:pPr>
              <w:jc w:val="center"/>
              <w:rPr>
                <w:rFonts w:hint="eastAsia" w:ascii="宋体" w:hAnsi="宋体" w:cs="宋体"/>
                <w:sz w:val="24"/>
              </w:rPr>
            </w:pPr>
            <w:r>
              <w:rPr>
                <w:rFonts w:hint="eastAsia" w:ascii="宋体" w:hAnsi="宋体" w:cs="宋体"/>
                <w:sz w:val="24"/>
              </w:rPr>
              <w:t>12</w:t>
            </w:r>
          </w:p>
        </w:tc>
        <w:tc>
          <w:tcPr>
            <w:tcW w:w="1361" w:type="dxa"/>
            <w:noWrap w:val="0"/>
            <w:vAlign w:val="center"/>
          </w:tcPr>
          <w:p w14:paraId="3828BF4A">
            <w:pPr>
              <w:jc w:val="center"/>
              <w:rPr>
                <w:rFonts w:hint="eastAsia" w:ascii="宋体" w:hAnsi="宋体" w:cs="宋体"/>
                <w:sz w:val="24"/>
              </w:rPr>
            </w:pPr>
            <w:r>
              <w:rPr>
                <w:rFonts w:hint="eastAsia" w:ascii="宋体" w:hAnsi="宋体" w:cs="宋体"/>
                <w:sz w:val="24"/>
              </w:rPr>
              <w:t>安全加固服务</w:t>
            </w:r>
          </w:p>
        </w:tc>
        <w:tc>
          <w:tcPr>
            <w:tcW w:w="6842" w:type="dxa"/>
            <w:noWrap w:val="0"/>
            <w:vAlign w:val="top"/>
          </w:tcPr>
          <w:p w14:paraId="484B5821">
            <w:pPr>
              <w:rPr>
                <w:rFonts w:hint="eastAsia" w:ascii="宋体" w:hAnsi="宋体" w:cs="宋体"/>
                <w:sz w:val="24"/>
              </w:rPr>
            </w:pPr>
            <w:r>
              <w:rPr>
                <w:rFonts w:hint="eastAsia" w:ascii="宋体" w:hAnsi="宋体" w:cs="宋体"/>
                <w:sz w:val="24"/>
              </w:rPr>
              <w:t>需根据脆弱性检测等工作结果，结合招标人信息系统业务需求，通过技术手段对信息系统相关的操作系统、数据库、中间件、网络与安全设备进行安全策略加强、调优，加强网络、系统和设备抵御攻击和威胁的能力，整体提高网络安全防护水平。</w:t>
            </w:r>
          </w:p>
        </w:tc>
      </w:tr>
      <w:tr w14:paraId="2A4CE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61" w:type="dxa"/>
            <w:noWrap w:val="0"/>
            <w:vAlign w:val="center"/>
          </w:tcPr>
          <w:p w14:paraId="4FD9B3BD">
            <w:pPr>
              <w:jc w:val="center"/>
              <w:rPr>
                <w:rFonts w:hint="eastAsia" w:ascii="宋体" w:hAnsi="宋体" w:cs="宋体"/>
                <w:sz w:val="24"/>
              </w:rPr>
            </w:pPr>
            <w:r>
              <w:rPr>
                <w:rFonts w:hint="eastAsia" w:ascii="宋体" w:hAnsi="宋体" w:cs="宋体"/>
                <w:sz w:val="24"/>
              </w:rPr>
              <w:t>13</w:t>
            </w:r>
          </w:p>
        </w:tc>
        <w:tc>
          <w:tcPr>
            <w:tcW w:w="1361" w:type="dxa"/>
            <w:noWrap w:val="0"/>
            <w:vAlign w:val="center"/>
          </w:tcPr>
          <w:p w14:paraId="29C913B2">
            <w:pPr>
              <w:jc w:val="center"/>
              <w:rPr>
                <w:rFonts w:hint="eastAsia" w:ascii="宋体" w:hAnsi="宋体" w:cs="宋体"/>
                <w:sz w:val="24"/>
              </w:rPr>
            </w:pPr>
            <w:r>
              <w:rPr>
                <w:rFonts w:hint="eastAsia" w:ascii="宋体" w:hAnsi="宋体" w:cs="宋体"/>
                <w:sz w:val="24"/>
              </w:rPr>
              <w:t>网络安全管理制度修订服务</w:t>
            </w:r>
          </w:p>
        </w:tc>
        <w:tc>
          <w:tcPr>
            <w:tcW w:w="6842" w:type="dxa"/>
            <w:noWrap w:val="0"/>
            <w:vAlign w:val="top"/>
          </w:tcPr>
          <w:p w14:paraId="2E4D871A">
            <w:pPr>
              <w:rPr>
                <w:rFonts w:hint="eastAsia" w:ascii="宋体" w:hAnsi="宋体" w:cs="宋体"/>
                <w:sz w:val="24"/>
              </w:rPr>
            </w:pPr>
            <w:r>
              <w:rPr>
                <w:rFonts w:hint="eastAsia" w:ascii="宋体" w:hAnsi="宋体" w:cs="宋体"/>
                <w:sz w:val="24"/>
              </w:rPr>
              <w:t>需基于信息系统安全等级，根据网络安全等级保护管理要求，从网络安全管理制度、安全管理机构、安全管理人员、安全建设管理和安全运维管理五个方面对现有网络安全管理制度进行优化和修订，达到国家网络安全等级保护管理要求。</w:t>
            </w:r>
          </w:p>
        </w:tc>
      </w:tr>
      <w:tr w14:paraId="17216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jc w:val="center"/>
        </w:trPr>
        <w:tc>
          <w:tcPr>
            <w:tcW w:w="1361" w:type="dxa"/>
            <w:noWrap w:val="0"/>
            <w:vAlign w:val="center"/>
          </w:tcPr>
          <w:p w14:paraId="0E5DBF8A">
            <w:pPr>
              <w:jc w:val="center"/>
              <w:rPr>
                <w:rFonts w:hint="eastAsia" w:ascii="宋体" w:hAnsi="宋体" w:cs="宋体"/>
                <w:sz w:val="24"/>
              </w:rPr>
            </w:pPr>
            <w:r>
              <w:rPr>
                <w:rFonts w:hint="eastAsia" w:ascii="宋体" w:hAnsi="宋体" w:cs="宋体"/>
                <w:sz w:val="24"/>
              </w:rPr>
              <w:t>14</w:t>
            </w:r>
          </w:p>
        </w:tc>
        <w:tc>
          <w:tcPr>
            <w:tcW w:w="1361" w:type="dxa"/>
            <w:noWrap w:val="0"/>
            <w:vAlign w:val="center"/>
          </w:tcPr>
          <w:p w14:paraId="4A28E6A2">
            <w:pPr>
              <w:jc w:val="center"/>
              <w:rPr>
                <w:rFonts w:hint="eastAsia" w:ascii="宋体" w:hAnsi="宋体" w:cs="宋体"/>
                <w:sz w:val="24"/>
              </w:rPr>
            </w:pPr>
            <w:r>
              <w:rPr>
                <w:rFonts w:hint="eastAsia" w:ascii="宋体" w:hAnsi="宋体" w:cs="宋体"/>
                <w:sz w:val="24"/>
              </w:rPr>
              <w:t>辅助测评服务</w:t>
            </w:r>
          </w:p>
        </w:tc>
        <w:tc>
          <w:tcPr>
            <w:tcW w:w="6842" w:type="dxa"/>
            <w:noWrap w:val="0"/>
            <w:vAlign w:val="top"/>
          </w:tcPr>
          <w:p w14:paraId="3FE24861">
            <w:pPr>
              <w:rPr>
                <w:rFonts w:hint="eastAsia" w:ascii="宋体" w:hAnsi="宋体" w:cs="宋体"/>
                <w:sz w:val="24"/>
              </w:rPr>
            </w:pPr>
            <w:r>
              <w:rPr>
                <w:rFonts w:hint="eastAsia" w:ascii="宋体" w:hAnsi="宋体" w:cs="宋体"/>
                <w:sz w:val="24"/>
              </w:rPr>
              <w:t>需针对信息系统等级保护测评提供咨询服务，协助通过等级保护测评，咨询服务内容包括系统现状调研，根据调研结果编制测评申请书，在测评现场提供技术支持，根据测评结果协助整改并提供复测咨询等。</w:t>
            </w:r>
          </w:p>
        </w:tc>
      </w:tr>
      <w:tr w14:paraId="5ADC1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3" w:hRule="atLeast"/>
          <w:jc w:val="center"/>
        </w:trPr>
        <w:tc>
          <w:tcPr>
            <w:tcW w:w="1361" w:type="dxa"/>
            <w:noWrap w:val="0"/>
            <w:vAlign w:val="center"/>
          </w:tcPr>
          <w:p w14:paraId="7C432FFB">
            <w:pPr>
              <w:jc w:val="center"/>
              <w:rPr>
                <w:rFonts w:hint="eastAsia" w:ascii="宋体" w:hAnsi="宋体" w:cs="宋体"/>
                <w:sz w:val="24"/>
              </w:rPr>
            </w:pPr>
            <w:r>
              <w:rPr>
                <w:rFonts w:hint="eastAsia" w:ascii="宋体" w:hAnsi="宋体" w:cs="宋体"/>
                <w:sz w:val="24"/>
              </w:rPr>
              <w:t>15</w:t>
            </w:r>
          </w:p>
        </w:tc>
        <w:tc>
          <w:tcPr>
            <w:tcW w:w="1361" w:type="dxa"/>
            <w:noWrap w:val="0"/>
            <w:vAlign w:val="center"/>
          </w:tcPr>
          <w:p w14:paraId="509728CF">
            <w:pPr>
              <w:jc w:val="center"/>
              <w:rPr>
                <w:rFonts w:hint="eastAsia" w:ascii="宋体" w:hAnsi="宋体" w:cs="宋体"/>
                <w:sz w:val="24"/>
              </w:rPr>
            </w:pPr>
            <w:r>
              <w:rPr>
                <w:rFonts w:hint="eastAsia" w:ascii="宋体" w:hAnsi="宋体" w:cs="宋体"/>
                <w:sz w:val="24"/>
              </w:rPr>
              <w:t>三级等保测评</w:t>
            </w:r>
          </w:p>
        </w:tc>
        <w:tc>
          <w:tcPr>
            <w:tcW w:w="6842" w:type="dxa"/>
            <w:noWrap w:val="0"/>
            <w:vAlign w:val="top"/>
          </w:tcPr>
          <w:p w14:paraId="3650C464">
            <w:pPr>
              <w:rPr>
                <w:rFonts w:hint="eastAsia" w:ascii="宋体" w:hAnsi="宋体" w:cs="宋体"/>
                <w:sz w:val="24"/>
              </w:rPr>
            </w:pPr>
            <w:r>
              <w:rPr>
                <w:rFonts w:hint="eastAsia" w:ascii="宋体" w:hAnsi="宋体" w:cs="宋体"/>
                <w:sz w:val="24"/>
              </w:rPr>
              <w:t>需依据国家相关政策文件要求，聘请具备信息安全等级保护测评资质的第三方测评机构对系统进行等级保护测评，检验系统是否符合《信息安全技术 网络安全等级保护基本要求》（GB/T 22239-2019）的等级保护相关级别要求，了解网络安全等级保护要求在系统中的实施配置情况以及整体安全性，对系统的安全保障状况进行符合性安全测试和评估，评价系统是否满足安全等级测评要求中的各项安全。</w:t>
            </w:r>
          </w:p>
        </w:tc>
      </w:tr>
      <w:tr w14:paraId="62AEE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jc w:val="center"/>
        </w:trPr>
        <w:tc>
          <w:tcPr>
            <w:tcW w:w="1361" w:type="dxa"/>
            <w:noWrap w:val="0"/>
            <w:vAlign w:val="center"/>
          </w:tcPr>
          <w:p w14:paraId="739672D1">
            <w:pPr>
              <w:jc w:val="center"/>
              <w:rPr>
                <w:rFonts w:ascii="宋体" w:hAnsi="宋体" w:cs="宋体"/>
                <w:sz w:val="24"/>
              </w:rPr>
            </w:pPr>
            <w:r>
              <w:rPr>
                <w:rFonts w:hint="eastAsia" w:ascii="宋体" w:hAnsi="宋体" w:cs="宋体"/>
                <w:sz w:val="24"/>
              </w:rPr>
              <w:t>16</w:t>
            </w:r>
          </w:p>
        </w:tc>
        <w:tc>
          <w:tcPr>
            <w:tcW w:w="1361" w:type="dxa"/>
            <w:noWrap w:val="0"/>
            <w:vAlign w:val="center"/>
          </w:tcPr>
          <w:p w14:paraId="55BCEBBA">
            <w:pPr>
              <w:jc w:val="center"/>
              <w:rPr>
                <w:rFonts w:ascii="宋体" w:hAnsi="宋体" w:cs="宋体"/>
                <w:sz w:val="24"/>
              </w:rPr>
            </w:pPr>
            <w:r>
              <w:rPr>
                <w:rFonts w:hint="eastAsia" w:ascii="宋体" w:hAnsi="宋体" w:cs="宋体"/>
                <w:sz w:val="24"/>
              </w:rPr>
              <w:t>应急演练服务</w:t>
            </w:r>
          </w:p>
        </w:tc>
        <w:tc>
          <w:tcPr>
            <w:tcW w:w="6842" w:type="dxa"/>
            <w:noWrap w:val="0"/>
            <w:vAlign w:val="top"/>
          </w:tcPr>
          <w:p w14:paraId="1F56CC40">
            <w:r>
              <w:rPr>
                <w:rFonts w:hint="eastAsia" w:ascii="宋体" w:hAnsi="宋体" w:cs="宋体"/>
                <w:sz w:val="24"/>
              </w:rPr>
              <w:t>需结合招标人实际需求，为其提供定制化的应急演练服务，一方面使相关方熟悉应急响应流程，提高对安全事件的响应能力；另一方面验证预案正确性和适用性，进行总结分析，根据需要对应急预案进行修订。</w:t>
            </w:r>
          </w:p>
        </w:tc>
      </w:tr>
      <w:tr w14:paraId="472F3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jc w:val="center"/>
        </w:trPr>
        <w:tc>
          <w:tcPr>
            <w:tcW w:w="1361" w:type="dxa"/>
            <w:noWrap w:val="0"/>
            <w:vAlign w:val="center"/>
          </w:tcPr>
          <w:p w14:paraId="73BA44BC">
            <w:pPr>
              <w:jc w:val="center"/>
              <w:rPr>
                <w:rFonts w:hint="eastAsia" w:ascii="宋体" w:hAnsi="宋体" w:cs="宋体"/>
                <w:sz w:val="24"/>
              </w:rPr>
            </w:pPr>
            <w:r>
              <w:rPr>
                <w:rFonts w:hint="eastAsia" w:ascii="宋体" w:hAnsi="宋体" w:cs="宋体"/>
                <w:sz w:val="24"/>
              </w:rPr>
              <w:t>17</w:t>
            </w:r>
          </w:p>
        </w:tc>
        <w:tc>
          <w:tcPr>
            <w:tcW w:w="1361" w:type="dxa"/>
            <w:noWrap w:val="0"/>
            <w:vAlign w:val="center"/>
          </w:tcPr>
          <w:p w14:paraId="272EC2E3">
            <w:pPr>
              <w:jc w:val="center"/>
              <w:rPr>
                <w:rFonts w:hint="eastAsia" w:ascii="宋体" w:hAnsi="宋体" w:cs="宋体"/>
                <w:sz w:val="24"/>
              </w:rPr>
            </w:pPr>
            <w:r>
              <w:rPr>
                <w:rFonts w:hint="eastAsia" w:ascii="宋体" w:hAnsi="宋体" w:cs="宋体"/>
                <w:sz w:val="24"/>
              </w:rPr>
              <w:t>安全培训服务</w:t>
            </w:r>
          </w:p>
        </w:tc>
        <w:tc>
          <w:tcPr>
            <w:tcW w:w="6842" w:type="dxa"/>
            <w:noWrap w:val="0"/>
            <w:vAlign w:val="top"/>
          </w:tcPr>
          <w:p w14:paraId="7FE7BBE4">
            <w:pPr>
              <w:rPr>
                <w:rFonts w:hint="eastAsia" w:ascii="宋体" w:hAnsi="宋体" w:cs="宋体"/>
                <w:sz w:val="24"/>
              </w:rPr>
            </w:pPr>
            <w:r>
              <w:rPr>
                <w:rFonts w:hint="eastAsia" w:ascii="宋体" w:hAnsi="宋体" w:cs="宋体"/>
                <w:sz w:val="24"/>
              </w:rPr>
              <w:t>需为招标人提供形式多样的宣教培训，提升员工网络安全意识，增强网络安全素养，提高风险辨识和防范技能，建立网络安全的第一道防线。</w:t>
            </w:r>
          </w:p>
        </w:tc>
      </w:tr>
      <w:tr w14:paraId="13CFF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361" w:type="dxa"/>
            <w:noWrap w:val="0"/>
            <w:vAlign w:val="center"/>
          </w:tcPr>
          <w:p w14:paraId="6BD879D5">
            <w:pPr>
              <w:jc w:val="center"/>
              <w:rPr>
                <w:rFonts w:hint="eastAsia" w:ascii="宋体" w:hAnsi="宋体" w:cs="宋体"/>
                <w:sz w:val="24"/>
              </w:rPr>
            </w:pPr>
            <w:r>
              <w:rPr>
                <w:rFonts w:hint="eastAsia" w:ascii="宋体" w:hAnsi="宋体" w:cs="宋体"/>
                <w:sz w:val="24"/>
              </w:rPr>
              <w:t>18</w:t>
            </w:r>
          </w:p>
        </w:tc>
        <w:tc>
          <w:tcPr>
            <w:tcW w:w="1361" w:type="dxa"/>
            <w:noWrap w:val="0"/>
            <w:vAlign w:val="center"/>
          </w:tcPr>
          <w:p w14:paraId="3049A3D5">
            <w:pPr>
              <w:jc w:val="center"/>
              <w:rPr>
                <w:rFonts w:hint="eastAsia" w:ascii="宋体" w:hAnsi="宋体" w:cs="宋体"/>
                <w:sz w:val="24"/>
              </w:rPr>
            </w:pPr>
            <w:r>
              <w:rPr>
                <w:rFonts w:hint="eastAsia" w:ascii="宋体" w:hAnsi="宋体" w:cs="宋体"/>
                <w:sz w:val="24"/>
              </w:rPr>
              <w:t>产品质保服务</w:t>
            </w:r>
          </w:p>
        </w:tc>
        <w:tc>
          <w:tcPr>
            <w:tcW w:w="6842" w:type="dxa"/>
            <w:noWrap w:val="0"/>
            <w:vAlign w:val="top"/>
          </w:tcPr>
          <w:p w14:paraId="08FCBE06">
            <w:pPr>
              <w:rPr>
                <w:rFonts w:hint="eastAsia" w:ascii="宋体" w:hAnsi="宋体" w:cs="宋体"/>
                <w:sz w:val="24"/>
              </w:rPr>
            </w:pPr>
            <w:r>
              <w:rPr>
                <w:rFonts w:hint="eastAsia" w:ascii="宋体" w:hAnsi="宋体" w:cs="宋体"/>
                <w:sz w:val="24"/>
              </w:rPr>
              <w:t>服务期内，要求投标人提供硬件设备故障返厂维修服务，维修期间需提供同型号、性能备品备件，维持业务正常运转。</w:t>
            </w:r>
          </w:p>
        </w:tc>
      </w:tr>
      <w:tr w14:paraId="5DB58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361" w:type="dxa"/>
            <w:noWrap w:val="0"/>
            <w:vAlign w:val="center"/>
          </w:tcPr>
          <w:p w14:paraId="4819297E">
            <w:pPr>
              <w:jc w:val="center"/>
              <w:rPr>
                <w:rFonts w:hint="eastAsia" w:ascii="宋体" w:hAnsi="宋体" w:cs="宋体"/>
                <w:sz w:val="24"/>
              </w:rPr>
            </w:pPr>
            <w:r>
              <w:rPr>
                <w:rFonts w:hint="eastAsia" w:ascii="宋体" w:hAnsi="宋体" w:cs="宋体"/>
                <w:sz w:val="24"/>
              </w:rPr>
              <w:t>19</w:t>
            </w:r>
          </w:p>
        </w:tc>
        <w:tc>
          <w:tcPr>
            <w:tcW w:w="1361" w:type="dxa"/>
            <w:noWrap w:val="0"/>
            <w:vAlign w:val="center"/>
          </w:tcPr>
          <w:p w14:paraId="3388E14F">
            <w:pPr>
              <w:jc w:val="center"/>
              <w:rPr>
                <w:rFonts w:hint="eastAsia" w:ascii="宋体" w:hAnsi="宋体" w:cs="宋体"/>
                <w:sz w:val="24"/>
              </w:rPr>
            </w:pPr>
            <w:r>
              <w:rPr>
                <w:rFonts w:hint="eastAsia" w:ascii="宋体" w:hAnsi="宋体" w:cs="宋体"/>
                <w:sz w:val="24"/>
              </w:rPr>
              <w:t>软件升级服务</w:t>
            </w:r>
          </w:p>
        </w:tc>
        <w:tc>
          <w:tcPr>
            <w:tcW w:w="6842" w:type="dxa"/>
            <w:noWrap w:val="0"/>
            <w:vAlign w:val="top"/>
          </w:tcPr>
          <w:p w14:paraId="4DC88E46">
            <w:pPr>
              <w:rPr>
                <w:rFonts w:hint="eastAsia" w:ascii="宋体" w:hAnsi="宋体" w:cs="宋体"/>
                <w:sz w:val="24"/>
              </w:rPr>
            </w:pPr>
            <w:r>
              <w:rPr>
                <w:rFonts w:hint="eastAsia" w:ascii="宋体" w:hAnsi="宋体" w:cs="宋体"/>
                <w:sz w:val="24"/>
              </w:rPr>
              <w:t>在服务期内，要求投标人提供软件升级服务，在确保软件系统稳定、安全的基础上具备最新的功能与安全特性。并在升级前向用户提供详细的升级方案与风险评估报告。</w:t>
            </w:r>
          </w:p>
        </w:tc>
      </w:tr>
      <w:tr w14:paraId="487EF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361" w:type="dxa"/>
            <w:noWrap w:val="0"/>
            <w:vAlign w:val="center"/>
          </w:tcPr>
          <w:p w14:paraId="6ADC13C5">
            <w:pPr>
              <w:jc w:val="center"/>
              <w:rPr>
                <w:rFonts w:hint="eastAsia" w:ascii="宋体" w:hAnsi="宋体" w:cs="宋体"/>
                <w:sz w:val="24"/>
              </w:rPr>
            </w:pPr>
            <w:r>
              <w:rPr>
                <w:rFonts w:hint="eastAsia" w:ascii="宋体" w:hAnsi="宋体" w:cs="宋体"/>
                <w:sz w:val="24"/>
              </w:rPr>
              <w:t>20</w:t>
            </w:r>
          </w:p>
        </w:tc>
        <w:tc>
          <w:tcPr>
            <w:tcW w:w="1361" w:type="dxa"/>
            <w:noWrap w:val="0"/>
            <w:vAlign w:val="center"/>
          </w:tcPr>
          <w:p w14:paraId="2A7AC23F">
            <w:pPr>
              <w:jc w:val="center"/>
              <w:rPr>
                <w:rFonts w:hint="eastAsia" w:ascii="宋体" w:hAnsi="宋体" w:cs="宋体"/>
                <w:sz w:val="24"/>
              </w:rPr>
            </w:pPr>
            <w:r>
              <w:rPr>
                <w:rFonts w:hint="eastAsia" w:ascii="宋体" w:hAnsi="宋体" w:cs="宋体"/>
                <w:sz w:val="24"/>
              </w:rPr>
              <w:t>业务迁移服务</w:t>
            </w:r>
          </w:p>
        </w:tc>
        <w:tc>
          <w:tcPr>
            <w:tcW w:w="6842" w:type="dxa"/>
            <w:noWrap w:val="0"/>
            <w:vAlign w:val="top"/>
          </w:tcPr>
          <w:p w14:paraId="1A372E36">
            <w:pPr>
              <w:rPr>
                <w:rFonts w:hint="eastAsia" w:ascii="宋体" w:hAnsi="宋体" w:cs="宋体"/>
                <w:sz w:val="24"/>
              </w:rPr>
            </w:pPr>
            <w:r>
              <w:rPr>
                <w:rFonts w:hint="eastAsia" w:ascii="宋体" w:hAnsi="宋体" w:cs="宋体"/>
                <w:sz w:val="24"/>
              </w:rPr>
              <w:t>投标人需配合应用厂商制定全面的业务系统迁移方案，在迁移前对招标人现有业务系统进行评估，配合应用厂商完成业务系统迁移。</w:t>
            </w:r>
          </w:p>
        </w:tc>
      </w:tr>
      <w:tr w14:paraId="3537B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361" w:type="dxa"/>
            <w:noWrap w:val="0"/>
            <w:vAlign w:val="center"/>
          </w:tcPr>
          <w:p w14:paraId="762CF89F">
            <w:pPr>
              <w:jc w:val="center"/>
              <w:rPr>
                <w:rFonts w:hint="eastAsia" w:ascii="宋体" w:hAnsi="宋体" w:cs="宋体"/>
                <w:sz w:val="24"/>
              </w:rPr>
            </w:pPr>
            <w:r>
              <w:rPr>
                <w:rFonts w:hint="eastAsia" w:ascii="宋体" w:hAnsi="宋体" w:cs="宋体"/>
                <w:sz w:val="24"/>
              </w:rPr>
              <w:t>21</w:t>
            </w:r>
          </w:p>
        </w:tc>
        <w:tc>
          <w:tcPr>
            <w:tcW w:w="1361" w:type="dxa"/>
            <w:noWrap w:val="0"/>
            <w:vAlign w:val="center"/>
          </w:tcPr>
          <w:p w14:paraId="6842CD4A">
            <w:pPr>
              <w:jc w:val="center"/>
              <w:rPr>
                <w:rFonts w:hint="eastAsia" w:ascii="宋体" w:hAnsi="宋体" w:cs="宋体"/>
                <w:sz w:val="24"/>
              </w:rPr>
            </w:pPr>
            <w:r>
              <w:rPr>
                <w:rFonts w:hint="eastAsia" w:ascii="宋体" w:hAnsi="宋体" w:cs="宋体"/>
                <w:sz w:val="24"/>
              </w:rPr>
              <w:t>售后支持服务</w:t>
            </w:r>
          </w:p>
        </w:tc>
        <w:tc>
          <w:tcPr>
            <w:tcW w:w="6842" w:type="dxa"/>
            <w:noWrap w:val="0"/>
            <w:vAlign w:val="top"/>
          </w:tcPr>
          <w:p w14:paraId="2CC83247">
            <w:pPr>
              <w:rPr>
                <w:rFonts w:hint="eastAsia" w:ascii="宋体" w:hAnsi="宋体" w:cs="宋体"/>
                <w:sz w:val="24"/>
              </w:rPr>
            </w:pPr>
            <w:r>
              <w:rPr>
                <w:rFonts w:hint="eastAsia" w:ascii="宋体" w:hAnsi="宋体" w:cs="宋体"/>
                <w:sz w:val="24"/>
              </w:rPr>
              <w:t>投标人提供产品及软件相关技术问题的受理与处置、告警威胁相关问题的咨询与处理、硬件维修相关问题的服务，以及提供包含产品功能、使用配置等方面的服务咨询与解答服务。</w:t>
            </w:r>
          </w:p>
        </w:tc>
      </w:tr>
      <w:tr w14:paraId="26303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361" w:type="dxa"/>
            <w:noWrap w:val="0"/>
            <w:vAlign w:val="center"/>
          </w:tcPr>
          <w:p w14:paraId="2993606C">
            <w:pPr>
              <w:jc w:val="center"/>
              <w:rPr>
                <w:rFonts w:hint="eastAsia" w:ascii="宋体" w:hAnsi="宋体" w:cs="宋体"/>
                <w:sz w:val="24"/>
              </w:rPr>
            </w:pPr>
            <w:r>
              <w:rPr>
                <w:rFonts w:hint="eastAsia" w:ascii="宋体" w:hAnsi="宋体" w:cs="宋体"/>
                <w:sz w:val="24"/>
              </w:rPr>
              <w:t>22</w:t>
            </w:r>
          </w:p>
        </w:tc>
        <w:tc>
          <w:tcPr>
            <w:tcW w:w="1361" w:type="dxa"/>
            <w:noWrap w:val="0"/>
            <w:vAlign w:val="center"/>
          </w:tcPr>
          <w:p w14:paraId="5DE654C3">
            <w:pPr>
              <w:jc w:val="center"/>
              <w:rPr>
                <w:rFonts w:hint="eastAsia" w:ascii="宋体" w:hAnsi="宋体" w:cs="宋体"/>
                <w:sz w:val="24"/>
              </w:rPr>
            </w:pPr>
            <w:r>
              <w:rPr>
                <w:rFonts w:hint="eastAsia" w:ascii="宋体" w:hAnsi="宋体" w:cs="宋体"/>
                <w:sz w:val="24"/>
              </w:rPr>
              <w:t>服务周期要求</w:t>
            </w:r>
          </w:p>
        </w:tc>
        <w:tc>
          <w:tcPr>
            <w:tcW w:w="6842" w:type="dxa"/>
            <w:noWrap w:val="0"/>
            <w:vAlign w:val="top"/>
          </w:tcPr>
          <w:p w14:paraId="1A2F9105">
            <w:pPr>
              <w:rPr>
                <w:rFonts w:hint="eastAsia" w:ascii="宋体" w:hAnsi="宋体" w:cs="宋体"/>
                <w:sz w:val="24"/>
              </w:rPr>
            </w:pPr>
            <w:r>
              <w:rPr>
                <w:rFonts w:hint="eastAsia" w:ascii="宋体" w:hAnsi="宋体" w:cs="宋体"/>
                <w:sz w:val="24"/>
              </w:rPr>
              <w:t>投标人需具备连续、长时间、稳定的服务支撑能力，并提供稳定、可靠的服务团队，服务周期的能力需≥3年。</w:t>
            </w:r>
          </w:p>
        </w:tc>
      </w:tr>
      <w:tr w14:paraId="4D734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0" w:hRule="atLeast"/>
          <w:jc w:val="center"/>
        </w:trPr>
        <w:tc>
          <w:tcPr>
            <w:tcW w:w="1361" w:type="dxa"/>
            <w:noWrap w:val="0"/>
            <w:vAlign w:val="center"/>
          </w:tcPr>
          <w:p w14:paraId="62C87EA8">
            <w:pPr>
              <w:jc w:val="center"/>
              <w:rPr>
                <w:rFonts w:hint="eastAsia" w:ascii="宋体" w:hAnsi="宋体" w:cs="宋体"/>
                <w:sz w:val="24"/>
              </w:rPr>
            </w:pPr>
            <w:r>
              <w:rPr>
                <w:rFonts w:hint="eastAsia" w:ascii="宋体" w:hAnsi="宋体" w:cs="宋体"/>
                <w:sz w:val="24"/>
              </w:rPr>
              <w:t>23</w:t>
            </w:r>
          </w:p>
        </w:tc>
        <w:tc>
          <w:tcPr>
            <w:tcW w:w="1361" w:type="dxa"/>
            <w:noWrap w:val="0"/>
            <w:vAlign w:val="center"/>
          </w:tcPr>
          <w:p w14:paraId="3DDC079D">
            <w:pPr>
              <w:jc w:val="center"/>
              <w:rPr>
                <w:rFonts w:hint="eastAsia" w:ascii="宋体" w:hAnsi="宋体" w:cs="宋体"/>
                <w:sz w:val="24"/>
              </w:rPr>
            </w:pPr>
            <w:r>
              <w:rPr>
                <w:rFonts w:hint="eastAsia" w:ascii="宋体" w:hAnsi="宋体" w:cs="宋体"/>
                <w:sz w:val="24"/>
              </w:rPr>
              <w:t>运维服务</w:t>
            </w:r>
          </w:p>
        </w:tc>
        <w:tc>
          <w:tcPr>
            <w:tcW w:w="6842" w:type="dxa"/>
            <w:noWrap w:val="0"/>
            <w:vAlign w:val="top"/>
          </w:tcPr>
          <w:p w14:paraId="6098EC83">
            <w:pPr>
              <w:rPr>
                <w:rFonts w:hint="eastAsia" w:ascii="宋体" w:hAnsi="宋体" w:cs="宋体"/>
                <w:sz w:val="24"/>
              </w:rPr>
            </w:pPr>
            <w:r>
              <w:rPr>
                <w:rFonts w:hint="eastAsia" w:ascii="宋体" w:hAnsi="宋体" w:cs="宋体"/>
                <w:sz w:val="24"/>
              </w:rPr>
              <w:t>（1）软件升级，包括：主线版本/R版本/SP版本等在线升级和定期补丁更新；</w:t>
            </w:r>
            <w:r>
              <w:rPr>
                <w:rFonts w:hint="eastAsia" w:ascii="宋体" w:hAnsi="宋体" w:cs="宋体"/>
                <w:sz w:val="24"/>
              </w:rPr>
              <w:br w:type="textWrapping"/>
            </w:r>
            <w:r>
              <w:rPr>
                <w:rFonts w:hint="eastAsia" w:ascii="宋体" w:hAnsi="宋体" w:cs="宋体"/>
                <w:sz w:val="24"/>
              </w:rPr>
              <w:t>（2）7*24H风险在线监控，包括：服务器硬件健康状态监控、云平台运行状态监控、硬盘/内存亚健康风险提前预测，支持7*24H持续在线监测；</w:t>
            </w:r>
            <w:r>
              <w:rPr>
                <w:rFonts w:hint="eastAsia" w:ascii="宋体" w:hAnsi="宋体" w:cs="宋体"/>
                <w:sz w:val="24"/>
              </w:rPr>
              <w:br w:type="textWrapping"/>
            </w:r>
            <w:r>
              <w:rPr>
                <w:rFonts w:hint="eastAsia" w:ascii="宋体" w:hAnsi="宋体" w:cs="宋体"/>
                <w:sz w:val="24"/>
              </w:rPr>
              <w:t>（3）7*24H告警通知，支持小程序/短信/邮件/语音/企微/钉钉/飞书等多种方式告警通知；</w:t>
            </w:r>
            <w:r>
              <w:rPr>
                <w:rFonts w:hint="eastAsia" w:ascii="宋体" w:hAnsi="宋体" w:cs="宋体"/>
                <w:sz w:val="24"/>
              </w:rPr>
              <w:br w:type="textWrapping"/>
            </w:r>
            <w:r>
              <w:rPr>
                <w:rFonts w:hint="eastAsia" w:ascii="宋体" w:hAnsi="宋体" w:cs="宋体"/>
                <w:sz w:val="24"/>
              </w:rPr>
              <w:t>（4）支持智能根因分析、影响面评估，支持拓扑图形式呈现故障根因链路，并提供合理的处置建议，以提升问题排障和处置效率；</w:t>
            </w:r>
            <w:r>
              <w:rPr>
                <w:rFonts w:hint="eastAsia" w:ascii="宋体" w:hAnsi="宋体" w:cs="宋体"/>
                <w:sz w:val="24"/>
              </w:rPr>
              <w:br w:type="textWrapping"/>
            </w:r>
            <w:r>
              <w:rPr>
                <w:rFonts w:hint="eastAsia" w:ascii="宋体" w:hAnsi="宋体" w:cs="宋体"/>
                <w:sz w:val="24"/>
              </w:rPr>
              <w:t>（5）支持生成运维报告，包括平台服务器健康风险预测和评估（如：CPU/内存/硬盘/Raid卡/网卡等）、云主机运行状态（如：CPU/内存/网络等）风险评估等；</w:t>
            </w:r>
            <w:r>
              <w:rPr>
                <w:rFonts w:hint="eastAsia" w:ascii="宋体" w:hAnsi="宋体" w:cs="宋体"/>
                <w:sz w:val="24"/>
              </w:rPr>
              <w:br w:type="textWrapping"/>
            </w:r>
            <w:r>
              <w:rPr>
                <w:rFonts w:hint="eastAsia" w:ascii="宋体" w:hAnsi="宋体" w:cs="宋体"/>
                <w:sz w:val="24"/>
              </w:rPr>
              <w:t>（6）安排专属客户经理1名，受理甲方日常运维、业务改造等需求对接，及时响应客户需求。</w:t>
            </w:r>
          </w:p>
        </w:tc>
      </w:tr>
    </w:tbl>
    <w:p w14:paraId="10E2B4B8">
      <w:pPr>
        <w:rPr>
          <w:rFonts w:hint="eastAsia" w:ascii="宋体" w:hAnsi="宋体" w:cs="宋体"/>
          <w:sz w:val="24"/>
        </w:rPr>
      </w:pPr>
    </w:p>
    <w:p w14:paraId="256E914F">
      <w:pPr>
        <w:keepNext/>
        <w:keepLines/>
        <w:spacing w:line="360" w:lineRule="auto"/>
        <w:outlineLvl w:val="2"/>
        <w:rPr>
          <w:rFonts w:hint="eastAsia" w:ascii="宋体" w:hAnsi="宋体" w:cs="宋体"/>
          <w:b/>
          <w:bCs/>
          <w:sz w:val="24"/>
        </w:rPr>
      </w:pPr>
      <w:bookmarkStart w:id="17" w:name="_Toc203292982"/>
      <w:r>
        <w:rPr>
          <w:rFonts w:hint="eastAsia" w:ascii="宋体" w:hAnsi="宋体" w:cs="宋体"/>
          <w:b/>
          <w:bCs/>
          <w:sz w:val="24"/>
        </w:rPr>
        <w:t>4.2云资源技术参数</w:t>
      </w:r>
      <w:bookmarkEnd w:id="17"/>
    </w:p>
    <w:p w14:paraId="75AD23DB">
      <w:pPr>
        <w:spacing w:line="360" w:lineRule="auto"/>
        <w:rPr>
          <w:rFonts w:hint="eastAsia" w:ascii="宋体" w:hAnsi="宋体" w:cs="宋体"/>
          <w:sz w:val="24"/>
        </w:rPr>
      </w:pPr>
      <w:r>
        <w:rPr>
          <w:rFonts w:hint="eastAsia" w:ascii="宋体" w:hAnsi="宋体" w:cs="宋体"/>
          <w:sz w:val="24"/>
        </w:rPr>
        <w:t>“★”标识项为关键指标项，不满足将导致投标无效。</w:t>
      </w:r>
    </w:p>
    <w:p w14:paraId="1756DDED">
      <w:pPr>
        <w:spacing w:line="360" w:lineRule="auto"/>
        <w:rPr>
          <w:rFonts w:hint="eastAsia" w:ascii="宋体" w:hAnsi="宋体" w:cs="宋体"/>
          <w:sz w:val="24"/>
        </w:rPr>
      </w:pPr>
      <w:r>
        <w:rPr>
          <w:rFonts w:hint="eastAsia" w:ascii="宋体" w:hAnsi="宋体" w:cs="宋体"/>
          <w:sz w:val="24"/>
        </w:rPr>
        <w:t>注：</w:t>
      </w:r>
    </w:p>
    <w:p w14:paraId="7AA6398C">
      <w:pPr>
        <w:spacing w:line="360" w:lineRule="auto"/>
        <w:rPr>
          <w:rFonts w:hint="eastAsia" w:ascii="宋体" w:hAnsi="宋体" w:cs="宋体"/>
          <w:sz w:val="24"/>
        </w:rPr>
      </w:pPr>
      <w:r>
        <w:rPr>
          <w:rFonts w:hint="eastAsia" w:ascii="宋体" w:hAnsi="宋体" w:cs="宋体"/>
          <w:sz w:val="24"/>
        </w:rPr>
        <w:t>1、投标人须如实提供技术指标要求的证明材料，证明材料可以使用官方网站截图或产品白皮书或第三方机构检验报告或其他相关证明材料。未提供有效证明材料或证明材料中内容与所填报指标不一致的，该指标按不满足处理。</w:t>
      </w:r>
    </w:p>
    <w:p w14:paraId="3CF80AB3">
      <w:pPr>
        <w:spacing w:line="360" w:lineRule="auto"/>
        <w:ind w:firstLine="420"/>
        <w:rPr>
          <w:rFonts w:hint="eastAsia" w:ascii="宋体" w:hAnsi="宋体" w:cs="宋体"/>
          <w:sz w:val="24"/>
        </w:rPr>
      </w:pPr>
      <w:r>
        <w:rPr>
          <w:rFonts w:hint="eastAsia" w:ascii="宋体" w:hAnsi="宋体" w:cs="宋体"/>
          <w:sz w:val="24"/>
        </w:rPr>
        <w:t>2、产品供货后，采购人将对中标产品进行性能测试和功能验证，与投标承诺不符将做为无效投标处理，由此引发的所有损失由该投标人承担。</w:t>
      </w:r>
    </w:p>
    <w:p w14:paraId="6130190F">
      <w:pPr>
        <w:spacing w:line="360" w:lineRule="auto"/>
        <w:rPr>
          <w:rFonts w:hint="eastAsia" w:ascii="宋体" w:hAnsi="宋体" w:cs="宋体"/>
          <w:sz w:val="24"/>
        </w:rPr>
      </w:pPr>
    </w:p>
    <w:tbl>
      <w:tblPr>
        <w:tblStyle w:val="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24"/>
        <w:gridCol w:w="7875"/>
      </w:tblGrid>
      <w:tr w14:paraId="202EBE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1424" w:type="dxa"/>
            <w:shd w:val="clear" w:color="auto" w:fill="FFFFFF"/>
            <w:noWrap w:val="0"/>
            <w:tcMar>
              <w:top w:w="12" w:type="dxa"/>
              <w:left w:w="12" w:type="dxa"/>
              <w:right w:w="12" w:type="dxa"/>
            </w:tcMar>
            <w:vAlign w:val="center"/>
          </w:tcPr>
          <w:p w14:paraId="338B4AE1">
            <w:pPr>
              <w:widowControl/>
              <w:jc w:val="center"/>
              <w:textAlignment w:val="center"/>
              <w:rPr>
                <w:rFonts w:hint="eastAsia" w:ascii="宋体" w:hAnsi="宋体" w:cs="宋体"/>
                <w:b/>
                <w:sz w:val="24"/>
              </w:rPr>
            </w:pPr>
            <w:r>
              <w:rPr>
                <w:rFonts w:hint="eastAsia" w:ascii="宋体" w:hAnsi="宋体" w:cs="宋体"/>
                <w:b/>
                <w:kern w:val="0"/>
                <w:sz w:val="24"/>
              </w:rPr>
              <w:t>服务指标项</w:t>
            </w:r>
          </w:p>
        </w:tc>
        <w:tc>
          <w:tcPr>
            <w:tcW w:w="7875" w:type="dxa"/>
            <w:shd w:val="clear" w:color="auto" w:fill="FFFFFF"/>
            <w:noWrap w:val="0"/>
            <w:tcMar>
              <w:top w:w="12" w:type="dxa"/>
              <w:left w:w="12" w:type="dxa"/>
              <w:right w:w="12" w:type="dxa"/>
            </w:tcMar>
            <w:vAlign w:val="center"/>
          </w:tcPr>
          <w:p w14:paraId="70AF6CE4">
            <w:pPr>
              <w:widowControl/>
              <w:jc w:val="center"/>
              <w:textAlignment w:val="center"/>
              <w:rPr>
                <w:rFonts w:hint="eastAsia" w:ascii="宋体" w:hAnsi="宋体" w:cs="宋体"/>
                <w:b/>
                <w:sz w:val="24"/>
              </w:rPr>
            </w:pPr>
            <w:r>
              <w:rPr>
                <w:rFonts w:hint="eastAsia" w:ascii="宋体" w:hAnsi="宋体" w:cs="宋体"/>
                <w:b/>
                <w:kern w:val="0"/>
                <w:sz w:val="24"/>
              </w:rPr>
              <w:t>服务指标要求</w:t>
            </w:r>
          </w:p>
        </w:tc>
      </w:tr>
      <w:tr w14:paraId="73C7FE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1424" w:type="dxa"/>
            <w:vMerge w:val="restart"/>
            <w:noWrap w:val="0"/>
            <w:tcMar>
              <w:top w:w="12" w:type="dxa"/>
              <w:left w:w="12" w:type="dxa"/>
              <w:right w:w="12" w:type="dxa"/>
            </w:tcMar>
            <w:vAlign w:val="center"/>
          </w:tcPr>
          <w:p w14:paraId="77672E7F">
            <w:pPr>
              <w:widowControl/>
              <w:spacing w:after="240"/>
              <w:jc w:val="center"/>
              <w:textAlignment w:val="center"/>
              <w:rPr>
                <w:rFonts w:hint="eastAsia" w:ascii="宋体" w:hAnsi="宋体" w:cs="宋体"/>
                <w:bCs/>
                <w:sz w:val="24"/>
              </w:rPr>
            </w:pPr>
            <w:r>
              <w:rPr>
                <w:rFonts w:hint="eastAsia" w:ascii="宋体" w:hAnsi="宋体" w:cs="宋体"/>
                <w:bCs/>
                <w:sz w:val="24"/>
              </w:rPr>
              <w:t>总体要求</w:t>
            </w:r>
          </w:p>
        </w:tc>
        <w:tc>
          <w:tcPr>
            <w:tcW w:w="7875" w:type="dxa"/>
            <w:noWrap w:val="0"/>
            <w:tcMar>
              <w:top w:w="12" w:type="dxa"/>
              <w:left w:w="12" w:type="dxa"/>
              <w:right w:w="12" w:type="dxa"/>
            </w:tcMar>
            <w:vAlign w:val="top"/>
          </w:tcPr>
          <w:p w14:paraId="34E481EA">
            <w:pPr>
              <w:widowControl/>
              <w:jc w:val="left"/>
              <w:textAlignment w:val="center"/>
              <w:rPr>
                <w:rFonts w:hint="eastAsia" w:ascii="宋体" w:hAnsi="宋体" w:cs="宋体"/>
                <w:sz w:val="24"/>
              </w:rPr>
            </w:pPr>
            <w:r>
              <w:rPr>
                <w:rFonts w:hint="eastAsia" w:ascii="宋体" w:hAnsi="宋体" w:cs="宋体"/>
                <w:sz w:val="24"/>
              </w:rPr>
              <w:t>1.要求所投超融合产品的计算虚拟化软件类、存储虚拟化软件类、网络虚拟化软件类为同一品牌且完全自主研发，提供相应的计算机软件著作权登记证书。</w:t>
            </w:r>
          </w:p>
        </w:tc>
      </w:tr>
      <w:tr w14:paraId="0A0026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1424" w:type="dxa"/>
            <w:vMerge w:val="continue"/>
            <w:noWrap w:val="0"/>
            <w:tcMar>
              <w:top w:w="12" w:type="dxa"/>
              <w:left w:w="12" w:type="dxa"/>
              <w:right w:w="12" w:type="dxa"/>
            </w:tcMar>
            <w:vAlign w:val="center"/>
          </w:tcPr>
          <w:p w14:paraId="4F8756F2">
            <w:pPr>
              <w:widowControl/>
              <w:spacing w:after="240"/>
              <w:jc w:val="center"/>
              <w:textAlignment w:val="center"/>
              <w:rPr>
                <w:rFonts w:hint="eastAsia" w:ascii="宋体" w:hAnsi="宋体" w:cs="宋体"/>
                <w:bCs/>
                <w:sz w:val="24"/>
              </w:rPr>
            </w:pPr>
          </w:p>
        </w:tc>
        <w:tc>
          <w:tcPr>
            <w:tcW w:w="7875" w:type="dxa"/>
            <w:noWrap w:val="0"/>
            <w:tcMar>
              <w:top w:w="12" w:type="dxa"/>
              <w:left w:w="12" w:type="dxa"/>
              <w:right w:w="12" w:type="dxa"/>
            </w:tcMar>
            <w:vAlign w:val="top"/>
          </w:tcPr>
          <w:p w14:paraId="72318ABE">
            <w:pPr>
              <w:widowControl/>
              <w:jc w:val="left"/>
              <w:textAlignment w:val="center"/>
              <w:rPr>
                <w:rFonts w:hint="eastAsia" w:ascii="宋体" w:hAnsi="宋体" w:cs="宋体"/>
                <w:sz w:val="24"/>
              </w:rPr>
            </w:pPr>
            <w:r>
              <w:rPr>
                <w:rFonts w:hint="eastAsia" w:ascii="宋体" w:hAnsi="宋体" w:cs="宋体"/>
                <w:sz w:val="24"/>
              </w:rPr>
              <w:t>2.采用裸金属架构，无需绑定操作系统即可搭建超融合平台。</w:t>
            </w:r>
          </w:p>
        </w:tc>
      </w:tr>
      <w:tr w14:paraId="1F734E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1424" w:type="dxa"/>
            <w:vMerge w:val="restart"/>
            <w:noWrap w:val="0"/>
            <w:tcMar>
              <w:top w:w="12" w:type="dxa"/>
              <w:left w:w="12" w:type="dxa"/>
              <w:right w:w="12" w:type="dxa"/>
            </w:tcMar>
            <w:vAlign w:val="center"/>
          </w:tcPr>
          <w:p w14:paraId="6A21BB19">
            <w:pPr>
              <w:widowControl/>
              <w:jc w:val="center"/>
              <w:textAlignment w:val="center"/>
              <w:rPr>
                <w:rFonts w:hint="eastAsia" w:ascii="宋体" w:hAnsi="宋体" w:cs="宋体"/>
                <w:bCs/>
                <w:sz w:val="24"/>
              </w:rPr>
            </w:pPr>
            <w:r>
              <w:rPr>
                <w:rFonts w:hint="eastAsia" w:ascii="宋体" w:hAnsi="宋体" w:cs="宋体"/>
                <w:bCs/>
                <w:sz w:val="24"/>
              </w:rPr>
              <w:t>节点配置</w:t>
            </w:r>
          </w:p>
        </w:tc>
        <w:tc>
          <w:tcPr>
            <w:tcW w:w="7875" w:type="dxa"/>
            <w:noWrap w:val="0"/>
            <w:tcMar>
              <w:top w:w="12" w:type="dxa"/>
              <w:left w:w="12" w:type="dxa"/>
              <w:right w:w="12" w:type="dxa"/>
            </w:tcMar>
            <w:vAlign w:val="center"/>
          </w:tcPr>
          <w:p w14:paraId="7C2EEFFB">
            <w:pPr>
              <w:widowControl/>
              <w:jc w:val="left"/>
              <w:textAlignment w:val="center"/>
              <w:rPr>
                <w:rFonts w:hint="eastAsia" w:ascii="宋体" w:hAnsi="宋体" w:cs="宋体"/>
                <w:sz w:val="24"/>
              </w:rPr>
            </w:pPr>
            <w:r>
              <w:rPr>
                <w:rFonts w:hint="eastAsia" w:ascii="宋体" w:hAnsi="宋体" w:cs="宋体"/>
                <w:sz w:val="24"/>
              </w:rPr>
              <w:t>★规格2U，配置2颗国产C86架构CPU，主频≥ 2.5GHz，核心数≥32，内存配置≥10*64GB DDR5 5600Mhz，系统盘配置≥2*480GB SATA SSD，缓存盘配置≥2*3.84TB NVMe SSD，数据盘配置≥6*8TB HDD，配置冗余电源，接口配置≥4个千兆电口，4个万兆光口；</w:t>
            </w:r>
          </w:p>
        </w:tc>
      </w:tr>
      <w:tr w14:paraId="01FC1B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1424" w:type="dxa"/>
            <w:vMerge w:val="continue"/>
            <w:noWrap w:val="0"/>
            <w:tcMar>
              <w:top w:w="12" w:type="dxa"/>
              <w:left w:w="12" w:type="dxa"/>
              <w:right w:w="12" w:type="dxa"/>
            </w:tcMar>
            <w:vAlign w:val="center"/>
          </w:tcPr>
          <w:p w14:paraId="249AFB94">
            <w:pPr>
              <w:widowControl/>
              <w:jc w:val="center"/>
              <w:textAlignment w:val="center"/>
              <w:rPr>
                <w:rFonts w:hint="eastAsia" w:ascii="宋体" w:hAnsi="宋体" w:cs="宋体"/>
                <w:bCs/>
                <w:sz w:val="24"/>
              </w:rPr>
            </w:pPr>
          </w:p>
        </w:tc>
        <w:tc>
          <w:tcPr>
            <w:tcW w:w="7875" w:type="dxa"/>
            <w:noWrap w:val="0"/>
            <w:tcMar>
              <w:top w:w="12" w:type="dxa"/>
              <w:left w:w="12" w:type="dxa"/>
              <w:right w:w="12" w:type="dxa"/>
            </w:tcMar>
            <w:vAlign w:val="center"/>
          </w:tcPr>
          <w:p w14:paraId="24492EE8">
            <w:pPr>
              <w:widowControl/>
              <w:jc w:val="left"/>
              <w:textAlignment w:val="center"/>
              <w:rPr>
                <w:rFonts w:hint="eastAsia" w:ascii="宋体" w:hAnsi="宋体" w:cs="宋体"/>
                <w:sz w:val="24"/>
              </w:rPr>
            </w:pPr>
            <w:r>
              <w:rPr>
                <w:rFonts w:hint="eastAsia" w:ascii="宋体" w:hAnsi="宋体" w:cs="宋体"/>
                <w:sz w:val="24"/>
              </w:rPr>
              <w:t>2.软硬件均支持ECC告警。支持提前发现内存CE故障，并且实现100%异常自动隔离。支持内存UE故障检测告警，并在用户界面显示告警信息。</w:t>
            </w:r>
          </w:p>
        </w:tc>
      </w:tr>
      <w:tr w14:paraId="099DA5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1424" w:type="dxa"/>
            <w:vMerge w:val="restart"/>
            <w:noWrap w:val="0"/>
            <w:tcMar>
              <w:top w:w="12" w:type="dxa"/>
              <w:left w:w="12" w:type="dxa"/>
              <w:right w:w="12" w:type="dxa"/>
            </w:tcMar>
            <w:vAlign w:val="center"/>
          </w:tcPr>
          <w:p w14:paraId="15325F20">
            <w:pPr>
              <w:widowControl/>
              <w:jc w:val="center"/>
              <w:textAlignment w:val="center"/>
              <w:rPr>
                <w:rFonts w:hint="eastAsia" w:ascii="宋体" w:hAnsi="宋体" w:cs="宋体"/>
                <w:bCs/>
                <w:sz w:val="24"/>
              </w:rPr>
            </w:pPr>
            <w:r>
              <w:rPr>
                <w:rFonts w:hint="eastAsia" w:ascii="宋体" w:hAnsi="宋体" w:cs="宋体"/>
                <w:bCs/>
                <w:sz w:val="24"/>
              </w:rPr>
              <w:t>计算虚拟化软件</w:t>
            </w:r>
          </w:p>
        </w:tc>
        <w:tc>
          <w:tcPr>
            <w:tcW w:w="7875" w:type="dxa"/>
            <w:noWrap w:val="0"/>
            <w:tcMar>
              <w:top w:w="12" w:type="dxa"/>
              <w:left w:w="12" w:type="dxa"/>
              <w:right w:w="12" w:type="dxa"/>
            </w:tcMar>
            <w:vAlign w:val="center"/>
          </w:tcPr>
          <w:p w14:paraId="2D37B3FF">
            <w:pPr>
              <w:widowControl/>
              <w:jc w:val="left"/>
              <w:textAlignment w:val="center"/>
              <w:rPr>
                <w:rFonts w:hint="eastAsia" w:ascii="宋体" w:hAnsi="宋体" w:cs="宋体"/>
                <w:sz w:val="24"/>
              </w:rPr>
            </w:pPr>
            <w:r>
              <w:rPr>
                <w:rFonts w:hint="eastAsia" w:ascii="宋体" w:hAnsi="宋体" w:cs="宋体"/>
                <w:sz w:val="24"/>
              </w:rPr>
              <w:t>★1.配置并激活计算虚拟化软件，每个节点配置2颗CPU计算虚拟化软件授权。</w:t>
            </w:r>
          </w:p>
        </w:tc>
      </w:tr>
      <w:tr w14:paraId="3E22D7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1424" w:type="dxa"/>
            <w:vMerge w:val="continue"/>
            <w:noWrap w:val="0"/>
            <w:tcMar>
              <w:top w:w="12" w:type="dxa"/>
              <w:left w:w="12" w:type="dxa"/>
              <w:right w:w="12" w:type="dxa"/>
            </w:tcMar>
            <w:vAlign w:val="center"/>
          </w:tcPr>
          <w:p w14:paraId="17F09053">
            <w:pPr>
              <w:widowControl/>
              <w:jc w:val="center"/>
              <w:textAlignment w:val="center"/>
              <w:rPr>
                <w:rFonts w:hint="eastAsia" w:ascii="宋体" w:hAnsi="宋体" w:cs="宋体"/>
                <w:bCs/>
                <w:sz w:val="24"/>
              </w:rPr>
            </w:pPr>
          </w:p>
        </w:tc>
        <w:tc>
          <w:tcPr>
            <w:tcW w:w="7875" w:type="dxa"/>
            <w:noWrap w:val="0"/>
            <w:tcMar>
              <w:top w:w="12" w:type="dxa"/>
              <w:left w:w="12" w:type="dxa"/>
              <w:right w:w="12" w:type="dxa"/>
            </w:tcMar>
            <w:vAlign w:val="center"/>
          </w:tcPr>
          <w:p w14:paraId="4E2663F3">
            <w:pPr>
              <w:widowControl/>
              <w:jc w:val="left"/>
              <w:textAlignment w:val="center"/>
              <w:rPr>
                <w:rFonts w:hint="eastAsia" w:ascii="宋体" w:hAnsi="宋体" w:cs="宋体"/>
                <w:sz w:val="24"/>
              </w:rPr>
            </w:pPr>
            <w:r>
              <w:rPr>
                <w:rFonts w:hint="eastAsia" w:ascii="宋体" w:hAnsi="宋体" w:cs="宋体"/>
                <w:sz w:val="24"/>
              </w:rPr>
              <w:t>2.考虑医院实际运维需求，要求当虚拟机卡死或蓝屏时虚拟机需具备自动检测功能并实现自动重启，无需人工干预，减少运维工作量。</w:t>
            </w:r>
          </w:p>
        </w:tc>
      </w:tr>
      <w:tr w14:paraId="7AC1DE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1424" w:type="dxa"/>
            <w:vMerge w:val="continue"/>
            <w:noWrap w:val="0"/>
            <w:tcMar>
              <w:top w:w="12" w:type="dxa"/>
              <w:left w:w="12" w:type="dxa"/>
              <w:right w:w="12" w:type="dxa"/>
            </w:tcMar>
            <w:vAlign w:val="center"/>
          </w:tcPr>
          <w:p w14:paraId="3DE74F6A">
            <w:pPr>
              <w:widowControl/>
              <w:jc w:val="center"/>
              <w:textAlignment w:val="center"/>
              <w:rPr>
                <w:rFonts w:hint="eastAsia" w:ascii="宋体" w:hAnsi="宋体" w:cs="宋体"/>
                <w:bCs/>
                <w:sz w:val="24"/>
              </w:rPr>
            </w:pPr>
          </w:p>
        </w:tc>
        <w:tc>
          <w:tcPr>
            <w:tcW w:w="7875" w:type="dxa"/>
            <w:noWrap w:val="0"/>
            <w:tcMar>
              <w:top w:w="12" w:type="dxa"/>
              <w:left w:w="12" w:type="dxa"/>
              <w:right w:w="12" w:type="dxa"/>
            </w:tcMar>
            <w:vAlign w:val="center"/>
          </w:tcPr>
          <w:p w14:paraId="6C7387B9">
            <w:pPr>
              <w:widowControl/>
              <w:jc w:val="left"/>
              <w:textAlignment w:val="center"/>
              <w:rPr>
                <w:rFonts w:hint="eastAsia" w:ascii="宋体" w:hAnsi="宋体" w:cs="宋体"/>
                <w:sz w:val="24"/>
              </w:rPr>
            </w:pPr>
            <w:r>
              <w:rPr>
                <w:rFonts w:hint="eastAsia" w:ascii="宋体" w:hAnsi="宋体" w:cs="宋体"/>
                <w:sz w:val="24"/>
              </w:rPr>
              <w:t>3.为保证业务运行可靠性，要求支持IO重试，当存储出现故障，导致虚拟机无法读取存储数据时，自动挂起虚拟机，避免业务故障。</w:t>
            </w:r>
          </w:p>
        </w:tc>
      </w:tr>
      <w:tr w14:paraId="09B38F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1424" w:type="dxa"/>
            <w:vMerge w:val="continue"/>
            <w:noWrap w:val="0"/>
            <w:tcMar>
              <w:top w:w="12" w:type="dxa"/>
              <w:left w:w="12" w:type="dxa"/>
              <w:right w:w="12" w:type="dxa"/>
            </w:tcMar>
            <w:vAlign w:val="center"/>
          </w:tcPr>
          <w:p w14:paraId="5F861595">
            <w:pPr>
              <w:widowControl/>
              <w:jc w:val="center"/>
              <w:textAlignment w:val="center"/>
              <w:rPr>
                <w:rFonts w:hint="eastAsia" w:ascii="宋体" w:hAnsi="宋体" w:cs="宋体"/>
                <w:bCs/>
                <w:sz w:val="24"/>
              </w:rPr>
            </w:pPr>
          </w:p>
        </w:tc>
        <w:tc>
          <w:tcPr>
            <w:tcW w:w="7875" w:type="dxa"/>
            <w:noWrap w:val="0"/>
            <w:tcMar>
              <w:top w:w="12" w:type="dxa"/>
              <w:left w:w="12" w:type="dxa"/>
              <w:right w:w="12" w:type="dxa"/>
            </w:tcMar>
            <w:vAlign w:val="center"/>
          </w:tcPr>
          <w:p w14:paraId="4488FC1E">
            <w:pPr>
              <w:widowControl/>
              <w:jc w:val="left"/>
              <w:textAlignment w:val="center"/>
              <w:rPr>
                <w:rFonts w:hint="eastAsia" w:ascii="宋体" w:hAnsi="宋体" w:cs="宋体"/>
                <w:sz w:val="24"/>
              </w:rPr>
            </w:pPr>
            <w:r>
              <w:rPr>
                <w:rFonts w:hint="eastAsia" w:ascii="宋体" w:hAnsi="宋体" w:cs="宋体"/>
                <w:sz w:val="24"/>
              </w:rPr>
              <w:t>4.提供基于PowerShell的CLI命令行功能，通过命令行可以进行管理计算虚拟化、存储虚拟化、网络虚拟化模块，并通过PowerShell脚本可简化用户运维操作。支持漏洞及版本信息巡检，推送补丁及升级信息，并支持补丁管理、更新、回滚。（提供产品功能截图/证明材料并加盖公章）</w:t>
            </w:r>
          </w:p>
        </w:tc>
      </w:tr>
      <w:tr w14:paraId="7ED409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1424" w:type="dxa"/>
            <w:vMerge w:val="continue"/>
            <w:noWrap w:val="0"/>
            <w:tcMar>
              <w:top w:w="12" w:type="dxa"/>
              <w:left w:w="12" w:type="dxa"/>
              <w:right w:w="12" w:type="dxa"/>
            </w:tcMar>
            <w:vAlign w:val="center"/>
          </w:tcPr>
          <w:p w14:paraId="28372782">
            <w:pPr>
              <w:widowControl/>
              <w:jc w:val="center"/>
              <w:textAlignment w:val="center"/>
              <w:rPr>
                <w:rFonts w:hint="eastAsia" w:ascii="宋体" w:hAnsi="宋体" w:cs="宋体"/>
                <w:bCs/>
                <w:sz w:val="24"/>
              </w:rPr>
            </w:pPr>
          </w:p>
        </w:tc>
        <w:tc>
          <w:tcPr>
            <w:tcW w:w="7875" w:type="dxa"/>
            <w:noWrap w:val="0"/>
            <w:tcMar>
              <w:top w:w="12" w:type="dxa"/>
              <w:left w:w="12" w:type="dxa"/>
              <w:right w:w="12" w:type="dxa"/>
            </w:tcMar>
            <w:vAlign w:val="center"/>
          </w:tcPr>
          <w:p w14:paraId="48AF90DF">
            <w:pPr>
              <w:widowControl/>
              <w:jc w:val="left"/>
              <w:textAlignment w:val="center"/>
              <w:rPr>
                <w:rFonts w:hint="eastAsia" w:ascii="宋体" w:hAnsi="宋体" w:cs="宋体"/>
                <w:sz w:val="24"/>
              </w:rPr>
            </w:pPr>
            <w:r>
              <w:rPr>
                <w:rFonts w:hint="eastAsia" w:ascii="宋体" w:hAnsi="宋体" w:cs="宋体"/>
                <w:sz w:val="24"/>
              </w:rPr>
              <w:t>5.虚拟化管理平台具备监控功能，对资源池中CPU、网络、磁盘使用率等指标进行实时的数据统计，当指标超过设置的阈值，可以通过多种方式（短信、邮箱）告知管理员进行排障。</w:t>
            </w:r>
          </w:p>
        </w:tc>
      </w:tr>
      <w:tr w14:paraId="3AE3E7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1424" w:type="dxa"/>
            <w:vMerge w:val="continue"/>
            <w:noWrap w:val="0"/>
            <w:tcMar>
              <w:top w:w="12" w:type="dxa"/>
              <w:left w:w="12" w:type="dxa"/>
              <w:right w:w="12" w:type="dxa"/>
            </w:tcMar>
            <w:vAlign w:val="center"/>
          </w:tcPr>
          <w:p w14:paraId="73F89198">
            <w:pPr>
              <w:widowControl/>
              <w:jc w:val="center"/>
              <w:textAlignment w:val="center"/>
              <w:rPr>
                <w:rFonts w:hint="eastAsia" w:ascii="宋体" w:hAnsi="宋体" w:cs="宋体"/>
                <w:bCs/>
                <w:sz w:val="24"/>
              </w:rPr>
            </w:pPr>
          </w:p>
        </w:tc>
        <w:tc>
          <w:tcPr>
            <w:tcW w:w="7875" w:type="dxa"/>
            <w:noWrap w:val="0"/>
            <w:tcMar>
              <w:top w:w="12" w:type="dxa"/>
              <w:left w:w="12" w:type="dxa"/>
              <w:right w:w="12" w:type="dxa"/>
            </w:tcMar>
            <w:vAlign w:val="center"/>
          </w:tcPr>
          <w:p w14:paraId="71528BC8">
            <w:pPr>
              <w:widowControl/>
              <w:jc w:val="left"/>
              <w:textAlignment w:val="center"/>
              <w:rPr>
                <w:rFonts w:hint="eastAsia" w:ascii="宋体" w:hAnsi="宋体" w:cs="宋体"/>
                <w:sz w:val="24"/>
              </w:rPr>
            </w:pPr>
            <w:r>
              <w:rPr>
                <w:rFonts w:hint="eastAsia" w:ascii="宋体" w:hAnsi="宋体" w:cs="宋体"/>
                <w:sz w:val="24"/>
              </w:rPr>
              <w:t>6.为充分利用云平台的资源，虚拟机需要支持内存回收，在内存不用的时候自动回收给其他虚拟机使用，并支持手动设置平台的内存超配比例，实现内存的超分使用。</w:t>
            </w:r>
          </w:p>
        </w:tc>
      </w:tr>
      <w:tr w14:paraId="75FAE5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1424" w:type="dxa"/>
            <w:vMerge w:val="continue"/>
            <w:noWrap w:val="0"/>
            <w:tcMar>
              <w:top w:w="12" w:type="dxa"/>
              <w:left w:w="12" w:type="dxa"/>
              <w:right w:w="12" w:type="dxa"/>
            </w:tcMar>
            <w:vAlign w:val="center"/>
          </w:tcPr>
          <w:p w14:paraId="14D02CD7">
            <w:pPr>
              <w:widowControl/>
              <w:jc w:val="center"/>
              <w:textAlignment w:val="center"/>
              <w:rPr>
                <w:rFonts w:hint="eastAsia" w:ascii="宋体" w:hAnsi="宋体" w:cs="宋体"/>
                <w:bCs/>
                <w:sz w:val="24"/>
              </w:rPr>
            </w:pPr>
          </w:p>
        </w:tc>
        <w:tc>
          <w:tcPr>
            <w:tcW w:w="7875" w:type="dxa"/>
            <w:noWrap w:val="0"/>
            <w:tcMar>
              <w:top w:w="12" w:type="dxa"/>
              <w:left w:w="12" w:type="dxa"/>
              <w:right w:w="12" w:type="dxa"/>
            </w:tcMar>
            <w:vAlign w:val="center"/>
          </w:tcPr>
          <w:p w14:paraId="6821AC65">
            <w:pPr>
              <w:widowControl/>
              <w:jc w:val="left"/>
              <w:textAlignment w:val="center"/>
              <w:rPr>
                <w:rFonts w:hint="eastAsia" w:ascii="宋体" w:hAnsi="宋体" w:cs="宋体"/>
                <w:sz w:val="24"/>
              </w:rPr>
            </w:pPr>
            <w:r>
              <w:rPr>
                <w:rFonts w:hint="eastAsia" w:ascii="宋体" w:hAnsi="宋体" w:cs="宋体"/>
                <w:sz w:val="24"/>
              </w:rPr>
              <w:t>▲7.部分业务需要使用USB设备，需支持物理机上的USB映射给虚拟机使用，且虚拟机迁移或故障迁移到其他主机上也能自动映射USB设备。（提供带有CMA或CNAS标识的检测报告证明并加盖公章）</w:t>
            </w:r>
          </w:p>
        </w:tc>
      </w:tr>
      <w:tr w14:paraId="686AC1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1424" w:type="dxa"/>
            <w:vMerge w:val="restart"/>
            <w:noWrap w:val="0"/>
            <w:tcMar>
              <w:top w:w="12" w:type="dxa"/>
              <w:left w:w="12" w:type="dxa"/>
              <w:right w:w="12" w:type="dxa"/>
            </w:tcMar>
            <w:vAlign w:val="center"/>
          </w:tcPr>
          <w:p w14:paraId="2834C41F">
            <w:pPr>
              <w:widowControl/>
              <w:jc w:val="center"/>
              <w:textAlignment w:val="center"/>
              <w:rPr>
                <w:rFonts w:hint="eastAsia" w:ascii="宋体" w:hAnsi="宋体" w:cs="宋体"/>
                <w:bCs/>
                <w:sz w:val="24"/>
              </w:rPr>
            </w:pPr>
            <w:r>
              <w:rPr>
                <w:rFonts w:hint="eastAsia" w:ascii="宋体" w:hAnsi="宋体" w:cs="宋体"/>
                <w:bCs/>
                <w:sz w:val="24"/>
              </w:rPr>
              <w:t>存储虚拟化软件</w:t>
            </w:r>
          </w:p>
        </w:tc>
        <w:tc>
          <w:tcPr>
            <w:tcW w:w="7875" w:type="dxa"/>
            <w:noWrap w:val="0"/>
            <w:tcMar>
              <w:top w:w="12" w:type="dxa"/>
              <w:left w:w="12" w:type="dxa"/>
              <w:right w:w="12" w:type="dxa"/>
            </w:tcMar>
            <w:vAlign w:val="center"/>
          </w:tcPr>
          <w:p w14:paraId="4303DCCF">
            <w:pPr>
              <w:widowControl/>
              <w:jc w:val="left"/>
              <w:textAlignment w:val="center"/>
              <w:rPr>
                <w:rFonts w:hint="eastAsia" w:ascii="宋体" w:hAnsi="宋体" w:cs="宋体"/>
                <w:sz w:val="24"/>
              </w:rPr>
            </w:pPr>
            <w:r>
              <w:rPr>
                <w:rFonts w:hint="eastAsia" w:ascii="宋体" w:hAnsi="宋体" w:cs="宋体"/>
                <w:sz w:val="24"/>
              </w:rPr>
              <w:t>★1.配置并激活存储虚拟化软件，每个节点配置2颗CPU存储虚拟化软件授权。</w:t>
            </w:r>
          </w:p>
        </w:tc>
      </w:tr>
      <w:tr w14:paraId="14B9CA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1424" w:type="dxa"/>
            <w:vMerge w:val="continue"/>
            <w:noWrap w:val="0"/>
            <w:tcMar>
              <w:top w:w="12" w:type="dxa"/>
              <w:left w:w="12" w:type="dxa"/>
              <w:right w:w="12" w:type="dxa"/>
            </w:tcMar>
            <w:vAlign w:val="center"/>
          </w:tcPr>
          <w:p w14:paraId="3D3D390D">
            <w:pPr>
              <w:widowControl/>
              <w:jc w:val="center"/>
              <w:textAlignment w:val="center"/>
              <w:rPr>
                <w:rFonts w:hint="eastAsia" w:ascii="宋体" w:hAnsi="宋体" w:cs="宋体"/>
                <w:bCs/>
                <w:sz w:val="24"/>
              </w:rPr>
            </w:pPr>
          </w:p>
        </w:tc>
        <w:tc>
          <w:tcPr>
            <w:tcW w:w="7875" w:type="dxa"/>
            <w:noWrap w:val="0"/>
            <w:tcMar>
              <w:top w:w="12" w:type="dxa"/>
              <w:left w:w="12" w:type="dxa"/>
              <w:right w:w="12" w:type="dxa"/>
            </w:tcMar>
            <w:vAlign w:val="center"/>
          </w:tcPr>
          <w:p w14:paraId="2C5328D5">
            <w:pPr>
              <w:widowControl/>
              <w:jc w:val="left"/>
              <w:textAlignment w:val="center"/>
              <w:rPr>
                <w:rFonts w:hint="eastAsia" w:ascii="宋体" w:hAnsi="宋体" w:cs="宋体"/>
                <w:sz w:val="24"/>
              </w:rPr>
            </w:pPr>
            <w:r>
              <w:rPr>
                <w:rFonts w:hint="eastAsia" w:ascii="宋体" w:hAnsi="宋体" w:cs="宋体"/>
                <w:sz w:val="24"/>
              </w:rPr>
              <w:t>2.支持存储虚拟化功能，无需安装额外的软件，在一个统一的管理平台上使用License激活的方式即可开通使用，存储虚拟化与计算虚拟化为紧耦合架构，减少底层开销，提升性能。</w:t>
            </w:r>
          </w:p>
        </w:tc>
      </w:tr>
      <w:tr w14:paraId="089D7B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1424" w:type="dxa"/>
            <w:vMerge w:val="continue"/>
            <w:noWrap w:val="0"/>
            <w:tcMar>
              <w:top w:w="12" w:type="dxa"/>
              <w:left w:w="12" w:type="dxa"/>
              <w:right w:w="12" w:type="dxa"/>
            </w:tcMar>
            <w:vAlign w:val="center"/>
          </w:tcPr>
          <w:p w14:paraId="75C4EA82">
            <w:pPr>
              <w:widowControl/>
              <w:jc w:val="center"/>
              <w:textAlignment w:val="center"/>
              <w:rPr>
                <w:rFonts w:hint="eastAsia" w:ascii="宋体" w:hAnsi="宋体" w:cs="宋体"/>
                <w:bCs/>
                <w:sz w:val="24"/>
              </w:rPr>
            </w:pPr>
          </w:p>
        </w:tc>
        <w:tc>
          <w:tcPr>
            <w:tcW w:w="7875" w:type="dxa"/>
            <w:noWrap w:val="0"/>
            <w:tcMar>
              <w:top w:w="12" w:type="dxa"/>
              <w:left w:w="12" w:type="dxa"/>
              <w:right w:w="12" w:type="dxa"/>
            </w:tcMar>
            <w:vAlign w:val="center"/>
          </w:tcPr>
          <w:p w14:paraId="684C69DF">
            <w:pPr>
              <w:widowControl/>
              <w:jc w:val="left"/>
              <w:textAlignment w:val="center"/>
              <w:rPr>
                <w:rFonts w:hint="eastAsia" w:ascii="宋体" w:hAnsi="宋体" w:cs="宋体"/>
                <w:sz w:val="24"/>
              </w:rPr>
            </w:pPr>
            <w:r>
              <w:rPr>
                <w:rFonts w:hint="eastAsia" w:ascii="宋体" w:hAnsi="宋体" w:cs="宋体"/>
                <w:sz w:val="24"/>
              </w:rPr>
              <w:t>3.硬件故障对平台影响较大，也会影响数据安全，为保障核心业务在硬件故障后尽快恢复冗余数据保障，重建过程中可以查看数据重建任务列表信息，包括对象名称、对象类型、数据量和优先级等；支持点击操作中的优先级对数据重建进行优先重建（提供带有CMA或CNAS标识的检测报告证明并加盖公章）</w:t>
            </w:r>
          </w:p>
        </w:tc>
      </w:tr>
      <w:tr w14:paraId="068459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1424" w:type="dxa"/>
            <w:vMerge w:val="continue"/>
            <w:noWrap w:val="0"/>
            <w:tcMar>
              <w:top w:w="12" w:type="dxa"/>
              <w:left w:w="12" w:type="dxa"/>
              <w:right w:w="12" w:type="dxa"/>
            </w:tcMar>
            <w:vAlign w:val="center"/>
          </w:tcPr>
          <w:p w14:paraId="1682FB6D">
            <w:pPr>
              <w:widowControl/>
              <w:jc w:val="center"/>
              <w:textAlignment w:val="center"/>
              <w:rPr>
                <w:rFonts w:hint="eastAsia" w:ascii="宋体" w:hAnsi="宋体" w:cs="宋体"/>
                <w:bCs/>
                <w:sz w:val="24"/>
              </w:rPr>
            </w:pPr>
          </w:p>
        </w:tc>
        <w:tc>
          <w:tcPr>
            <w:tcW w:w="7875" w:type="dxa"/>
            <w:noWrap w:val="0"/>
            <w:tcMar>
              <w:top w:w="12" w:type="dxa"/>
              <w:left w:w="12" w:type="dxa"/>
              <w:right w:w="12" w:type="dxa"/>
            </w:tcMar>
            <w:vAlign w:val="center"/>
          </w:tcPr>
          <w:p w14:paraId="72ADF988">
            <w:pPr>
              <w:widowControl/>
              <w:jc w:val="left"/>
              <w:textAlignment w:val="center"/>
              <w:rPr>
                <w:rFonts w:hint="eastAsia" w:ascii="宋体" w:hAnsi="宋体" w:cs="宋体"/>
                <w:sz w:val="24"/>
              </w:rPr>
            </w:pPr>
            <w:r>
              <w:rPr>
                <w:rFonts w:hint="eastAsia" w:ascii="宋体" w:hAnsi="宋体" w:cs="宋体"/>
                <w:sz w:val="24"/>
              </w:rPr>
              <w:t>4.支持iSCSI存储、FC存储、NFS存储、本地存储。支持通过iSCSI透传/非透传指令使虚拟机支持存储裸设备映射（RDM），可以将存储设备上的LUN 直接映射给虚拟机使用。</w:t>
            </w:r>
          </w:p>
        </w:tc>
      </w:tr>
      <w:tr w14:paraId="4FC486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1424" w:type="dxa"/>
            <w:vMerge w:val="continue"/>
            <w:noWrap w:val="0"/>
            <w:tcMar>
              <w:top w:w="12" w:type="dxa"/>
              <w:left w:w="12" w:type="dxa"/>
              <w:right w:w="12" w:type="dxa"/>
            </w:tcMar>
            <w:vAlign w:val="center"/>
          </w:tcPr>
          <w:p w14:paraId="5B8400B6">
            <w:pPr>
              <w:widowControl/>
              <w:jc w:val="center"/>
              <w:textAlignment w:val="center"/>
              <w:rPr>
                <w:rFonts w:hint="eastAsia" w:ascii="宋体" w:hAnsi="宋体" w:cs="宋体"/>
                <w:bCs/>
                <w:sz w:val="24"/>
              </w:rPr>
            </w:pPr>
          </w:p>
        </w:tc>
        <w:tc>
          <w:tcPr>
            <w:tcW w:w="7875" w:type="dxa"/>
            <w:noWrap w:val="0"/>
            <w:tcMar>
              <w:top w:w="12" w:type="dxa"/>
              <w:left w:w="12" w:type="dxa"/>
              <w:right w:w="12" w:type="dxa"/>
            </w:tcMar>
            <w:vAlign w:val="center"/>
          </w:tcPr>
          <w:p w14:paraId="0971640B">
            <w:pPr>
              <w:widowControl/>
              <w:jc w:val="left"/>
              <w:textAlignment w:val="center"/>
              <w:rPr>
                <w:rFonts w:hint="eastAsia" w:ascii="宋体" w:hAnsi="宋体" w:cs="宋体"/>
                <w:sz w:val="24"/>
              </w:rPr>
            </w:pPr>
            <w:r>
              <w:rPr>
                <w:rFonts w:hint="eastAsia" w:ascii="宋体" w:hAnsi="宋体" w:cs="宋体"/>
                <w:sz w:val="24"/>
              </w:rPr>
              <w:t>▲5.支持数据自动重建机制，当主机或者磁盘故障后，自动利用集群内空闲磁盘空间，将故障数据重新恢复，且重建速度最快可达30min/TB以上，快速恢复副本的完整性和冗余度，确保用户数据的可靠性和安全性。（提供带有CMA或CNAS标识的检测报告证明，并加盖公章）</w:t>
            </w:r>
          </w:p>
        </w:tc>
      </w:tr>
      <w:tr w14:paraId="2271A5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1424" w:type="dxa"/>
            <w:vMerge w:val="continue"/>
            <w:noWrap w:val="0"/>
            <w:tcMar>
              <w:top w:w="12" w:type="dxa"/>
              <w:left w:w="12" w:type="dxa"/>
              <w:right w:w="12" w:type="dxa"/>
            </w:tcMar>
            <w:vAlign w:val="center"/>
          </w:tcPr>
          <w:p w14:paraId="5782CC49">
            <w:pPr>
              <w:widowControl/>
              <w:jc w:val="center"/>
              <w:textAlignment w:val="center"/>
              <w:rPr>
                <w:rFonts w:hint="eastAsia" w:ascii="宋体" w:hAnsi="宋体" w:cs="宋体"/>
                <w:bCs/>
                <w:sz w:val="24"/>
              </w:rPr>
            </w:pPr>
          </w:p>
        </w:tc>
        <w:tc>
          <w:tcPr>
            <w:tcW w:w="7875" w:type="dxa"/>
            <w:noWrap w:val="0"/>
            <w:tcMar>
              <w:top w:w="12" w:type="dxa"/>
              <w:left w:w="12" w:type="dxa"/>
              <w:right w:w="12" w:type="dxa"/>
            </w:tcMar>
            <w:vAlign w:val="center"/>
          </w:tcPr>
          <w:p w14:paraId="7069476D">
            <w:pPr>
              <w:widowControl/>
              <w:jc w:val="left"/>
              <w:textAlignment w:val="center"/>
              <w:rPr>
                <w:rFonts w:hint="eastAsia" w:ascii="宋体" w:hAnsi="宋体" w:cs="宋体"/>
                <w:sz w:val="24"/>
              </w:rPr>
            </w:pPr>
            <w:r>
              <w:rPr>
                <w:rFonts w:hint="eastAsia" w:ascii="宋体" w:hAnsi="宋体" w:cs="宋体"/>
                <w:sz w:val="24"/>
              </w:rPr>
              <w:t>6.为保证亚健康硬盘的数据安全，支持主动将亚健康硬盘数据进行迁移修复，当硬盘的坏 道数过多，系统能够自动将该盘的数据迁移至其他健康硬盘上。（提供带有CMA、CNAS标识的检测报告证明，并加盖公章）</w:t>
            </w:r>
          </w:p>
        </w:tc>
      </w:tr>
      <w:tr w14:paraId="3A8C68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1424" w:type="dxa"/>
            <w:vMerge w:val="restart"/>
            <w:noWrap w:val="0"/>
            <w:tcMar>
              <w:top w:w="12" w:type="dxa"/>
              <w:left w:w="12" w:type="dxa"/>
              <w:right w:w="12" w:type="dxa"/>
            </w:tcMar>
            <w:vAlign w:val="center"/>
          </w:tcPr>
          <w:p w14:paraId="655E90CD">
            <w:pPr>
              <w:widowControl/>
              <w:jc w:val="center"/>
              <w:textAlignment w:val="center"/>
              <w:rPr>
                <w:rFonts w:hint="eastAsia" w:ascii="宋体" w:hAnsi="宋体" w:cs="宋体"/>
                <w:bCs/>
                <w:sz w:val="24"/>
              </w:rPr>
            </w:pPr>
            <w:r>
              <w:rPr>
                <w:rFonts w:hint="eastAsia" w:ascii="宋体" w:hAnsi="宋体" w:cs="宋体"/>
                <w:bCs/>
                <w:sz w:val="24"/>
              </w:rPr>
              <w:t>网络虚拟化软件</w:t>
            </w:r>
          </w:p>
        </w:tc>
        <w:tc>
          <w:tcPr>
            <w:tcW w:w="7875" w:type="dxa"/>
            <w:noWrap w:val="0"/>
            <w:tcMar>
              <w:top w:w="12" w:type="dxa"/>
              <w:left w:w="12" w:type="dxa"/>
              <w:right w:w="12" w:type="dxa"/>
            </w:tcMar>
            <w:vAlign w:val="center"/>
          </w:tcPr>
          <w:p w14:paraId="06033014">
            <w:pPr>
              <w:widowControl/>
              <w:jc w:val="left"/>
              <w:textAlignment w:val="center"/>
              <w:rPr>
                <w:rFonts w:hint="eastAsia" w:ascii="宋体" w:hAnsi="宋体" w:cs="宋体"/>
                <w:sz w:val="24"/>
              </w:rPr>
            </w:pPr>
            <w:r>
              <w:rPr>
                <w:rFonts w:hint="eastAsia" w:ascii="宋体" w:hAnsi="宋体" w:cs="宋体"/>
                <w:sz w:val="24"/>
              </w:rPr>
              <w:t>★1.配置并激活网络虚拟化软件，软件按照物理CPU数量方式进行授权，每个节点配置2颗CPU网络虚拟化软件授权。</w:t>
            </w:r>
          </w:p>
        </w:tc>
      </w:tr>
      <w:tr w14:paraId="5F8FFC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1424" w:type="dxa"/>
            <w:vMerge w:val="continue"/>
            <w:noWrap w:val="0"/>
            <w:tcMar>
              <w:top w:w="12" w:type="dxa"/>
              <w:left w:w="12" w:type="dxa"/>
              <w:right w:w="12" w:type="dxa"/>
            </w:tcMar>
            <w:vAlign w:val="center"/>
          </w:tcPr>
          <w:p w14:paraId="0D591F65">
            <w:pPr>
              <w:widowControl/>
              <w:jc w:val="center"/>
              <w:textAlignment w:val="center"/>
              <w:rPr>
                <w:rFonts w:hint="eastAsia" w:ascii="宋体" w:hAnsi="宋体" w:cs="宋体"/>
                <w:bCs/>
                <w:sz w:val="24"/>
              </w:rPr>
            </w:pPr>
          </w:p>
        </w:tc>
        <w:tc>
          <w:tcPr>
            <w:tcW w:w="7875" w:type="dxa"/>
            <w:noWrap w:val="0"/>
            <w:tcMar>
              <w:top w:w="12" w:type="dxa"/>
              <w:left w:w="12" w:type="dxa"/>
              <w:right w:w="12" w:type="dxa"/>
            </w:tcMar>
            <w:vAlign w:val="center"/>
          </w:tcPr>
          <w:p w14:paraId="7365A146">
            <w:pPr>
              <w:widowControl/>
              <w:jc w:val="left"/>
              <w:textAlignment w:val="center"/>
              <w:rPr>
                <w:rFonts w:hint="eastAsia" w:ascii="宋体" w:hAnsi="宋体" w:cs="宋体"/>
                <w:sz w:val="24"/>
              </w:rPr>
            </w:pPr>
            <w:r>
              <w:rPr>
                <w:rFonts w:hint="eastAsia" w:ascii="宋体" w:hAnsi="宋体" w:cs="宋体"/>
                <w:sz w:val="24"/>
              </w:rPr>
              <w:t>2.在管理平台上可以通过拖拽虚拟设备图标和连线就能完成网络拓扑的构建，快速的实现整个业务逻辑，并且可以连接、开启、关闭虚拟网络设备，支持对整个平台虚拟设备实现统一的管理，提升运维管理的工作效率。</w:t>
            </w:r>
          </w:p>
        </w:tc>
      </w:tr>
      <w:tr w14:paraId="100EA7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1424" w:type="dxa"/>
            <w:vMerge w:val="continue"/>
            <w:noWrap w:val="0"/>
            <w:tcMar>
              <w:top w:w="12" w:type="dxa"/>
              <w:left w:w="12" w:type="dxa"/>
              <w:right w:w="12" w:type="dxa"/>
            </w:tcMar>
            <w:vAlign w:val="center"/>
          </w:tcPr>
          <w:p w14:paraId="7DC30E56">
            <w:pPr>
              <w:widowControl/>
              <w:jc w:val="center"/>
              <w:textAlignment w:val="center"/>
              <w:rPr>
                <w:rFonts w:hint="eastAsia" w:ascii="宋体" w:hAnsi="宋体" w:cs="宋体"/>
                <w:bCs/>
                <w:sz w:val="24"/>
              </w:rPr>
            </w:pPr>
          </w:p>
        </w:tc>
        <w:tc>
          <w:tcPr>
            <w:tcW w:w="7875" w:type="dxa"/>
            <w:noWrap w:val="0"/>
            <w:tcMar>
              <w:top w:w="12" w:type="dxa"/>
              <w:left w:w="12" w:type="dxa"/>
              <w:right w:w="12" w:type="dxa"/>
            </w:tcMar>
            <w:vAlign w:val="center"/>
          </w:tcPr>
          <w:p w14:paraId="550AFDD6">
            <w:pPr>
              <w:widowControl/>
              <w:jc w:val="left"/>
              <w:textAlignment w:val="center"/>
              <w:rPr>
                <w:rFonts w:hint="eastAsia" w:ascii="宋体" w:hAnsi="宋体" w:cs="宋体"/>
                <w:sz w:val="24"/>
              </w:rPr>
            </w:pPr>
            <w:r>
              <w:rPr>
                <w:rFonts w:hint="eastAsia" w:ascii="宋体" w:hAnsi="宋体" w:cs="宋体"/>
                <w:sz w:val="24"/>
              </w:rPr>
              <w:t>3.分布式防火墙基于监测虚机IP地址和端口进行东西向流量隔离控制，并提供实时拦截日志，以及支持“数据直通ByPass”功能，方便出现问题快速定位问题。</w:t>
            </w:r>
          </w:p>
        </w:tc>
      </w:tr>
      <w:tr w14:paraId="6F3AA4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1424" w:type="dxa"/>
            <w:vMerge w:val="continue"/>
            <w:noWrap w:val="0"/>
            <w:tcMar>
              <w:top w:w="12" w:type="dxa"/>
              <w:left w:w="12" w:type="dxa"/>
              <w:right w:w="12" w:type="dxa"/>
            </w:tcMar>
            <w:vAlign w:val="center"/>
          </w:tcPr>
          <w:p w14:paraId="18CE90F5">
            <w:pPr>
              <w:widowControl/>
              <w:jc w:val="center"/>
              <w:textAlignment w:val="center"/>
              <w:rPr>
                <w:rFonts w:hint="eastAsia" w:ascii="宋体" w:hAnsi="宋体" w:cs="宋体"/>
                <w:bCs/>
                <w:sz w:val="24"/>
              </w:rPr>
            </w:pPr>
          </w:p>
        </w:tc>
        <w:tc>
          <w:tcPr>
            <w:tcW w:w="7875" w:type="dxa"/>
            <w:noWrap w:val="0"/>
            <w:tcMar>
              <w:top w:w="12" w:type="dxa"/>
              <w:left w:w="12" w:type="dxa"/>
              <w:right w:w="12" w:type="dxa"/>
            </w:tcMar>
            <w:vAlign w:val="center"/>
          </w:tcPr>
          <w:p w14:paraId="5173243C">
            <w:pPr>
              <w:widowControl/>
              <w:jc w:val="left"/>
              <w:textAlignment w:val="center"/>
              <w:rPr>
                <w:rFonts w:hint="eastAsia" w:ascii="宋体" w:hAnsi="宋体" w:cs="宋体"/>
                <w:sz w:val="24"/>
              </w:rPr>
            </w:pPr>
            <w:r>
              <w:rPr>
                <w:rFonts w:hint="eastAsia" w:ascii="宋体" w:hAnsi="宋体" w:cs="宋体"/>
                <w:sz w:val="24"/>
              </w:rPr>
              <w:t>▲4.无需单独购买授权，超融合自带分布式防火墙功能，并支持微隔离策略推荐，自动通过访问关系、历史流量和用户配置来生成最适合的微隔离规则，并且可以预发布策略，预览访问关系和防护状况，在二次确认后发布推荐策略。（提供带有CMA、CNAS标识的检测报告证明并加盖公章）</w:t>
            </w:r>
          </w:p>
        </w:tc>
      </w:tr>
      <w:tr w14:paraId="1EE6F6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1424" w:type="dxa"/>
            <w:noWrap w:val="0"/>
            <w:tcMar>
              <w:top w:w="12" w:type="dxa"/>
              <w:left w:w="12" w:type="dxa"/>
              <w:right w:w="12" w:type="dxa"/>
            </w:tcMar>
            <w:vAlign w:val="center"/>
          </w:tcPr>
          <w:p w14:paraId="557ABD43">
            <w:pPr>
              <w:widowControl/>
              <w:jc w:val="center"/>
              <w:textAlignment w:val="center"/>
              <w:rPr>
                <w:rFonts w:hint="eastAsia" w:ascii="宋体" w:hAnsi="宋体" w:cs="宋体"/>
                <w:bCs/>
                <w:sz w:val="24"/>
              </w:rPr>
            </w:pPr>
            <w:r>
              <w:rPr>
                <w:rFonts w:hint="eastAsia" w:ascii="宋体" w:hAnsi="宋体" w:cs="宋体"/>
                <w:bCs/>
                <w:sz w:val="24"/>
              </w:rPr>
              <w:t>系统迁移</w:t>
            </w:r>
          </w:p>
        </w:tc>
        <w:tc>
          <w:tcPr>
            <w:tcW w:w="7875" w:type="dxa"/>
            <w:noWrap w:val="0"/>
            <w:tcMar>
              <w:top w:w="12" w:type="dxa"/>
              <w:left w:w="12" w:type="dxa"/>
              <w:right w:w="12" w:type="dxa"/>
            </w:tcMar>
            <w:vAlign w:val="center"/>
          </w:tcPr>
          <w:p w14:paraId="317B03CF">
            <w:pPr>
              <w:widowControl/>
              <w:jc w:val="left"/>
              <w:textAlignment w:val="center"/>
              <w:rPr>
                <w:rFonts w:hint="eastAsia" w:ascii="宋体" w:hAnsi="宋体" w:cs="宋体"/>
                <w:sz w:val="24"/>
              </w:rPr>
            </w:pPr>
            <w:r>
              <w:rPr>
                <w:rFonts w:hint="eastAsia" w:ascii="宋体" w:hAnsi="宋体" w:cs="宋体"/>
                <w:sz w:val="24"/>
              </w:rPr>
              <w:t>▲提供同品牌自研的迁移工具，无需采购第三方迁移服务，支持原主机和异构目标机之间的自动化迁移功能。（提供产品功能截图/证明材料并加盖公章）</w:t>
            </w:r>
          </w:p>
        </w:tc>
      </w:tr>
    </w:tbl>
    <w:p w14:paraId="3C9DF8A2">
      <w:pPr>
        <w:pStyle w:val="2"/>
        <w:spacing w:line="360" w:lineRule="auto"/>
        <w:rPr>
          <w:rFonts w:hint="eastAsia"/>
        </w:rPr>
      </w:pPr>
    </w:p>
    <w:p w14:paraId="3802063A">
      <w:pPr>
        <w:pStyle w:val="2"/>
        <w:rPr>
          <w:rFonts w:hint="eastAsia"/>
        </w:rPr>
      </w:pPr>
    </w:p>
    <w:p w14:paraId="4D149BCB">
      <w:pPr>
        <w:keepNext/>
        <w:keepLines/>
        <w:spacing w:before="160" w:after="80"/>
        <w:outlineLvl w:val="2"/>
      </w:pPr>
      <w:bookmarkStart w:id="18" w:name="_Toc203292983"/>
      <w:r>
        <w:rPr>
          <w:rFonts w:hint="eastAsia" w:ascii="宋体" w:hAnsi="宋体" w:cs="宋体"/>
          <w:b/>
          <w:bCs/>
          <w:sz w:val="24"/>
        </w:rPr>
        <w:t>4.3安全服务技术参数</w:t>
      </w:r>
      <w:bookmarkEnd w:id="18"/>
    </w:p>
    <w:p w14:paraId="764E198B">
      <w:pPr>
        <w:keepNext/>
        <w:keepLines/>
        <w:tabs>
          <w:tab w:val="left" w:pos="567"/>
        </w:tabs>
        <w:spacing w:before="160" w:after="80"/>
        <w:outlineLvl w:val="3"/>
        <w:rPr>
          <w:rFonts w:hint="eastAsia" w:ascii="宋体" w:hAnsi="宋体" w:cs="宋体"/>
          <w:b/>
          <w:bCs/>
          <w:sz w:val="24"/>
        </w:rPr>
      </w:pPr>
      <w:r>
        <w:rPr>
          <w:rFonts w:hint="eastAsia" w:ascii="宋体" w:hAnsi="宋体" w:cs="宋体"/>
          <w:b/>
          <w:bCs/>
          <w:sz w:val="24"/>
        </w:rPr>
        <w:t>4.3.1 云互联网出口边界防护服务</w:t>
      </w:r>
    </w:p>
    <w:tbl>
      <w:tblPr>
        <w:tblStyle w:val="5"/>
        <w:tblW w:w="0" w:type="auto"/>
        <w:tblInd w:w="0" w:type="dxa"/>
        <w:tblLayout w:type="fixed"/>
        <w:tblCellMar>
          <w:top w:w="0" w:type="dxa"/>
          <w:left w:w="108" w:type="dxa"/>
          <w:bottom w:w="0" w:type="dxa"/>
          <w:right w:w="108" w:type="dxa"/>
        </w:tblCellMar>
      </w:tblPr>
      <w:tblGrid>
        <w:gridCol w:w="2187"/>
        <w:gridCol w:w="7379"/>
      </w:tblGrid>
      <w:tr w14:paraId="0D8A2DDD">
        <w:tblPrEx>
          <w:tblCellMar>
            <w:top w:w="0" w:type="dxa"/>
            <w:left w:w="108" w:type="dxa"/>
            <w:bottom w:w="0" w:type="dxa"/>
            <w:right w:w="108" w:type="dxa"/>
          </w:tblCellMar>
        </w:tblPrEx>
        <w:trPr>
          <w:trHeight w:val="280" w:hRule="atLeast"/>
        </w:trPr>
        <w:tc>
          <w:tcPr>
            <w:tcW w:w="2187" w:type="dxa"/>
            <w:tcBorders>
              <w:top w:val="single" w:color="auto" w:sz="4" w:space="0"/>
              <w:left w:val="single" w:color="auto" w:sz="4" w:space="0"/>
              <w:bottom w:val="single" w:color="auto" w:sz="4" w:space="0"/>
              <w:right w:val="single" w:color="auto" w:sz="4" w:space="0"/>
            </w:tcBorders>
            <w:noWrap w:val="0"/>
            <w:vAlign w:val="center"/>
          </w:tcPr>
          <w:p w14:paraId="5F2C51BF">
            <w:pPr>
              <w:widowControl/>
              <w:jc w:val="center"/>
              <w:textAlignment w:val="center"/>
              <w:rPr>
                <w:rFonts w:hint="eastAsia" w:ascii="宋体" w:hAnsi="宋体" w:cs="宋体"/>
                <w:b/>
                <w:color w:val="000000"/>
                <w:kern w:val="0"/>
                <w:sz w:val="24"/>
              </w:rPr>
            </w:pPr>
            <w:bookmarkStart w:id="19" w:name="_Hlk205396184"/>
            <w:r>
              <w:rPr>
                <w:rFonts w:hint="eastAsia" w:ascii="宋体" w:hAnsi="宋体" w:cs="宋体"/>
                <w:b/>
                <w:color w:val="000000"/>
                <w:kern w:val="0"/>
                <w:sz w:val="24"/>
              </w:rPr>
              <w:t>服务名称</w:t>
            </w:r>
          </w:p>
        </w:tc>
        <w:tc>
          <w:tcPr>
            <w:tcW w:w="7379" w:type="dxa"/>
            <w:tcBorders>
              <w:top w:val="single" w:color="auto" w:sz="4" w:space="0"/>
              <w:left w:val="nil"/>
              <w:bottom w:val="single" w:color="auto" w:sz="4" w:space="0"/>
              <w:right w:val="single" w:color="auto" w:sz="4" w:space="0"/>
            </w:tcBorders>
            <w:noWrap w:val="0"/>
            <w:vAlign w:val="center"/>
          </w:tcPr>
          <w:p w14:paraId="56239507">
            <w:pPr>
              <w:widowControl/>
              <w:jc w:val="center"/>
              <w:textAlignment w:val="center"/>
              <w:rPr>
                <w:rFonts w:hint="eastAsia" w:ascii="宋体" w:hAnsi="宋体" w:cs="宋体"/>
                <w:b/>
                <w:color w:val="000000"/>
                <w:kern w:val="0"/>
                <w:sz w:val="24"/>
              </w:rPr>
            </w:pPr>
            <w:r>
              <w:rPr>
                <w:rFonts w:hint="eastAsia" w:ascii="宋体" w:hAnsi="宋体" w:cs="宋体"/>
                <w:b/>
                <w:color w:val="000000"/>
                <w:kern w:val="0"/>
                <w:sz w:val="24"/>
              </w:rPr>
              <w:t>服务指标要求</w:t>
            </w:r>
          </w:p>
        </w:tc>
      </w:tr>
      <w:tr w14:paraId="233F8F58">
        <w:tblPrEx>
          <w:tblCellMar>
            <w:top w:w="0" w:type="dxa"/>
            <w:left w:w="108" w:type="dxa"/>
            <w:bottom w:w="0" w:type="dxa"/>
            <w:right w:w="108" w:type="dxa"/>
          </w:tblCellMar>
        </w:tblPrEx>
        <w:trPr>
          <w:trHeight w:val="300" w:hRule="atLeast"/>
        </w:trPr>
        <w:tc>
          <w:tcPr>
            <w:tcW w:w="2187" w:type="dxa"/>
            <w:vMerge w:val="restart"/>
            <w:tcBorders>
              <w:top w:val="single" w:color="auto" w:sz="4" w:space="0"/>
              <w:left w:val="single" w:color="auto" w:sz="4" w:space="0"/>
              <w:bottom w:val="single" w:color="auto" w:sz="4" w:space="0"/>
              <w:right w:val="single" w:color="auto" w:sz="4" w:space="0"/>
            </w:tcBorders>
            <w:noWrap w:val="0"/>
            <w:vAlign w:val="center"/>
          </w:tcPr>
          <w:p w14:paraId="06ADCDEC">
            <w:pPr>
              <w:widowControl/>
              <w:jc w:val="center"/>
              <w:rPr>
                <w:rFonts w:hint="eastAsia" w:ascii="宋体" w:hAnsi="宋体" w:cs="宋体"/>
                <w:color w:val="000000"/>
                <w:kern w:val="0"/>
                <w:sz w:val="24"/>
              </w:rPr>
            </w:pPr>
            <w:r>
              <w:rPr>
                <w:rFonts w:hint="eastAsia" w:ascii="宋体" w:hAnsi="宋体" w:cs="宋体"/>
                <w:kern w:val="0"/>
                <w:sz w:val="24"/>
              </w:rPr>
              <w:t>云互联网出口边界防护服务</w:t>
            </w:r>
          </w:p>
        </w:tc>
        <w:tc>
          <w:tcPr>
            <w:tcW w:w="7379" w:type="dxa"/>
            <w:tcBorders>
              <w:top w:val="single" w:color="auto" w:sz="4" w:space="0"/>
              <w:left w:val="single" w:color="auto" w:sz="4" w:space="0"/>
              <w:bottom w:val="single" w:color="auto" w:sz="4" w:space="0"/>
              <w:right w:val="single" w:color="auto" w:sz="4" w:space="0"/>
            </w:tcBorders>
            <w:noWrap w:val="0"/>
            <w:vAlign w:val="center"/>
          </w:tcPr>
          <w:p w14:paraId="4DC421B4">
            <w:pPr>
              <w:widowControl/>
              <w:jc w:val="left"/>
              <w:rPr>
                <w:rFonts w:hint="eastAsia" w:ascii="宋体" w:hAnsi="宋体" w:cs="宋体"/>
                <w:color w:val="000000"/>
                <w:kern w:val="0"/>
                <w:sz w:val="24"/>
              </w:rPr>
            </w:pPr>
            <w:r>
              <w:rPr>
                <w:rFonts w:hint="eastAsia" w:ascii="宋体" w:hAnsi="宋体" w:cs="宋体"/>
                <w:sz w:val="24"/>
              </w:rPr>
              <w:t>1.网络层吞吐量≥20G，并发连接数≥300万，新建连接数≥9万</w:t>
            </w:r>
          </w:p>
        </w:tc>
      </w:tr>
      <w:tr w14:paraId="524A5327">
        <w:tblPrEx>
          <w:tblCellMar>
            <w:top w:w="0" w:type="dxa"/>
            <w:left w:w="108" w:type="dxa"/>
            <w:bottom w:w="0" w:type="dxa"/>
            <w:right w:w="108" w:type="dxa"/>
          </w:tblCellMar>
        </w:tblPrEx>
        <w:trPr>
          <w:trHeight w:val="600" w:hRule="atLeast"/>
        </w:trPr>
        <w:tc>
          <w:tcPr>
            <w:tcW w:w="2187" w:type="dxa"/>
            <w:vMerge w:val="continue"/>
            <w:tcBorders>
              <w:top w:val="single" w:color="auto" w:sz="4" w:space="0"/>
              <w:left w:val="single" w:color="auto" w:sz="4" w:space="0"/>
              <w:bottom w:val="single" w:color="auto" w:sz="4" w:space="0"/>
              <w:right w:val="single" w:color="auto" w:sz="4" w:space="0"/>
            </w:tcBorders>
            <w:noWrap w:val="0"/>
            <w:vAlign w:val="center"/>
          </w:tcPr>
          <w:p w14:paraId="2C91DD36">
            <w:pPr>
              <w:widowControl/>
              <w:jc w:val="left"/>
              <w:rPr>
                <w:rFonts w:hint="eastAsia" w:ascii="宋体" w:hAnsi="宋体" w:cs="宋体"/>
                <w:color w:val="000000"/>
                <w:kern w:val="0"/>
                <w:sz w:val="24"/>
              </w:rPr>
            </w:pPr>
          </w:p>
        </w:tc>
        <w:tc>
          <w:tcPr>
            <w:tcW w:w="7379" w:type="dxa"/>
            <w:tcBorders>
              <w:top w:val="single" w:color="auto" w:sz="4" w:space="0"/>
              <w:left w:val="single" w:color="auto" w:sz="4" w:space="0"/>
              <w:bottom w:val="single" w:color="auto" w:sz="4" w:space="0"/>
              <w:right w:val="single" w:color="auto" w:sz="4" w:space="0"/>
            </w:tcBorders>
            <w:noWrap w:val="0"/>
            <w:vAlign w:val="center"/>
          </w:tcPr>
          <w:p w14:paraId="153007F4">
            <w:pPr>
              <w:widowControl/>
              <w:jc w:val="left"/>
              <w:rPr>
                <w:rFonts w:hint="eastAsia" w:ascii="宋体" w:hAnsi="宋体" w:cs="宋体"/>
                <w:color w:val="000000"/>
                <w:kern w:val="0"/>
                <w:sz w:val="24"/>
              </w:rPr>
            </w:pPr>
            <w:r>
              <w:rPr>
                <w:rFonts w:hint="eastAsia" w:ascii="宋体" w:hAnsi="宋体" w:cs="宋体"/>
                <w:kern w:val="0"/>
                <w:sz w:val="24"/>
              </w:rPr>
              <w:t>2.需支持不少于16000种漏洞规则，支持展示漏洞ID、名称、危险等级、漏洞CVE标识、漏洞描述等特征信息。</w:t>
            </w:r>
          </w:p>
        </w:tc>
      </w:tr>
      <w:tr w14:paraId="25E01A73">
        <w:tblPrEx>
          <w:tblCellMar>
            <w:top w:w="0" w:type="dxa"/>
            <w:left w:w="108" w:type="dxa"/>
            <w:bottom w:w="0" w:type="dxa"/>
            <w:right w:w="108" w:type="dxa"/>
          </w:tblCellMar>
        </w:tblPrEx>
        <w:trPr>
          <w:trHeight w:val="600" w:hRule="atLeast"/>
        </w:trPr>
        <w:tc>
          <w:tcPr>
            <w:tcW w:w="2187" w:type="dxa"/>
            <w:vMerge w:val="continue"/>
            <w:tcBorders>
              <w:top w:val="single" w:color="auto" w:sz="4" w:space="0"/>
              <w:left w:val="single" w:color="auto" w:sz="4" w:space="0"/>
              <w:bottom w:val="single" w:color="auto" w:sz="4" w:space="0"/>
              <w:right w:val="single" w:color="auto" w:sz="4" w:space="0"/>
            </w:tcBorders>
            <w:noWrap w:val="0"/>
            <w:vAlign w:val="center"/>
          </w:tcPr>
          <w:p w14:paraId="3877F129">
            <w:pPr>
              <w:widowControl/>
              <w:jc w:val="left"/>
              <w:rPr>
                <w:rFonts w:hint="eastAsia" w:ascii="宋体" w:hAnsi="宋体" w:cs="宋体"/>
                <w:color w:val="000000"/>
                <w:kern w:val="0"/>
                <w:sz w:val="24"/>
              </w:rPr>
            </w:pPr>
          </w:p>
        </w:tc>
        <w:tc>
          <w:tcPr>
            <w:tcW w:w="7379" w:type="dxa"/>
            <w:tcBorders>
              <w:top w:val="single" w:color="auto" w:sz="4" w:space="0"/>
              <w:left w:val="single" w:color="auto" w:sz="4" w:space="0"/>
              <w:bottom w:val="single" w:color="auto" w:sz="4" w:space="0"/>
              <w:right w:val="single" w:color="auto" w:sz="4" w:space="0"/>
            </w:tcBorders>
            <w:noWrap w:val="0"/>
            <w:vAlign w:val="top"/>
          </w:tcPr>
          <w:p w14:paraId="33DBDD51">
            <w:pPr>
              <w:widowControl/>
              <w:jc w:val="left"/>
              <w:rPr>
                <w:rFonts w:hint="eastAsia" w:ascii="宋体" w:hAnsi="宋体" w:cs="宋体"/>
                <w:color w:val="000000"/>
                <w:kern w:val="0"/>
                <w:sz w:val="24"/>
              </w:rPr>
            </w:pPr>
            <w:r>
              <w:rPr>
                <w:rFonts w:hint="eastAsia" w:ascii="宋体" w:hAnsi="宋体" w:cs="宋体"/>
                <w:kern w:val="0"/>
                <w:sz w:val="24"/>
              </w:rPr>
              <w:t>3.需支持分析安全策略是否冗余、当前策略匹配情况，当前策略是否遗漏风险端口等维度分析并支持针对分析结果提供优化建议。</w:t>
            </w:r>
          </w:p>
        </w:tc>
      </w:tr>
      <w:tr w14:paraId="6153C362">
        <w:tblPrEx>
          <w:tblCellMar>
            <w:top w:w="0" w:type="dxa"/>
            <w:left w:w="108" w:type="dxa"/>
            <w:bottom w:w="0" w:type="dxa"/>
            <w:right w:w="108" w:type="dxa"/>
          </w:tblCellMar>
        </w:tblPrEx>
        <w:trPr>
          <w:trHeight w:val="900" w:hRule="atLeast"/>
        </w:trPr>
        <w:tc>
          <w:tcPr>
            <w:tcW w:w="2187" w:type="dxa"/>
            <w:vMerge w:val="continue"/>
            <w:tcBorders>
              <w:top w:val="single" w:color="auto" w:sz="4" w:space="0"/>
              <w:left w:val="single" w:color="auto" w:sz="4" w:space="0"/>
              <w:bottom w:val="single" w:color="auto" w:sz="4" w:space="0"/>
              <w:right w:val="single" w:color="auto" w:sz="4" w:space="0"/>
            </w:tcBorders>
            <w:noWrap w:val="0"/>
            <w:vAlign w:val="center"/>
          </w:tcPr>
          <w:p w14:paraId="7AFE786B">
            <w:pPr>
              <w:widowControl/>
              <w:jc w:val="left"/>
              <w:rPr>
                <w:rFonts w:hint="eastAsia" w:ascii="宋体" w:hAnsi="宋体" w:cs="宋体"/>
                <w:color w:val="000000"/>
                <w:kern w:val="0"/>
                <w:sz w:val="24"/>
              </w:rPr>
            </w:pPr>
          </w:p>
        </w:tc>
        <w:tc>
          <w:tcPr>
            <w:tcW w:w="7379" w:type="dxa"/>
            <w:tcBorders>
              <w:top w:val="single" w:color="auto" w:sz="4" w:space="0"/>
              <w:left w:val="single" w:color="auto" w:sz="4" w:space="0"/>
              <w:bottom w:val="single" w:color="auto" w:sz="4" w:space="0"/>
              <w:right w:val="single" w:color="auto" w:sz="4" w:space="0"/>
            </w:tcBorders>
            <w:noWrap w:val="0"/>
            <w:vAlign w:val="top"/>
          </w:tcPr>
          <w:p w14:paraId="3AA025C9">
            <w:pPr>
              <w:widowControl/>
              <w:jc w:val="left"/>
              <w:rPr>
                <w:rFonts w:hint="eastAsia" w:ascii="宋体" w:hAnsi="宋体" w:cs="宋体"/>
                <w:color w:val="000000"/>
                <w:kern w:val="0"/>
                <w:sz w:val="24"/>
              </w:rPr>
            </w:pPr>
            <w:r>
              <w:rPr>
                <w:rFonts w:hint="eastAsia" w:ascii="宋体" w:hAnsi="宋体" w:cs="宋体"/>
                <w:bCs/>
                <w:kern w:val="0"/>
                <w:sz w:val="24"/>
              </w:rPr>
              <w:t>▲4.</w:t>
            </w:r>
            <w:r>
              <w:rPr>
                <w:rFonts w:hint="eastAsia" w:ascii="宋体" w:hAnsi="宋体" w:cs="宋体"/>
                <w:sz w:val="24"/>
              </w:rPr>
              <w:t>需</w:t>
            </w:r>
            <w:r>
              <w:rPr>
                <w:rFonts w:hint="eastAsia" w:ascii="宋体" w:hAnsi="宋体" w:cs="宋体"/>
                <w:kern w:val="0"/>
                <w:sz w:val="24"/>
              </w:rPr>
              <w:t>支持独立的勒索病毒防护模块，非普通防病毒功能，支持进行勒索风险自动化评估，并依据评估结果自动生成防护策略。（提供产品功能截图及关于“勒索病毒”的软件著作权证明功能有效性并加盖公章）</w:t>
            </w:r>
          </w:p>
        </w:tc>
      </w:tr>
      <w:tr w14:paraId="5D6E65AB">
        <w:tblPrEx>
          <w:tblCellMar>
            <w:top w:w="0" w:type="dxa"/>
            <w:left w:w="108" w:type="dxa"/>
            <w:bottom w:w="0" w:type="dxa"/>
            <w:right w:w="108" w:type="dxa"/>
          </w:tblCellMar>
        </w:tblPrEx>
        <w:trPr>
          <w:trHeight w:val="300" w:hRule="atLeast"/>
        </w:trPr>
        <w:tc>
          <w:tcPr>
            <w:tcW w:w="2187" w:type="dxa"/>
            <w:vMerge w:val="continue"/>
            <w:tcBorders>
              <w:top w:val="single" w:color="auto" w:sz="4" w:space="0"/>
              <w:left w:val="single" w:color="auto" w:sz="4" w:space="0"/>
              <w:bottom w:val="single" w:color="auto" w:sz="4" w:space="0"/>
              <w:right w:val="single" w:color="auto" w:sz="4" w:space="0"/>
            </w:tcBorders>
            <w:noWrap w:val="0"/>
            <w:vAlign w:val="center"/>
          </w:tcPr>
          <w:p w14:paraId="1B40FBC9">
            <w:pPr>
              <w:widowControl/>
              <w:jc w:val="left"/>
              <w:rPr>
                <w:rFonts w:hint="eastAsia" w:ascii="宋体" w:hAnsi="宋体" w:cs="宋体"/>
                <w:color w:val="000000"/>
                <w:kern w:val="0"/>
                <w:sz w:val="24"/>
              </w:rPr>
            </w:pPr>
          </w:p>
        </w:tc>
        <w:tc>
          <w:tcPr>
            <w:tcW w:w="7379" w:type="dxa"/>
            <w:tcBorders>
              <w:top w:val="single" w:color="auto" w:sz="4" w:space="0"/>
              <w:left w:val="single" w:color="auto" w:sz="4" w:space="0"/>
              <w:bottom w:val="single" w:color="auto" w:sz="4" w:space="0"/>
              <w:right w:val="single" w:color="auto" w:sz="4" w:space="0"/>
            </w:tcBorders>
            <w:noWrap w:val="0"/>
            <w:vAlign w:val="top"/>
          </w:tcPr>
          <w:p w14:paraId="47C3EE69">
            <w:pPr>
              <w:widowControl/>
              <w:jc w:val="left"/>
              <w:rPr>
                <w:rFonts w:hint="eastAsia" w:ascii="宋体" w:hAnsi="宋体" w:cs="宋体"/>
                <w:color w:val="000000"/>
                <w:kern w:val="0"/>
                <w:sz w:val="24"/>
              </w:rPr>
            </w:pPr>
            <w:r>
              <w:rPr>
                <w:rFonts w:hint="eastAsia" w:ascii="宋体" w:hAnsi="宋体" w:cs="宋体"/>
                <w:kern w:val="0"/>
                <w:sz w:val="24"/>
              </w:rPr>
              <w:t>5.需支持对ICMP、UDP、DNS、SYN等协议进行DDOS防护。</w:t>
            </w:r>
          </w:p>
        </w:tc>
      </w:tr>
      <w:tr w14:paraId="20CC443B">
        <w:tblPrEx>
          <w:tblCellMar>
            <w:top w:w="0" w:type="dxa"/>
            <w:left w:w="108" w:type="dxa"/>
            <w:bottom w:w="0" w:type="dxa"/>
            <w:right w:w="108" w:type="dxa"/>
          </w:tblCellMar>
        </w:tblPrEx>
        <w:trPr>
          <w:trHeight w:val="600" w:hRule="atLeast"/>
        </w:trPr>
        <w:tc>
          <w:tcPr>
            <w:tcW w:w="2187" w:type="dxa"/>
            <w:vMerge w:val="continue"/>
            <w:tcBorders>
              <w:top w:val="single" w:color="auto" w:sz="4" w:space="0"/>
              <w:left w:val="single" w:color="auto" w:sz="4" w:space="0"/>
              <w:bottom w:val="single" w:color="auto" w:sz="4" w:space="0"/>
              <w:right w:val="single" w:color="auto" w:sz="4" w:space="0"/>
            </w:tcBorders>
            <w:noWrap w:val="0"/>
            <w:vAlign w:val="center"/>
          </w:tcPr>
          <w:p w14:paraId="0F4CBE5E">
            <w:pPr>
              <w:widowControl/>
              <w:jc w:val="left"/>
              <w:rPr>
                <w:rFonts w:hint="eastAsia" w:ascii="宋体" w:hAnsi="宋体" w:cs="宋体"/>
                <w:color w:val="000000"/>
                <w:kern w:val="0"/>
                <w:sz w:val="24"/>
              </w:rPr>
            </w:pPr>
          </w:p>
        </w:tc>
        <w:tc>
          <w:tcPr>
            <w:tcW w:w="7379" w:type="dxa"/>
            <w:tcBorders>
              <w:top w:val="single" w:color="auto" w:sz="4" w:space="0"/>
              <w:left w:val="single" w:color="auto" w:sz="4" w:space="0"/>
              <w:bottom w:val="single" w:color="auto" w:sz="4" w:space="0"/>
              <w:right w:val="single" w:color="auto" w:sz="4" w:space="0"/>
            </w:tcBorders>
            <w:noWrap w:val="0"/>
            <w:vAlign w:val="top"/>
          </w:tcPr>
          <w:p w14:paraId="654D0544">
            <w:pPr>
              <w:widowControl/>
              <w:jc w:val="left"/>
              <w:rPr>
                <w:rFonts w:hint="eastAsia" w:ascii="宋体" w:hAnsi="宋体" w:cs="宋体"/>
                <w:color w:val="000000"/>
                <w:kern w:val="0"/>
                <w:sz w:val="24"/>
              </w:rPr>
            </w:pPr>
            <w:r>
              <w:rPr>
                <w:rFonts w:hint="eastAsia" w:ascii="宋体" w:hAnsi="宋体" w:cs="宋体"/>
                <w:sz w:val="24"/>
              </w:rPr>
              <w:t>6.需</w:t>
            </w:r>
            <w:r>
              <w:rPr>
                <w:rFonts w:hint="eastAsia" w:ascii="宋体" w:hAnsi="宋体" w:cs="宋体"/>
                <w:kern w:val="0"/>
                <w:sz w:val="24"/>
              </w:rPr>
              <w:t>支持服务器漏洞专项防扫描功能，针对扫描设备的IP地址能够及时发现并阻断。</w:t>
            </w:r>
          </w:p>
        </w:tc>
      </w:tr>
      <w:tr w14:paraId="38D7DEA2">
        <w:tblPrEx>
          <w:tblCellMar>
            <w:top w:w="0" w:type="dxa"/>
            <w:left w:w="108" w:type="dxa"/>
            <w:bottom w:w="0" w:type="dxa"/>
            <w:right w:w="108" w:type="dxa"/>
          </w:tblCellMar>
        </w:tblPrEx>
        <w:trPr>
          <w:trHeight w:val="900" w:hRule="atLeast"/>
        </w:trPr>
        <w:tc>
          <w:tcPr>
            <w:tcW w:w="2187" w:type="dxa"/>
            <w:vMerge w:val="continue"/>
            <w:tcBorders>
              <w:top w:val="single" w:color="auto" w:sz="4" w:space="0"/>
              <w:left w:val="single" w:color="auto" w:sz="4" w:space="0"/>
              <w:bottom w:val="single" w:color="auto" w:sz="4" w:space="0"/>
              <w:right w:val="single" w:color="auto" w:sz="4" w:space="0"/>
            </w:tcBorders>
            <w:noWrap w:val="0"/>
            <w:vAlign w:val="center"/>
          </w:tcPr>
          <w:p w14:paraId="3593D159">
            <w:pPr>
              <w:widowControl/>
              <w:jc w:val="left"/>
              <w:rPr>
                <w:rFonts w:hint="eastAsia" w:ascii="宋体" w:hAnsi="宋体" w:cs="宋体"/>
                <w:color w:val="000000"/>
                <w:kern w:val="0"/>
                <w:sz w:val="24"/>
              </w:rPr>
            </w:pPr>
          </w:p>
        </w:tc>
        <w:tc>
          <w:tcPr>
            <w:tcW w:w="7379" w:type="dxa"/>
            <w:tcBorders>
              <w:top w:val="single" w:color="auto" w:sz="4" w:space="0"/>
              <w:left w:val="single" w:color="auto" w:sz="4" w:space="0"/>
              <w:bottom w:val="single" w:color="auto" w:sz="4" w:space="0"/>
              <w:right w:val="single" w:color="auto" w:sz="4" w:space="0"/>
            </w:tcBorders>
            <w:noWrap w:val="0"/>
            <w:vAlign w:val="center"/>
          </w:tcPr>
          <w:p w14:paraId="14894F94">
            <w:pPr>
              <w:widowControl/>
              <w:jc w:val="left"/>
              <w:rPr>
                <w:rFonts w:hint="eastAsia" w:ascii="宋体" w:hAnsi="宋体" w:cs="宋体"/>
                <w:color w:val="000000"/>
                <w:kern w:val="0"/>
                <w:sz w:val="24"/>
              </w:rPr>
            </w:pPr>
            <w:r>
              <w:rPr>
                <w:rFonts w:hint="eastAsia" w:ascii="宋体" w:hAnsi="宋体" w:cs="宋体"/>
                <w:kern w:val="0"/>
                <w:sz w:val="24"/>
              </w:rPr>
              <w:t>7.需支持策略生命周期管理功能，支持对安全策略修改的时间、原因、变更类型进行统一管理，便于策略的运维与管理。</w:t>
            </w:r>
          </w:p>
        </w:tc>
      </w:tr>
      <w:tr w14:paraId="4D3B2B92">
        <w:tblPrEx>
          <w:tblCellMar>
            <w:top w:w="0" w:type="dxa"/>
            <w:left w:w="108" w:type="dxa"/>
            <w:bottom w:w="0" w:type="dxa"/>
            <w:right w:w="108" w:type="dxa"/>
          </w:tblCellMar>
        </w:tblPrEx>
        <w:trPr>
          <w:trHeight w:val="300" w:hRule="atLeast"/>
        </w:trPr>
        <w:tc>
          <w:tcPr>
            <w:tcW w:w="2187" w:type="dxa"/>
            <w:vMerge w:val="continue"/>
            <w:tcBorders>
              <w:top w:val="single" w:color="auto" w:sz="4" w:space="0"/>
              <w:left w:val="single" w:color="auto" w:sz="4" w:space="0"/>
              <w:bottom w:val="single" w:color="auto" w:sz="4" w:space="0"/>
              <w:right w:val="single" w:color="auto" w:sz="4" w:space="0"/>
            </w:tcBorders>
            <w:noWrap w:val="0"/>
            <w:vAlign w:val="center"/>
          </w:tcPr>
          <w:p w14:paraId="0E9D2CC7">
            <w:pPr>
              <w:widowControl/>
              <w:jc w:val="left"/>
              <w:rPr>
                <w:rFonts w:hint="eastAsia" w:ascii="宋体" w:hAnsi="宋体" w:cs="宋体"/>
                <w:color w:val="000000"/>
                <w:kern w:val="0"/>
                <w:sz w:val="24"/>
              </w:rPr>
            </w:pPr>
          </w:p>
        </w:tc>
        <w:tc>
          <w:tcPr>
            <w:tcW w:w="7379" w:type="dxa"/>
            <w:tcBorders>
              <w:top w:val="single" w:color="auto" w:sz="4" w:space="0"/>
              <w:left w:val="single" w:color="auto" w:sz="4" w:space="0"/>
              <w:bottom w:val="single" w:color="auto" w:sz="4" w:space="0"/>
              <w:right w:val="single" w:color="auto" w:sz="4" w:space="0"/>
            </w:tcBorders>
            <w:noWrap w:val="0"/>
            <w:vAlign w:val="top"/>
          </w:tcPr>
          <w:p w14:paraId="21D180A6">
            <w:pPr>
              <w:widowControl/>
              <w:jc w:val="left"/>
              <w:rPr>
                <w:rFonts w:hint="eastAsia" w:ascii="宋体" w:hAnsi="宋体" w:cs="宋体"/>
                <w:color w:val="000000"/>
                <w:kern w:val="0"/>
                <w:sz w:val="24"/>
              </w:rPr>
            </w:pPr>
            <w:r>
              <w:rPr>
                <w:rFonts w:hint="eastAsia" w:ascii="宋体" w:hAnsi="宋体" w:cs="宋体"/>
                <w:kern w:val="0"/>
                <w:sz w:val="24"/>
              </w:rPr>
              <w:t>8.需具备URL分类库，支持管控非法、违规网站的访问行为。</w:t>
            </w:r>
          </w:p>
        </w:tc>
      </w:tr>
      <w:tr w14:paraId="03062814">
        <w:tblPrEx>
          <w:tblCellMar>
            <w:top w:w="0" w:type="dxa"/>
            <w:left w:w="108" w:type="dxa"/>
            <w:bottom w:w="0" w:type="dxa"/>
            <w:right w:w="108" w:type="dxa"/>
          </w:tblCellMar>
        </w:tblPrEx>
        <w:trPr>
          <w:trHeight w:val="600" w:hRule="atLeast"/>
        </w:trPr>
        <w:tc>
          <w:tcPr>
            <w:tcW w:w="2187" w:type="dxa"/>
            <w:vMerge w:val="continue"/>
            <w:tcBorders>
              <w:top w:val="single" w:color="auto" w:sz="4" w:space="0"/>
              <w:left w:val="single" w:color="auto" w:sz="4" w:space="0"/>
              <w:bottom w:val="single" w:color="auto" w:sz="4" w:space="0"/>
              <w:right w:val="single" w:color="auto" w:sz="4" w:space="0"/>
            </w:tcBorders>
            <w:noWrap w:val="0"/>
            <w:vAlign w:val="center"/>
          </w:tcPr>
          <w:p w14:paraId="59A52CC0">
            <w:pPr>
              <w:widowControl/>
              <w:jc w:val="left"/>
              <w:rPr>
                <w:rFonts w:hint="eastAsia" w:ascii="宋体" w:hAnsi="宋体" w:cs="宋体"/>
                <w:color w:val="000000"/>
                <w:kern w:val="0"/>
                <w:sz w:val="24"/>
              </w:rPr>
            </w:pPr>
          </w:p>
        </w:tc>
        <w:tc>
          <w:tcPr>
            <w:tcW w:w="7379" w:type="dxa"/>
            <w:tcBorders>
              <w:top w:val="single" w:color="auto" w:sz="4" w:space="0"/>
              <w:left w:val="single" w:color="auto" w:sz="4" w:space="0"/>
              <w:bottom w:val="single" w:color="auto" w:sz="4" w:space="0"/>
              <w:right w:val="single" w:color="auto" w:sz="4" w:space="0"/>
            </w:tcBorders>
            <w:noWrap w:val="0"/>
            <w:vAlign w:val="top"/>
          </w:tcPr>
          <w:p w14:paraId="049D1CA3">
            <w:pPr>
              <w:widowControl/>
              <w:jc w:val="left"/>
              <w:rPr>
                <w:rFonts w:hint="eastAsia" w:ascii="宋体" w:hAnsi="宋体" w:cs="宋体"/>
                <w:color w:val="000000"/>
                <w:kern w:val="0"/>
                <w:sz w:val="24"/>
              </w:rPr>
            </w:pPr>
            <w:r>
              <w:rPr>
                <w:rFonts w:hint="eastAsia" w:ascii="宋体" w:hAnsi="宋体" w:cs="宋体"/>
                <w:kern w:val="0"/>
                <w:sz w:val="24"/>
              </w:rPr>
              <w:t>9.需支持对Teardrop攻击、Smurf攻击、Land攻击等异常数据包的检测和防御。</w:t>
            </w:r>
          </w:p>
        </w:tc>
      </w:tr>
      <w:tr w14:paraId="7E04A9A3">
        <w:tblPrEx>
          <w:tblCellMar>
            <w:top w:w="0" w:type="dxa"/>
            <w:left w:w="108" w:type="dxa"/>
            <w:bottom w:w="0" w:type="dxa"/>
            <w:right w:w="108" w:type="dxa"/>
          </w:tblCellMar>
        </w:tblPrEx>
        <w:trPr>
          <w:trHeight w:val="1200" w:hRule="atLeast"/>
        </w:trPr>
        <w:tc>
          <w:tcPr>
            <w:tcW w:w="2187" w:type="dxa"/>
            <w:vMerge w:val="continue"/>
            <w:tcBorders>
              <w:top w:val="single" w:color="auto" w:sz="4" w:space="0"/>
              <w:left w:val="single" w:color="auto" w:sz="4" w:space="0"/>
              <w:bottom w:val="single" w:color="auto" w:sz="4" w:space="0"/>
              <w:right w:val="single" w:color="auto" w:sz="4" w:space="0"/>
            </w:tcBorders>
            <w:noWrap w:val="0"/>
            <w:vAlign w:val="center"/>
          </w:tcPr>
          <w:p w14:paraId="7641C240">
            <w:pPr>
              <w:widowControl/>
              <w:jc w:val="left"/>
              <w:rPr>
                <w:rFonts w:hint="eastAsia" w:ascii="宋体" w:hAnsi="宋体" w:cs="宋体"/>
                <w:color w:val="000000"/>
                <w:kern w:val="0"/>
                <w:sz w:val="24"/>
              </w:rPr>
            </w:pPr>
          </w:p>
        </w:tc>
        <w:tc>
          <w:tcPr>
            <w:tcW w:w="7379" w:type="dxa"/>
            <w:tcBorders>
              <w:top w:val="single" w:color="auto" w:sz="4" w:space="0"/>
              <w:left w:val="single" w:color="auto" w:sz="4" w:space="0"/>
              <w:bottom w:val="single" w:color="auto" w:sz="4" w:space="0"/>
              <w:right w:val="single" w:color="auto" w:sz="4" w:space="0"/>
            </w:tcBorders>
            <w:noWrap w:val="0"/>
            <w:vAlign w:val="top"/>
          </w:tcPr>
          <w:p w14:paraId="00C69AC4">
            <w:pPr>
              <w:widowControl/>
              <w:jc w:val="left"/>
              <w:rPr>
                <w:rFonts w:hint="eastAsia" w:ascii="宋体" w:hAnsi="宋体" w:cs="宋体"/>
                <w:color w:val="000000"/>
                <w:kern w:val="0"/>
                <w:sz w:val="24"/>
              </w:rPr>
            </w:pPr>
            <w:r>
              <w:rPr>
                <w:rFonts w:hint="eastAsia" w:ascii="宋体" w:hAnsi="宋体" w:cs="宋体"/>
                <w:bCs/>
                <w:kern w:val="0"/>
                <w:sz w:val="24"/>
              </w:rPr>
              <w:t>10.</w:t>
            </w:r>
            <w:r>
              <w:rPr>
                <w:rFonts w:hint="eastAsia" w:ascii="宋体" w:hAnsi="宋体" w:cs="宋体"/>
                <w:kern w:val="0"/>
                <w:sz w:val="24"/>
              </w:rPr>
              <w:t>需支持超过4580种WEB应用攻击特征，支持对跨站脚本（XSS）攻击、SQL注入、文件包含攻击、信息泄露攻击、WEBSHELL、网站扫描、网页木马等攻击类型进行防护。（提供产品功能截图及具备CMA/CNAS标识的第三方检测报告并加盖公章）</w:t>
            </w:r>
          </w:p>
        </w:tc>
      </w:tr>
      <w:tr w14:paraId="7793A974">
        <w:tblPrEx>
          <w:tblCellMar>
            <w:top w:w="0" w:type="dxa"/>
            <w:left w:w="108" w:type="dxa"/>
            <w:bottom w:w="0" w:type="dxa"/>
            <w:right w:w="108" w:type="dxa"/>
          </w:tblCellMar>
        </w:tblPrEx>
        <w:trPr>
          <w:trHeight w:val="900" w:hRule="atLeast"/>
        </w:trPr>
        <w:tc>
          <w:tcPr>
            <w:tcW w:w="2187" w:type="dxa"/>
            <w:vMerge w:val="continue"/>
            <w:tcBorders>
              <w:top w:val="single" w:color="auto" w:sz="4" w:space="0"/>
              <w:left w:val="single" w:color="auto" w:sz="4" w:space="0"/>
              <w:bottom w:val="single" w:color="auto" w:sz="4" w:space="0"/>
              <w:right w:val="single" w:color="auto" w:sz="4" w:space="0"/>
            </w:tcBorders>
            <w:noWrap w:val="0"/>
            <w:vAlign w:val="center"/>
          </w:tcPr>
          <w:p w14:paraId="14A83385">
            <w:pPr>
              <w:widowControl/>
              <w:jc w:val="left"/>
              <w:rPr>
                <w:rFonts w:hint="eastAsia" w:ascii="宋体" w:hAnsi="宋体" w:cs="宋体"/>
                <w:color w:val="000000"/>
                <w:kern w:val="0"/>
                <w:sz w:val="24"/>
              </w:rPr>
            </w:pPr>
          </w:p>
        </w:tc>
        <w:tc>
          <w:tcPr>
            <w:tcW w:w="7379" w:type="dxa"/>
            <w:tcBorders>
              <w:top w:val="single" w:color="auto" w:sz="4" w:space="0"/>
              <w:left w:val="single" w:color="auto" w:sz="4" w:space="0"/>
              <w:bottom w:val="single" w:color="auto" w:sz="4" w:space="0"/>
              <w:right w:val="single" w:color="auto" w:sz="4" w:space="0"/>
            </w:tcBorders>
            <w:noWrap w:val="0"/>
            <w:vAlign w:val="center"/>
          </w:tcPr>
          <w:p w14:paraId="2E42687E">
            <w:pPr>
              <w:widowControl/>
              <w:jc w:val="left"/>
              <w:rPr>
                <w:rFonts w:hint="eastAsia" w:ascii="宋体" w:hAnsi="宋体" w:cs="宋体"/>
                <w:color w:val="000000"/>
                <w:kern w:val="0"/>
                <w:sz w:val="24"/>
              </w:rPr>
            </w:pPr>
            <w:r>
              <w:rPr>
                <w:rFonts w:hint="eastAsia" w:ascii="宋体" w:hAnsi="宋体" w:cs="宋体"/>
                <w:kern w:val="0"/>
                <w:sz w:val="24"/>
              </w:rPr>
              <w:t>11.需支持被动监测和主动扫描两种资产识别方式，可梳理离线资产、高危端口开放、冗余端口等安全风险；同时通过可视化的拓扑关系图，直观地展示资产和资产之间的访问关系、访问细节协议端口等信息。</w:t>
            </w:r>
          </w:p>
        </w:tc>
      </w:tr>
      <w:tr w14:paraId="323750C1">
        <w:tblPrEx>
          <w:tblCellMar>
            <w:top w:w="0" w:type="dxa"/>
            <w:left w:w="108" w:type="dxa"/>
            <w:bottom w:w="0" w:type="dxa"/>
            <w:right w:w="108" w:type="dxa"/>
          </w:tblCellMar>
        </w:tblPrEx>
        <w:trPr>
          <w:trHeight w:val="900" w:hRule="atLeast"/>
        </w:trPr>
        <w:tc>
          <w:tcPr>
            <w:tcW w:w="2187" w:type="dxa"/>
            <w:vMerge w:val="continue"/>
            <w:tcBorders>
              <w:top w:val="single" w:color="auto" w:sz="4" w:space="0"/>
              <w:left w:val="single" w:color="auto" w:sz="4" w:space="0"/>
              <w:bottom w:val="single" w:color="auto" w:sz="4" w:space="0"/>
              <w:right w:val="single" w:color="auto" w:sz="4" w:space="0"/>
            </w:tcBorders>
            <w:noWrap w:val="0"/>
            <w:vAlign w:val="center"/>
          </w:tcPr>
          <w:p w14:paraId="5763297F">
            <w:pPr>
              <w:widowControl/>
              <w:jc w:val="left"/>
              <w:rPr>
                <w:rFonts w:hint="eastAsia" w:ascii="宋体" w:hAnsi="宋体" w:cs="宋体"/>
                <w:color w:val="000000"/>
                <w:kern w:val="0"/>
                <w:sz w:val="24"/>
              </w:rPr>
            </w:pPr>
          </w:p>
        </w:tc>
        <w:tc>
          <w:tcPr>
            <w:tcW w:w="7379" w:type="dxa"/>
            <w:tcBorders>
              <w:top w:val="single" w:color="auto" w:sz="4" w:space="0"/>
              <w:left w:val="single" w:color="auto" w:sz="4" w:space="0"/>
              <w:bottom w:val="single" w:color="auto" w:sz="4" w:space="0"/>
              <w:right w:val="single" w:color="auto" w:sz="4" w:space="0"/>
            </w:tcBorders>
            <w:noWrap w:val="0"/>
            <w:vAlign w:val="top"/>
          </w:tcPr>
          <w:p w14:paraId="403E6DFC">
            <w:pPr>
              <w:widowControl/>
              <w:jc w:val="left"/>
              <w:rPr>
                <w:rFonts w:hint="eastAsia" w:ascii="宋体" w:hAnsi="宋体" w:cs="宋体"/>
                <w:color w:val="000000"/>
                <w:kern w:val="0"/>
                <w:sz w:val="24"/>
              </w:rPr>
            </w:pPr>
            <w:r>
              <w:rPr>
                <w:rFonts w:hint="eastAsia" w:ascii="宋体" w:hAnsi="宋体" w:cs="宋体"/>
                <w:sz w:val="24"/>
              </w:rPr>
              <w:t>12.需</w:t>
            </w:r>
            <w:r>
              <w:rPr>
                <w:rFonts w:hint="eastAsia" w:ascii="宋体" w:hAnsi="宋体" w:cs="宋体"/>
                <w:kern w:val="0"/>
                <w:sz w:val="24"/>
              </w:rPr>
              <w:t>支持IPSec VPN智能选路功能，根据线路质量和应用实现自动链路切换选路模式支持智能负载选路、按指定顺序选路、优先使用质量最优的线路、按剩余带宽比例负载。</w:t>
            </w:r>
          </w:p>
        </w:tc>
      </w:tr>
      <w:tr w14:paraId="5F64C312">
        <w:tblPrEx>
          <w:tblCellMar>
            <w:top w:w="0" w:type="dxa"/>
            <w:left w:w="108" w:type="dxa"/>
            <w:bottom w:w="0" w:type="dxa"/>
            <w:right w:w="108" w:type="dxa"/>
          </w:tblCellMar>
        </w:tblPrEx>
        <w:trPr>
          <w:trHeight w:val="600" w:hRule="atLeast"/>
        </w:trPr>
        <w:tc>
          <w:tcPr>
            <w:tcW w:w="2187" w:type="dxa"/>
            <w:vMerge w:val="continue"/>
            <w:tcBorders>
              <w:top w:val="single" w:color="auto" w:sz="4" w:space="0"/>
              <w:left w:val="single" w:color="auto" w:sz="4" w:space="0"/>
              <w:bottom w:val="single" w:color="auto" w:sz="4" w:space="0"/>
              <w:right w:val="single" w:color="auto" w:sz="4" w:space="0"/>
            </w:tcBorders>
            <w:noWrap w:val="0"/>
            <w:vAlign w:val="center"/>
          </w:tcPr>
          <w:p w14:paraId="00374FD8">
            <w:pPr>
              <w:widowControl/>
              <w:jc w:val="left"/>
              <w:rPr>
                <w:rFonts w:hint="eastAsia" w:ascii="宋体" w:hAnsi="宋体" w:cs="宋体"/>
                <w:color w:val="000000"/>
                <w:kern w:val="0"/>
                <w:sz w:val="24"/>
              </w:rPr>
            </w:pPr>
          </w:p>
        </w:tc>
        <w:tc>
          <w:tcPr>
            <w:tcW w:w="7379" w:type="dxa"/>
            <w:tcBorders>
              <w:top w:val="single" w:color="auto" w:sz="4" w:space="0"/>
              <w:left w:val="single" w:color="auto" w:sz="4" w:space="0"/>
              <w:bottom w:val="single" w:color="auto" w:sz="4" w:space="0"/>
              <w:right w:val="single" w:color="auto" w:sz="4" w:space="0"/>
            </w:tcBorders>
            <w:noWrap w:val="0"/>
            <w:vAlign w:val="center"/>
          </w:tcPr>
          <w:p w14:paraId="550FAF52">
            <w:pPr>
              <w:widowControl/>
              <w:jc w:val="left"/>
              <w:rPr>
                <w:rFonts w:hint="eastAsia" w:ascii="宋体" w:hAnsi="宋体" w:cs="宋体"/>
                <w:color w:val="000000"/>
                <w:kern w:val="0"/>
                <w:sz w:val="24"/>
              </w:rPr>
            </w:pPr>
            <w:r>
              <w:rPr>
                <w:rFonts w:hint="eastAsia" w:ascii="宋体" w:hAnsi="宋体" w:cs="宋体"/>
                <w:kern w:val="0"/>
                <w:sz w:val="24"/>
              </w:rPr>
              <w:t>13.需支持多维度流量控制功能，支持基于IP地址、用户、应用、时间设置流量控制策略，保证关键业务带宽日常需求。</w:t>
            </w:r>
          </w:p>
        </w:tc>
      </w:tr>
      <w:tr w14:paraId="768A3E2E">
        <w:tblPrEx>
          <w:tblCellMar>
            <w:top w:w="0" w:type="dxa"/>
            <w:left w:w="108" w:type="dxa"/>
            <w:bottom w:w="0" w:type="dxa"/>
            <w:right w:w="108" w:type="dxa"/>
          </w:tblCellMar>
        </w:tblPrEx>
        <w:trPr>
          <w:trHeight w:val="600" w:hRule="atLeast"/>
        </w:trPr>
        <w:tc>
          <w:tcPr>
            <w:tcW w:w="2187" w:type="dxa"/>
            <w:vMerge w:val="continue"/>
            <w:tcBorders>
              <w:top w:val="single" w:color="auto" w:sz="4" w:space="0"/>
              <w:left w:val="single" w:color="auto" w:sz="4" w:space="0"/>
              <w:bottom w:val="single" w:color="auto" w:sz="4" w:space="0"/>
              <w:right w:val="single" w:color="auto" w:sz="4" w:space="0"/>
            </w:tcBorders>
            <w:noWrap w:val="0"/>
            <w:vAlign w:val="center"/>
          </w:tcPr>
          <w:p w14:paraId="553B89A9">
            <w:pPr>
              <w:widowControl/>
              <w:jc w:val="left"/>
              <w:rPr>
                <w:rFonts w:hint="eastAsia" w:ascii="宋体" w:hAnsi="宋体" w:cs="宋体"/>
                <w:color w:val="000000"/>
                <w:kern w:val="0"/>
                <w:sz w:val="24"/>
              </w:rPr>
            </w:pPr>
          </w:p>
        </w:tc>
        <w:tc>
          <w:tcPr>
            <w:tcW w:w="7379" w:type="dxa"/>
            <w:tcBorders>
              <w:top w:val="single" w:color="auto" w:sz="4" w:space="0"/>
              <w:left w:val="single" w:color="auto" w:sz="4" w:space="0"/>
              <w:bottom w:val="single" w:color="auto" w:sz="4" w:space="0"/>
              <w:right w:val="single" w:color="auto" w:sz="4" w:space="0"/>
            </w:tcBorders>
            <w:noWrap w:val="0"/>
            <w:vAlign w:val="top"/>
          </w:tcPr>
          <w:p w14:paraId="3B8A8AD8">
            <w:pPr>
              <w:widowControl/>
              <w:jc w:val="left"/>
              <w:rPr>
                <w:rFonts w:hint="eastAsia" w:ascii="宋体" w:hAnsi="宋体" w:cs="宋体"/>
                <w:color w:val="000000"/>
                <w:kern w:val="0"/>
                <w:sz w:val="24"/>
              </w:rPr>
            </w:pPr>
            <w:r>
              <w:rPr>
                <w:rFonts w:hint="eastAsia" w:ascii="宋体" w:hAnsi="宋体" w:cs="宋体"/>
                <w:sz w:val="24"/>
              </w:rPr>
              <w:t>14.需</w:t>
            </w:r>
            <w:r>
              <w:rPr>
                <w:rFonts w:hint="eastAsia" w:ascii="宋体" w:hAnsi="宋体" w:cs="宋体"/>
                <w:kern w:val="0"/>
                <w:sz w:val="24"/>
              </w:rPr>
              <w:t>支持对压缩病毒文件进行检测和拦截，压缩层数支持15层及以上。</w:t>
            </w:r>
          </w:p>
        </w:tc>
      </w:tr>
      <w:tr w14:paraId="0A99977F">
        <w:tblPrEx>
          <w:tblCellMar>
            <w:top w:w="0" w:type="dxa"/>
            <w:left w:w="108" w:type="dxa"/>
            <w:bottom w:w="0" w:type="dxa"/>
            <w:right w:w="108" w:type="dxa"/>
          </w:tblCellMar>
        </w:tblPrEx>
        <w:trPr>
          <w:trHeight w:val="600" w:hRule="atLeast"/>
        </w:trPr>
        <w:tc>
          <w:tcPr>
            <w:tcW w:w="2187" w:type="dxa"/>
            <w:vMerge w:val="continue"/>
            <w:tcBorders>
              <w:top w:val="single" w:color="auto" w:sz="4" w:space="0"/>
              <w:left w:val="single" w:color="auto" w:sz="4" w:space="0"/>
              <w:bottom w:val="single" w:color="auto" w:sz="4" w:space="0"/>
              <w:right w:val="single" w:color="auto" w:sz="4" w:space="0"/>
            </w:tcBorders>
            <w:noWrap w:val="0"/>
            <w:vAlign w:val="center"/>
          </w:tcPr>
          <w:p w14:paraId="112295ED">
            <w:pPr>
              <w:widowControl/>
              <w:jc w:val="left"/>
              <w:rPr>
                <w:rFonts w:hint="eastAsia" w:ascii="宋体" w:hAnsi="宋体" w:cs="宋体"/>
                <w:color w:val="000000"/>
                <w:kern w:val="0"/>
                <w:sz w:val="24"/>
              </w:rPr>
            </w:pPr>
          </w:p>
        </w:tc>
        <w:tc>
          <w:tcPr>
            <w:tcW w:w="7379" w:type="dxa"/>
            <w:tcBorders>
              <w:top w:val="single" w:color="auto" w:sz="4" w:space="0"/>
              <w:left w:val="single" w:color="auto" w:sz="4" w:space="0"/>
              <w:bottom w:val="single" w:color="auto" w:sz="4" w:space="0"/>
              <w:right w:val="single" w:color="auto" w:sz="4" w:space="0"/>
            </w:tcBorders>
            <w:noWrap w:val="0"/>
            <w:vAlign w:val="center"/>
          </w:tcPr>
          <w:p w14:paraId="6F63C162">
            <w:pPr>
              <w:widowControl/>
              <w:jc w:val="left"/>
              <w:rPr>
                <w:rFonts w:hint="eastAsia" w:ascii="宋体" w:hAnsi="宋体" w:cs="宋体"/>
                <w:color w:val="000000"/>
                <w:kern w:val="0"/>
                <w:sz w:val="24"/>
              </w:rPr>
            </w:pPr>
            <w:r>
              <w:rPr>
                <w:rFonts w:hint="eastAsia" w:ascii="宋体" w:hAnsi="宋体" w:cs="宋体"/>
                <w:bCs/>
                <w:kern w:val="0"/>
                <w:sz w:val="24"/>
              </w:rPr>
              <w:t>▲15.</w:t>
            </w:r>
            <w:r>
              <w:rPr>
                <w:rFonts w:hint="eastAsia" w:ascii="宋体" w:hAnsi="宋体" w:cs="宋体"/>
                <w:sz w:val="24"/>
              </w:rPr>
              <w:t>为保障工具的可靠性和生产商的技术开发能力，要求服务工具厂商提供《CCRC 信息安全服务-软件开发服务资质》一级证书。（提供有效证书扫描件并加盖公章）</w:t>
            </w:r>
          </w:p>
        </w:tc>
      </w:tr>
    </w:tbl>
    <w:p w14:paraId="3136A454">
      <w:pPr>
        <w:keepNext/>
        <w:keepLines/>
        <w:spacing w:before="160" w:after="80"/>
        <w:outlineLvl w:val="3"/>
        <w:rPr>
          <w:rFonts w:hint="eastAsia" w:ascii="宋体" w:hAnsi="宋体" w:cs="宋体"/>
          <w:b/>
          <w:bCs/>
          <w:sz w:val="24"/>
        </w:rPr>
      </w:pPr>
      <w:r>
        <w:rPr>
          <w:rFonts w:hint="eastAsia" w:ascii="宋体" w:hAnsi="宋体" w:cs="宋体"/>
          <w:b/>
          <w:bCs/>
          <w:sz w:val="24"/>
        </w:rPr>
        <w:t>4.3.2 端点安全服务</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4"/>
        <w:gridCol w:w="7688"/>
      </w:tblGrid>
      <w:tr w14:paraId="60BAA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noWrap w:val="0"/>
            <w:vAlign w:val="center"/>
          </w:tcPr>
          <w:p w14:paraId="1A4911CA">
            <w:pPr>
              <w:widowControl/>
              <w:jc w:val="center"/>
              <w:rPr>
                <w:rFonts w:hint="eastAsia" w:ascii="宋体" w:hAnsi="宋体" w:cs="宋体"/>
                <w:b/>
                <w:bCs/>
                <w:kern w:val="0"/>
                <w:sz w:val="24"/>
              </w:rPr>
            </w:pPr>
            <w:r>
              <w:rPr>
                <w:rFonts w:hint="eastAsia" w:ascii="宋体" w:hAnsi="宋体" w:cs="宋体"/>
                <w:b/>
                <w:bCs/>
                <w:kern w:val="0"/>
                <w:sz w:val="24"/>
              </w:rPr>
              <w:t>服务名称</w:t>
            </w:r>
          </w:p>
        </w:tc>
        <w:tc>
          <w:tcPr>
            <w:tcW w:w="7688" w:type="dxa"/>
            <w:noWrap w:val="0"/>
            <w:vAlign w:val="top"/>
          </w:tcPr>
          <w:p w14:paraId="2EC2D8C2">
            <w:pPr>
              <w:jc w:val="center"/>
              <w:rPr>
                <w:rFonts w:hint="eastAsia" w:ascii="宋体" w:hAnsi="宋体" w:cs="宋体"/>
                <w:b/>
                <w:bCs/>
                <w:color w:val="000000"/>
                <w:sz w:val="24"/>
              </w:rPr>
            </w:pPr>
            <w:r>
              <w:rPr>
                <w:rFonts w:hint="eastAsia" w:ascii="宋体" w:hAnsi="宋体" w:cs="宋体"/>
                <w:b/>
                <w:bCs/>
                <w:color w:val="000000"/>
                <w:sz w:val="24"/>
              </w:rPr>
              <w:t>服务指标要求</w:t>
            </w:r>
          </w:p>
        </w:tc>
      </w:tr>
      <w:tr w14:paraId="50C6B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restart"/>
            <w:noWrap w:val="0"/>
            <w:vAlign w:val="center"/>
          </w:tcPr>
          <w:p w14:paraId="33EC82EC">
            <w:pPr>
              <w:widowControl/>
              <w:jc w:val="center"/>
              <w:rPr>
                <w:rFonts w:hint="eastAsia" w:ascii="宋体" w:hAnsi="宋体" w:cs="宋体"/>
                <w:kern w:val="0"/>
                <w:sz w:val="24"/>
              </w:rPr>
            </w:pPr>
            <w:r>
              <w:rPr>
                <w:rFonts w:hint="eastAsia" w:ascii="宋体" w:hAnsi="宋体" w:cs="宋体"/>
                <w:kern w:val="0"/>
                <w:sz w:val="24"/>
              </w:rPr>
              <w:t>端点安全</w:t>
            </w:r>
          </w:p>
          <w:p w14:paraId="357F7CCB">
            <w:pPr>
              <w:widowControl/>
              <w:jc w:val="center"/>
              <w:rPr>
                <w:rFonts w:hint="eastAsia" w:ascii="宋体" w:hAnsi="宋体" w:cs="宋体"/>
                <w:kern w:val="0"/>
                <w:sz w:val="24"/>
              </w:rPr>
            </w:pPr>
            <w:r>
              <w:rPr>
                <w:rFonts w:hint="eastAsia" w:ascii="宋体" w:hAnsi="宋体" w:cs="宋体"/>
                <w:kern w:val="0"/>
                <w:sz w:val="24"/>
              </w:rPr>
              <w:t>服务</w:t>
            </w:r>
          </w:p>
        </w:tc>
        <w:tc>
          <w:tcPr>
            <w:tcW w:w="7688" w:type="dxa"/>
            <w:noWrap w:val="0"/>
            <w:vAlign w:val="top"/>
          </w:tcPr>
          <w:p w14:paraId="32AEE5B5">
            <w:pPr>
              <w:rPr>
                <w:rFonts w:hint="eastAsia" w:ascii="宋体" w:hAnsi="宋体" w:cs="宋体"/>
                <w:color w:val="000000"/>
                <w:sz w:val="24"/>
              </w:rPr>
            </w:pPr>
            <w:r>
              <w:rPr>
                <w:rFonts w:hint="eastAsia" w:ascii="宋体" w:hAnsi="宋体" w:cs="宋体"/>
                <w:color w:val="000000"/>
                <w:sz w:val="24"/>
              </w:rPr>
              <w:t>1.需包含≥60点授权。</w:t>
            </w:r>
          </w:p>
        </w:tc>
      </w:tr>
      <w:tr w14:paraId="3033E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continue"/>
            <w:noWrap w:val="0"/>
            <w:vAlign w:val="center"/>
          </w:tcPr>
          <w:p w14:paraId="2F67CE14">
            <w:pPr>
              <w:widowControl/>
              <w:jc w:val="center"/>
              <w:rPr>
                <w:rFonts w:hint="eastAsia" w:ascii="宋体" w:hAnsi="宋体" w:cs="宋体"/>
                <w:kern w:val="0"/>
                <w:sz w:val="24"/>
              </w:rPr>
            </w:pPr>
          </w:p>
        </w:tc>
        <w:tc>
          <w:tcPr>
            <w:tcW w:w="7688" w:type="dxa"/>
            <w:noWrap w:val="0"/>
            <w:vAlign w:val="top"/>
          </w:tcPr>
          <w:p w14:paraId="7459A76F">
            <w:pPr>
              <w:rPr>
                <w:rFonts w:hint="eastAsia" w:ascii="宋体" w:hAnsi="宋体" w:cs="宋体"/>
                <w:color w:val="000000"/>
                <w:sz w:val="24"/>
              </w:rPr>
            </w:pPr>
            <w:r>
              <w:rPr>
                <w:rFonts w:hint="eastAsia" w:ascii="宋体" w:hAnsi="宋体" w:cs="宋体"/>
                <w:color w:val="000000"/>
                <w:sz w:val="24"/>
              </w:rPr>
              <w:t>2.需提供勒索病毒整体防护体系入口，直观展示最近七天勒索病毒防护效果，包括已处置的恶意文件数量、已拦截可疑行为次数、已阻止的未知进程操作次数、已阻止的暴力破解攻击次数。</w:t>
            </w:r>
          </w:p>
        </w:tc>
      </w:tr>
      <w:tr w14:paraId="11066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continue"/>
            <w:noWrap w:val="0"/>
            <w:vAlign w:val="center"/>
          </w:tcPr>
          <w:p w14:paraId="6E4774C0">
            <w:pPr>
              <w:widowControl/>
              <w:jc w:val="center"/>
              <w:rPr>
                <w:rFonts w:hint="eastAsia" w:ascii="宋体" w:hAnsi="宋体" w:cs="宋体"/>
                <w:kern w:val="0"/>
                <w:sz w:val="24"/>
              </w:rPr>
            </w:pPr>
          </w:p>
        </w:tc>
        <w:tc>
          <w:tcPr>
            <w:tcW w:w="7688" w:type="dxa"/>
            <w:noWrap w:val="0"/>
            <w:vAlign w:val="top"/>
          </w:tcPr>
          <w:p w14:paraId="2B04BFD7">
            <w:pPr>
              <w:rPr>
                <w:rFonts w:hint="eastAsia" w:ascii="宋体" w:hAnsi="宋体" w:cs="宋体"/>
                <w:color w:val="000000"/>
                <w:sz w:val="24"/>
              </w:rPr>
            </w:pPr>
            <w:r>
              <w:rPr>
                <w:rFonts w:hint="eastAsia" w:ascii="宋体" w:hAnsi="宋体" w:cs="宋体"/>
                <w:color w:val="000000"/>
                <w:sz w:val="24"/>
              </w:rPr>
              <w:t>3.需支持终端自动分组管理，新接入的终端可以根据网段自动分配到对应的分组。</w:t>
            </w:r>
          </w:p>
        </w:tc>
      </w:tr>
      <w:tr w14:paraId="7795A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continue"/>
            <w:noWrap w:val="0"/>
            <w:vAlign w:val="center"/>
          </w:tcPr>
          <w:p w14:paraId="687C1695">
            <w:pPr>
              <w:rPr>
                <w:rFonts w:hint="eastAsia" w:ascii="宋体" w:hAnsi="宋体" w:cs="宋体"/>
                <w:sz w:val="24"/>
              </w:rPr>
            </w:pPr>
          </w:p>
        </w:tc>
        <w:tc>
          <w:tcPr>
            <w:tcW w:w="7688" w:type="dxa"/>
            <w:noWrap w:val="0"/>
            <w:vAlign w:val="top"/>
          </w:tcPr>
          <w:p w14:paraId="61BF97EE">
            <w:pPr>
              <w:rPr>
                <w:rFonts w:hint="eastAsia" w:ascii="宋体" w:hAnsi="宋体" w:cs="宋体"/>
                <w:color w:val="000000"/>
                <w:sz w:val="24"/>
              </w:rPr>
            </w:pPr>
            <w:r>
              <w:rPr>
                <w:rFonts w:hint="eastAsia" w:ascii="宋体" w:hAnsi="宋体" w:cs="宋体"/>
                <w:bCs/>
                <w:kern w:val="0"/>
                <w:sz w:val="24"/>
              </w:rPr>
              <w:t>4.</w:t>
            </w:r>
            <w:r>
              <w:rPr>
                <w:rFonts w:hint="eastAsia" w:ascii="宋体" w:hAnsi="宋体" w:cs="宋体"/>
                <w:color w:val="000000"/>
                <w:sz w:val="24"/>
              </w:rPr>
              <w:t>需支持禁止黑客工具启动，包含：xuetr、ProcessHacker、PCHunter、Mimikatz等工具的自启动，可以防止黑客攻击；（提供产品功能截图并加盖公章）</w:t>
            </w:r>
          </w:p>
        </w:tc>
      </w:tr>
      <w:tr w14:paraId="39681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continue"/>
            <w:noWrap w:val="0"/>
            <w:vAlign w:val="center"/>
          </w:tcPr>
          <w:p w14:paraId="6F27A0D1">
            <w:pPr>
              <w:rPr>
                <w:rFonts w:hint="eastAsia" w:ascii="宋体" w:hAnsi="宋体" w:cs="宋体"/>
                <w:sz w:val="24"/>
              </w:rPr>
            </w:pPr>
          </w:p>
        </w:tc>
        <w:tc>
          <w:tcPr>
            <w:tcW w:w="7688" w:type="dxa"/>
            <w:noWrap w:val="0"/>
            <w:vAlign w:val="top"/>
          </w:tcPr>
          <w:p w14:paraId="221E844A">
            <w:pPr>
              <w:rPr>
                <w:rFonts w:hint="eastAsia" w:ascii="宋体" w:hAnsi="宋体" w:cs="宋体"/>
                <w:color w:val="000000"/>
                <w:sz w:val="24"/>
              </w:rPr>
            </w:pPr>
            <w:r>
              <w:rPr>
                <w:rFonts w:hint="eastAsia" w:ascii="宋体" w:hAnsi="宋体" w:cs="宋体"/>
                <w:color w:val="000000"/>
                <w:sz w:val="24"/>
              </w:rPr>
              <w:t>5.需支持安全策略一体化配置，通过单一策略即可实现不同安全功能的配置，包括：终端病毒查杀的文件扫描配置、文件实时监控的参数配置、WebShell检测和威胁处置方式、暴力破解的威胁处置方式和Windows白名单信任目录。</w:t>
            </w:r>
          </w:p>
        </w:tc>
      </w:tr>
      <w:tr w14:paraId="5DE54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continue"/>
            <w:noWrap w:val="0"/>
            <w:vAlign w:val="center"/>
          </w:tcPr>
          <w:p w14:paraId="2F239121">
            <w:pPr>
              <w:rPr>
                <w:rFonts w:hint="eastAsia" w:ascii="宋体" w:hAnsi="宋体" w:cs="宋体"/>
                <w:sz w:val="24"/>
              </w:rPr>
            </w:pPr>
          </w:p>
        </w:tc>
        <w:tc>
          <w:tcPr>
            <w:tcW w:w="7688" w:type="dxa"/>
            <w:noWrap w:val="0"/>
            <w:vAlign w:val="top"/>
          </w:tcPr>
          <w:p w14:paraId="4C681767">
            <w:pPr>
              <w:rPr>
                <w:rFonts w:hint="eastAsia" w:ascii="宋体" w:hAnsi="宋体" w:cs="宋体"/>
                <w:color w:val="000000"/>
                <w:sz w:val="24"/>
              </w:rPr>
            </w:pPr>
            <w:r>
              <w:rPr>
                <w:rFonts w:hint="eastAsia" w:ascii="宋体" w:hAnsi="宋体" w:cs="宋体"/>
                <w:color w:val="000000"/>
                <w:sz w:val="24"/>
              </w:rPr>
              <w:t>6.需支持以可视化形式展现攻击故事，提供可视化的进程树溯源，可直观看出攻击入口、相关操作行为、高危实体文件等信息，协助进行事件攻击溯源和研判分析。</w:t>
            </w:r>
          </w:p>
        </w:tc>
      </w:tr>
      <w:tr w14:paraId="224E5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continue"/>
            <w:noWrap w:val="0"/>
            <w:vAlign w:val="center"/>
          </w:tcPr>
          <w:p w14:paraId="17D7D81B">
            <w:pPr>
              <w:rPr>
                <w:rFonts w:hint="eastAsia" w:ascii="宋体" w:hAnsi="宋体" w:cs="宋体"/>
                <w:sz w:val="24"/>
              </w:rPr>
            </w:pPr>
          </w:p>
        </w:tc>
        <w:tc>
          <w:tcPr>
            <w:tcW w:w="7688" w:type="dxa"/>
            <w:noWrap w:val="0"/>
            <w:vAlign w:val="top"/>
          </w:tcPr>
          <w:p w14:paraId="0C599943">
            <w:pPr>
              <w:rPr>
                <w:rFonts w:hint="eastAsia" w:ascii="宋体" w:hAnsi="宋体" w:cs="宋体"/>
                <w:color w:val="000000"/>
                <w:sz w:val="24"/>
              </w:rPr>
            </w:pPr>
            <w:r>
              <w:rPr>
                <w:rFonts w:hint="eastAsia" w:ascii="宋体" w:hAnsi="宋体" w:cs="宋体"/>
                <w:color w:val="000000"/>
                <w:sz w:val="24"/>
              </w:rPr>
              <w:t>7.需支持一键式操作对指定Linux终端/终端组进行通用安全检查基线、等保二级基线、等保三级基线、CIS系统基线、CIS应用基线、以及基于以上基线规则原型的自定义基线的合规性检查，可视化展示终端的基线合规检查结果，并对不合规的检查项提供设置建议。</w:t>
            </w:r>
          </w:p>
        </w:tc>
      </w:tr>
      <w:tr w14:paraId="55DC3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continue"/>
            <w:noWrap w:val="0"/>
            <w:vAlign w:val="center"/>
          </w:tcPr>
          <w:p w14:paraId="2ABDA693">
            <w:pPr>
              <w:rPr>
                <w:rFonts w:hint="eastAsia" w:ascii="宋体" w:hAnsi="宋体" w:cs="宋体"/>
                <w:sz w:val="24"/>
              </w:rPr>
            </w:pPr>
          </w:p>
        </w:tc>
        <w:tc>
          <w:tcPr>
            <w:tcW w:w="7688" w:type="dxa"/>
            <w:noWrap w:val="0"/>
            <w:vAlign w:val="top"/>
          </w:tcPr>
          <w:p w14:paraId="3A7E77B3">
            <w:pPr>
              <w:rPr>
                <w:rFonts w:hint="eastAsia" w:ascii="宋体" w:hAnsi="宋体" w:cs="宋体"/>
                <w:color w:val="000000"/>
                <w:sz w:val="24"/>
              </w:rPr>
            </w:pPr>
            <w:r>
              <w:rPr>
                <w:rFonts w:hint="eastAsia" w:ascii="宋体" w:hAnsi="宋体" w:cs="宋体"/>
                <w:color w:val="000000"/>
                <w:sz w:val="24"/>
              </w:rPr>
              <w:t>8.需支持全网文件信誉库，当一台终端发现某一病毒文件，全网可进行感知并进行针对性查杀，支持处置病毒时选择是否在其它终端上同步处置。</w:t>
            </w:r>
          </w:p>
        </w:tc>
      </w:tr>
      <w:tr w14:paraId="2D6D8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continue"/>
            <w:noWrap w:val="0"/>
            <w:vAlign w:val="center"/>
          </w:tcPr>
          <w:p w14:paraId="02BF0502">
            <w:pPr>
              <w:rPr>
                <w:rFonts w:hint="eastAsia" w:ascii="宋体" w:hAnsi="宋体" w:cs="宋体"/>
                <w:sz w:val="24"/>
              </w:rPr>
            </w:pPr>
          </w:p>
        </w:tc>
        <w:tc>
          <w:tcPr>
            <w:tcW w:w="7688" w:type="dxa"/>
            <w:noWrap w:val="0"/>
            <w:vAlign w:val="center"/>
          </w:tcPr>
          <w:p w14:paraId="6D0B99AA">
            <w:pPr>
              <w:rPr>
                <w:rFonts w:hint="eastAsia" w:ascii="宋体" w:hAnsi="宋体" w:cs="宋体"/>
                <w:color w:val="000000"/>
                <w:sz w:val="24"/>
              </w:rPr>
            </w:pPr>
            <w:r>
              <w:rPr>
                <w:rFonts w:hint="eastAsia" w:ascii="宋体" w:hAnsi="宋体" w:cs="宋体"/>
                <w:color w:val="000000"/>
                <w:sz w:val="24"/>
              </w:rPr>
              <w:t>9.需支持基于系统内置弱密码字典和自定义弱密码字典的检查功能，弱密码检测支持至少包括SSH、RDP、MySQL、Tomcat、Redis等应用类型，可按照空密码、自定义弱密码、密码长度小于8、字符种类小于3等常见弱密码类型进行分类查看。</w:t>
            </w:r>
          </w:p>
        </w:tc>
      </w:tr>
      <w:tr w14:paraId="66900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continue"/>
            <w:noWrap w:val="0"/>
            <w:vAlign w:val="center"/>
          </w:tcPr>
          <w:p w14:paraId="445EFA03">
            <w:pPr>
              <w:rPr>
                <w:rFonts w:hint="eastAsia" w:ascii="宋体" w:hAnsi="宋体" w:cs="宋体"/>
                <w:sz w:val="24"/>
              </w:rPr>
            </w:pPr>
          </w:p>
        </w:tc>
        <w:tc>
          <w:tcPr>
            <w:tcW w:w="7688" w:type="dxa"/>
            <w:noWrap w:val="0"/>
            <w:vAlign w:val="center"/>
          </w:tcPr>
          <w:p w14:paraId="43F817BC">
            <w:pPr>
              <w:rPr>
                <w:rFonts w:hint="eastAsia" w:ascii="宋体" w:hAnsi="宋体" w:cs="宋体"/>
                <w:color w:val="000000"/>
                <w:sz w:val="24"/>
              </w:rPr>
            </w:pPr>
            <w:r>
              <w:rPr>
                <w:rFonts w:hint="eastAsia" w:ascii="宋体" w:hAnsi="宋体" w:cs="宋体"/>
                <w:color w:val="000000"/>
                <w:sz w:val="24"/>
              </w:rPr>
              <w:t>10.需支持按照扫描网段、扫描方式、扫描协议、扫描端口对终端进行扫描，及时发现尚未纳入管控的终端</w:t>
            </w:r>
          </w:p>
        </w:tc>
      </w:tr>
      <w:tr w14:paraId="1EBE5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continue"/>
            <w:noWrap w:val="0"/>
            <w:vAlign w:val="center"/>
          </w:tcPr>
          <w:p w14:paraId="0CEDE2E4">
            <w:pPr>
              <w:rPr>
                <w:rFonts w:hint="eastAsia" w:ascii="宋体" w:hAnsi="宋体" w:cs="宋体"/>
                <w:sz w:val="24"/>
              </w:rPr>
            </w:pPr>
          </w:p>
        </w:tc>
        <w:tc>
          <w:tcPr>
            <w:tcW w:w="7688" w:type="dxa"/>
            <w:noWrap w:val="0"/>
            <w:vAlign w:val="top"/>
          </w:tcPr>
          <w:p w14:paraId="62BC4357">
            <w:pPr>
              <w:rPr>
                <w:rFonts w:hint="eastAsia" w:ascii="宋体" w:hAnsi="宋体" w:cs="宋体"/>
                <w:color w:val="000000"/>
                <w:sz w:val="24"/>
              </w:rPr>
            </w:pPr>
            <w:r>
              <w:rPr>
                <w:rFonts w:hint="eastAsia" w:ascii="宋体" w:hAnsi="宋体" w:cs="宋体"/>
                <w:color w:val="000000"/>
                <w:sz w:val="24"/>
              </w:rPr>
              <w:t>11.需支持流行Windows高危漏洞的轻补丁免疫防御，支持Windows补丁批量一键修复</w:t>
            </w:r>
          </w:p>
        </w:tc>
      </w:tr>
      <w:tr w14:paraId="77D5C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continue"/>
            <w:noWrap w:val="0"/>
            <w:vAlign w:val="center"/>
          </w:tcPr>
          <w:p w14:paraId="04C3C157">
            <w:pPr>
              <w:rPr>
                <w:rFonts w:hint="eastAsia" w:ascii="宋体" w:hAnsi="宋体" w:cs="宋体"/>
                <w:sz w:val="24"/>
              </w:rPr>
            </w:pPr>
          </w:p>
        </w:tc>
        <w:tc>
          <w:tcPr>
            <w:tcW w:w="7688" w:type="dxa"/>
            <w:noWrap w:val="0"/>
            <w:vAlign w:val="top"/>
          </w:tcPr>
          <w:p w14:paraId="6E1335FF">
            <w:pPr>
              <w:rPr>
                <w:rFonts w:hint="eastAsia" w:ascii="宋体" w:hAnsi="宋体" w:cs="宋体"/>
                <w:color w:val="000000"/>
                <w:sz w:val="24"/>
              </w:rPr>
            </w:pPr>
            <w:r>
              <w:rPr>
                <w:rFonts w:hint="eastAsia" w:ascii="宋体" w:hAnsi="宋体" w:cs="宋体"/>
                <w:bCs/>
                <w:kern w:val="0"/>
                <w:sz w:val="24"/>
              </w:rPr>
              <w:t>▲12.</w:t>
            </w:r>
            <w:r>
              <w:rPr>
                <w:rFonts w:hint="eastAsia" w:ascii="宋体" w:hAnsi="宋体" w:cs="宋体"/>
                <w:sz w:val="24"/>
              </w:rPr>
              <w:t>需</w:t>
            </w:r>
            <w:r>
              <w:rPr>
                <w:rFonts w:hint="eastAsia" w:ascii="宋体" w:hAnsi="宋体" w:cs="宋体"/>
                <w:color w:val="000000"/>
                <w:sz w:val="24"/>
              </w:rPr>
              <w:t>支持windows服务器RDP远程登录保护，可开启RDP远程登录二次认证，以防止黑客对服务器的入侵；需支持Linux服务器SSH远程登录保护，可开启SSH远程登录二次认证，以防止黑客利用弱密码脆弱性对服务器的入侵；支持设置验证码验证或自定义密码验证，支持设置登录认证提示、生效时间段和免二次认证白名单；</w:t>
            </w:r>
          </w:p>
          <w:p w14:paraId="2FE29DFC">
            <w:pPr>
              <w:rPr>
                <w:rFonts w:hint="eastAsia" w:ascii="宋体" w:hAnsi="宋体" w:cs="宋体"/>
                <w:color w:val="000000"/>
                <w:sz w:val="24"/>
              </w:rPr>
            </w:pPr>
            <w:r>
              <w:rPr>
                <w:rFonts w:hint="eastAsia" w:ascii="宋体" w:hAnsi="宋体" w:cs="宋体"/>
                <w:color w:val="000000"/>
                <w:sz w:val="24"/>
              </w:rPr>
              <w:t>（提供产品功能截图并加盖公章）</w:t>
            </w:r>
          </w:p>
        </w:tc>
      </w:tr>
      <w:tr w14:paraId="10751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continue"/>
            <w:noWrap w:val="0"/>
            <w:vAlign w:val="center"/>
          </w:tcPr>
          <w:p w14:paraId="7CA66E6F">
            <w:pPr>
              <w:rPr>
                <w:rFonts w:hint="eastAsia" w:ascii="宋体" w:hAnsi="宋体" w:cs="宋体"/>
                <w:sz w:val="24"/>
              </w:rPr>
            </w:pPr>
          </w:p>
        </w:tc>
        <w:tc>
          <w:tcPr>
            <w:tcW w:w="7688" w:type="dxa"/>
            <w:noWrap w:val="0"/>
            <w:vAlign w:val="center"/>
          </w:tcPr>
          <w:p w14:paraId="6CA96454">
            <w:pPr>
              <w:rPr>
                <w:rFonts w:hint="eastAsia" w:ascii="宋体" w:hAnsi="宋体" w:cs="宋体"/>
                <w:color w:val="000000"/>
                <w:sz w:val="24"/>
              </w:rPr>
            </w:pPr>
            <w:r>
              <w:rPr>
                <w:rFonts w:hint="eastAsia" w:ascii="宋体" w:hAnsi="宋体" w:cs="宋体"/>
                <w:color w:val="000000"/>
                <w:sz w:val="24"/>
              </w:rPr>
              <w:t>13.需支持一键式操作对指定Windows终端/终端组进行通用安全检查基线、等保二级基线、等保三级基线、CIS系统基线、CIS应用基线、以及基于以上基线规则原型的自定义基线的合规性检查，可视化展示终端的基线合规检查结果，并对不合规的检查项提供设置建议</w:t>
            </w:r>
          </w:p>
        </w:tc>
      </w:tr>
      <w:tr w14:paraId="0FABD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continue"/>
            <w:noWrap w:val="0"/>
            <w:vAlign w:val="center"/>
          </w:tcPr>
          <w:p w14:paraId="7EAC6F24">
            <w:pPr>
              <w:rPr>
                <w:rFonts w:hint="eastAsia" w:ascii="宋体" w:hAnsi="宋体" w:cs="宋体"/>
                <w:sz w:val="24"/>
              </w:rPr>
            </w:pPr>
          </w:p>
        </w:tc>
        <w:tc>
          <w:tcPr>
            <w:tcW w:w="7688" w:type="dxa"/>
            <w:noWrap w:val="0"/>
            <w:vAlign w:val="center"/>
          </w:tcPr>
          <w:p w14:paraId="3B35C435">
            <w:pPr>
              <w:rPr>
                <w:rFonts w:hint="eastAsia" w:ascii="宋体" w:hAnsi="宋体" w:cs="宋体"/>
                <w:color w:val="000000"/>
                <w:sz w:val="24"/>
              </w:rPr>
            </w:pPr>
            <w:r>
              <w:rPr>
                <w:rFonts w:hint="eastAsia" w:ascii="宋体" w:hAnsi="宋体" w:cs="宋体"/>
                <w:bCs/>
                <w:kern w:val="0"/>
                <w:sz w:val="24"/>
              </w:rPr>
              <w:t>▲14.</w:t>
            </w:r>
            <w:r>
              <w:rPr>
                <w:rFonts w:hint="eastAsia" w:ascii="宋体" w:hAnsi="宋体" w:cs="宋体"/>
                <w:color w:val="000000"/>
                <w:sz w:val="24"/>
              </w:rPr>
              <w:t>需支持基于威胁情报的病毒文件哈希值、行为、域名、网络连接等各项终端系统层、应用层行为数据在全网终端发起搜索，挖掘潜伏攻击，快速定位出全网终端感染该威胁的情况（提供产品功能截图并加盖公章）</w:t>
            </w:r>
          </w:p>
        </w:tc>
      </w:tr>
      <w:tr w14:paraId="3CBB3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continue"/>
            <w:noWrap w:val="0"/>
            <w:vAlign w:val="center"/>
          </w:tcPr>
          <w:p w14:paraId="5EEBEC7F">
            <w:pPr>
              <w:rPr>
                <w:rFonts w:hint="eastAsia" w:ascii="宋体" w:hAnsi="宋体" w:cs="宋体"/>
                <w:sz w:val="24"/>
              </w:rPr>
            </w:pPr>
          </w:p>
        </w:tc>
        <w:tc>
          <w:tcPr>
            <w:tcW w:w="7688" w:type="dxa"/>
            <w:noWrap w:val="0"/>
            <w:vAlign w:val="center"/>
          </w:tcPr>
          <w:p w14:paraId="6D7C9C96">
            <w:pPr>
              <w:rPr>
                <w:rFonts w:hint="eastAsia" w:ascii="宋体" w:hAnsi="宋体" w:cs="宋体"/>
                <w:color w:val="000000"/>
                <w:sz w:val="24"/>
              </w:rPr>
            </w:pPr>
            <w:r>
              <w:rPr>
                <w:rFonts w:hint="eastAsia" w:ascii="宋体" w:hAnsi="宋体" w:cs="宋体"/>
                <w:color w:val="000000"/>
                <w:sz w:val="24"/>
              </w:rPr>
              <w:t>15.需支持自定义Linux、Windows系统深度防护加固策略，包含禁止对外服务进程编译文件 、禁止对外服务进程创建危险的定时任务脚本、禁止非系统进程尝试劫持EXE执行过程、禁止对外服务进程添加定时任务等。</w:t>
            </w:r>
          </w:p>
        </w:tc>
      </w:tr>
      <w:tr w14:paraId="07A6F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continue"/>
            <w:noWrap w:val="0"/>
            <w:vAlign w:val="center"/>
          </w:tcPr>
          <w:p w14:paraId="11DE1FAA">
            <w:pPr>
              <w:rPr>
                <w:rFonts w:hint="eastAsia" w:ascii="宋体" w:hAnsi="宋体" w:cs="宋体"/>
                <w:sz w:val="24"/>
              </w:rPr>
            </w:pPr>
          </w:p>
        </w:tc>
        <w:tc>
          <w:tcPr>
            <w:tcW w:w="7688" w:type="dxa"/>
            <w:noWrap w:val="0"/>
            <w:vAlign w:val="center"/>
          </w:tcPr>
          <w:p w14:paraId="7E2BD673">
            <w:pPr>
              <w:rPr>
                <w:rFonts w:hint="eastAsia" w:ascii="宋体" w:hAnsi="宋体" w:cs="宋体"/>
                <w:color w:val="000000"/>
                <w:sz w:val="24"/>
              </w:rPr>
            </w:pPr>
            <w:r>
              <w:rPr>
                <w:rFonts w:hint="eastAsia" w:ascii="宋体" w:hAnsi="宋体" w:cs="宋体"/>
                <w:color w:val="000000"/>
                <w:sz w:val="24"/>
              </w:rPr>
              <w:t>16.需采用SSVC决策树的模优先级排序模型，结合漏洞自身属性、外部漏洞情报以及资产暴露面等多个维度，在现有CVSS漏洞评分的基础上进一步消减高危漏洞数量，对发现的漏洞进行优先级排序，包含响应、关注、观察3种结果，辅助用户快速聚焦应该优先关注的漏洞威胁。</w:t>
            </w:r>
          </w:p>
        </w:tc>
      </w:tr>
    </w:tbl>
    <w:p w14:paraId="784F01DE">
      <w:pPr>
        <w:keepNext/>
        <w:keepLines/>
        <w:spacing w:before="160" w:after="80"/>
        <w:outlineLvl w:val="3"/>
        <w:rPr>
          <w:rFonts w:hint="eastAsia" w:ascii="宋体" w:hAnsi="宋体" w:cs="宋体"/>
          <w:b/>
          <w:bCs/>
          <w:sz w:val="24"/>
        </w:rPr>
      </w:pPr>
      <w:r>
        <w:rPr>
          <w:rFonts w:hint="eastAsia" w:ascii="宋体" w:hAnsi="宋体" w:cs="宋体"/>
          <w:b/>
          <w:bCs/>
          <w:sz w:val="24"/>
        </w:rPr>
        <w:t>4.3.3 日志审计服务</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4"/>
        <w:gridCol w:w="7688"/>
      </w:tblGrid>
      <w:tr w14:paraId="40958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noWrap w:val="0"/>
            <w:vAlign w:val="center"/>
          </w:tcPr>
          <w:p w14:paraId="0DB4BFA2">
            <w:pPr>
              <w:widowControl/>
              <w:jc w:val="center"/>
              <w:rPr>
                <w:rFonts w:hint="eastAsia" w:ascii="宋体" w:hAnsi="宋体" w:cs="宋体"/>
                <w:b/>
                <w:bCs/>
                <w:kern w:val="0"/>
                <w:sz w:val="24"/>
              </w:rPr>
            </w:pPr>
            <w:r>
              <w:rPr>
                <w:rFonts w:hint="eastAsia" w:ascii="宋体" w:hAnsi="宋体" w:cs="宋体"/>
                <w:b/>
                <w:bCs/>
                <w:kern w:val="0"/>
                <w:sz w:val="24"/>
              </w:rPr>
              <w:t>服务名称</w:t>
            </w:r>
          </w:p>
        </w:tc>
        <w:tc>
          <w:tcPr>
            <w:tcW w:w="7688" w:type="dxa"/>
            <w:noWrap w:val="0"/>
            <w:vAlign w:val="top"/>
          </w:tcPr>
          <w:p w14:paraId="49402082">
            <w:pPr>
              <w:jc w:val="center"/>
              <w:rPr>
                <w:rFonts w:hint="eastAsia" w:ascii="宋体" w:hAnsi="宋体" w:cs="宋体"/>
                <w:b/>
                <w:bCs/>
                <w:color w:val="000000"/>
                <w:sz w:val="24"/>
              </w:rPr>
            </w:pPr>
            <w:r>
              <w:rPr>
                <w:rFonts w:hint="eastAsia" w:ascii="宋体" w:hAnsi="宋体" w:cs="宋体"/>
                <w:b/>
                <w:bCs/>
                <w:color w:val="000000"/>
                <w:sz w:val="24"/>
              </w:rPr>
              <w:t>服务指标要求</w:t>
            </w:r>
          </w:p>
        </w:tc>
      </w:tr>
      <w:tr w14:paraId="579AC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restart"/>
            <w:noWrap w:val="0"/>
            <w:vAlign w:val="center"/>
          </w:tcPr>
          <w:p w14:paraId="5B61FA64">
            <w:pPr>
              <w:widowControl/>
              <w:jc w:val="center"/>
              <w:rPr>
                <w:rFonts w:hint="eastAsia" w:ascii="宋体" w:hAnsi="宋体" w:cs="宋体"/>
                <w:kern w:val="0"/>
                <w:sz w:val="24"/>
              </w:rPr>
            </w:pPr>
            <w:r>
              <w:rPr>
                <w:rFonts w:hint="eastAsia" w:ascii="宋体" w:hAnsi="宋体" w:cs="宋体"/>
                <w:kern w:val="0"/>
                <w:sz w:val="24"/>
              </w:rPr>
              <w:t>日志审计服务</w:t>
            </w:r>
          </w:p>
        </w:tc>
        <w:tc>
          <w:tcPr>
            <w:tcW w:w="7688" w:type="dxa"/>
            <w:noWrap w:val="0"/>
            <w:vAlign w:val="center"/>
          </w:tcPr>
          <w:p w14:paraId="05672AFB">
            <w:pPr>
              <w:widowControl/>
              <w:jc w:val="left"/>
              <w:textAlignment w:val="center"/>
              <w:rPr>
                <w:rFonts w:hint="eastAsia" w:ascii="宋体" w:hAnsi="宋体" w:cs="宋体"/>
                <w:sz w:val="24"/>
              </w:rPr>
            </w:pPr>
            <w:r>
              <w:rPr>
                <w:rFonts w:hint="eastAsia" w:ascii="宋体" w:hAnsi="宋体" w:cs="宋体"/>
                <w:kern w:val="0"/>
                <w:sz w:val="24"/>
                <w:lang w:bidi="ar"/>
              </w:rPr>
              <w:t>1.需支持包含≥300个资产授权；</w:t>
            </w:r>
          </w:p>
        </w:tc>
      </w:tr>
      <w:tr w14:paraId="65AB3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continue"/>
            <w:noWrap w:val="0"/>
            <w:vAlign w:val="center"/>
          </w:tcPr>
          <w:p w14:paraId="3071F63C">
            <w:pPr>
              <w:rPr>
                <w:rFonts w:hint="eastAsia" w:ascii="宋体" w:hAnsi="宋体" w:cs="宋体"/>
                <w:sz w:val="24"/>
              </w:rPr>
            </w:pPr>
          </w:p>
        </w:tc>
        <w:tc>
          <w:tcPr>
            <w:tcW w:w="7688" w:type="dxa"/>
            <w:noWrap w:val="0"/>
            <w:vAlign w:val="center"/>
          </w:tcPr>
          <w:p w14:paraId="1D6B989D">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2.需支持资产数据总览，统计展示监控资产总数、历史接收日志总数、事件总数及占比情况、资产风险度；</w:t>
            </w:r>
          </w:p>
        </w:tc>
      </w:tr>
      <w:tr w14:paraId="355D9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continue"/>
            <w:noWrap w:val="0"/>
            <w:vAlign w:val="center"/>
          </w:tcPr>
          <w:p w14:paraId="71B09EDA">
            <w:pPr>
              <w:rPr>
                <w:rFonts w:hint="eastAsia" w:ascii="宋体" w:hAnsi="宋体" w:cs="宋体"/>
                <w:sz w:val="24"/>
              </w:rPr>
            </w:pPr>
          </w:p>
        </w:tc>
        <w:tc>
          <w:tcPr>
            <w:tcW w:w="7688" w:type="dxa"/>
            <w:noWrap w:val="0"/>
            <w:vAlign w:val="center"/>
          </w:tcPr>
          <w:p w14:paraId="51EAE46D">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3.需支持数据接收通道状态展示，可查看系统当前接收日志数据通道的负载能力；</w:t>
            </w:r>
          </w:p>
        </w:tc>
      </w:tr>
      <w:tr w14:paraId="57D1D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continue"/>
            <w:noWrap w:val="0"/>
            <w:vAlign w:val="center"/>
          </w:tcPr>
          <w:p w14:paraId="13ABCA5D">
            <w:pPr>
              <w:rPr>
                <w:rFonts w:hint="eastAsia" w:ascii="宋体" w:hAnsi="宋体" w:cs="宋体"/>
                <w:sz w:val="24"/>
              </w:rPr>
            </w:pPr>
          </w:p>
        </w:tc>
        <w:tc>
          <w:tcPr>
            <w:tcW w:w="7688" w:type="dxa"/>
            <w:noWrap w:val="0"/>
            <w:vAlign w:val="center"/>
          </w:tcPr>
          <w:p w14:paraId="3D13341D">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4.需支持事件数据总览，统计展示历史事件总数、极危历史事件数、高危历史事件数和今日高危资产数；需支持今日高危资产列表的查看，包括资产IP、资产类型、极危事件数、高危事件数；</w:t>
            </w:r>
          </w:p>
        </w:tc>
      </w:tr>
      <w:tr w14:paraId="11871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continue"/>
            <w:noWrap w:val="0"/>
            <w:vAlign w:val="center"/>
          </w:tcPr>
          <w:p w14:paraId="126905B7">
            <w:pPr>
              <w:rPr>
                <w:rFonts w:hint="eastAsia" w:ascii="宋体" w:hAnsi="宋体" w:cs="宋体"/>
                <w:sz w:val="24"/>
              </w:rPr>
            </w:pPr>
          </w:p>
        </w:tc>
        <w:tc>
          <w:tcPr>
            <w:tcW w:w="7688" w:type="dxa"/>
            <w:noWrap w:val="0"/>
            <w:vAlign w:val="center"/>
          </w:tcPr>
          <w:p w14:paraId="19382247">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5.需支持按字段进行事件查询，查询字段包括资产名称、资产IP、事件名称、事件级别、事件发生时间等不少于20个字段；支持多条件联合查询和查询条件的保存功能；</w:t>
            </w:r>
          </w:p>
        </w:tc>
      </w:tr>
      <w:tr w14:paraId="09DE7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continue"/>
            <w:noWrap w:val="0"/>
            <w:vAlign w:val="center"/>
          </w:tcPr>
          <w:p w14:paraId="0B466DD4">
            <w:pPr>
              <w:rPr>
                <w:rFonts w:hint="eastAsia" w:ascii="宋体" w:hAnsi="宋体" w:cs="宋体"/>
                <w:sz w:val="24"/>
              </w:rPr>
            </w:pPr>
          </w:p>
        </w:tc>
        <w:tc>
          <w:tcPr>
            <w:tcW w:w="7688" w:type="dxa"/>
            <w:noWrap w:val="0"/>
            <w:vAlign w:val="center"/>
          </w:tcPr>
          <w:p w14:paraId="1D9F6109">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6.需支持综合报表的配置与生成，支持配置报表的统计时间以及包括整体概述、日志分析、事件分析、资产分析等在内的统计内容，支持开启报表的对比模式，支持报表预览；</w:t>
            </w:r>
          </w:p>
        </w:tc>
      </w:tr>
      <w:tr w14:paraId="2CE39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continue"/>
            <w:noWrap w:val="0"/>
            <w:vAlign w:val="center"/>
          </w:tcPr>
          <w:p w14:paraId="65691511">
            <w:pPr>
              <w:rPr>
                <w:rFonts w:hint="eastAsia" w:ascii="宋体" w:hAnsi="宋体" w:cs="宋体"/>
                <w:sz w:val="24"/>
              </w:rPr>
            </w:pPr>
          </w:p>
        </w:tc>
        <w:tc>
          <w:tcPr>
            <w:tcW w:w="7688" w:type="dxa"/>
            <w:noWrap w:val="0"/>
            <w:vAlign w:val="center"/>
          </w:tcPr>
          <w:p w14:paraId="2BC07E02">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7.需支持事件报表功能；支持按照系统内置事件和关联事件进行统计报表生成。</w:t>
            </w:r>
          </w:p>
        </w:tc>
      </w:tr>
      <w:tr w14:paraId="0346B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continue"/>
            <w:noWrap w:val="0"/>
            <w:vAlign w:val="center"/>
          </w:tcPr>
          <w:p w14:paraId="525DA115">
            <w:pPr>
              <w:rPr>
                <w:rFonts w:hint="eastAsia" w:ascii="宋体" w:hAnsi="宋体" w:cs="宋体"/>
                <w:sz w:val="24"/>
              </w:rPr>
            </w:pPr>
          </w:p>
        </w:tc>
        <w:tc>
          <w:tcPr>
            <w:tcW w:w="7688" w:type="dxa"/>
            <w:noWrap w:val="0"/>
            <w:vAlign w:val="center"/>
          </w:tcPr>
          <w:p w14:paraId="3EC0F4C9">
            <w:pPr>
              <w:widowControl/>
              <w:jc w:val="left"/>
              <w:textAlignment w:val="center"/>
              <w:rPr>
                <w:rFonts w:hint="eastAsia" w:ascii="宋体" w:hAnsi="宋体" w:cs="宋体"/>
                <w:color w:val="000000"/>
                <w:sz w:val="24"/>
              </w:rPr>
            </w:pPr>
            <w:r>
              <w:rPr>
                <w:rFonts w:hint="eastAsia" w:ascii="宋体" w:hAnsi="宋体" w:cs="宋体"/>
                <w:bCs/>
                <w:kern w:val="0"/>
                <w:sz w:val="24"/>
              </w:rPr>
              <w:t>8.</w:t>
            </w:r>
            <w:r>
              <w:rPr>
                <w:rFonts w:hint="eastAsia" w:ascii="宋体" w:hAnsi="宋体" w:cs="宋体"/>
                <w:color w:val="000000"/>
                <w:kern w:val="0"/>
                <w:sz w:val="24"/>
                <w:lang w:bidi="ar"/>
              </w:rPr>
              <w:t>需支持日志动作管理功能，具备产品内置动作不少于2000条，内置动作信息包括动作分类、动作名称、动作描述、资产图标、动作类型；</w:t>
            </w:r>
            <w:r>
              <w:rPr>
                <w:rFonts w:hint="eastAsia" w:ascii="宋体" w:hAnsi="宋体" w:cs="宋体"/>
                <w:color w:val="000000"/>
                <w:sz w:val="24"/>
              </w:rPr>
              <w:t>（提供产品功能截图并加盖公章）</w:t>
            </w:r>
          </w:p>
        </w:tc>
      </w:tr>
      <w:tr w14:paraId="4B9B7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continue"/>
            <w:noWrap w:val="0"/>
            <w:vAlign w:val="center"/>
          </w:tcPr>
          <w:p w14:paraId="13A4033F">
            <w:pPr>
              <w:rPr>
                <w:rFonts w:hint="eastAsia" w:ascii="宋体" w:hAnsi="宋体" w:cs="宋体"/>
                <w:sz w:val="24"/>
              </w:rPr>
            </w:pPr>
          </w:p>
        </w:tc>
        <w:tc>
          <w:tcPr>
            <w:tcW w:w="7688" w:type="dxa"/>
            <w:noWrap w:val="0"/>
            <w:vAlign w:val="center"/>
          </w:tcPr>
          <w:p w14:paraId="600960B0">
            <w:pPr>
              <w:widowControl/>
              <w:jc w:val="left"/>
              <w:textAlignment w:val="center"/>
              <w:rPr>
                <w:rFonts w:hint="eastAsia" w:ascii="宋体" w:hAnsi="宋体" w:cs="宋体"/>
                <w:color w:val="000000"/>
                <w:sz w:val="24"/>
              </w:rPr>
            </w:pPr>
            <w:r>
              <w:rPr>
                <w:rFonts w:hint="eastAsia" w:ascii="宋体" w:hAnsi="宋体" w:cs="宋体"/>
                <w:color w:val="000000"/>
                <w:sz w:val="24"/>
              </w:rPr>
              <w:t>9.需具备告警事件库，支持内置事件和关联事件，页面支持展示事件分类、事件名称、事件描述、事件级别等信息；</w:t>
            </w:r>
          </w:p>
        </w:tc>
      </w:tr>
      <w:tr w14:paraId="79B5F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continue"/>
            <w:noWrap w:val="0"/>
            <w:vAlign w:val="center"/>
          </w:tcPr>
          <w:p w14:paraId="1DF9A21D">
            <w:pPr>
              <w:rPr>
                <w:rFonts w:hint="eastAsia" w:ascii="宋体" w:hAnsi="宋体" w:cs="宋体"/>
                <w:sz w:val="24"/>
              </w:rPr>
            </w:pPr>
          </w:p>
        </w:tc>
        <w:tc>
          <w:tcPr>
            <w:tcW w:w="7688" w:type="dxa"/>
            <w:noWrap w:val="0"/>
            <w:vAlign w:val="center"/>
          </w:tcPr>
          <w:p w14:paraId="34CC5F2D">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10.需支持事件告警设置，可针对不同类型的事件设置告警方式，支持弹窗告警、邮件告警、短信告警，支持设置告警的通知角色、通知频次；</w:t>
            </w:r>
          </w:p>
        </w:tc>
      </w:tr>
      <w:tr w14:paraId="48BFD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continue"/>
            <w:noWrap w:val="0"/>
            <w:vAlign w:val="center"/>
          </w:tcPr>
          <w:p w14:paraId="66661503">
            <w:pPr>
              <w:rPr>
                <w:rFonts w:hint="eastAsia" w:ascii="宋体" w:hAnsi="宋体" w:cs="宋体"/>
                <w:sz w:val="24"/>
              </w:rPr>
            </w:pPr>
          </w:p>
        </w:tc>
        <w:tc>
          <w:tcPr>
            <w:tcW w:w="7688" w:type="dxa"/>
            <w:noWrap w:val="0"/>
            <w:vAlign w:val="center"/>
          </w:tcPr>
          <w:p w14:paraId="6E303428">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11.需支持用户名密码方式、证书方式、Radius方式等多因子认证功能；</w:t>
            </w:r>
          </w:p>
        </w:tc>
      </w:tr>
      <w:tr w14:paraId="68A1C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jc w:val="center"/>
        </w:trPr>
        <w:tc>
          <w:tcPr>
            <w:tcW w:w="1874" w:type="dxa"/>
            <w:vMerge w:val="continue"/>
            <w:noWrap w:val="0"/>
            <w:vAlign w:val="center"/>
          </w:tcPr>
          <w:p w14:paraId="2194BD18">
            <w:pPr>
              <w:rPr>
                <w:rFonts w:hint="eastAsia" w:ascii="宋体" w:hAnsi="宋体" w:cs="宋体"/>
                <w:sz w:val="24"/>
              </w:rPr>
            </w:pPr>
          </w:p>
        </w:tc>
        <w:tc>
          <w:tcPr>
            <w:tcW w:w="7688" w:type="dxa"/>
            <w:noWrap w:val="0"/>
            <w:vAlign w:val="center"/>
          </w:tcPr>
          <w:p w14:paraId="1E0DEBFE">
            <w:pPr>
              <w:widowControl/>
              <w:jc w:val="left"/>
              <w:textAlignment w:val="center"/>
              <w:rPr>
                <w:rFonts w:hint="eastAsia" w:ascii="宋体" w:hAnsi="宋体" w:cs="宋体"/>
                <w:color w:val="000000"/>
                <w:sz w:val="24"/>
              </w:rPr>
            </w:pPr>
            <w:r>
              <w:rPr>
                <w:rFonts w:hint="eastAsia" w:ascii="宋体" w:hAnsi="宋体" w:cs="宋体"/>
                <w:bCs/>
                <w:kern w:val="0"/>
                <w:sz w:val="24"/>
              </w:rPr>
              <w:t>12.</w:t>
            </w:r>
            <w:r>
              <w:rPr>
                <w:rFonts w:hint="eastAsia" w:ascii="宋体" w:hAnsi="宋体" w:cs="宋体"/>
                <w:color w:val="000000"/>
                <w:kern w:val="0"/>
                <w:sz w:val="24"/>
                <w:lang w:bidi="ar"/>
              </w:rPr>
              <w:t>需支持采用SM4算法的日志数据加密存储和管理数据加密传输；</w:t>
            </w:r>
            <w:r>
              <w:rPr>
                <w:rFonts w:hint="eastAsia" w:ascii="宋体" w:hAnsi="宋体" w:cs="宋体"/>
                <w:color w:val="000000"/>
                <w:sz w:val="24"/>
              </w:rPr>
              <w:t>（提供产品功能截图并加盖公章）</w:t>
            </w:r>
          </w:p>
        </w:tc>
      </w:tr>
      <w:tr w14:paraId="5ADF2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continue"/>
            <w:noWrap w:val="0"/>
            <w:vAlign w:val="center"/>
          </w:tcPr>
          <w:p w14:paraId="574A55EA">
            <w:pPr>
              <w:rPr>
                <w:rFonts w:hint="eastAsia" w:ascii="宋体" w:hAnsi="宋体" w:cs="宋体"/>
                <w:sz w:val="24"/>
              </w:rPr>
            </w:pPr>
          </w:p>
        </w:tc>
        <w:tc>
          <w:tcPr>
            <w:tcW w:w="7688" w:type="dxa"/>
            <w:noWrap w:val="0"/>
            <w:vAlign w:val="center"/>
          </w:tcPr>
          <w:p w14:paraId="35005D41">
            <w:pPr>
              <w:widowControl/>
              <w:jc w:val="left"/>
              <w:textAlignment w:val="center"/>
              <w:rPr>
                <w:rFonts w:hint="eastAsia" w:ascii="宋体" w:hAnsi="宋体" w:cs="宋体"/>
                <w:color w:val="000000"/>
                <w:sz w:val="24"/>
              </w:rPr>
            </w:pPr>
            <w:r>
              <w:rPr>
                <w:rFonts w:hint="eastAsia" w:ascii="宋体" w:hAnsi="宋体" w:cs="宋体"/>
                <w:bCs/>
                <w:kern w:val="0"/>
                <w:sz w:val="24"/>
              </w:rPr>
              <w:t>▲13.</w:t>
            </w:r>
            <w:r>
              <w:rPr>
                <w:rFonts w:hint="eastAsia" w:ascii="宋体" w:hAnsi="宋体" w:cs="宋体"/>
                <w:color w:val="000000"/>
                <w:kern w:val="0"/>
                <w:sz w:val="24"/>
                <w:lang w:bidi="ar"/>
              </w:rPr>
              <w:t>需具备麒麟软件NeoCertify认证证书、统信软件产品互认证明；</w:t>
            </w:r>
            <w:r>
              <w:rPr>
                <w:rFonts w:hint="eastAsia" w:ascii="宋体" w:hAnsi="宋体" w:cs="宋体"/>
                <w:sz w:val="24"/>
              </w:rPr>
              <w:t>（提供有效证书扫描件并加盖公章）</w:t>
            </w:r>
          </w:p>
        </w:tc>
      </w:tr>
    </w:tbl>
    <w:p w14:paraId="4CA66C8E">
      <w:pPr>
        <w:keepNext/>
        <w:keepLines/>
        <w:spacing w:before="160" w:after="80"/>
        <w:outlineLvl w:val="3"/>
        <w:rPr>
          <w:rFonts w:hint="eastAsia" w:ascii="宋体" w:hAnsi="宋体" w:cs="宋体"/>
          <w:b/>
          <w:bCs/>
          <w:sz w:val="24"/>
        </w:rPr>
      </w:pPr>
      <w:r>
        <w:rPr>
          <w:rFonts w:hint="eastAsia" w:ascii="宋体" w:hAnsi="宋体" w:cs="宋体"/>
          <w:b/>
          <w:bCs/>
          <w:sz w:val="24"/>
        </w:rPr>
        <w:t>4.3.4 数据库审计服务</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4"/>
        <w:gridCol w:w="7688"/>
      </w:tblGrid>
      <w:tr w14:paraId="0C27B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noWrap w:val="0"/>
            <w:vAlign w:val="center"/>
          </w:tcPr>
          <w:p w14:paraId="2060312C">
            <w:pPr>
              <w:widowControl/>
              <w:jc w:val="center"/>
              <w:rPr>
                <w:rFonts w:hint="eastAsia" w:ascii="宋体" w:hAnsi="宋体" w:cs="宋体"/>
                <w:b/>
                <w:bCs/>
                <w:kern w:val="0"/>
                <w:sz w:val="24"/>
              </w:rPr>
            </w:pPr>
            <w:r>
              <w:rPr>
                <w:rFonts w:hint="eastAsia" w:ascii="宋体" w:hAnsi="宋体" w:cs="宋体"/>
                <w:b/>
                <w:bCs/>
                <w:kern w:val="0"/>
                <w:sz w:val="24"/>
              </w:rPr>
              <w:t>服务名称</w:t>
            </w:r>
          </w:p>
        </w:tc>
        <w:tc>
          <w:tcPr>
            <w:tcW w:w="7688" w:type="dxa"/>
            <w:noWrap w:val="0"/>
            <w:vAlign w:val="top"/>
          </w:tcPr>
          <w:p w14:paraId="6349534E">
            <w:pPr>
              <w:jc w:val="center"/>
              <w:rPr>
                <w:rFonts w:hint="eastAsia" w:ascii="宋体" w:hAnsi="宋体" w:cs="宋体"/>
                <w:b/>
                <w:bCs/>
                <w:color w:val="000000"/>
                <w:sz w:val="24"/>
              </w:rPr>
            </w:pPr>
            <w:r>
              <w:rPr>
                <w:rFonts w:hint="eastAsia" w:ascii="宋体" w:hAnsi="宋体" w:cs="宋体"/>
                <w:b/>
                <w:bCs/>
                <w:color w:val="000000"/>
                <w:sz w:val="24"/>
              </w:rPr>
              <w:t>服务指标要求</w:t>
            </w:r>
          </w:p>
        </w:tc>
      </w:tr>
      <w:tr w14:paraId="69DB2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restart"/>
            <w:noWrap w:val="0"/>
            <w:vAlign w:val="center"/>
          </w:tcPr>
          <w:p w14:paraId="6BBB4ED5">
            <w:pPr>
              <w:widowControl/>
              <w:jc w:val="center"/>
              <w:rPr>
                <w:rFonts w:hint="eastAsia" w:ascii="宋体" w:hAnsi="宋体" w:cs="宋体"/>
                <w:kern w:val="0"/>
                <w:sz w:val="24"/>
              </w:rPr>
            </w:pPr>
            <w:r>
              <w:rPr>
                <w:rFonts w:hint="eastAsia" w:ascii="宋体" w:hAnsi="宋体" w:cs="宋体"/>
                <w:kern w:val="0"/>
                <w:sz w:val="24"/>
              </w:rPr>
              <w:t>数据库审计服务</w:t>
            </w:r>
          </w:p>
        </w:tc>
        <w:tc>
          <w:tcPr>
            <w:tcW w:w="7688" w:type="dxa"/>
            <w:noWrap w:val="0"/>
            <w:vAlign w:val="center"/>
          </w:tcPr>
          <w:p w14:paraId="4E68FEC9">
            <w:pPr>
              <w:rPr>
                <w:rFonts w:hint="eastAsia" w:ascii="宋体" w:hAnsi="宋体" w:cs="宋体"/>
                <w:bCs/>
                <w:kern w:val="0"/>
                <w:sz w:val="24"/>
              </w:rPr>
            </w:pPr>
            <w:r>
              <w:rPr>
                <w:rFonts w:hint="eastAsia" w:ascii="宋体" w:hAnsi="宋体" w:cs="宋体"/>
                <w:bCs/>
                <w:kern w:val="0"/>
                <w:sz w:val="24"/>
              </w:rPr>
              <w:t>1.十亿在线数据查询耗时需≤1秒，五十亿在线数据查询耗时需≤5秒，百亿在线数据查询耗时需≤10秒；支持数据库实例上限需≥16个。</w:t>
            </w:r>
          </w:p>
        </w:tc>
      </w:tr>
      <w:tr w14:paraId="18F93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continue"/>
            <w:noWrap w:val="0"/>
            <w:vAlign w:val="center"/>
          </w:tcPr>
          <w:p w14:paraId="21EDA1DB">
            <w:pPr>
              <w:rPr>
                <w:rFonts w:hint="eastAsia" w:ascii="宋体" w:hAnsi="宋体" w:cs="宋体"/>
                <w:sz w:val="24"/>
              </w:rPr>
            </w:pPr>
          </w:p>
        </w:tc>
        <w:tc>
          <w:tcPr>
            <w:tcW w:w="7688" w:type="dxa"/>
            <w:noWrap w:val="0"/>
            <w:vAlign w:val="center"/>
          </w:tcPr>
          <w:p w14:paraId="53149924">
            <w:pPr>
              <w:widowControl/>
              <w:rPr>
                <w:rFonts w:hint="eastAsia" w:ascii="宋体" w:hAnsi="宋体" w:cs="宋体"/>
                <w:color w:val="000000"/>
                <w:kern w:val="0"/>
                <w:sz w:val="24"/>
              </w:rPr>
            </w:pPr>
            <w:r>
              <w:rPr>
                <w:rFonts w:hint="eastAsia" w:ascii="宋体" w:hAnsi="宋体" w:cs="宋体"/>
                <w:color w:val="000000"/>
                <w:kern w:val="0"/>
                <w:sz w:val="24"/>
              </w:rPr>
              <w:t>2.需支持审计和告警语句会话回放。</w:t>
            </w:r>
          </w:p>
        </w:tc>
      </w:tr>
      <w:tr w14:paraId="582BC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continue"/>
            <w:noWrap w:val="0"/>
            <w:vAlign w:val="center"/>
          </w:tcPr>
          <w:p w14:paraId="20E36E32">
            <w:pPr>
              <w:rPr>
                <w:rFonts w:hint="eastAsia" w:ascii="宋体" w:hAnsi="宋体" w:cs="宋体"/>
                <w:sz w:val="24"/>
              </w:rPr>
            </w:pPr>
          </w:p>
        </w:tc>
        <w:tc>
          <w:tcPr>
            <w:tcW w:w="7688" w:type="dxa"/>
            <w:noWrap w:val="0"/>
            <w:vAlign w:val="center"/>
          </w:tcPr>
          <w:p w14:paraId="416ACFD0">
            <w:pPr>
              <w:widowControl/>
              <w:rPr>
                <w:rFonts w:hint="eastAsia" w:ascii="宋体" w:hAnsi="宋体" w:cs="宋体"/>
                <w:color w:val="000000"/>
                <w:kern w:val="0"/>
                <w:sz w:val="24"/>
              </w:rPr>
            </w:pPr>
            <w:r>
              <w:rPr>
                <w:rFonts w:hint="eastAsia" w:ascii="宋体" w:hAnsi="宋体" w:cs="宋体"/>
                <w:bCs/>
                <w:kern w:val="0"/>
                <w:sz w:val="24"/>
              </w:rPr>
              <w:t>▲3.</w:t>
            </w:r>
            <w:r>
              <w:rPr>
                <w:rFonts w:hint="eastAsia" w:ascii="宋体" w:hAnsi="宋体" w:cs="宋体"/>
                <w:color w:val="000000"/>
                <w:kern w:val="0"/>
                <w:sz w:val="24"/>
              </w:rPr>
              <w:t>审计日志导出控制，需要输入密码认证。</w:t>
            </w:r>
            <w:r>
              <w:rPr>
                <w:rFonts w:hint="eastAsia" w:ascii="宋体" w:hAnsi="宋体" w:cs="宋体"/>
                <w:color w:val="000000"/>
                <w:sz w:val="24"/>
              </w:rPr>
              <w:t>（提供产品功能截图并加盖公章）</w:t>
            </w:r>
          </w:p>
        </w:tc>
      </w:tr>
      <w:tr w14:paraId="41D42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continue"/>
            <w:noWrap w:val="0"/>
            <w:vAlign w:val="center"/>
          </w:tcPr>
          <w:p w14:paraId="6B025C19">
            <w:pPr>
              <w:rPr>
                <w:rFonts w:hint="eastAsia" w:ascii="宋体" w:hAnsi="宋体" w:cs="宋体"/>
                <w:sz w:val="24"/>
              </w:rPr>
            </w:pPr>
          </w:p>
        </w:tc>
        <w:tc>
          <w:tcPr>
            <w:tcW w:w="7688" w:type="dxa"/>
            <w:noWrap w:val="0"/>
            <w:vAlign w:val="center"/>
          </w:tcPr>
          <w:p w14:paraId="53D8FDE5">
            <w:pPr>
              <w:widowControl/>
              <w:rPr>
                <w:rFonts w:hint="eastAsia" w:ascii="宋体" w:hAnsi="宋体" w:cs="宋体"/>
                <w:color w:val="000000"/>
                <w:kern w:val="0"/>
                <w:sz w:val="24"/>
              </w:rPr>
            </w:pPr>
            <w:r>
              <w:rPr>
                <w:rFonts w:hint="eastAsia" w:ascii="宋体" w:hAnsi="宋体" w:cs="宋体"/>
                <w:color w:val="000000"/>
                <w:kern w:val="0"/>
                <w:sz w:val="24"/>
              </w:rPr>
              <w:t>4.需支持原始数据采集，对各种数据库的流量信息进行详情监测功能，包括数据库地址、进出记录的时间和风险信息等日志。</w:t>
            </w:r>
          </w:p>
        </w:tc>
      </w:tr>
      <w:tr w14:paraId="2C9D8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continue"/>
            <w:noWrap w:val="0"/>
            <w:vAlign w:val="center"/>
          </w:tcPr>
          <w:p w14:paraId="0820AB89">
            <w:pPr>
              <w:rPr>
                <w:rFonts w:hint="eastAsia" w:ascii="宋体" w:hAnsi="宋体" w:cs="宋体"/>
                <w:sz w:val="24"/>
              </w:rPr>
            </w:pPr>
          </w:p>
        </w:tc>
        <w:tc>
          <w:tcPr>
            <w:tcW w:w="7688" w:type="dxa"/>
            <w:noWrap w:val="0"/>
            <w:vAlign w:val="center"/>
          </w:tcPr>
          <w:p w14:paraId="520BAA24">
            <w:pPr>
              <w:widowControl/>
              <w:rPr>
                <w:rFonts w:hint="eastAsia" w:ascii="宋体" w:hAnsi="宋体" w:cs="宋体"/>
                <w:color w:val="000000"/>
                <w:kern w:val="0"/>
                <w:sz w:val="24"/>
              </w:rPr>
            </w:pPr>
            <w:r>
              <w:rPr>
                <w:rFonts w:hint="eastAsia" w:ascii="宋体" w:hAnsi="宋体" w:cs="宋体"/>
                <w:color w:val="000000"/>
                <w:kern w:val="0"/>
                <w:sz w:val="24"/>
              </w:rPr>
              <w:t>5.需支持风险批量处置。</w:t>
            </w:r>
          </w:p>
        </w:tc>
      </w:tr>
      <w:tr w14:paraId="5D18C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continue"/>
            <w:noWrap w:val="0"/>
            <w:vAlign w:val="center"/>
          </w:tcPr>
          <w:p w14:paraId="5E130AB5">
            <w:pPr>
              <w:rPr>
                <w:rFonts w:hint="eastAsia" w:ascii="宋体" w:hAnsi="宋体" w:cs="宋体"/>
                <w:sz w:val="24"/>
              </w:rPr>
            </w:pPr>
          </w:p>
        </w:tc>
        <w:tc>
          <w:tcPr>
            <w:tcW w:w="7688" w:type="dxa"/>
            <w:noWrap w:val="0"/>
            <w:vAlign w:val="center"/>
          </w:tcPr>
          <w:p w14:paraId="0FF25659">
            <w:pPr>
              <w:widowControl/>
              <w:rPr>
                <w:rFonts w:hint="eastAsia" w:ascii="宋体" w:hAnsi="宋体" w:cs="宋体"/>
                <w:color w:val="000000"/>
                <w:kern w:val="0"/>
                <w:sz w:val="24"/>
              </w:rPr>
            </w:pPr>
            <w:r>
              <w:rPr>
                <w:rFonts w:hint="eastAsia" w:ascii="宋体" w:hAnsi="宋体" w:cs="宋体"/>
                <w:color w:val="000000"/>
                <w:kern w:val="0"/>
                <w:sz w:val="24"/>
                <w:lang w:bidi="ar"/>
              </w:rPr>
              <w:t>6.需支持Syslog、Snmp Trap、邮件等三种告警方式</w:t>
            </w:r>
            <w:r>
              <w:rPr>
                <w:rFonts w:hint="eastAsia" w:ascii="宋体" w:hAnsi="宋体" w:cs="宋体"/>
                <w:color w:val="000000"/>
                <w:sz w:val="24"/>
                <w:lang w:bidi="ar"/>
              </w:rPr>
              <w:t>功能。</w:t>
            </w:r>
          </w:p>
        </w:tc>
      </w:tr>
      <w:tr w14:paraId="5CE5C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continue"/>
            <w:noWrap w:val="0"/>
            <w:vAlign w:val="center"/>
          </w:tcPr>
          <w:p w14:paraId="1E8DFB33">
            <w:pPr>
              <w:rPr>
                <w:rFonts w:hint="eastAsia" w:ascii="宋体" w:hAnsi="宋体" w:cs="宋体"/>
                <w:sz w:val="24"/>
              </w:rPr>
            </w:pPr>
          </w:p>
        </w:tc>
        <w:tc>
          <w:tcPr>
            <w:tcW w:w="7688" w:type="dxa"/>
            <w:noWrap w:val="0"/>
            <w:vAlign w:val="center"/>
          </w:tcPr>
          <w:p w14:paraId="70BB8AEE">
            <w:pPr>
              <w:widowControl/>
              <w:rPr>
                <w:rFonts w:hint="eastAsia" w:ascii="宋体" w:hAnsi="宋体" w:cs="宋体"/>
                <w:color w:val="000000"/>
                <w:kern w:val="0"/>
                <w:sz w:val="24"/>
              </w:rPr>
            </w:pPr>
            <w:r>
              <w:rPr>
                <w:rFonts w:hint="eastAsia" w:ascii="宋体" w:hAnsi="宋体" w:cs="宋体"/>
                <w:color w:val="000000"/>
                <w:kern w:val="0"/>
                <w:sz w:val="24"/>
              </w:rPr>
              <w:t>7.需支持从多维度对日志数量、风险数量、SQL流量进行展示。</w:t>
            </w:r>
          </w:p>
        </w:tc>
      </w:tr>
      <w:tr w14:paraId="53106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continue"/>
            <w:noWrap w:val="0"/>
            <w:vAlign w:val="center"/>
          </w:tcPr>
          <w:p w14:paraId="25AC9EBF">
            <w:pPr>
              <w:rPr>
                <w:rFonts w:hint="eastAsia" w:ascii="宋体" w:hAnsi="宋体" w:cs="宋体"/>
                <w:sz w:val="24"/>
              </w:rPr>
            </w:pPr>
          </w:p>
        </w:tc>
        <w:tc>
          <w:tcPr>
            <w:tcW w:w="7688" w:type="dxa"/>
            <w:noWrap w:val="0"/>
            <w:vAlign w:val="center"/>
          </w:tcPr>
          <w:p w14:paraId="681E6E56">
            <w:pPr>
              <w:widowControl/>
              <w:rPr>
                <w:rFonts w:hint="eastAsia" w:ascii="宋体" w:hAnsi="宋体" w:cs="宋体"/>
                <w:color w:val="000000"/>
                <w:kern w:val="0"/>
                <w:sz w:val="24"/>
              </w:rPr>
            </w:pPr>
            <w:r>
              <w:rPr>
                <w:rFonts w:hint="eastAsia" w:ascii="宋体" w:hAnsi="宋体" w:cs="宋体"/>
                <w:color w:val="000000"/>
                <w:kern w:val="0"/>
                <w:sz w:val="24"/>
              </w:rPr>
              <w:t>8.需支持对统计数据进行下钻分析、以列表方式展示分析结果。</w:t>
            </w:r>
          </w:p>
        </w:tc>
      </w:tr>
      <w:tr w14:paraId="03D5E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continue"/>
            <w:noWrap w:val="0"/>
            <w:vAlign w:val="center"/>
          </w:tcPr>
          <w:p w14:paraId="488CDB7E">
            <w:pPr>
              <w:rPr>
                <w:rFonts w:hint="eastAsia" w:ascii="宋体" w:hAnsi="宋体" w:cs="宋体"/>
                <w:sz w:val="24"/>
              </w:rPr>
            </w:pPr>
          </w:p>
        </w:tc>
        <w:tc>
          <w:tcPr>
            <w:tcW w:w="7688" w:type="dxa"/>
            <w:noWrap w:val="0"/>
            <w:vAlign w:val="center"/>
          </w:tcPr>
          <w:p w14:paraId="54D1AD75">
            <w:pPr>
              <w:widowControl/>
              <w:rPr>
                <w:rFonts w:hint="eastAsia" w:ascii="宋体" w:hAnsi="宋体" w:cs="宋体"/>
                <w:color w:val="000000"/>
                <w:kern w:val="0"/>
                <w:sz w:val="24"/>
              </w:rPr>
            </w:pPr>
            <w:r>
              <w:rPr>
                <w:rFonts w:hint="eastAsia" w:ascii="宋体" w:hAnsi="宋体" w:cs="宋体"/>
                <w:color w:val="000000"/>
                <w:kern w:val="0"/>
                <w:sz w:val="24"/>
              </w:rPr>
              <w:t>9.需支持对象统计、可查看对象访问的详情，支持桑基图统计对象操作信息。</w:t>
            </w:r>
          </w:p>
        </w:tc>
      </w:tr>
      <w:tr w14:paraId="54BCB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continue"/>
            <w:noWrap w:val="0"/>
            <w:vAlign w:val="center"/>
          </w:tcPr>
          <w:p w14:paraId="088F06CE">
            <w:pPr>
              <w:rPr>
                <w:rFonts w:hint="eastAsia" w:ascii="宋体" w:hAnsi="宋体" w:cs="宋体"/>
                <w:sz w:val="24"/>
              </w:rPr>
            </w:pPr>
          </w:p>
        </w:tc>
        <w:tc>
          <w:tcPr>
            <w:tcW w:w="7688" w:type="dxa"/>
            <w:noWrap w:val="0"/>
            <w:vAlign w:val="center"/>
          </w:tcPr>
          <w:p w14:paraId="3470D9B1">
            <w:pPr>
              <w:widowControl/>
              <w:rPr>
                <w:rFonts w:hint="eastAsia" w:ascii="宋体" w:hAnsi="宋体" w:cs="宋体"/>
                <w:color w:val="000000"/>
                <w:kern w:val="0"/>
                <w:sz w:val="24"/>
              </w:rPr>
            </w:pPr>
            <w:r>
              <w:rPr>
                <w:rFonts w:hint="eastAsia" w:ascii="宋体" w:hAnsi="宋体" w:cs="宋体"/>
                <w:color w:val="000000"/>
                <w:kern w:val="0"/>
                <w:sz w:val="24"/>
              </w:rPr>
              <w:t>10.需支持三权分立，提供系统管理员、安全管理员、审计管理员，满足合规要求。</w:t>
            </w:r>
          </w:p>
        </w:tc>
      </w:tr>
      <w:tr w14:paraId="469C2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continue"/>
            <w:noWrap w:val="0"/>
            <w:vAlign w:val="center"/>
          </w:tcPr>
          <w:p w14:paraId="48B9DD68">
            <w:pPr>
              <w:rPr>
                <w:rFonts w:hint="eastAsia" w:ascii="宋体" w:hAnsi="宋体" w:cs="宋体"/>
                <w:sz w:val="24"/>
              </w:rPr>
            </w:pPr>
          </w:p>
        </w:tc>
        <w:tc>
          <w:tcPr>
            <w:tcW w:w="7688" w:type="dxa"/>
            <w:noWrap w:val="0"/>
            <w:vAlign w:val="center"/>
          </w:tcPr>
          <w:p w14:paraId="0A9091FB">
            <w:pPr>
              <w:widowControl/>
              <w:rPr>
                <w:rFonts w:hint="eastAsia" w:ascii="宋体" w:hAnsi="宋体" w:cs="宋体"/>
                <w:color w:val="000000"/>
                <w:kern w:val="0"/>
                <w:sz w:val="24"/>
              </w:rPr>
            </w:pPr>
            <w:r>
              <w:rPr>
                <w:rFonts w:hint="eastAsia" w:ascii="宋体" w:hAnsi="宋体" w:cs="宋体"/>
                <w:bCs/>
                <w:kern w:val="0"/>
                <w:sz w:val="24"/>
              </w:rPr>
              <w:t>▲11.</w:t>
            </w:r>
            <w:r>
              <w:rPr>
                <w:rFonts w:hint="eastAsia" w:ascii="宋体" w:hAnsi="宋体" w:cs="宋体"/>
                <w:color w:val="000000"/>
                <w:kern w:val="0"/>
                <w:sz w:val="24"/>
              </w:rPr>
              <w:t>需具备软件著作权登记证书及</w:t>
            </w:r>
            <w:r>
              <w:rPr>
                <w:rFonts w:hint="eastAsia" w:ascii="宋体" w:hAnsi="宋体" w:cs="宋体"/>
                <w:bCs/>
                <w:kern w:val="0"/>
                <w:sz w:val="24"/>
              </w:rPr>
              <w:t>网络安全专用产品安全检测证书</w:t>
            </w:r>
            <w:r>
              <w:rPr>
                <w:rFonts w:hint="eastAsia" w:ascii="宋体" w:hAnsi="宋体" w:cs="宋体"/>
                <w:color w:val="000000"/>
                <w:kern w:val="0"/>
                <w:sz w:val="24"/>
              </w:rPr>
              <w:t>；需具有</w:t>
            </w:r>
            <w:r>
              <w:rPr>
                <w:rFonts w:hint="eastAsia" w:ascii="宋体" w:hAnsi="宋体" w:cs="宋体"/>
                <w:bCs/>
                <w:kern w:val="0"/>
                <w:sz w:val="24"/>
              </w:rPr>
              <w:t>中国网络安全审查认证和市场监管大数据中心（原中国网络安全审查技术与认证中心）</w:t>
            </w:r>
            <w:r>
              <w:rPr>
                <w:rFonts w:hint="eastAsia" w:ascii="宋体" w:hAnsi="宋体" w:cs="宋体"/>
                <w:color w:val="000000"/>
                <w:kern w:val="0"/>
                <w:sz w:val="24"/>
              </w:rPr>
              <w:t>颁发的中国国家信息安全认证证书；</w:t>
            </w:r>
          </w:p>
          <w:p w14:paraId="0372CDF3">
            <w:pPr>
              <w:widowControl/>
              <w:rPr>
                <w:rFonts w:hint="eastAsia" w:ascii="宋体" w:hAnsi="宋体" w:cs="宋体"/>
                <w:sz w:val="24"/>
              </w:rPr>
            </w:pPr>
            <w:r>
              <w:rPr>
                <w:rFonts w:hint="eastAsia" w:ascii="宋体" w:hAnsi="宋体" w:cs="宋体"/>
                <w:sz w:val="24"/>
              </w:rPr>
              <w:t>（提供有效证书扫描件并加盖公章）</w:t>
            </w:r>
          </w:p>
        </w:tc>
      </w:tr>
      <w:tr w14:paraId="7BDD3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continue"/>
            <w:noWrap w:val="0"/>
            <w:vAlign w:val="center"/>
          </w:tcPr>
          <w:p w14:paraId="006B56B1">
            <w:pPr>
              <w:rPr>
                <w:rFonts w:hint="eastAsia" w:ascii="宋体" w:hAnsi="宋体" w:cs="宋体"/>
                <w:sz w:val="24"/>
              </w:rPr>
            </w:pPr>
          </w:p>
        </w:tc>
        <w:tc>
          <w:tcPr>
            <w:tcW w:w="7688" w:type="dxa"/>
            <w:noWrap w:val="0"/>
            <w:vAlign w:val="center"/>
          </w:tcPr>
          <w:p w14:paraId="0C09948C">
            <w:pPr>
              <w:widowControl/>
              <w:rPr>
                <w:rFonts w:hint="eastAsia" w:ascii="宋体" w:hAnsi="宋体" w:cs="宋体"/>
                <w:color w:val="000000"/>
                <w:kern w:val="0"/>
                <w:sz w:val="24"/>
              </w:rPr>
            </w:pPr>
            <w:r>
              <w:rPr>
                <w:rFonts w:hint="eastAsia" w:ascii="宋体" w:hAnsi="宋体" w:cs="宋体"/>
                <w:bCs/>
                <w:kern w:val="0"/>
                <w:sz w:val="24"/>
              </w:rPr>
              <w:t>▲12.</w:t>
            </w:r>
            <w:r>
              <w:rPr>
                <w:rFonts w:hint="eastAsia" w:ascii="宋体" w:hAnsi="宋体" w:cs="宋体"/>
                <w:sz w:val="24"/>
              </w:rPr>
              <w:t>需具有麒麟软件适配认证证书；（</w:t>
            </w:r>
            <w:r>
              <w:rPr>
                <w:rFonts w:hint="eastAsia" w:ascii="宋体" w:hAnsi="宋体" w:cs="宋体"/>
                <w:color w:val="000000"/>
                <w:sz w:val="24"/>
              </w:rPr>
              <w:t>提供证书复印件并加盖公章</w:t>
            </w:r>
            <w:r>
              <w:rPr>
                <w:rFonts w:hint="eastAsia" w:ascii="宋体" w:hAnsi="宋体" w:cs="宋体"/>
                <w:sz w:val="24"/>
              </w:rPr>
              <w:t>）</w:t>
            </w:r>
          </w:p>
        </w:tc>
      </w:tr>
    </w:tbl>
    <w:p w14:paraId="6B2378BB">
      <w:pPr>
        <w:keepNext/>
        <w:keepLines/>
        <w:spacing w:before="160" w:after="80"/>
        <w:outlineLvl w:val="3"/>
        <w:rPr>
          <w:rFonts w:hint="eastAsia" w:ascii="宋体" w:hAnsi="宋体" w:cs="宋体"/>
          <w:b/>
          <w:bCs/>
          <w:sz w:val="24"/>
        </w:rPr>
      </w:pPr>
      <w:r>
        <w:rPr>
          <w:rFonts w:hint="eastAsia" w:ascii="宋体" w:hAnsi="宋体" w:cs="宋体"/>
          <w:b/>
          <w:bCs/>
          <w:sz w:val="24"/>
        </w:rPr>
        <w:t>4.3.5 安全运营服务</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4"/>
        <w:gridCol w:w="7688"/>
      </w:tblGrid>
      <w:tr w14:paraId="5F0FE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74" w:type="dxa"/>
            <w:noWrap w:val="0"/>
            <w:vAlign w:val="center"/>
          </w:tcPr>
          <w:p w14:paraId="6FEA51F9">
            <w:pPr>
              <w:widowControl/>
              <w:jc w:val="center"/>
              <w:rPr>
                <w:rFonts w:hint="eastAsia" w:ascii="宋体" w:hAnsi="宋体" w:cs="宋体"/>
                <w:b/>
                <w:bCs/>
                <w:kern w:val="0"/>
                <w:sz w:val="24"/>
              </w:rPr>
            </w:pPr>
            <w:r>
              <w:rPr>
                <w:rFonts w:hint="eastAsia" w:ascii="宋体" w:hAnsi="宋体" w:cs="宋体"/>
                <w:b/>
                <w:bCs/>
                <w:kern w:val="0"/>
                <w:sz w:val="24"/>
              </w:rPr>
              <w:t>服务名称</w:t>
            </w:r>
          </w:p>
        </w:tc>
        <w:tc>
          <w:tcPr>
            <w:tcW w:w="7688" w:type="dxa"/>
            <w:noWrap w:val="0"/>
            <w:vAlign w:val="top"/>
          </w:tcPr>
          <w:p w14:paraId="7B778373">
            <w:pPr>
              <w:jc w:val="center"/>
              <w:rPr>
                <w:rFonts w:hint="eastAsia" w:ascii="宋体" w:hAnsi="宋体" w:cs="宋体"/>
                <w:b/>
                <w:bCs/>
                <w:color w:val="000000"/>
                <w:sz w:val="24"/>
              </w:rPr>
            </w:pPr>
            <w:r>
              <w:rPr>
                <w:rFonts w:hint="eastAsia" w:ascii="宋体" w:hAnsi="宋体" w:cs="宋体"/>
                <w:b/>
                <w:bCs/>
                <w:color w:val="000000"/>
                <w:sz w:val="24"/>
              </w:rPr>
              <w:t>服务指标要求</w:t>
            </w:r>
          </w:p>
        </w:tc>
      </w:tr>
      <w:tr w14:paraId="317AD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74" w:type="dxa"/>
            <w:vMerge w:val="restart"/>
            <w:noWrap w:val="0"/>
            <w:vAlign w:val="center"/>
          </w:tcPr>
          <w:p w14:paraId="4E267A65">
            <w:pPr>
              <w:widowControl/>
              <w:jc w:val="center"/>
              <w:rPr>
                <w:rFonts w:hint="eastAsia" w:ascii="宋体" w:hAnsi="宋体" w:cs="宋体"/>
                <w:kern w:val="0"/>
                <w:sz w:val="24"/>
              </w:rPr>
            </w:pPr>
            <w:r>
              <w:rPr>
                <w:rFonts w:hint="eastAsia" w:ascii="宋体" w:hAnsi="宋体" w:cs="宋体"/>
                <w:kern w:val="0"/>
                <w:sz w:val="24"/>
              </w:rPr>
              <w:t>安全运营服务</w:t>
            </w:r>
          </w:p>
        </w:tc>
        <w:tc>
          <w:tcPr>
            <w:tcW w:w="7688" w:type="dxa"/>
            <w:noWrap w:val="0"/>
            <w:vAlign w:val="center"/>
          </w:tcPr>
          <w:p w14:paraId="79CADEBC">
            <w:pPr>
              <w:rPr>
                <w:rFonts w:hint="eastAsia" w:ascii="宋体" w:hAnsi="宋体" w:cs="宋体"/>
                <w:bCs/>
                <w:kern w:val="0"/>
                <w:sz w:val="24"/>
              </w:rPr>
            </w:pPr>
            <w:r>
              <w:rPr>
                <w:rFonts w:hint="eastAsia" w:ascii="宋体" w:hAnsi="宋体" w:cs="宋体"/>
                <w:bCs/>
                <w:kern w:val="0"/>
                <w:sz w:val="24"/>
              </w:rPr>
              <w:t>1.需支持管理≥300个资产。</w:t>
            </w:r>
          </w:p>
        </w:tc>
      </w:tr>
      <w:tr w14:paraId="69DC4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continue"/>
            <w:noWrap w:val="0"/>
            <w:vAlign w:val="center"/>
          </w:tcPr>
          <w:p w14:paraId="4390EFFF">
            <w:pPr>
              <w:jc w:val="center"/>
              <w:rPr>
                <w:rFonts w:hint="eastAsia" w:ascii="宋体" w:hAnsi="宋体" w:cs="宋体"/>
                <w:sz w:val="24"/>
              </w:rPr>
            </w:pPr>
          </w:p>
        </w:tc>
        <w:tc>
          <w:tcPr>
            <w:tcW w:w="7688" w:type="dxa"/>
            <w:noWrap w:val="0"/>
            <w:vAlign w:val="center"/>
          </w:tcPr>
          <w:p w14:paraId="3A263BA4">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2.需展示平台综合态势；支持展示资产总体安全态势及资产安全指数、告警、统计；展示漏洞闭环处置数量情况，漏洞数量趋势图；支持展示安全告警数量及趋势图；支持展示威胁事件的数量情况，以态势图及趋势图两种不同形式展示威胁分类和数量；支持对工单的响应处置进行统计。</w:t>
            </w:r>
          </w:p>
        </w:tc>
      </w:tr>
      <w:tr w14:paraId="17531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continue"/>
            <w:noWrap w:val="0"/>
            <w:vAlign w:val="center"/>
          </w:tcPr>
          <w:p w14:paraId="2F26D3DD">
            <w:pPr>
              <w:jc w:val="center"/>
              <w:rPr>
                <w:rFonts w:hint="eastAsia" w:ascii="宋体" w:hAnsi="宋体" w:cs="宋体"/>
                <w:sz w:val="24"/>
              </w:rPr>
            </w:pPr>
          </w:p>
        </w:tc>
        <w:tc>
          <w:tcPr>
            <w:tcW w:w="7688" w:type="dxa"/>
            <w:noWrap w:val="0"/>
            <w:vAlign w:val="center"/>
          </w:tcPr>
          <w:p w14:paraId="3FA90D7F">
            <w:pPr>
              <w:widowControl/>
              <w:jc w:val="left"/>
              <w:textAlignment w:val="center"/>
              <w:rPr>
                <w:rFonts w:hint="eastAsia" w:ascii="宋体" w:hAnsi="宋体" w:cs="宋体"/>
                <w:color w:val="000000"/>
                <w:sz w:val="24"/>
              </w:rPr>
            </w:pPr>
            <w:r>
              <w:rPr>
                <w:rFonts w:hint="eastAsia" w:ascii="宋体" w:hAnsi="宋体" w:cs="宋体"/>
                <w:bCs/>
                <w:kern w:val="0"/>
                <w:sz w:val="24"/>
              </w:rPr>
              <w:t>3.</w:t>
            </w:r>
            <w:r>
              <w:rPr>
                <w:rFonts w:hint="eastAsia" w:ascii="宋体" w:hAnsi="宋体" w:cs="宋体"/>
                <w:color w:val="000000"/>
                <w:kern w:val="0"/>
                <w:sz w:val="24"/>
                <w:lang w:bidi="ar"/>
              </w:rPr>
              <w:t>需展示资产的运营状态页面；支持展示不同状态资产的数量以及资产中检测到的不同类型告警数量、威胁事件数量、监控状态数量；统计展示风险指数最高的资产/业务系统排行、资产安全趋势图、外连威胁列表；支持展示资产检测到的实时告警列表，并可通过列表内点击跳转至漏洞处置页面。</w:t>
            </w:r>
            <w:r>
              <w:rPr>
                <w:rFonts w:hint="eastAsia" w:ascii="宋体" w:hAnsi="宋体" w:cs="宋体"/>
                <w:color w:val="000000"/>
                <w:sz w:val="24"/>
              </w:rPr>
              <w:t>（提供产品功能截图并加盖公章）</w:t>
            </w:r>
          </w:p>
        </w:tc>
      </w:tr>
      <w:tr w14:paraId="0EA5A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continue"/>
            <w:noWrap w:val="0"/>
            <w:vAlign w:val="center"/>
          </w:tcPr>
          <w:p w14:paraId="5C1057E9">
            <w:pPr>
              <w:jc w:val="center"/>
              <w:rPr>
                <w:rFonts w:hint="eastAsia" w:ascii="宋体" w:hAnsi="宋体" w:cs="宋体"/>
                <w:sz w:val="24"/>
              </w:rPr>
            </w:pPr>
          </w:p>
        </w:tc>
        <w:tc>
          <w:tcPr>
            <w:tcW w:w="7688" w:type="dxa"/>
            <w:noWrap w:val="0"/>
            <w:vAlign w:val="center"/>
          </w:tcPr>
          <w:p w14:paraId="518E23C7">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4.需支持资产台账的展示；统计展示各类型资产数量及总数、资产类型树、资产列表；需支持对资产的查询、添加、导入、导出、修改、删除、配置等操作。</w:t>
            </w:r>
          </w:p>
        </w:tc>
      </w:tr>
      <w:tr w14:paraId="3FCA1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continue"/>
            <w:noWrap w:val="0"/>
            <w:vAlign w:val="center"/>
          </w:tcPr>
          <w:p w14:paraId="66EE5D56">
            <w:pPr>
              <w:jc w:val="center"/>
              <w:rPr>
                <w:rFonts w:hint="eastAsia" w:ascii="宋体" w:hAnsi="宋体" w:cs="宋体"/>
                <w:sz w:val="24"/>
              </w:rPr>
            </w:pPr>
          </w:p>
        </w:tc>
        <w:tc>
          <w:tcPr>
            <w:tcW w:w="7688" w:type="dxa"/>
            <w:noWrap w:val="0"/>
            <w:vAlign w:val="center"/>
          </w:tcPr>
          <w:p w14:paraId="01311D38">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5.需展示拓扑管理页面；页面内展示可选择绘制的资产类型及连线，需展示拓扑图以反映组网情况和运行状态；支持拓扑图的绘制、添加及删除连线、节点的添加及删除等操作。</w:t>
            </w:r>
          </w:p>
        </w:tc>
      </w:tr>
      <w:tr w14:paraId="0EEA1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continue"/>
            <w:noWrap w:val="0"/>
            <w:vAlign w:val="center"/>
          </w:tcPr>
          <w:p w14:paraId="35330476">
            <w:pPr>
              <w:jc w:val="center"/>
              <w:rPr>
                <w:rFonts w:hint="eastAsia" w:ascii="宋体" w:hAnsi="宋体" w:cs="宋体"/>
                <w:sz w:val="24"/>
              </w:rPr>
            </w:pPr>
          </w:p>
        </w:tc>
        <w:tc>
          <w:tcPr>
            <w:tcW w:w="7688" w:type="dxa"/>
            <w:noWrap w:val="0"/>
            <w:vAlign w:val="center"/>
          </w:tcPr>
          <w:p w14:paraId="4BA39C4E">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6.需展示概览统计页面；页面需展示日志数量统计、今日日志数据类型统计图、近30天日志数量趋势图、近15天日志告警趋势图。</w:t>
            </w:r>
          </w:p>
        </w:tc>
      </w:tr>
      <w:tr w14:paraId="20805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continue"/>
            <w:noWrap w:val="0"/>
            <w:vAlign w:val="center"/>
          </w:tcPr>
          <w:p w14:paraId="037E0221">
            <w:pPr>
              <w:jc w:val="center"/>
              <w:rPr>
                <w:rFonts w:hint="eastAsia" w:ascii="宋体" w:hAnsi="宋体" w:cs="宋体"/>
                <w:sz w:val="24"/>
              </w:rPr>
            </w:pPr>
          </w:p>
        </w:tc>
        <w:tc>
          <w:tcPr>
            <w:tcW w:w="7688" w:type="dxa"/>
            <w:noWrap w:val="0"/>
            <w:vAlign w:val="center"/>
          </w:tcPr>
          <w:p w14:paraId="61965558">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7.需展示实时告警页面；页面需展示今日告警数、已处置告警数、未处置告警数、告警总量；需支持统计展示近15天的告警数量趋势图；需支持展示未处置告警列表、已处置告警列表、已忽略告警列表；需支持对未处置告警生成工单、批量忽略、详情查看等操作；已处置告警列表需支持详情查看操作，详情信息需包括告警信息、规则详情、告警数据源、资产信息。</w:t>
            </w:r>
          </w:p>
        </w:tc>
      </w:tr>
      <w:tr w14:paraId="79831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continue"/>
            <w:noWrap w:val="0"/>
            <w:vAlign w:val="center"/>
          </w:tcPr>
          <w:p w14:paraId="4D7F0CB1">
            <w:pPr>
              <w:jc w:val="center"/>
              <w:rPr>
                <w:rFonts w:hint="eastAsia" w:ascii="宋体" w:hAnsi="宋体" w:cs="宋体"/>
                <w:sz w:val="24"/>
              </w:rPr>
            </w:pPr>
          </w:p>
        </w:tc>
        <w:tc>
          <w:tcPr>
            <w:tcW w:w="7688" w:type="dxa"/>
            <w:noWrap w:val="0"/>
            <w:vAlign w:val="center"/>
          </w:tcPr>
          <w:p w14:paraId="284ECF47">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8.需展示合规风险页面；页面需展示配置不合规项、巡检风险项、资产发现风险项。</w:t>
            </w:r>
          </w:p>
        </w:tc>
      </w:tr>
      <w:tr w14:paraId="75AAB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continue"/>
            <w:noWrap w:val="0"/>
            <w:vAlign w:val="center"/>
          </w:tcPr>
          <w:p w14:paraId="21469469">
            <w:pPr>
              <w:jc w:val="center"/>
              <w:rPr>
                <w:rFonts w:hint="eastAsia" w:ascii="宋体" w:hAnsi="宋体" w:cs="宋体"/>
                <w:sz w:val="24"/>
              </w:rPr>
            </w:pPr>
          </w:p>
        </w:tc>
        <w:tc>
          <w:tcPr>
            <w:tcW w:w="7688" w:type="dxa"/>
            <w:noWrap w:val="0"/>
            <w:vAlign w:val="center"/>
          </w:tcPr>
          <w:p w14:paraId="31461C0E">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9.需展示性能告警页面；页面需展示性能告警列表，列表信息包括但不限于告警名称、级别、资产名称、阈值、实际值、告警开始时间、告警恢复时间、告警次数、告警状态；支持对监控告警详情进行查看。</w:t>
            </w:r>
          </w:p>
        </w:tc>
      </w:tr>
      <w:tr w14:paraId="0B2CD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continue"/>
            <w:noWrap w:val="0"/>
            <w:vAlign w:val="center"/>
          </w:tcPr>
          <w:p w14:paraId="05598BD4">
            <w:pPr>
              <w:jc w:val="center"/>
              <w:rPr>
                <w:rFonts w:hint="eastAsia" w:ascii="宋体" w:hAnsi="宋体" w:cs="宋体"/>
                <w:sz w:val="24"/>
              </w:rPr>
            </w:pPr>
          </w:p>
        </w:tc>
        <w:tc>
          <w:tcPr>
            <w:tcW w:w="7688" w:type="dxa"/>
            <w:noWrap w:val="0"/>
            <w:vAlign w:val="center"/>
          </w:tcPr>
          <w:p w14:paraId="7A7F85C7">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10.需展示资产监控页面，页面需展示资产数量、开启监控数量、未开启监控数量、资产异常数量、资产中断数量、资产卡片/列表等。</w:t>
            </w:r>
          </w:p>
        </w:tc>
      </w:tr>
      <w:tr w14:paraId="773E6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continue"/>
            <w:noWrap w:val="0"/>
            <w:vAlign w:val="center"/>
          </w:tcPr>
          <w:p w14:paraId="2F5C0EC1">
            <w:pPr>
              <w:jc w:val="center"/>
              <w:rPr>
                <w:rFonts w:hint="eastAsia" w:ascii="宋体" w:hAnsi="宋体" w:cs="宋体"/>
                <w:sz w:val="24"/>
              </w:rPr>
            </w:pPr>
          </w:p>
        </w:tc>
        <w:tc>
          <w:tcPr>
            <w:tcW w:w="7688" w:type="dxa"/>
            <w:noWrap w:val="0"/>
            <w:vAlign w:val="center"/>
          </w:tcPr>
          <w:p w14:paraId="00F0938A">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11.需展示拓扑监控页面；页面需展示资产数量、开启监控数量、未开启监控数量、资产异常数量、资产中断数量、拓扑图、资产卡片、实时监控告警。</w:t>
            </w:r>
          </w:p>
        </w:tc>
      </w:tr>
      <w:tr w14:paraId="5D203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continue"/>
            <w:noWrap w:val="0"/>
            <w:vAlign w:val="center"/>
          </w:tcPr>
          <w:p w14:paraId="093F9F47">
            <w:pPr>
              <w:jc w:val="center"/>
              <w:rPr>
                <w:rFonts w:hint="eastAsia" w:ascii="宋体" w:hAnsi="宋体" w:cs="宋体"/>
                <w:sz w:val="24"/>
              </w:rPr>
            </w:pPr>
          </w:p>
        </w:tc>
        <w:tc>
          <w:tcPr>
            <w:tcW w:w="7688" w:type="dxa"/>
            <w:noWrap w:val="0"/>
            <w:vAlign w:val="center"/>
          </w:tcPr>
          <w:p w14:paraId="70255B01">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12.需展示配置核查报告页面；页面需展示配置核查报告任务列表及生成周期报告任务列表；需支持生成单次配置核查报告及周期配置核查报告；13.需支持报告的详情查看、删除、再次生成、下载操作；报告详情需展示报告综述、资产详情、检查项详情、参考标准。</w:t>
            </w:r>
          </w:p>
        </w:tc>
      </w:tr>
      <w:tr w14:paraId="495F1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continue"/>
            <w:noWrap w:val="0"/>
            <w:vAlign w:val="center"/>
          </w:tcPr>
          <w:p w14:paraId="1236ADAE">
            <w:pPr>
              <w:jc w:val="center"/>
              <w:rPr>
                <w:rFonts w:hint="eastAsia" w:ascii="宋体" w:hAnsi="宋体" w:cs="宋体"/>
                <w:sz w:val="24"/>
              </w:rPr>
            </w:pPr>
          </w:p>
        </w:tc>
        <w:tc>
          <w:tcPr>
            <w:tcW w:w="7688" w:type="dxa"/>
            <w:noWrap w:val="0"/>
            <w:vAlign w:val="center"/>
          </w:tcPr>
          <w:p w14:paraId="5BE34A7C">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14.需展示安全运营报告页面；页面需展示安全运营报告任务列表及生成周期报告任务列表；需支持生成单次安全运营报告及周期安全运营报告；需支持报告的详情查看、删除、再次生成、下载操作；</w:t>
            </w:r>
          </w:p>
        </w:tc>
      </w:tr>
      <w:tr w14:paraId="78887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continue"/>
            <w:noWrap w:val="0"/>
            <w:vAlign w:val="center"/>
          </w:tcPr>
          <w:p w14:paraId="4DE91540">
            <w:pPr>
              <w:jc w:val="center"/>
              <w:rPr>
                <w:rFonts w:hint="eastAsia" w:ascii="宋体" w:hAnsi="宋体" w:cs="宋体"/>
                <w:sz w:val="24"/>
              </w:rPr>
            </w:pPr>
          </w:p>
        </w:tc>
        <w:tc>
          <w:tcPr>
            <w:tcW w:w="7688" w:type="dxa"/>
            <w:noWrap w:val="0"/>
            <w:vAlign w:val="center"/>
          </w:tcPr>
          <w:p w14:paraId="0746A803">
            <w:pPr>
              <w:widowControl/>
              <w:jc w:val="left"/>
              <w:textAlignment w:val="center"/>
              <w:rPr>
                <w:rFonts w:hint="eastAsia" w:ascii="宋体" w:hAnsi="宋体" w:cs="宋体"/>
                <w:color w:val="000000"/>
                <w:sz w:val="24"/>
              </w:rPr>
            </w:pPr>
            <w:r>
              <w:rPr>
                <w:rFonts w:hint="eastAsia" w:ascii="宋体" w:hAnsi="宋体" w:cs="宋体"/>
                <w:color w:val="000000"/>
                <w:kern w:val="0"/>
                <w:sz w:val="24"/>
                <w:lang w:bidi="ar"/>
              </w:rPr>
              <w:t>15.需支持对登录日志及操作日志的管理。</w:t>
            </w:r>
          </w:p>
        </w:tc>
      </w:tr>
      <w:tr w14:paraId="08B51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4" w:type="dxa"/>
            <w:vMerge w:val="continue"/>
            <w:noWrap w:val="0"/>
            <w:vAlign w:val="center"/>
          </w:tcPr>
          <w:p w14:paraId="60901266">
            <w:pPr>
              <w:jc w:val="center"/>
              <w:rPr>
                <w:rFonts w:hint="eastAsia" w:ascii="宋体" w:hAnsi="宋体" w:cs="宋体"/>
                <w:sz w:val="24"/>
              </w:rPr>
            </w:pPr>
          </w:p>
        </w:tc>
        <w:tc>
          <w:tcPr>
            <w:tcW w:w="7688" w:type="dxa"/>
            <w:noWrap w:val="0"/>
            <w:vAlign w:val="center"/>
          </w:tcPr>
          <w:p w14:paraId="1890AF9D">
            <w:pPr>
              <w:widowControl/>
              <w:jc w:val="left"/>
              <w:textAlignment w:val="center"/>
              <w:rPr>
                <w:rFonts w:hint="eastAsia" w:ascii="宋体" w:hAnsi="宋体" w:cs="宋体"/>
                <w:color w:val="000000"/>
                <w:sz w:val="24"/>
              </w:rPr>
            </w:pPr>
            <w:r>
              <w:rPr>
                <w:rFonts w:hint="eastAsia" w:ascii="宋体" w:hAnsi="宋体" w:cs="宋体"/>
                <w:bCs/>
                <w:kern w:val="0"/>
                <w:sz w:val="24"/>
              </w:rPr>
              <w:t>▲16.</w:t>
            </w:r>
            <w:r>
              <w:rPr>
                <w:rFonts w:hint="eastAsia" w:ascii="宋体" w:hAnsi="宋体" w:cs="宋体"/>
                <w:color w:val="000000"/>
                <w:kern w:val="0"/>
                <w:sz w:val="24"/>
                <w:lang w:bidi="ar"/>
              </w:rPr>
              <w:t>需具备麒麟软件NeoCertify认证证书、统信软件产品互认证明；</w:t>
            </w:r>
            <w:r>
              <w:rPr>
                <w:rFonts w:hint="eastAsia" w:ascii="宋体" w:hAnsi="宋体" w:cs="宋体"/>
                <w:sz w:val="24"/>
              </w:rPr>
              <w:t>（提供有效证书扫描件并加盖公章）</w:t>
            </w:r>
          </w:p>
        </w:tc>
      </w:tr>
      <w:tr w14:paraId="747A0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74" w:type="dxa"/>
            <w:vMerge w:val="continue"/>
            <w:noWrap w:val="0"/>
            <w:vAlign w:val="center"/>
          </w:tcPr>
          <w:p w14:paraId="16411B0A">
            <w:pPr>
              <w:widowControl/>
              <w:jc w:val="center"/>
              <w:rPr>
                <w:rFonts w:hint="eastAsia" w:ascii="宋体" w:hAnsi="宋体" w:cs="宋体"/>
                <w:kern w:val="0"/>
                <w:sz w:val="24"/>
              </w:rPr>
            </w:pPr>
          </w:p>
        </w:tc>
        <w:tc>
          <w:tcPr>
            <w:tcW w:w="7688" w:type="dxa"/>
            <w:noWrap w:val="0"/>
            <w:vAlign w:val="center"/>
          </w:tcPr>
          <w:p w14:paraId="2AC78DBB">
            <w:pPr>
              <w:widowControl/>
              <w:jc w:val="left"/>
              <w:rPr>
                <w:rFonts w:hint="eastAsia" w:ascii="宋体" w:hAnsi="宋体" w:cs="宋体"/>
                <w:bCs/>
                <w:kern w:val="0"/>
                <w:sz w:val="24"/>
              </w:rPr>
            </w:pPr>
            <w:r>
              <w:rPr>
                <w:rFonts w:hint="eastAsia" w:ascii="宋体" w:hAnsi="宋体" w:cs="宋体"/>
                <w:bCs/>
                <w:kern w:val="0"/>
                <w:sz w:val="24"/>
              </w:rPr>
              <w:t>▲17.在服务期间，投标方须派遣1名服务工具供应商的原厂技术专家，为招标人信息系统提供1次安全巡检服务，服务人员需具备信息安全工程师、网络工程师、信息系统项目管理师证书，需提供证书复印件并加盖公章。</w:t>
            </w:r>
          </w:p>
        </w:tc>
      </w:tr>
    </w:tbl>
    <w:p w14:paraId="377199A2">
      <w:pPr>
        <w:keepNext/>
        <w:keepLines/>
        <w:spacing w:before="160" w:after="80"/>
        <w:outlineLvl w:val="3"/>
        <w:rPr>
          <w:rFonts w:hint="eastAsia" w:ascii="宋体" w:hAnsi="宋体" w:cs="宋体"/>
          <w:b/>
          <w:bCs/>
          <w:sz w:val="24"/>
        </w:rPr>
      </w:pPr>
      <w:r>
        <w:rPr>
          <w:rFonts w:hint="eastAsia" w:ascii="宋体" w:hAnsi="宋体" w:cs="宋体"/>
          <w:b/>
          <w:bCs/>
          <w:sz w:val="24"/>
        </w:rPr>
        <w:t>4.3.6 运维审计服务</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2"/>
        <w:gridCol w:w="7690"/>
      </w:tblGrid>
      <w:tr w14:paraId="058B0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2" w:type="dxa"/>
            <w:noWrap w:val="0"/>
            <w:vAlign w:val="center"/>
          </w:tcPr>
          <w:p w14:paraId="385B5835">
            <w:pPr>
              <w:widowControl/>
              <w:jc w:val="center"/>
              <w:rPr>
                <w:rFonts w:hint="eastAsia" w:ascii="宋体" w:hAnsi="宋体" w:cs="宋体"/>
                <w:kern w:val="0"/>
                <w:sz w:val="24"/>
              </w:rPr>
            </w:pPr>
            <w:r>
              <w:rPr>
                <w:rFonts w:hint="eastAsia" w:ascii="宋体" w:hAnsi="宋体" w:cs="宋体"/>
                <w:b/>
                <w:bCs/>
                <w:kern w:val="0"/>
                <w:sz w:val="24"/>
              </w:rPr>
              <w:t>服务名称</w:t>
            </w:r>
          </w:p>
        </w:tc>
        <w:tc>
          <w:tcPr>
            <w:tcW w:w="7690" w:type="dxa"/>
            <w:noWrap w:val="0"/>
            <w:vAlign w:val="top"/>
          </w:tcPr>
          <w:p w14:paraId="206769B0">
            <w:pPr>
              <w:jc w:val="center"/>
              <w:rPr>
                <w:rFonts w:hint="eastAsia" w:ascii="宋体" w:hAnsi="宋体" w:cs="宋体"/>
                <w:bCs/>
                <w:kern w:val="0"/>
                <w:sz w:val="24"/>
              </w:rPr>
            </w:pPr>
            <w:r>
              <w:rPr>
                <w:rFonts w:hint="eastAsia" w:ascii="宋体" w:hAnsi="宋体" w:cs="宋体"/>
                <w:b/>
                <w:bCs/>
                <w:color w:val="000000"/>
                <w:sz w:val="24"/>
              </w:rPr>
              <w:t>服务指标要求</w:t>
            </w:r>
          </w:p>
        </w:tc>
      </w:tr>
      <w:tr w14:paraId="7B7E7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2" w:type="dxa"/>
            <w:vMerge w:val="restart"/>
            <w:noWrap w:val="0"/>
            <w:vAlign w:val="center"/>
          </w:tcPr>
          <w:p w14:paraId="756B8A39">
            <w:pPr>
              <w:widowControl/>
              <w:jc w:val="center"/>
              <w:rPr>
                <w:rFonts w:hint="eastAsia" w:ascii="宋体" w:hAnsi="宋体" w:cs="宋体"/>
                <w:kern w:val="0"/>
                <w:sz w:val="24"/>
              </w:rPr>
            </w:pPr>
            <w:r>
              <w:rPr>
                <w:rFonts w:hint="eastAsia" w:ascii="宋体" w:hAnsi="宋体" w:cs="宋体"/>
                <w:kern w:val="0"/>
                <w:sz w:val="24"/>
              </w:rPr>
              <w:t>运维审计服务</w:t>
            </w:r>
          </w:p>
        </w:tc>
        <w:tc>
          <w:tcPr>
            <w:tcW w:w="7690" w:type="dxa"/>
            <w:noWrap w:val="0"/>
            <w:vAlign w:val="center"/>
          </w:tcPr>
          <w:p w14:paraId="7425FE44">
            <w:pPr>
              <w:rPr>
                <w:rFonts w:hint="eastAsia" w:ascii="宋体" w:hAnsi="宋体" w:cs="宋体"/>
                <w:bCs/>
                <w:kern w:val="0"/>
                <w:sz w:val="24"/>
              </w:rPr>
            </w:pPr>
            <w:r>
              <w:rPr>
                <w:rFonts w:hint="eastAsia" w:ascii="宋体" w:hAnsi="宋体" w:cs="宋体"/>
                <w:bCs/>
                <w:kern w:val="0"/>
                <w:sz w:val="24"/>
              </w:rPr>
              <w:t>1.系统需包含≥300个授权；</w:t>
            </w:r>
          </w:p>
        </w:tc>
      </w:tr>
      <w:tr w14:paraId="3D14E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2" w:type="dxa"/>
            <w:vMerge w:val="continue"/>
            <w:noWrap w:val="0"/>
            <w:vAlign w:val="center"/>
          </w:tcPr>
          <w:p w14:paraId="67396077">
            <w:pPr>
              <w:jc w:val="center"/>
              <w:rPr>
                <w:rFonts w:hint="eastAsia" w:ascii="宋体" w:hAnsi="宋体" w:cs="宋体"/>
                <w:sz w:val="24"/>
              </w:rPr>
            </w:pPr>
          </w:p>
        </w:tc>
        <w:tc>
          <w:tcPr>
            <w:tcW w:w="7690" w:type="dxa"/>
            <w:noWrap w:val="0"/>
            <w:vAlign w:val="center"/>
          </w:tcPr>
          <w:p w14:paraId="63FBBAB8">
            <w:pPr>
              <w:widowControl/>
              <w:jc w:val="left"/>
              <w:rPr>
                <w:rFonts w:hint="eastAsia" w:ascii="宋体" w:hAnsi="宋体" w:cs="宋体"/>
                <w:bCs/>
                <w:kern w:val="0"/>
                <w:sz w:val="24"/>
              </w:rPr>
            </w:pPr>
            <w:r>
              <w:rPr>
                <w:rFonts w:hint="eastAsia" w:ascii="宋体" w:hAnsi="宋体" w:cs="宋体"/>
                <w:bCs/>
                <w:kern w:val="0"/>
                <w:sz w:val="24"/>
              </w:rPr>
              <w:t>2.需支持对资源及登录账户进行管理功能，包括新增、查询、修改、批量导入、导出、删除、分组等操作；需支持主机资源通过IP地址和端口号进行自动发现功能；</w:t>
            </w:r>
          </w:p>
        </w:tc>
      </w:tr>
      <w:tr w14:paraId="58BF3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2" w:type="dxa"/>
            <w:vMerge w:val="continue"/>
            <w:noWrap w:val="0"/>
            <w:vAlign w:val="center"/>
          </w:tcPr>
          <w:p w14:paraId="0AC10CD4">
            <w:pPr>
              <w:jc w:val="center"/>
              <w:rPr>
                <w:rFonts w:hint="eastAsia" w:ascii="宋体" w:hAnsi="宋体" w:cs="宋体"/>
                <w:sz w:val="24"/>
              </w:rPr>
            </w:pPr>
          </w:p>
        </w:tc>
        <w:tc>
          <w:tcPr>
            <w:tcW w:w="7690" w:type="dxa"/>
            <w:noWrap w:val="0"/>
            <w:vAlign w:val="center"/>
          </w:tcPr>
          <w:p w14:paraId="2B51C7F2">
            <w:pPr>
              <w:widowControl/>
              <w:rPr>
                <w:rFonts w:hint="eastAsia" w:ascii="宋体" w:hAnsi="宋体" w:cs="宋体"/>
                <w:bCs/>
                <w:kern w:val="0"/>
                <w:sz w:val="24"/>
              </w:rPr>
            </w:pPr>
            <w:r>
              <w:rPr>
                <w:rFonts w:hint="eastAsia" w:ascii="宋体" w:hAnsi="宋体" w:cs="宋体"/>
                <w:bCs/>
                <w:kern w:val="0"/>
                <w:sz w:val="24"/>
              </w:rPr>
              <w:t>3.需支持对资产账户验证功能，可设置连接超时时间；任务完成后通过邮件、短信等方式通知；</w:t>
            </w:r>
          </w:p>
        </w:tc>
      </w:tr>
      <w:tr w14:paraId="2727B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2" w:type="dxa"/>
            <w:vMerge w:val="continue"/>
            <w:noWrap w:val="0"/>
            <w:vAlign w:val="center"/>
          </w:tcPr>
          <w:p w14:paraId="0A595AB0">
            <w:pPr>
              <w:jc w:val="center"/>
              <w:rPr>
                <w:rFonts w:hint="eastAsia" w:ascii="宋体" w:hAnsi="宋体" w:cs="宋体"/>
                <w:sz w:val="24"/>
              </w:rPr>
            </w:pPr>
          </w:p>
        </w:tc>
        <w:tc>
          <w:tcPr>
            <w:tcW w:w="7690" w:type="dxa"/>
            <w:noWrap w:val="0"/>
            <w:vAlign w:val="center"/>
          </w:tcPr>
          <w:p w14:paraId="61E3FE48">
            <w:pPr>
              <w:widowControl/>
              <w:rPr>
                <w:rFonts w:hint="eastAsia" w:ascii="宋体" w:hAnsi="宋体" w:cs="宋体"/>
                <w:bCs/>
                <w:kern w:val="0"/>
                <w:sz w:val="24"/>
              </w:rPr>
            </w:pPr>
            <w:r>
              <w:rPr>
                <w:rFonts w:hint="eastAsia" w:ascii="宋体" w:hAnsi="宋体" w:cs="宋体"/>
                <w:bCs/>
                <w:kern w:val="0"/>
                <w:sz w:val="24"/>
              </w:rPr>
              <w:t>▲4.需支持用户USBkey签发功能，支持用户动态令牌签发和批量导入功能，并支持覆盖已有令牌；</w:t>
            </w:r>
            <w:r>
              <w:rPr>
                <w:rFonts w:hint="eastAsia" w:ascii="宋体" w:hAnsi="宋体" w:cs="宋体"/>
                <w:color w:val="000000"/>
                <w:sz w:val="24"/>
              </w:rPr>
              <w:t>（提供产品功能截图并加盖公章）</w:t>
            </w:r>
          </w:p>
        </w:tc>
      </w:tr>
      <w:tr w14:paraId="48564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jc w:val="center"/>
        </w:trPr>
        <w:tc>
          <w:tcPr>
            <w:tcW w:w="1872" w:type="dxa"/>
            <w:vMerge w:val="continue"/>
            <w:noWrap w:val="0"/>
            <w:vAlign w:val="center"/>
          </w:tcPr>
          <w:p w14:paraId="05E0564E">
            <w:pPr>
              <w:jc w:val="center"/>
              <w:rPr>
                <w:rFonts w:hint="eastAsia" w:ascii="宋体" w:hAnsi="宋体" w:cs="宋体"/>
                <w:sz w:val="24"/>
              </w:rPr>
            </w:pPr>
          </w:p>
        </w:tc>
        <w:tc>
          <w:tcPr>
            <w:tcW w:w="7690" w:type="dxa"/>
            <w:noWrap w:val="0"/>
            <w:vAlign w:val="center"/>
          </w:tcPr>
          <w:p w14:paraId="135CF834">
            <w:pPr>
              <w:widowControl/>
              <w:rPr>
                <w:rFonts w:hint="eastAsia" w:ascii="宋体" w:hAnsi="宋体" w:cs="宋体"/>
                <w:bCs/>
                <w:kern w:val="0"/>
                <w:sz w:val="24"/>
              </w:rPr>
            </w:pPr>
            <w:r>
              <w:rPr>
                <w:rFonts w:hint="eastAsia" w:ascii="宋体" w:hAnsi="宋体" w:cs="宋体"/>
                <w:bCs/>
                <w:kern w:val="0"/>
                <w:sz w:val="24"/>
              </w:rPr>
              <w:t>5.需支持对用户的批量导入功能，导入格式包括xls/xlsx/csv等；批量导入用户支持覆盖已有用户。</w:t>
            </w:r>
          </w:p>
        </w:tc>
      </w:tr>
      <w:tr w14:paraId="0420E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2" w:type="dxa"/>
            <w:vMerge w:val="continue"/>
            <w:noWrap w:val="0"/>
            <w:vAlign w:val="center"/>
          </w:tcPr>
          <w:p w14:paraId="1F2B6259">
            <w:pPr>
              <w:jc w:val="center"/>
              <w:rPr>
                <w:rFonts w:hint="eastAsia" w:ascii="宋体" w:hAnsi="宋体" w:cs="宋体"/>
                <w:sz w:val="24"/>
              </w:rPr>
            </w:pPr>
          </w:p>
        </w:tc>
        <w:tc>
          <w:tcPr>
            <w:tcW w:w="7690" w:type="dxa"/>
            <w:noWrap w:val="0"/>
            <w:vAlign w:val="center"/>
          </w:tcPr>
          <w:p w14:paraId="46797D93">
            <w:pPr>
              <w:widowControl/>
              <w:rPr>
                <w:rFonts w:hint="eastAsia" w:ascii="宋体" w:hAnsi="宋体" w:cs="宋体"/>
                <w:bCs/>
                <w:kern w:val="0"/>
                <w:sz w:val="24"/>
              </w:rPr>
            </w:pPr>
            <w:r>
              <w:rPr>
                <w:rFonts w:hint="eastAsia" w:ascii="宋体" w:hAnsi="宋体" w:cs="宋体"/>
                <w:bCs/>
                <w:kern w:val="0"/>
                <w:sz w:val="24"/>
              </w:rPr>
              <w:t>6.需支持访问控制类策略管理功能，访问控制策略内容包括访问时间、IP地址段、上传下载、文件管理、显示水印等内容；登录时间段需满足以周为单位，精确到小时级。</w:t>
            </w:r>
          </w:p>
        </w:tc>
      </w:tr>
      <w:tr w14:paraId="11AB5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2" w:type="dxa"/>
            <w:vMerge w:val="continue"/>
            <w:noWrap w:val="0"/>
            <w:vAlign w:val="center"/>
          </w:tcPr>
          <w:p w14:paraId="635F4F74">
            <w:pPr>
              <w:jc w:val="center"/>
              <w:rPr>
                <w:rFonts w:hint="eastAsia" w:ascii="宋体" w:hAnsi="宋体" w:cs="宋体"/>
                <w:sz w:val="24"/>
              </w:rPr>
            </w:pPr>
          </w:p>
        </w:tc>
        <w:tc>
          <w:tcPr>
            <w:tcW w:w="7690" w:type="dxa"/>
            <w:noWrap w:val="0"/>
            <w:vAlign w:val="center"/>
          </w:tcPr>
          <w:p w14:paraId="088842DD">
            <w:pPr>
              <w:widowControl/>
              <w:rPr>
                <w:rFonts w:hint="eastAsia" w:ascii="宋体" w:hAnsi="宋体" w:cs="宋体"/>
                <w:bCs/>
                <w:kern w:val="0"/>
                <w:sz w:val="24"/>
              </w:rPr>
            </w:pPr>
            <w:r>
              <w:rPr>
                <w:rFonts w:hint="eastAsia" w:ascii="宋体" w:hAnsi="宋体" w:cs="宋体"/>
                <w:bCs/>
                <w:kern w:val="0"/>
                <w:sz w:val="24"/>
              </w:rPr>
              <w:t>7.需支持资产配置备份策略管理功能，执行方式包括手动执行、定时执行和周期性执行；支持外部服务器存储；支持对单个账户和账户组进行配置备份；</w:t>
            </w:r>
          </w:p>
        </w:tc>
      </w:tr>
      <w:tr w14:paraId="0D37A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2" w:type="dxa"/>
            <w:vMerge w:val="continue"/>
            <w:noWrap w:val="0"/>
            <w:vAlign w:val="center"/>
          </w:tcPr>
          <w:p w14:paraId="0C9449A4">
            <w:pPr>
              <w:jc w:val="center"/>
              <w:rPr>
                <w:rFonts w:hint="eastAsia" w:ascii="宋体" w:hAnsi="宋体" w:cs="宋体"/>
                <w:sz w:val="24"/>
              </w:rPr>
            </w:pPr>
          </w:p>
        </w:tc>
        <w:tc>
          <w:tcPr>
            <w:tcW w:w="7690" w:type="dxa"/>
            <w:noWrap w:val="0"/>
            <w:vAlign w:val="center"/>
          </w:tcPr>
          <w:p w14:paraId="7DB07155">
            <w:pPr>
              <w:widowControl/>
              <w:rPr>
                <w:rFonts w:hint="eastAsia" w:ascii="宋体" w:hAnsi="宋体" w:cs="宋体"/>
                <w:bCs/>
                <w:kern w:val="0"/>
                <w:sz w:val="24"/>
              </w:rPr>
            </w:pPr>
            <w:r>
              <w:rPr>
                <w:rFonts w:hint="eastAsia" w:ascii="宋体" w:hAnsi="宋体" w:cs="宋体"/>
                <w:bCs/>
                <w:kern w:val="0"/>
                <w:sz w:val="24"/>
              </w:rPr>
              <w:t>8.需支持对关键资源进行双人授权功能；</w:t>
            </w:r>
            <w:r>
              <w:rPr>
                <w:rFonts w:hint="eastAsia" w:ascii="宋体" w:hAnsi="宋体" w:cs="宋体"/>
                <w:color w:val="000000"/>
                <w:sz w:val="24"/>
              </w:rPr>
              <w:t>（提供产品功能截图并加盖公章）</w:t>
            </w:r>
          </w:p>
        </w:tc>
      </w:tr>
      <w:tr w14:paraId="6C7E0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2" w:type="dxa"/>
            <w:vMerge w:val="continue"/>
            <w:noWrap w:val="0"/>
            <w:vAlign w:val="center"/>
          </w:tcPr>
          <w:p w14:paraId="5C0D0B3A">
            <w:pPr>
              <w:jc w:val="center"/>
              <w:rPr>
                <w:rFonts w:hint="eastAsia" w:ascii="宋体" w:hAnsi="宋体" w:cs="宋体"/>
                <w:sz w:val="24"/>
              </w:rPr>
            </w:pPr>
          </w:p>
        </w:tc>
        <w:tc>
          <w:tcPr>
            <w:tcW w:w="7690" w:type="dxa"/>
            <w:noWrap w:val="0"/>
            <w:vAlign w:val="center"/>
          </w:tcPr>
          <w:p w14:paraId="534AB756">
            <w:pPr>
              <w:widowControl/>
              <w:jc w:val="left"/>
              <w:rPr>
                <w:rFonts w:hint="eastAsia" w:ascii="宋体" w:hAnsi="宋体" w:cs="宋体"/>
                <w:bCs/>
                <w:kern w:val="0"/>
                <w:sz w:val="24"/>
              </w:rPr>
            </w:pPr>
            <w:r>
              <w:rPr>
                <w:rFonts w:hint="eastAsia" w:ascii="宋体" w:hAnsi="宋体" w:cs="宋体"/>
                <w:bCs/>
                <w:kern w:val="0"/>
                <w:sz w:val="24"/>
              </w:rPr>
              <w:t>9.需提供类主机网盘存储功能，支持RDP、SSH、VNC协议类型主机的文件上传和下载，并进行审计。</w:t>
            </w:r>
          </w:p>
        </w:tc>
      </w:tr>
      <w:tr w14:paraId="33984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2" w:type="dxa"/>
            <w:vMerge w:val="continue"/>
            <w:noWrap w:val="0"/>
            <w:vAlign w:val="center"/>
          </w:tcPr>
          <w:p w14:paraId="03832AF4">
            <w:pPr>
              <w:jc w:val="center"/>
              <w:rPr>
                <w:rFonts w:hint="eastAsia" w:ascii="宋体" w:hAnsi="宋体" w:cs="宋体"/>
                <w:sz w:val="24"/>
              </w:rPr>
            </w:pPr>
          </w:p>
        </w:tc>
        <w:tc>
          <w:tcPr>
            <w:tcW w:w="7690" w:type="dxa"/>
            <w:noWrap w:val="0"/>
            <w:vAlign w:val="center"/>
          </w:tcPr>
          <w:p w14:paraId="68A76378">
            <w:pPr>
              <w:widowControl/>
              <w:rPr>
                <w:rFonts w:hint="eastAsia" w:ascii="宋体" w:hAnsi="宋体" w:cs="宋体"/>
                <w:bCs/>
                <w:kern w:val="0"/>
                <w:sz w:val="24"/>
              </w:rPr>
            </w:pPr>
            <w:r>
              <w:rPr>
                <w:rFonts w:hint="eastAsia" w:ascii="宋体" w:hAnsi="宋体" w:cs="宋体"/>
                <w:bCs/>
                <w:kern w:val="0"/>
                <w:sz w:val="24"/>
              </w:rPr>
              <w:t>10.需支持快速运维管理功能，包括命令运维、脚本运维、文件传输等内容。</w:t>
            </w:r>
          </w:p>
        </w:tc>
      </w:tr>
      <w:tr w14:paraId="2CB17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2" w:type="dxa"/>
            <w:vMerge w:val="continue"/>
            <w:noWrap w:val="0"/>
            <w:vAlign w:val="center"/>
          </w:tcPr>
          <w:p w14:paraId="1A85FFC3">
            <w:pPr>
              <w:jc w:val="center"/>
              <w:rPr>
                <w:rFonts w:hint="eastAsia" w:ascii="宋体" w:hAnsi="宋体" w:cs="宋体"/>
                <w:sz w:val="24"/>
              </w:rPr>
            </w:pPr>
          </w:p>
        </w:tc>
        <w:tc>
          <w:tcPr>
            <w:tcW w:w="7690" w:type="dxa"/>
            <w:noWrap w:val="0"/>
            <w:vAlign w:val="center"/>
          </w:tcPr>
          <w:p w14:paraId="2BAEA825">
            <w:pPr>
              <w:widowControl/>
              <w:rPr>
                <w:rFonts w:hint="eastAsia" w:ascii="宋体" w:hAnsi="宋体" w:cs="宋体"/>
                <w:bCs/>
                <w:sz w:val="24"/>
              </w:rPr>
            </w:pPr>
            <w:r>
              <w:rPr>
                <w:rFonts w:hint="eastAsia" w:ascii="宋体" w:hAnsi="宋体" w:cs="宋体"/>
                <w:bCs/>
                <w:kern w:val="0"/>
                <w:sz w:val="24"/>
              </w:rPr>
              <w:t>▲11.</w:t>
            </w:r>
            <w:r>
              <w:rPr>
                <w:rFonts w:hint="eastAsia" w:ascii="宋体" w:hAnsi="宋体" w:cs="宋体"/>
                <w:bCs/>
                <w:sz w:val="24"/>
              </w:rPr>
              <w:t>需满足密评要求，支持国产化算法SM2,可通过支持SM2算法的证书认证登录；</w:t>
            </w:r>
            <w:r>
              <w:rPr>
                <w:rFonts w:hint="eastAsia" w:ascii="宋体" w:hAnsi="宋体" w:cs="宋体"/>
                <w:sz w:val="24"/>
              </w:rPr>
              <w:t>需具有麒麟软件适配认证证书；</w:t>
            </w:r>
            <w:r>
              <w:rPr>
                <w:rFonts w:hint="eastAsia" w:ascii="宋体" w:hAnsi="宋体" w:cs="宋体"/>
                <w:color w:val="000000"/>
                <w:sz w:val="24"/>
              </w:rPr>
              <w:t>（提供产品功能截图并加盖公章）</w:t>
            </w:r>
          </w:p>
        </w:tc>
      </w:tr>
      <w:tr w14:paraId="3BAB8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72" w:type="dxa"/>
            <w:vMerge w:val="continue"/>
            <w:noWrap w:val="0"/>
            <w:vAlign w:val="center"/>
          </w:tcPr>
          <w:p w14:paraId="5AA93348">
            <w:pPr>
              <w:widowControl/>
              <w:jc w:val="center"/>
              <w:rPr>
                <w:rFonts w:hint="eastAsia" w:ascii="宋体" w:hAnsi="宋体" w:cs="宋体"/>
                <w:kern w:val="0"/>
                <w:sz w:val="24"/>
              </w:rPr>
            </w:pPr>
          </w:p>
        </w:tc>
        <w:tc>
          <w:tcPr>
            <w:tcW w:w="7690" w:type="dxa"/>
            <w:noWrap w:val="0"/>
            <w:vAlign w:val="center"/>
          </w:tcPr>
          <w:p w14:paraId="58478BAE">
            <w:pPr>
              <w:widowControl/>
              <w:jc w:val="left"/>
              <w:rPr>
                <w:rFonts w:hint="eastAsia" w:ascii="宋体" w:hAnsi="宋体" w:cs="宋体"/>
                <w:bCs/>
                <w:kern w:val="0"/>
                <w:sz w:val="24"/>
              </w:rPr>
            </w:pPr>
            <w:r>
              <w:rPr>
                <w:rFonts w:hint="eastAsia" w:ascii="宋体" w:hAnsi="宋体" w:cs="宋体"/>
                <w:bCs/>
                <w:kern w:val="0"/>
                <w:sz w:val="24"/>
              </w:rPr>
              <w:t>▲12.需为运维人员提供10张个人数字证书，证书颁发机构需具备工信部颁发的《电子认证服务许可证》和国家密码管理局颁发的《电子政务电子认证服务机构》、《电子认证服务使用密码许可证》证明；若投标人不是依法设立的电子认证服务提供者的，还需要提供证书颁发机构给投标人出具的针对本项目的授权书。</w:t>
            </w:r>
          </w:p>
        </w:tc>
      </w:tr>
    </w:tbl>
    <w:p w14:paraId="2A51AC9E">
      <w:pPr>
        <w:spacing w:before="160" w:after="80"/>
        <w:outlineLvl w:val="3"/>
        <w:rPr>
          <w:rFonts w:ascii="Times New Roman" w:hAnsi="Times New Roman" w:eastAsia="宋体"/>
          <w:b/>
          <w:bCs/>
          <w:sz w:val="24"/>
          <w:szCs w:val="24"/>
        </w:rPr>
      </w:pPr>
      <w:r>
        <w:rPr>
          <w:rFonts w:hint="default" w:ascii="Times New Roman" w:hAnsi="Times New Roman" w:eastAsia="宋体" w:cs="Times New Roman"/>
          <w:b/>
          <w:bCs/>
          <w:sz w:val="24"/>
          <w:szCs w:val="24"/>
        </w:rPr>
        <w:t>4.3.7</w:t>
      </w:r>
      <w:r>
        <w:rPr>
          <w:rFonts w:ascii="Times New Roman" w:hAnsi="Times New Roman" w:eastAsia="宋体"/>
          <w:b/>
          <w:bCs/>
          <w:sz w:val="24"/>
          <w:szCs w:val="24"/>
        </w:rPr>
        <w:t>边界隔离</w:t>
      </w:r>
      <w:r>
        <w:rPr>
          <w:rFonts w:hint="default" w:ascii="Times New Roman" w:hAnsi="Times New Roman" w:eastAsia="宋体"/>
          <w:b/>
          <w:bCs/>
          <w:sz w:val="24"/>
          <w:szCs w:val="24"/>
        </w:rPr>
        <w:t>防护服务</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0"/>
        <w:gridCol w:w="7688"/>
      </w:tblGrid>
      <w:tr w14:paraId="06DBA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70" w:type="dxa"/>
            <w:noWrap w:val="0"/>
            <w:vAlign w:val="center"/>
          </w:tcPr>
          <w:p w14:paraId="64DA62C2">
            <w:pPr>
              <w:widowControl/>
              <w:spacing w:line="360" w:lineRule="auto"/>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服务名称</w:t>
            </w:r>
          </w:p>
        </w:tc>
        <w:tc>
          <w:tcPr>
            <w:tcW w:w="7688" w:type="dxa"/>
            <w:noWrap w:val="0"/>
            <w:vAlign w:val="center"/>
          </w:tcPr>
          <w:p w14:paraId="460C7D12">
            <w:pPr>
              <w:widowControl/>
              <w:spacing w:line="360" w:lineRule="auto"/>
              <w:jc w:val="center"/>
              <w:rPr>
                <w:rFonts w:hint="eastAsia" w:ascii="宋体" w:hAnsi="宋体" w:eastAsia="宋体" w:cs="宋体"/>
                <w:b/>
                <w:kern w:val="0"/>
                <w:sz w:val="24"/>
                <w:szCs w:val="24"/>
              </w:rPr>
            </w:pPr>
            <w:r>
              <w:rPr>
                <w:rFonts w:hint="eastAsia" w:ascii="宋体" w:hAnsi="宋体" w:cs="宋体"/>
                <w:b/>
                <w:bCs/>
                <w:color w:val="000000"/>
                <w:sz w:val="24"/>
              </w:rPr>
              <w:t>服务指标要求</w:t>
            </w:r>
          </w:p>
        </w:tc>
      </w:tr>
      <w:tr w14:paraId="2DBF3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70" w:type="dxa"/>
            <w:vMerge w:val="restart"/>
            <w:noWrap w:val="0"/>
            <w:vAlign w:val="center"/>
          </w:tcPr>
          <w:p w14:paraId="6D4B9DD1">
            <w:pPr>
              <w:widowControl/>
              <w:spacing w:line="360" w:lineRule="auto"/>
              <w:jc w:val="center"/>
              <w:rPr>
                <w:rFonts w:ascii="宋体" w:hAnsi="宋体" w:eastAsia="宋体" w:cs="宋体"/>
                <w:kern w:val="0"/>
                <w:sz w:val="24"/>
                <w:szCs w:val="24"/>
              </w:rPr>
            </w:pPr>
            <w:r>
              <w:rPr>
                <w:rFonts w:hint="eastAsia" w:ascii="宋体" w:hAnsi="宋体" w:cs="宋体"/>
                <w:kern w:val="0"/>
                <w:sz w:val="24"/>
              </w:rPr>
              <w:t>边界隔离防护服务</w:t>
            </w:r>
          </w:p>
        </w:tc>
        <w:tc>
          <w:tcPr>
            <w:tcW w:w="7688" w:type="dxa"/>
            <w:noWrap w:val="0"/>
            <w:vAlign w:val="center"/>
          </w:tcPr>
          <w:p w14:paraId="4097F551">
            <w:pPr>
              <w:spacing w:line="360" w:lineRule="auto"/>
              <w:rPr>
                <w:rFonts w:hint="eastAsia" w:ascii="宋体" w:hAnsi="宋体" w:eastAsia="宋体" w:cs="宋体"/>
                <w:bCs/>
                <w:kern w:val="0"/>
                <w:sz w:val="24"/>
                <w:szCs w:val="24"/>
              </w:rPr>
            </w:pPr>
            <w:r>
              <w:rPr>
                <w:rFonts w:hint="eastAsia" w:ascii="宋体" w:hAnsi="宋体" w:cs="宋体"/>
                <w:bCs/>
                <w:kern w:val="0"/>
                <w:sz w:val="24"/>
              </w:rPr>
              <w:t>1.</w:t>
            </w:r>
            <w:r>
              <w:rPr>
                <w:rFonts w:hint="eastAsia" w:ascii="宋体" w:hAnsi="宋体" w:eastAsia="宋体" w:cs="宋体"/>
                <w:bCs/>
                <w:kern w:val="0"/>
                <w:sz w:val="24"/>
                <w:szCs w:val="24"/>
              </w:rPr>
              <w:t>需提供服务工具，对招标人接入云平台的接入区域（卫生网）边界进行安全防护，对边界出口的流量进行监控、过滤和阻断，有效防止外部攻击和恶意软件的入侵。服务应包含但不限于DDoS攻击防护、入侵防御、恶意代码防范、策略分析等功能，确保接入边界的稳定性和安全性。</w:t>
            </w:r>
          </w:p>
        </w:tc>
      </w:tr>
      <w:tr w14:paraId="4368F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0" w:type="dxa"/>
            <w:vMerge w:val="continue"/>
            <w:noWrap w:val="0"/>
            <w:vAlign w:val="center"/>
          </w:tcPr>
          <w:p w14:paraId="27146DEC">
            <w:pPr>
              <w:widowControl/>
              <w:spacing w:line="360" w:lineRule="auto"/>
              <w:jc w:val="center"/>
              <w:rPr>
                <w:rFonts w:hint="eastAsia" w:ascii="宋体" w:hAnsi="宋体" w:eastAsia="宋体" w:cs="宋体"/>
                <w:kern w:val="0"/>
                <w:sz w:val="24"/>
                <w:szCs w:val="24"/>
              </w:rPr>
            </w:pPr>
          </w:p>
        </w:tc>
        <w:tc>
          <w:tcPr>
            <w:tcW w:w="7688" w:type="dxa"/>
            <w:noWrap w:val="0"/>
            <w:vAlign w:val="center"/>
          </w:tcPr>
          <w:p w14:paraId="212D408B">
            <w:pPr>
              <w:spacing w:line="360" w:lineRule="auto"/>
              <w:rPr>
                <w:rFonts w:hint="eastAsia" w:ascii="宋体" w:hAnsi="宋体" w:eastAsia="宋体" w:cs="宋体"/>
                <w:bCs/>
                <w:kern w:val="0"/>
                <w:sz w:val="24"/>
                <w:szCs w:val="24"/>
              </w:rPr>
            </w:pPr>
            <w:r>
              <w:rPr>
                <w:rFonts w:hint="eastAsia" w:ascii="宋体" w:hAnsi="宋体" w:cs="宋体"/>
                <w:bCs/>
                <w:kern w:val="0"/>
                <w:sz w:val="24"/>
              </w:rPr>
              <w:t>2.</w:t>
            </w:r>
            <w:r>
              <w:rPr>
                <w:rFonts w:hint="eastAsia" w:ascii="宋体" w:hAnsi="宋体" w:eastAsia="宋体" w:cs="宋体"/>
                <w:bCs/>
                <w:kern w:val="0"/>
                <w:sz w:val="24"/>
                <w:szCs w:val="24"/>
              </w:rPr>
              <w:t>需具备防病毒功能、入侵防御功能。</w:t>
            </w:r>
          </w:p>
        </w:tc>
      </w:tr>
      <w:tr w14:paraId="1202D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870" w:type="dxa"/>
            <w:vMerge w:val="continue"/>
            <w:noWrap w:val="0"/>
            <w:vAlign w:val="center"/>
          </w:tcPr>
          <w:p w14:paraId="0EB13320">
            <w:pPr>
              <w:widowControl/>
              <w:spacing w:line="360" w:lineRule="auto"/>
              <w:jc w:val="center"/>
              <w:rPr>
                <w:rFonts w:hint="eastAsia" w:ascii="宋体" w:hAnsi="宋体" w:eastAsia="宋体" w:cs="宋体"/>
                <w:kern w:val="0"/>
                <w:sz w:val="24"/>
                <w:szCs w:val="24"/>
              </w:rPr>
            </w:pPr>
          </w:p>
        </w:tc>
        <w:tc>
          <w:tcPr>
            <w:tcW w:w="7688" w:type="dxa"/>
            <w:noWrap w:val="0"/>
            <w:vAlign w:val="center"/>
          </w:tcPr>
          <w:p w14:paraId="461CA01A">
            <w:pPr>
              <w:spacing w:line="360" w:lineRule="auto"/>
              <w:rPr>
                <w:rFonts w:hint="eastAsia" w:ascii="宋体" w:hAnsi="宋体" w:eastAsia="宋体" w:cs="宋体"/>
                <w:bCs/>
                <w:kern w:val="0"/>
                <w:sz w:val="24"/>
                <w:szCs w:val="24"/>
              </w:rPr>
            </w:pPr>
            <w:r>
              <w:rPr>
                <w:rFonts w:hint="eastAsia" w:ascii="宋体" w:hAnsi="宋体" w:cs="宋体"/>
                <w:bCs/>
                <w:kern w:val="0"/>
                <w:sz w:val="24"/>
              </w:rPr>
              <w:t>3.</w:t>
            </w:r>
            <w:r>
              <w:rPr>
                <w:rFonts w:hint="eastAsia" w:ascii="宋体" w:hAnsi="宋体" w:eastAsia="宋体" w:cs="宋体"/>
                <w:bCs/>
                <w:kern w:val="0"/>
                <w:sz w:val="24"/>
                <w:szCs w:val="24"/>
              </w:rPr>
              <w:t>吞吐量需≥ 4G。</w:t>
            </w:r>
          </w:p>
        </w:tc>
      </w:tr>
    </w:tbl>
    <w:p w14:paraId="7967A014">
      <w:pPr>
        <w:spacing w:before="160" w:after="80"/>
        <w:outlineLvl w:val="3"/>
        <w:rPr>
          <w:rFonts w:ascii="Times New Roman" w:hAnsi="Times New Roman" w:eastAsia="宋体"/>
          <w:b/>
          <w:bCs/>
          <w:sz w:val="24"/>
          <w:szCs w:val="24"/>
        </w:rPr>
      </w:pPr>
      <w:r>
        <w:rPr>
          <w:rFonts w:hint="eastAsia"/>
          <w:b/>
          <w:bCs/>
          <w:sz w:val="24"/>
        </w:rPr>
        <w:t xml:space="preserve">4.3.8 </w:t>
      </w:r>
      <w:r>
        <w:rPr>
          <w:rFonts w:ascii="Times New Roman" w:hAnsi="Times New Roman" w:eastAsia="宋体"/>
          <w:b/>
          <w:bCs/>
          <w:sz w:val="24"/>
          <w:szCs w:val="24"/>
        </w:rPr>
        <w:t>定级备案</w:t>
      </w:r>
      <w:r>
        <w:rPr>
          <w:rFonts w:hint="eastAsia"/>
          <w:b/>
          <w:bCs/>
          <w:sz w:val="24"/>
        </w:rPr>
        <w:t>服务</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0"/>
        <w:gridCol w:w="7692"/>
      </w:tblGrid>
      <w:tr w14:paraId="0CE7F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70" w:type="dxa"/>
            <w:noWrap w:val="0"/>
            <w:vAlign w:val="center"/>
          </w:tcPr>
          <w:p w14:paraId="5310A149">
            <w:pPr>
              <w:widowControl/>
              <w:spacing w:line="360" w:lineRule="auto"/>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服务名称</w:t>
            </w:r>
          </w:p>
        </w:tc>
        <w:tc>
          <w:tcPr>
            <w:tcW w:w="7692" w:type="dxa"/>
            <w:noWrap w:val="0"/>
            <w:vAlign w:val="center"/>
          </w:tcPr>
          <w:p w14:paraId="245A1A25">
            <w:pPr>
              <w:widowControl/>
              <w:spacing w:line="36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服务指标要求</w:t>
            </w:r>
          </w:p>
        </w:tc>
      </w:tr>
      <w:tr w14:paraId="78962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1870" w:type="dxa"/>
            <w:vMerge w:val="restart"/>
            <w:noWrap w:val="0"/>
            <w:vAlign w:val="center"/>
          </w:tcPr>
          <w:p w14:paraId="0143C008">
            <w:pPr>
              <w:widowControl/>
              <w:spacing w:line="360" w:lineRule="auto"/>
              <w:jc w:val="center"/>
              <w:rPr>
                <w:rFonts w:hint="default" w:ascii="宋体" w:hAnsi="宋体" w:eastAsia="宋体" w:cs="宋体"/>
                <w:kern w:val="0"/>
                <w:sz w:val="24"/>
                <w:szCs w:val="24"/>
              </w:rPr>
            </w:pPr>
            <w:r>
              <w:rPr>
                <w:rFonts w:hint="eastAsia" w:ascii="宋体" w:hAnsi="宋体" w:cs="宋体"/>
                <w:kern w:val="0"/>
                <w:sz w:val="24"/>
              </w:rPr>
              <w:t>定级备案服务</w:t>
            </w:r>
          </w:p>
        </w:tc>
        <w:tc>
          <w:tcPr>
            <w:tcW w:w="7692" w:type="dxa"/>
            <w:noWrap w:val="0"/>
            <w:vAlign w:val="center"/>
          </w:tcPr>
          <w:p w14:paraId="093CDFCE">
            <w:pPr>
              <w:spacing w:line="360" w:lineRule="auto"/>
              <w:rPr>
                <w:rFonts w:hint="eastAsia" w:ascii="宋体" w:hAnsi="宋体" w:eastAsia="宋体" w:cs="宋体"/>
                <w:bCs/>
                <w:kern w:val="0"/>
                <w:sz w:val="24"/>
                <w:szCs w:val="24"/>
              </w:rPr>
            </w:pPr>
            <w:r>
              <w:rPr>
                <w:rFonts w:hint="eastAsia" w:ascii="宋体" w:hAnsi="宋体" w:cs="宋体"/>
                <w:bCs/>
                <w:kern w:val="0"/>
                <w:sz w:val="24"/>
              </w:rPr>
              <w:t>1.服务内容：</w:t>
            </w:r>
            <w:r>
              <w:rPr>
                <w:rFonts w:hint="eastAsia" w:ascii="宋体" w:hAnsi="宋体" w:eastAsia="宋体" w:cs="宋体"/>
                <w:bCs/>
                <w:kern w:val="0"/>
                <w:sz w:val="24"/>
                <w:szCs w:val="24"/>
              </w:rPr>
              <w:t>需基于招标人信息系统现状，参照《信息安全技术网络安全等级保护定级指南》（GB/T 22240-2020），对系统现状进行调研，根据调研结果，确定定级对象，分析定级要素，根据等级保护对象受到破坏时所侵害的客体和对客体造成的侵害程度确定系统等级，编制定级报告并协助备案。</w:t>
            </w:r>
          </w:p>
        </w:tc>
      </w:tr>
      <w:tr w14:paraId="74446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70" w:type="dxa"/>
            <w:vMerge w:val="continue"/>
            <w:noWrap w:val="0"/>
            <w:vAlign w:val="center"/>
          </w:tcPr>
          <w:p w14:paraId="5876FBA2">
            <w:pPr>
              <w:widowControl/>
              <w:spacing w:line="360" w:lineRule="auto"/>
              <w:jc w:val="center"/>
              <w:rPr>
                <w:rFonts w:hint="eastAsia" w:ascii="宋体" w:hAnsi="宋体" w:eastAsia="宋体" w:cs="宋体"/>
                <w:kern w:val="0"/>
                <w:sz w:val="24"/>
                <w:szCs w:val="24"/>
              </w:rPr>
            </w:pPr>
          </w:p>
        </w:tc>
        <w:tc>
          <w:tcPr>
            <w:tcW w:w="7692" w:type="dxa"/>
            <w:noWrap w:val="0"/>
            <w:vAlign w:val="center"/>
          </w:tcPr>
          <w:p w14:paraId="4A8B8F3F">
            <w:pPr>
              <w:widowControl/>
              <w:spacing w:line="360" w:lineRule="auto"/>
              <w:jc w:val="left"/>
              <w:rPr>
                <w:rFonts w:hint="eastAsia" w:ascii="宋体" w:hAnsi="宋体" w:eastAsia="宋体" w:cs="宋体"/>
                <w:bCs/>
                <w:kern w:val="0"/>
                <w:sz w:val="24"/>
                <w:szCs w:val="24"/>
              </w:rPr>
            </w:pPr>
            <w:r>
              <w:rPr>
                <w:rFonts w:hint="eastAsia" w:ascii="宋体" w:hAnsi="宋体" w:cs="宋体"/>
                <w:bCs/>
                <w:kern w:val="0"/>
                <w:sz w:val="24"/>
              </w:rPr>
              <w:t>2.</w:t>
            </w:r>
            <w:r>
              <w:rPr>
                <w:rFonts w:hint="eastAsia" w:ascii="宋体" w:hAnsi="宋体" w:eastAsia="宋体" w:cs="宋体"/>
                <w:bCs/>
                <w:kern w:val="0"/>
                <w:sz w:val="24"/>
                <w:szCs w:val="24"/>
              </w:rPr>
              <w:t>服务范围：招标人指定的2个信息系统。</w:t>
            </w:r>
          </w:p>
        </w:tc>
      </w:tr>
      <w:tr w14:paraId="079E5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70" w:type="dxa"/>
            <w:vMerge w:val="continue"/>
            <w:noWrap w:val="0"/>
            <w:vAlign w:val="center"/>
          </w:tcPr>
          <w:p w14:paraId="3AB8FF73">
            <w:pPr>
              <w:widowControl/>
              <w:spacing w:line="360" w:lineRule="auto"/>
              <w:jc w:val="center"/>
              <w:rPr>
                <w:rFonts w:hint="eastAsia" w:ascii="宋体" w:hAnsi="宋体" w:eastAsia="宋体" w:cs="宋体"/>
                <w:kern w:val="0"/>
                <w:sz w:val="24"/>
                <w:szCs w:val="24"/>
              </w:rPr>
            </w:pPr>
          </w:p>
        </w:tc>
        <w:tc>
          <w:tcPr>
            <w:tcW w:w="7692" w:type="dxa"/>
            <w:noWrap w:val="0"/>
            <w:vAlign w:val="center"/>
          </w:tcPr>
          <w:p w14:paraId="4DE3B54D">
            <w:pPr>
              <w:widowControl/>
              <w:spacing w:line="360" w:lineRule="auto"/>
              <w:rPr>
                <w:rFonts w:hint="eastAsia" w:ascii="宋体" w:hAnsi="宋体" w:eastAsia="宋体" w:cs="宋体"/>
                <w:kern w:val="0"/>
                <w:sz w:val="24"/>
                <w:szCs w:val="24"/>
              </w:rPr>
            </w:pPr>
            <w:r>
              <w:rPr>
                <w:rFonts w:hint="eastAsia" w:ascii="宋体" w:hAnsi="宋体" w:cs="宋体"/>
                <w:kern w:val="0"/>
                <w:sz w:val="24"/>
              </w:rPr>
              <w:t>3.</w:t>
            </w:r>
            <w:r>
              <w:rPr>
                <w:rFonts w:hint="eastAsia" w:ascii="宋体" w:hAnsi="宋体" w:eastAsia="宋体" w:cs="宋体"/>
                <w:kern w:val="0"/>
                <w:sz w:val="24"/>
                <w:szCs w:val="24"/>
              </w:rPr>
              <w:t>服务频次：服务期限内提供1次。</w:t>
            </w:r>
          </w:p>
        </w:tc>
      </w:tr>
      <w:tr w14:paraId="14D4B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70" w:type="dxa"/>
            <w:vMerge w:val="continue"/>
            <w:noWrap w:val="0"/>
            <w:vAlign w:val="center"/>
          </w:tcPr>
          <w:p w14:paraId="06BDB86F">
            <w:pPr>
              <w:widowControl/>
              <w:spacing w:line="360" w:lineRule="auto"/>
              <w:jc w:val="center"/>
              <w:rPr>
                <w:rFonts w:hint="eastAsia" w:ascii="宋体" w:hAnsi="宋体" w:eastAsia="宋体" w:cs="宋体"/>
                <w:kern w:val="0"/>
                <w:sz w:val="24"/>
                <w:szCs w:val="24"/>
              </w:rPr>
            </w:pPr>
          </w:p>
        </w:tc>
        <w:tc>
          <w:tcPr>
            <w:tcW w:w="7692" w:type="dxa"/>
            <w:noWrap w:val="0"/>
            <w:vAlign w:val="center"/>
          </w:tcPr>
          <w:p w14:paraId="37F922CC">
            <w:pPr>
              <w:widowControl/>
              <w:spacing w:line="360" w:lineRule="auto"/>
              <w:jc w:val="left"/>
              <w:rPr>
                <w:rFonts w:hint="eastAsia" w:ascii="宋体" w:hAnsi="宋体" w:eastAsia="宋体" w:cs="宋体"/>
                <w:kern w:val="0"/>
                <w:sz w:val="24"/>
                <w:szCs w:val="24"/>
              </w:rPr>
            </w:pPr>
            <w:r>
              <w:rPr>
                <w:rFonts w:hint="eastAsia" w:ascii="宋体" w:hAnsi="宋体" w:cs="宋体"/>
                <w:kern w:val="0"/>
                <w:sz w:val="24"/>
              </w:rPr>
              <w:t>4.</w:t>
            </w:r>
            <w:r>
              <w:rPr>
                <w:rFonts w:hint="eastAsia" w:ascii="宋体" w:hAnsi="宋体" w:eastAsia="宋体" w:cs="宋体"/>
                <w:kern w:val="0"/>
                <w:sz w:val="24"/>
                <w:szCs w:val="24"/>
              </w:rPr>
              <w:t>服务成果需包括但不限于：</w:t>
            </w:r>
          </w:p>
          <w:p w14:paraId="19F03D0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《门头沟卫健委xx系统定级报告》</w:t>
            </w:r>
          </w:p>
          <w:p w14:paraId="73A6B07C">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《门头沟卫健委xx系统备案证明》</w:t>
            </w:r>
          </w:p>
        </w:tc>
      </w:tr>
    </w:tbl>
    <w:p w14:paraId="5B99D01F">
      <w:pPr>
        <w:spacing w:before="160" w:after="80"/>
        <w:outlineLvl w:val="3"/>
        <w:rPr>
          <w:rFonts w:ascii="Times New Roman" w:hAnsi="Times New Roman" w:eastAsia="宋体"/>
          <w:b/>
          <w:bCs/>
          <w:sz w:val="24"/>
          <w:szCs w:val="24"/>
        </w:rPr>
      </w:pPr>
      <w:r>
        <w:rPr>
          <w:rFonts w:hint="eastAsia"/>
          <w:b/>
          <w:bCs/>
          <w:sz w:val="24"/>
        </w:rPr>
        <w:t>4.3.9</w:t>
      </w:r>
      <w:r>
        <w:rPr>
          <w:rFonts w:ascii="Times New Roman" w:hAnsi="Times New Roman" w:eastAsia="宋体"/>
          <w:b/>
          <w:bCs/>
          <w:sz w:val="24"/>
          <w:szCs w:val="24"/>
        </w:rPr>
        <w:t>脆弱性检测</w:t>
      </w:r>
      <w:r>
        <w:rPr>
          <w:rFonts w:hint="eastAsia"/>
          <w:b/>
          <w:bCs/>
          <w:sz w:val="24"/>
        </w:rPr>
        <w:t>服务</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7"/>
        <w:gridCol w:w="7697"/>
      </w:tblGrid>
      <w:tr w14:paraId="40C52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67" w:type="dxa"/>
            <w:noWrap w:val="0"/>
            <w:vAlign w:val="center"/>
          </w:tcPr>
          <w:p w14:paraId="2CF76118">
            <w:pPr>
              <w:widowControl/>
              <w:spacing w:line="360" w:lineRule="auto"/>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服务名称</w:t>
            </w:r>
          </w:p>
        </w:tc>
        <w:tc>
          <w:tcPr>
            <w:tcW w:w="7697" w:type="dxa"/>
            <w:noWrap w:val="0"/>
            <w:vAlign w:val="center"/>
          </w:tcPr>
          <w:p w14:paraId="4392F120">
            <w:pPr>
              <w:widowControl/>
              <w:spacing w:line="360" w:lineRule="auto"/>
              <w:jc w:val="center"/>
              <w:rPr>
                <w:rFonts w:hint="eastAsia" w:ascii="宋体" w:hAnsi="宋体" w:eastAsia="宋体" w:cs="宋体"/>
                <w:b/>
                <w:kern w:val="0"/>
                <w:sz w:val="24"/>
                <w:szCs w:val="24"/>
              </w:rPr>
            </w:pPr>
            <w:r>
              <w:rPr>
                <w:rFonts w:hint="eastAsia" w:ascii="宋体" w:hAnsi="宋体" w:cs="宋体"/>
                <w:b/>
                <w:kern w:val="0"/>
                <w:sz w:val="24"/>
              </w:rPr>
              <w:t>服务指标要求</w:t>
            </w:r>
          </w:p>
        </w:tc>
      </w:tr>
      <w:tr w14:paraId="43E47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67" w:type="dxa"/>
            <w:vMerge w:val="restart"/>
            <w:noWrap w:val="0"/>
            <w:vAlign w:val="center"/>
          </w:tcPr>
          <w:p w14:paraId="3C2D4A0E">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脆弱性检测服务</w:t>
            </w:r>
          </w:p>
        </w:tc>
        <w:tc>
          <w:tcPr>
            <w:tcW w:w="7697" w:type="dxa"/>
            <w:noWrap w:val="0"/>
            <w:vAlign w:val="center"/>
          </w:tcPr>
          <w:p w14:paraId="395B5DB7">
            <w:pPr>
              <w:spacing w:line="360" w:lineRule="auto"/>
              <w:rPr>
                <w:rFonts w:hint="eastAsia" w:ascii="宋体" w:hAnsi="宋体" w:eastAsia="宋体" w:cs="宋体"/>
                <w:bCs/>
                <w:kern w:val="0"/>
                <w:sz w:val="24"/>
                <w:szCs w:val="24"/>
              </w:rPr>
            </w:pPr>
            <w:r>
              <w:rPr>
                <w:rFonts w:hint="eastAsia" w:ascii="宋体" w:hAnsi="宋体" w:cs="宋体"/>
                <w:bCs/>
                <w:kern w:val="0"/>
                <w:sz w:val="24"/>
              </w:rPr>
              <w:t>1.服务内容：</w:t>
            </w:r>
            <w:r>
              <w:rPr>
                <w:rFonts w:hint="eastAsia" w:ascii="宋体" w:hAnsi="宋体" w:eastAsia="宋体" w:cs="宋体"/>
                <w:bCs/>
                <w:kern w:val="0"/>
                <w:sz w:val="24"/>
                <w:szCs w:val="24"/>
              </w:rPr>
              <w:t>需指派专业技术服务团队在招标人相关负责人现场监督下，对招标人信息系统通过手工脆弱性检查和使用漏洞扫描工具方式分别进行全面深入的脆弱性检测，全面深入地对网络及安全、主机、数据库等存在的各种技术漏洞进行检查，为安全加固提供客观依据，减少信息安全隐患，提高网络和系统安全防护能力。</w:t>
            </w:r>
          </w:p>
        </w:tc>
      </w:tr>
      <w:tr w14:paraId="1BE99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67" w:type="dxa"/>
            <w:vMerge w:val="continue"/>
            <w:noWrap w:val="0"/>
            <w:vAlign w:val="center"/>
          </w:tcPr>
          <w:p w14:paraId="691C0DE3">
            <w:pPr>
              <w:widowControl/>
              <w:spacing w:line="360" w:lineRule="auto"/>
              <w:jc w:val="center"/>
              <w:rPr>
                <w:rFonts w:hint="eastAsia" w:ascii="宋体" w:hAnsi="宋体" w:eastAsia="宋体" w:cs="宋体"/>
                <w:kern w:val="0"/>
                <w:sz w:val="24"/>
                <w:szCs w:val="24"/>
              </w:rPr>
            </w:pPr>
          </w:p>
        </w:tc>
        <w:tc>
          <w:tcPr>
            <w:tcW w:w="7697" w:type="dxa"/>
            <w:noWrap w:val="0"/>
            <w:vAlign w:val="center"/>
          </w:tcPr>
          <w:p w14:paraId="50D54D5C">
            <w:pPr>
              <w:widowControl/>
              <w:spacing w:line="360" w:lineRule="auto"/>
              <w:jc w:val="left"/>
              <w:rPr>
                <w:rFonts w:hint="eastAsia" w:ascii="宋体" w:hAnsi="宋体" w:eastAsia="宋体" w:cs="宋体"/>
                <w:bCs/>
                <w:kern w:val="0"/>
                <w:sz w:val="24"/>
                <w:szCs w:val="24"/>
              </w:rPr>
            </w:pPr>
            <w:r>
              <w:rPr>
                <w:rFonts w:hint="eastAsia" w:ascii="宋体" w:hAnsi="宋体" w:cs="宋体"/>
                <w:kern w:val="0"/>
                <w:sz w:val="24"/>
              </w:rPr>
              <w:t>2.</w:t>
            </w:r>
            <w:r>
              <w:rPr>
                <w:rFonts w:hint="eastAsia" w:ascii="宋体" w:hAnsi="宋体" w:eastAsia="宋体" w:cs="宋体"/>
                <w:kern w:val="0"/>
                <w:sz w:val="24"/>
                <w:szCs w:val="24"/>
              </w:rPr>
              <w:t>服务范围：</w:t>
            </w:r>
            <w:r>
              <w:rPr>
                <w:rFonts w:hint="eastAsia" w:ascii="宋体" w:hAnsi="宋体" w:eastAsia="宋体" w:cs="宋体"/>
                <w:bCs/>
                <w:kern w:val="0"/>
                <w:sz w:val="24"/>
                <w:szCs w:val="24"/>
              </w:rPr>
              <w:t>招标人指定信息系统。</w:t>
            </w:r>
          </w:p>
        </w:tc>
      </w:tr>
      <w:tr w14:paraId="1C1A3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67" w:type="dxa"/>
            <w:vMerge w:val="continue"/>
            <w:noWrap w:val="0"/>
            <w:vAlign w:val="center"/>
          </w:tcPr>
          <w:p w14:paraId="3A972CBB">
            <w:pPr>
              <w:widowControl/>
              <w:spacing w:line="360" w:lineRule="auto"/>
              <w:jc w:val="center"/>
              <w:rPr>
                <w:rFonts w:hint="eastAsia" w:ascii="宋体" w:hAnsi="宋体" w:eastAsia="宋体" w:cs="宋体"/>
                <w:kern w:val="0"/>
                <w:sz w:val="24"/>
                <w:szCs w:val="24"/>
              </w:rPr>
            </w:pPr>
          </w:p>
        </w:tc>
        <w:tc>
          <w:tcPr>
            <w:tcW w:w="7697" w:type="dxa"/>
            <w:noWrap w:val="0"/>
            <w:vAlign w:val="center"/>
          </w:tcPr>
          <w:p w14:paraId="74BDD47F">
            <w:pPr>
              <w:widowControl/>
              <w:spacing w:line="360" w:lineRule="auto"/>
              <w:rPr>
                <w:rFonts w:hint="eastAsia" w:ascii="宋体" w:hAnsi="宋体" w:eastAsia="宋体" w:cs="宋体"/>
                <w:kern w:val="0"/>
                <w:sz w:val="24"/>
                <w:szCs w:val="24"/>
              </w:rPr>
            </w:pPr>
            <w:r>
              <w:rPr>
                <w:rFonts w:hint="eastAsia" w:ascii="宋体" w:hAnsi="宋体" w:cs="宋体"/>
                <w:kern w:val="0"/>
                <w:sz w:val="24"/>
              </w:rPr>
              <w:t>3.</w:t>
            </w:r>
            <w:r>
              <w:rPr>
                <w:rFonts w:hint="eastAsia" w:ascii="宋体" w:hAnsi="宋体" w:eastAsia="宋体" w:cs="宋体"/>
                <w:kern w:val="0"/>
                <w:sz w:val="24"/>
                <w:szCs w:val="24"/>
              </w:rPr>
              <w:t>服务频次：服务期限内每年提供2次。</w:t>
            </w:r>
          </w:p>
        </w:tc>
      </w:tr>
      <w:tr w14:paraId="2FA65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67" w:type="dxa"/>
            <w:vMerge w:val="continue"/>
            <w:noWrap w:val="0"/>
            <w:vAlign w:val="center"/>
          </w:tcPr>
          <w:p w14:paraId="0BD04988">
            <w:pPr>
              <w:widowControl/>
              <w:spacing w:line="360" w:lineRule="auto"/>
              <w:jc w:val="center"/>
              <w:rPr>
                <w:rFonts w:hint="eastAsia" w:ascii="宋体" w:hAnsi="宋体" w:eastAsia="宋体" w:cs="宋体"/>
                <w:kern w:val="0"/>
                <w:sz w:val="24"/>
                <w:szCs w:val="24"/>
              </w:rPr>
            </w:pPr>
          </w:p>
        </w:tc>
        <w:tc>
          <w:tcPr>
            <w:tcW w:w="7697" w:type="dxa"/>
            <w:noWrap w:val="0"/>
            <w:vAlign w:val="center"/>
          </w:tcPr>
          <w:p w14:paraId="1482605D">
            <w:pPr>
              <w:widowControl/>
              <w:spacing w:line="360" w:lineRule="auto"/>
              <w:jc w:val="left"/>
              <w:rPr>
                <w:rFonts w:hint="eastAsia" w:ascii="宋体" w:hAnsi="宋体" w:cs="宋体"/>
                <w:kern w:val="0"/>
                <w:sz w:val="24"/>
              </w:rPr>
            </w:pPr>
            <w:r>
              <w:rPr>
                <w:rFonts w:hint="eastAsia" w:ascii="宋体" w:hAnsi="宋体" w:cs="宋体"/>
                <w:kern w:val="0"/>
                <w:sz w:val="24"/>
              </w:rPr>
              <w:t>4.服务成果需包括但不限于：</w:t>
            </w:r>
          </w:p>
          <w:p w14:paraId="71EB263E">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《门头沟卫健委脆弱性检测报告》</w:t>
            </w:r>
          </w:p>
        </w:tc>
      </w:tr>
    </w:tbl>
    <w:p w14:paraId="07084F02">
      <w:pPr>
        <w:spacing w:before="160" w:after="80"/>
        <w:outlineLvl w:val="3"/>
        <w:rPr>
          <w:rFonts w:ascii="Times New Roman" w:hAnsi="Times New Roman" w:eastAsia="宋体"/>
          <w:b/>
          <w:bCs/>
          <w:sz w:val="24"/>
          <w:szCs w:val="24"/>
        </w:rPr>
      </w:pPr>
      <w:r>
        <w:rPr>
          <w:rFonts w:hint="eastAsia"/>
          <w:b/>
          <w:bCs/>
          <w:sz w:val="24"/>
        </w:rPr>
        <w:t>4.3.10</w:t>
      </w:r>
      <w:r>
        <w:rPr>
          <w:rFonts w:ascii="Times New Roman" w:hAnsi="Times New Roman" w:eastAsia="宋体"/>
          <w:b/>
          <w:bCs/>
          <w:sz w:val="24"/>
          <w:szCs w:val="24"/>
        </w:rPr>
        <w:t>安全加固</w:t>
      </w:r>
      <w:r>
        <w:rPr>
          <w:rFonts w:ascii="Times New Roman" w:hAnsi="Times New Roman" w:eastAsia="宋体"/>
          <w:b/>
          <w:bCs/>
          <w:sz w:val="24"/>
          <w:szCs w:val="24"/>
        </w:rPr>
        <w:tab/>
      </w:r>
      <w:r>
        <w:rPr>
          <w:rFonts w:hint="eastAsia"/>
          <w:b/>
          <w:bCs/>
          <w:sz w:val="24"/>
        </w:rPr>
        <w:t>服务</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7"/>
        <w:gridCol w:w="7697"/>
      </w:tblGrid>
      <w:tr w14:paraId="0FB30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67" w:type="dxa"/>
            <w:noWrap w:val="0"/>
            <w:vAlign w:val="center"/>
          </w:tcPr>
          <w:p w14:paraId="6195D7D3">
            <w:pPr>
              <w:widowControl/>
              <w:spacing w:line="360" w:lineRule="auto"/>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服务名称</w:t>
            </w:r>
          </w:p>
        </w:tc>
        <w:tc>
          <w:tcPr>
            <w:tcW w:w="7697" w:type="dxa"/>
            <w:noWrap w:val="0"/>
            <w:vAlign w:val="center"/>
          </w:tcPr>
          <w:p w14:paraId="6D3496A3">
            <w:pPr>
              <w:widowControl/>
              <w:spacing w:line="360" w:lineRule="auto"/>
              <w:jc w:val="center"/>
              <w:rPr>
                <w:rFonts w:hint="eastAsia" w:ascii="宋体" w:hAnsi="宋体" w:eastAsia="宋体" w:cs="宋体"/>
                <w:b/>
                <w:kern w:val="0"/>
                <w:sz w:val="24"/>
                <w:szCs w:val="24"/>
              </w:rPr>
            </w:pPr>
            <w:r>
              <w:rPr>
                <w:rFonts w:hint="eastAsia" w:ascii="宋体" w:hAnsi="宋体" w:cs="宋体"/>
                <w:b/>
                <w:kern w:val="0"/>
                <w:sz w:val="24"/>
              </w:rPr>
              <w:t>服务指标要求</w:t>
            </w:r>
          </w:p>
        </w:tc>
      </w:tr>
      <w:tr w14:paraId="5046A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67" w:type="dxa"/>
            <w:vMerge w:val="restart"/>
            <w:noWrap w:val="0"/>
            <w:vAlign w:val="center"/>
          </w:tcPr>
          <w:p w14:paraId="3090B508">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安全加固服务</w:t>
            </w:r>
          </w:p>
        </w:tc>
        <w:tc>
          <w:tcPr>
            <w:tcW w:w="7697" w:type="dxa"/>
            <w:noWrap w:val="0"/>
            <w:vAlign w:val="center"/>
          </w:tcPr>
          <w:p w14:paraId="680793D9">
            <w:pPr>
              <w:spacing w:line="360" w:lineRule="auto"/>
              <w:rPr>
                <w:rFonts w:hint="eastAsia" w:ascii="宋体" w:hAnsi="宋体" w:eastAsia="宋体" w:cs="宋体"/>
                <w:bCs/>
                <w:kern w:val="0"/>
                <w:sz w:val="24"/>
                <w:szCs w:val="24"/>
              </w:rPr>
            </w:pPr>
            <w:r>
              <w:rPr>
                <w:rFonts w:hint="eastAsia" w:ascii="宋体" w:hAnsi="宋体" w:eastAsia="宋体" w:cs="宋体"/>
                <w:bCs/>
                <w:kern w:val="0"/>
                <w:sz w:val="24"/>
                <w:szCs w:val="24"/>
              </w:rPr>
              <w:t>1.服务内容：需根据脆弱性检测等工作结果，结合招标人信息系统业务需求，通过技术手段对信息系统相关的操作系统、数据库、中间件、网络与安全设备进行安全策略加强、调优，加强网络、系统和设备抵御攻击和威胁的能力，整体提高网络安全防护水平。</w:t>
            </w:r>
          </w:p>
        </w:tc>
      </w:tr>
      <w:tr w14:paraId="51CB1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67" w:type="dxa"/>
            <w:vMerge w:val="continue"/>
            <w:noWrap w:val="0"/>
            <w:vAlign w:val="center"/>
          </w:tcPr>
          <w:p w14:paraId="07DC61BD">
            <w:pPr>
              <w:widowControl/>
              <w:spacing w:line="360" w:lineRule="auto"/>
              <w:jc w:val="center"/>
              <w:rPr>
                <w:rFonts w:hint="eastAsia" w:ascii="宋体" w:hAnsi="宋体" w:eastAsia="宋体" w:cs="宋体"/>
                <w:kern w:val="0"/>
                <w:sz w:val="24"/>
                <w:szCs w:val="24"/>
              </w:rPr>
            </w:pPr>
          </w:p>
        </w:tc>
        <w:tc>
          <w:tcPr>
            <w:tcW w:w="7697" w:type="dxa"/>
            <w:noWrap w:val="0"/>
            <w:vAlign w:val="center"/>
          </w:tcPr>
          <w:p w14:paraId="2DEE0777">
            <w:pPr>
              <w:widowControl/>
              <w:spacing w:line="360" w:lineRule="auto"/>
              <w:jc w:val="left"/>
              <w:rPr>
                <w:rFonts w:hint="eastAsia" w:ascii="宋体" w:hAnsi="宋体" w:eastAsia="宋体" w:cs="宋体"/>
                <w:bCs/>
                <w:kern w:val="0"/>
                <w:sz w:val="24"/>
                <w:szCs w:val="24"/>
              </w:rPr>
            </w:pPr>
            <w:r>
              <w:rPr>
                <w:rFonts w:hint="eastAsia" w:ascii="宋体" w:hAnsi="宋体" w:eastAsia="宋体" w:cs="宋体"/>
                <w:bCs/>
                <w:kern w:val="0"/>
                <w:sz w:val="24"/>
                <w:szCs w:val="24"/>
              </w:rPr>
              <w:t>2.服务范围：招标人指定信息系统。</w:t>
            </w:r>
          </w:p>
        </w:tc>
      </w:tr>
      <w:tr w14:paraId="3452C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67" w:type="dxa"/>
            <w:vMerge w:val="continue"/>
            <w:noWrap w:val="0"/>
            <w:vAlign w:val="center"/>
          </w:tcPr>
          <w:p w14:paraId="3A46A590">
            <w:pPr>
              <w:widowControl/>
              <w:spacing w:line="360" w:lineRule="auto"/>
              <w:jc w:val="center"/>
              <w:rPr>
                <w:rFonts w:hint="eastAsia" w:ascii="宋体" w:hAnsi="宋体" w:eastAsia="宋体" w:cs="宋体"/>
                <w:kern w:val="0"/>
                <w:sz w:val="24"/>
                <w:szCs w:val="24"/>
              </w:rPr>
            </w:pPr>
          </w:p>
        </w:tc>
        <w:tc>
          <w:tcPr>
            <w:tcW w:w="7697" w:type="dxa"/>
            <w:noWrap w:val="0"/>
            <w:vAlign w:val="center"/>
          </w:tcPr>
          <w:p w14:paraId="465D064C">
            <w:pPr>
              <w:widowControl/>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3.服务频次：服务期限内每年提供1次。</w:t>
            </w:r>
          </w:p>
        </w:tc>
      </w:tr>
      <w:tr w14:paraId="2B411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67" w:type="dxa"/>
            <w:vMerge w:val="continue"/>
            <w:noWrap w:val="0"/>
            <w:vAlign w:val="center"/>
          </w:tcPr>
          <w:p w14:paraId="4AC5AC31">
            <w:pPr>
              <w:widowControl/>
              <w:spacing w:line="360" w:lineRule="auto"/>
              <w:jc w:val="center"/>
              <w:rPr>
                <w:rFonts w:hint="eastAsia" w:ascii="宋体" w:hAnsi="宋体" w:eastAsia="宋体" w:cs="宋体"/>
                <w:kern w:val="0"/>
                <w:sz w:val="24"/>
                <w:szCs w:val="24"/>
              </w:rPr>
            </w:pPr>
          </w:p>
        </w:tc>
        <w:tc>
          <w:tcPr>
            <w:tcW w:w="7697" w:type="dxa"/>
            <w:noWrap w:val="0"/>
            <w:vAlign w:val="center"/>
          </w:tcPr>
          <w:p w14:paraId="3D9B0912">
            <w:pPr>
              <w:widowControl/>
              <w:numPr>
                <w:ilvl w:val="0"/>
                <w:numId w:val="2"/>
              </w:numPr>
              <w:spacing w:line="360" w:lineRule="auto"/>
              <w:jc w:val="left"/>
              <w:rPr>
                <w:rFonts w:hint="eastAsia" w:ascii="宋体" w:hAnsi="宋体" w:cs="宋体"/>
                <w:kern w:val="0"/>
                <w:sz w:val="24"/>
              </w:rPr>
            </w:pPr>
            <w:r>
              <w:rPr>
                <w:rFonts w:hint="eastAsia" w:ascii="宋体" w:hAnsi="宋体" w:cs="宋体"/>
                <w:kern w:val="0"/>
                <w:sz w:val="24"/>
              </w:rPr>
              <w:t>服务成果需包括但不限于：</w:t>
            </w:r>
          </w:p>
          <w:p w14:paraId="76EC1808">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《门头沟卫健委安全加固报告》</w:t>
            </w:r>
          </w:p>
        </w:tc>
      </w:tr>
    </w:tbl>
    <w:p w14:paraId="3A0B1CFE">
      <w:pPr>
        <w:spacing w:before="160" w:after="80"/>
        <w:outlineLvl w:val="3"/>
        <w:rPr>
          <w:rFonts w:ascii="Times New Roman" w:hAnsi="Times New Roman" w:eastAsia="宋体"/>
          <w:b/>
          <w:bCs/>
          <w:sz w:val="24"/>
          <w:szCs w:val="24"/>
        </w:rPr>
      </w:pPr>
      <w:r>
        <w:rPr>
          <w:rFonts w:hint="eastAsia"/>
          <w:b/>
          <w:bCs/>
          <w:sz w:val="24"/>
        </w:rPr>
        <w:t>4.3.11</w:t>
      </w:r>
      <w:r>
        <w:rPr>
          <w:rFonts w:ascii="Times New Roman" w:hAnsi="Times New Roman" w:eastAsia="宋体"/>
          <w:b/>
          <w:bCs/>
          <w:sz w:val="24"/>
          <w:szCs w:val="24"/>
        </w:rPr>
        <w:t>网络安全管理制度修订</w:t>
      </w:r>
      <w:r>
        <w:rPr>
          <w:rFonts w:hint="eastAsia"/>
          <w:b/>
          <w:bCs/>
          <w:sz w:val="24"/>
        </w:rPr>
        <w:t>服务</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0"/>
        <w:gridCol w:w="7692"/>
      </w:tblGrid>
      <w:tr w14:paraId="1CE09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70" w:type="dxa"/>
            <w:noWrap w:val="0"/>
            <w:vAlign w:val="center"/>
          </w:tcPr>
          <w:p w14:paraId="35D513E9">
            <w:pPr>
              <w:widowControl/>
              <w:spacing w:line="360" w:lineRule="auto"/>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服务名称</w:t>
            </w:r>
          </w:p>
        </w:tc>
        <w:tc>
          <w:tcPr>
            <w:tcW w:w="7692" w:type="dxa"/>
            <w:noWrap w:val="0"/>
            <w:vAlign w:val="center"/>
          </w:tcPr>
          <w:p w14:paraId="1383F671">
            <w:pPr>
              <w:widowControl/>
              <w:spacing w:line="360" w:lineRule="auto"/>
              <w:jc w:val="center"/>
              <w:rPr>
                <w:rFonts w:hint="default" w:ascii="Times New Roman" w:hAnsi="Times New Roman" w:eastAsia="宋体" w:cs="Times New Roman"/>
                <w:b/>
                <w:kern w:val="0"/>
                <w:sz w:val="24"/>
                <w:szCs w:val="24"/>
              </w:rPr>
            </w:pPr>
            <w:r>
              <w:rPr>
                <w:rFonts w:hint="default" w:ascii="Times New Roman" w:hAnsi="Times New Roman" w:cs="Times New Roman"/>
                <w:b/>
                <w:kern w:val="0"/>
                <w:sz w:val="24"/>
              </w:rPr>
              <w:t>服务指标要求</w:t>
            </w:r>
          </w:p>
        </w:tc>
      </w:tr>
      <w:tr w14:paraId="68650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70" w:type="dxa"/>
            <w:vMerge w:val="restart"/>
            <w:noWrap w:val="0"/>
            <w:vAlign w:val="center"/>
          </w:tcPr>
          <w:p w14:paraId="78E0E9B9">
            <w:pPr>
              <w:widowControl/>
              <w:spacing w:line="360" w:lineRule="auto"/>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网络安全管理制度修订服务</w:t>
            </w:r>
          </w:p>
        </w:tc>
        <w:tc>
          <w:tcPr>
            <w:tcW w:w="7692" w:type="dxa"/>
            <w:noWrap w:val="0"/>
            <w:vAlign w:val="center"/>
          </w:tcPr>
          <w:p w14:paraId="0C8C5AA0">
            <w:pPr>
              <w:spacing w:line="360" w:lineRule="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1.服务内容：需基于信息系统安全等级，根据网络安全等级保护管理要求，从网络安全管理制度、安全管理机构、安全管理人员、安全建设管理和安全运维管理五个方面对现有网络安全管理制度进行优化和修订，达到国家网络安全等级保护管理要求。</w:t>
            </w:r>
          </w:p>
        </w:tc>
      </w:tr>
      <w:tr w14:paraId="75679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70" w:type="dxa"/>
            <w:vMerge w:val="continue"/>
            <w:noWrap w:val="0"/>
            <w:vAlign w:val="center"/>
          </w:tcPr>
          <w:p w14:paraId="55522C9E">
            <w:pPr>
              <w:widowControl/>
              <w:spacing w:line="360" w:lineRule="auto"/>
              <w:jc w:val="center"/>
              <w:rPr>
                <w:rFonts w:hint="default" w:ascii="Times New Roman" w:hAnsi="Times New Roman" w:eastAsia="宋体" w:cs="Times New Roman"/>
                <w:kern w:val="0"/>
                <w:sz w:val="24"/>
                <w:szCs w:val="24"/>
              </w:rPr>
            </w:pPr>
          </w:p>
        </w:tc>
        <w:tc>
          <w:tcPr>
            <w:tcW w:w="7692" w:type="dxa"/>
            <w:noWrap w:val="0"/>
            <w:vAlign w:val="center"/>
          </w:tcPr>
          <w:p w14:paraId="0BD05BC9">
            <w:pPr>
              <w:widowControl/>
              <w:spacing w:line="360" w:lineRule="auto"/>
              <w:jc w:val="left"/>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2.服务范围：招标人指定信息系统。</w:t>
            </w:r>
          </w:p>
        </w:tc>
      </w:tr>
      <w:tr w14:paraId="0A800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70" w:type="dxa"/>
            <w:vMerge w:val="continue"/>
            <w:noWrap w:val="0"/>
            <w:vAlign w:val="center"/>
          </w:tcPr>
          <w:p w14:paraId="311ECEA1">
            <w:pPr>
              <w:widowControl/>
              <w:spacing w:line="360" w:lineRule="auto"/>
              <w:jc w:val="center"/>
              <w:rPr>
                <w:rFonts w:hint="default" w:ascii="Times New Roman" w:hAnsi="Times New Roman" w:eastAsia="宋体" w:cs="Times New Roman"/>
                <w:kern w:val="0"/>
                <w:sz w:val="24"/>
                <w:szCs w:val="24"/>
              </w:rPr>
            </w:pPr>
          </w:p>
        </w:tc>
        <w:tc>
          <w:tcPr>
            <w:tcW w:w="7692" w:type="dxa"/>
            <w:noWrap w:val="0"/>
            <w:vAlign w:val="center"/>
          </w:tcPr>
          <w:p w14:paraId="1D826BA3">
            <w:pPr>
              <w:widowControl/>
              <w:spacing w:line="360" w:lineRule="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3.服务频次：服务期限内每年提供1次。</w:t>
            </w:r>
          </w:p>
        </w:tc>
      </w:tr>
      <w:tr w14:paraId="380F4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70" w:type="dxa"/>
            <w:vMerge w:val="continue"/>
            <w:noWrap w:val="0"/>
            <w:vAlign w:val="center"/>
          </w:tcPr>
          <w:p w14:paraId="0462EB20">
            <w:pPr>
              <w:widowControl/>
              <w:spacing w:line="360" w:lineRule="auto"/>
              <w:jc w:val="center"/>
              <w:rPr>
                <w:rFonts w:ascii="Times New Roman" w:hAnsi="Times New Roman" w:eastAsia="宋体" w:cs="Times New Roman"/>
                <w:kern w:val="0"/>
                <w:sz w:val="24"/>
                <w:szCs w:val="24"/>
              </w:rPr>
            </w:pPr>
          </w:p>
        </w:tc>
        <w:tc>
          <w:tcPr>
            <w:tcW w:w="7692" w:type="dxa"/>
            <w:noWrap w:val="0"/>
            <w:vAlign w:val="center"/>
          </w:tcPr>
          <w:p w14:paraId="14555241">
            <w:pPr>
              <w:widowControl/>
              <w:numPr>
                <w:ilvl w:val="0"/>
                <w:numId w:val="0"/>
              </w:numPr>
              <w:tabs>
                <w:tab w:val="left" w:pos="312"/>
              </w:tabs>
              <w:spacing w:line="360" w:lineRule="auto"/>
              <w:jc w:val="left"/>
              <w:rPr>
                <w:rFonts w:hint="eastAsia" w:ascii="宋体" w:hAnsi="宋体" w:cs="宋体"/>
                <w:kern w:val="0"/>
                <w:sz w:val="24"/>
              </w:rPr>
            </w:pPr>
            <w:r>
              <w:rPr>
                <w:rFonts w:hint="default" w:ascii="Times New Roman" w:hAnsi="Times New Roman" w:eastAsia="宋体" w:cs="Times New Roman"/>
                <w:kern w:val="0"/>
                <w:sz w:val="24"/>
                <w:szCs w:val="24"/>
              </w:rPr>
              <w:t>4.</w:t>
            </w:r>
            <w:r>
              <w:rPr>
                <w:rFonts w:hint="eastAsia" w:ascii="宋体" w:hAnsi="宋体" w:cs="宋体"/>
                <w:kern w:val="0"/>
                <w:sz w:val="24"/>
              </w:rPr>
              <w:t>服务成果需包括但不限于：</w:t>
            </w:r>
          </w:p>
          <w:p w14:paraId="78F0DA45">
            <w:pPr>
              <w:widowControl/>
              <w:spacing w:line="360" w:lineRule="auto"/>
              <w:jc w:val="lef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《门头沟卫健委网络安全管理制度》</w:t>
            </w:r>
          </w:p>
        </w:tc>
      </w:tr>
    </w:tbl>
    <w:p w14:paraId="61FB22BB">
      <w:pPr>
        <w:spacing w:before="160" w:after="80"/>
        <w:outlineLvl w:val="3"/>
        <w:rPr>
          <w:rFonts w:ascii="Times New Roman" w:hAnsi="Times New Roman" w:eastAsia="宋体"/>
          <w:b/>
          <w:bCs/>
          <w:sz w:val="24"/>
          <w:szCs w:val="24"/>
        </w:rPr>
      </w:pPr>
      <w:r>
        <w:rPr>
          <w:rFonts w:hint="eastAsia"/>
          <w:b/>
          <w:bCs/>
          <w:sz w:val="24"/>
        </w:rPr>
        <w:t>4.3.12</w:t>
      </w:r>
      <w:r>
        <w:rPr>
          <w:rFonts w:ascii="Times New Roman" w:hAnsi="Times New Roman" w:eastAsia="宋体"/>
          <w:b/>
          <w:bCs/>
          <w:sz w:val="24"/>
          <w:szCs w:val="24"/>
        </w:rPr>
        <w:t>辅助测评</w:t>
      </w:r>
      <w:r>
        <w:rPr>
          <w:rFonts w:hint="eastAsia"/>
          <w:b/>
          <w:bCs/>
          <w:sz w:val="24"/>
        </w:rPr>
        <w:t>服务</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0"/>
        <w:gridCol w:w="7692"/>
      </w:tblGrid>
      <w:tr w14:paraId="3C628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70" w:type="dxa"/>
            <w:noWrap w:val="0"/>
            <w:vAlign w:val="center"/>
          </w:tcPr>
          <w:p w14:paraId="466FB73B">
            <w:pPr>
              <w:widowControl/>
              <w:spacing w:line="360" w:lineRule="auto"/>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服务名称</w:t>
            </w:r>
          </w:p>
        </w:tc>
        <w:tc>
          <w:tcPr>
            <w:tcW w:w="7692" w:type="dxa"/>
            <w:noWrap w:val="0"/>
            <w:vAlign w:val="center"/>
          </w:tcPr>
          <w:p w14:paraId="3E82F089">
            <w:pPr>
              <w:widowControl/>
              <w:spacing w:line="360" w:lineRule="auto"/>
              <w:jc w:val="center"/>
              <w:rPr>
                <w:rFonts w:hint="default" w:ascii="Times New Roman" w:hAnsi="Times New Roman" w:eastAsia="宋体" w:cs="Times New Roman"/>
                <w:b/>
                <w:kern w:val="0"/>
                <w:sz w:val="24"/>
                <w:szCs w:val="24"/>
              </w:rPr>
            </w:pPr>
            <w:r>
              <w:rPr>
                <w:rFonts w:hint="default" w:ascii="Times New Roman" w:hAnsi="Times New Roman" w:cs="Times New Roman"/>
                <w:b/>
                <w:kern w:val="0"/>
                <w:sz w:val="24"/>
              </w:rPr>
              <w:t>服务指标要求</w:t>
            </w:r>
          </w:p>
        </w:tc>
      </w:tr>
      <w:tr w14:paraId="740CE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70" w:type="dxa"/>
            <w:vMerge w:val="restart"/>
            <w:noWrap w:val="0"/>
            <w:vAlign w:val="center"/>
          </w:tcPr>
          <w:p w14:paraId="5B968DF0">
            <w:pPr>
              <w:widowControl/>
              <w:spacing w:line="360" w:lineRule="auto"/>
              <w:jc w:val="center"/>
              <w:rPr>
                <w:rFonts w:hint="default" w:ascii="Times New Roman" w:hAnsi="Times New Roman" w:eastAsia="宋体" w:cs="Times New Roman"/>
                <w:kern w:val="0"/>
                <w:sz w:val="24"/>
                <w:szCs w:val="24"/>
              </w:rPr>
            </w:pPr>
            <w:r>
              <w:rPr>
                <w:rFonts w:hint="eastAsia"/>
                <w:kern w:val="0"/>
                <w:sz w:val="24"/>
              </w:rPr>
              <w:t>辅助测评服务</w:t>
            </w:r>
          </w:p>
        </w:tc>
        <w:tc>
          <w:tcPr>
            <w:tcW w:w="7692" w:type="dxa"/>
            <w:noWrap w:val="0"/>
            <w:vAlign w:val="center"/>
          </w:tcPr>
          <w:p w14:paraId="69630990">
            <w:pPr>
              <w:spacing w:line="360" w:lineRule="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1.服务内容：需针对信息系统等级保护测评提供咨询服务，协助通过等级保护测评，咨询服务内容包括系统现状调研，根据调研结果编制测评申请书，在测评现场提供技术支持，根据测评结果协助整改并提供复测咨询等。</w:t>
            </w:r>
          </w:p>
        </w:tc>
      </w:tr>
      <w:tr w14:paraId="72E8D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70" w:type="dxa"/>
            <w:vMerge w:val="continue"/>
            <w:noWrap w:val="0"/>
            <w:vAlign w:val="center"/>
          </w:tcPr>
          <w:p w14:paraId="270D96E2">
            <w:pPr>
              <w:widowControl/>
              <w:spacing w:line="360" w:lineRule="auto"/>
              <w:jc w:val="center"/>
              <w:rPr>
                <w:rFonts w:hint="default" w:ascii="Times New Roman" w:hAnsi="Times New Roman" w:eastAsia="宋体" w:cs="Times New Roman"/>
                <w:kern w:val="0"/>
                <w:sz w:val="24"/>
                <w:szCs w:val="24"/>
              </w:rPr>
            </w:pPr>
          </w:p>
        </w:tc>
        <w:tc>
          <w:tcPr>
            <w:tcW w:w="7692" w:type="dxa"/>
            <w:noWrap w:val="0"/>
            <w:vAlign w:val="center"/>
          </w:tcPr>
          <w:p w14:paraId="25B273A8">
            <w:pPr>
              <w:widowControl/>
              <w:spacing w:line="360" w:lineRule="auto"/>
              <w:jc w:val="left"/>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2.服务范围：招标人指定的2个信息系统。</w:t>
            </w:r>
          </w:p>
        </w:tc>
      </w:tr>
      <w:tr w14:paraId="27257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70" w:type="dxa"/>
            <w:vMerge w:val="continue"/>
            <w:noWrap w:val="0"/>
            <w:vAlign w:val="center"/>
          </w:tcPr>
          <w:p w14:paraId="09338AAA">
            <w:pPr>
              <w:widowControl/>
              <w:spacing w:line="360" w:lineRule="auto"/>
              <w:jc w:val="center"/>
              <w:rPr>
                <w:rFonts w:hint="default" w:ascii="Times New Roman" w:hAnsi="Times New Roman" w:eastAsia="宋体" w:cs="Times New Roman"/>
                <w:kern w:val="0"/>
                <w:sz w:val="24"/>
                <w:szCs w:val="24"/>
              </w:rPr>
            </w:pPr>
          </w:p>
        </w:tc>
        <w:tc>
          <w:tcPr>
            <w:tcW w:w="7692" w:type="dxa"/>
            <w:noWrap w:val="0"/>
            <w:vAlign w:val="center"/>
          </w:tcPr>
          <w:p w14:paraId="0E93F8D2">
            <w:pPr>
              <w:widowControl/>
              <w:spacing w:line="360" w:lineRule="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3.服务频次：服务期限内每年提供1次。</w:t>
            </w:r>
          </w:p>
        </w:tc>
      </w:tr>
      <w:tr w14:paraId="6A7E1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70" w:type="dxa"/>
            <w:vMerge w:val="continue"/>
            <w:noWrap w:val="0"/>
            <w:vAlign w:val="center"/>
          </w:tcPr>
          <w:p w14:paraId="5CCDCF8D">
            <w:pPr>
              <w:widowControl/>
              <w:spacing w:line="360" w:lineRule="auto"/>
              <w:jc w:val="center"/>
              <w:rPr>
                <w:rFonts w:ascii="Times New Roman" w:hAnsi="Times New Roman" w:eastAsia="宋体" w:cs="Times New Roman"/>
                <w:kern w:val="0"/>
                <w:sz w:val="24"/>
                <w:szCs w:val="24"/>
              </w:rPr>
            </w:pPr>
          </w:p>
        </w:tc>
        <w:tc>
          <w:tcPr>
            <w:tcW w:w="7692" w:type="dxa"/>
            <w:noWrap w:val="0"/>
            <w:vAlign w:val="center"/>
          </w:tcPr>
          <w:p w14:paraId="0478877D">
            <w:pPr>
              <w:widowControl/>
              <w:spacing w:line="360" w:lineRule="auto"/>
              <w:jc w:val="left"/>
              <w:rPr>
                <w:rFonts w:hint="eastAsia" w:ascii="宋体" w:hAnsi="宋体" w:cs="宋体"/>
                <w:kern w:val="0"/>
                <w:sz w:val="24"/>
              </w:rPr>
            </w:pPr>
            <w:r>
              <w:rPr>
                <w:kern w:val="0"/>
                <w:sz w:val="24"/>
              </w:rPr>
              <w:t>4.</w:t>
            </w:r>
            <w:r>
              <w:rPr>
                <w:rFonts w:hint="eastAsia" w:ascii="宋体" w:hAnsi="宋体" w:cs="宋体"/>
                <w:kern w:val="0"/>
                <w:sz w:val="24"/>
              </w:rPr>
              <w:t>服务成果需包括但不限于：</w:t>
            </w:r>
          </w:p>
          <w:p w14:paraId="14231835">
            <w:pPr>
              <w:widowControl/>
              <w:spacing w:line="360" w:lineRule="auto"/>
              <w:jc w:val="left"/>
              <w:rPr>
                <w:rFonts w:ascii="Times New Roman" w:hAnsi="Times New Roman" w:eastAsia="宋体" w:cs="Times New Roman"/>
                <w:kern w:val="0"/>
                <w:sz w:val="24"/>
                <w:szCs w:val="24"/>
              </w:rPr>
            </w:pPr>
            <w:r>
              <w:rPr>
                <w:rFonts w:hint="default" w:ascii="Times New Roman" w:hAnsi="Times New Roman" w:eastAsia="宋体" w:cs="Times New Roman"/>
                <w:kern w:val="0"/>
                <w:sz w:val="24"/>
                <w:szCs w:val="24"/>
              </w:rPr>
              <w:t>门头沟卫健委辅助测评过程文档</w:t>
            </w:r>
          </w:p>
        </w:tc>
      </w:tr>
    </w:tbl>
    <w:p w14:paraId="3E7C9DB5">
      <w:pPr>
        <w:spacing w:before="160" w:after="80"/>
        <w:outlineLvl w:val="3"/>
        <w:rPr>
          <w:rFonts w:ascii="Times New Roman" w:hAnsi="Times New Roman" w:eastAsia="宋体"/>
          <w:b/>
          <w:bCs/>
          <w:sz w:val="24"/>
          <w:szCs w:val="24"/>
        </w:rPr>
      </w:pPr>
      <w:r>
        <w:rPr>
          <w:rFonts w:hint="eastAsia"/>
          <w:b/>
          <w:bCs/>
          <w:sz w:val="24"/>
        </w:rPr>
        <w:t xml:space="preserve">4.3.13 </w:t>
      </w:r>
      <w:r>
        <w:rPr>
          <w:rFonts w:ascii="Times New Roman" w:hAnsi="Times New Roman" w:eastAsia="宋体"/>
          <w:b/>
          <w:bCs/>
          <w:sz w:val="24"/>
          <w:szCs w:val="24"/>
        </w:rPr>
        <w:t>三级等保测评</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0"/>
        <w:gridCol w:w="7692"/>
      </w:tblGrid>
      <w:tr w14:paraId="31EED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70" w:type="dxa"/>
            <w:noWrap w:val="0"/>
            <w:vAlign w:val="center"/>
          </w:tcPr>
          <w:p w14:paraId="047F76D6">
            <w:pPr>
              <w:widowControl/>
              <w:spacing w:line="360" w:lineRule="auto"/>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服务名称</w:t>
            </w:r>
          </w:p>
        </w:tc>
        <w:tc>
          <w:tcPr>
            <w:tcW w:w="7692" w:type="dxa"/>
            <w:noWrap w:val="0"/>
            <w:vAlign w:val="center"/>
          </w:tcPr>
          <w:p w14:paraId="3C390108">
            <w:pPr>
              <w:widowControl/>
              <w:spacing w:line="360" w:lineRule="auto"/>
              <w:jc w:val="center"/>
              <w:rPr>
                <w:rFonts w:hint="eastAsia" w:ascii="宋体" w:hAnsi="宋体" w:eastAsia="宋体" w:cs="宋体"/>
                <w:b/>
                <w:kern w:val="0"/>
                <w:sz w:val="24"/>
                <w:szCs w:val="24"/>
              </w:rPr>
            </w:pPr>
            <w:r>
              <w:rPr>
                <w:rFonts w:hint="eastAsia" w:ascii="宋体" w:hAnsi="宋体" w:cs="宋体"/>
                <w:b/>
                <w:kern w:val="0"/>
                <w:sz w:val="24"/>
              </w:rPr>
              <w:t>服务指标要求</w:t>
            </w:r>
          </w:p>
        </w:tc>
      </w:tr>
      <w:tr w14:paraId="0AF9A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70" w:type="dxa"/>
            <w:vMerge w:val="restart"/>
            <w:noWrap w:val="0"/>
            <w:vAlign w:val="center"/>
          </w:tcPr>
          <w:p w14:paraId="49C6AA26">
            <w:pPr>
              <w:widowControl/>
              <w:spacing w:line="360" w:lineRule="auto"/>
              <w:jc w:val="center"/>
              <w:rPr>
                <w:rFonts w:hint="default" w:ascii="宋体" w:hAnsi="宋体" w:eastAsia="宋体" w:cs="宋体"/>
                <w:kern w:val="0"/>
                <w:sz w:val="24"/>
                <w:szCs w:val="24"/>
              </w:rPr>
            </w:pPr>
            <w:r>
              <w:rPr>
                <w:rFonts w:hint="eastAsia" w:ascii="宋体" w:hAnsi="宋体" w:cs="宋体"/>
                <w:kern w:val="0"/>
                <w:sz w:val="24"/>
              </w:rPr>
              <w:t>三级等保测评</w:t>
            </w:r>
          </w:p>
        </w:tc>
        <w:tc>
          <w:tcPr>
            <w:tcW w:w="7692" w:type="dxa"/>
            <w:noWrap w:val="0"/>
            <w:vAlign w:val="center"/>
          </w:tcPr>
          <w:p w14:paraId="39BC023C">
            <w:pPr>
              <w:spacing w:line="360" w:lineRule="auto"/>
              <w:rPr>
                <w:rFonts w:hint="eastAsia" w:ascii="宋体" w:hAnsi="宋体" w:eastAsia="宋体" w:cs="宋体"/>
                <w:bCs/>
                <w:kern w:val="0"/>
                <w:sz w:val="24"/>
                <w:szCs w:val="24"/>
              </w:rPr>
            </w:pPr>
            <w:r>
              <w:rPr>
                <w:rFonts w:hint="eastAsia" w:ascii="宋体" w:hAnsi="宋体" w:cs="宋体"/>
                <w:bCs/>
                <w:kern w:val="0"/>
                <w:sz w:val="24"/>
              </w:rPr>
              <w:t>1.服务内容：</w:t>
            </w:r>
            <w:r>
              <w:rPr>
                <w:rFonts w:hint="eastAsia" w:ascii="宋体" w:hAnsi="宋体" w:eastAsia="宋体" w:cs="宋体"/>
                <w:bCs/>
                <w:kern w:val="0"/>
                <w:sz w:val="24"/>
                <w:szCs w:val="24"/>
              </w:rPr>
              <w:t>需依据国家相关政策文件要求，聘请具备信息安全等级保护测评资质的第三方测评机构对系统进行等级保护测评，检验系统是否符合《信息安全技术 网络安全等级保护基本要求》（GB/T 22239-2019）的等级保护相关级别要求，了解网络安全等级保护要求在系统中的实施配置情况以及整体安全性，对系统的安全保障状况进行符合性安全测试和评估，评价系统是否满足安全等级测评要求中的各项安全。</w:t>
            </w:r>
          </w:p>
        </w:tc>
      </w:tr>
      <w:tr w14:paraId="012B7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70" w:type="dxa"/>
            <w:vMerge w:val="continue"/>
            <w:noWrap w:val="0"/>
            <w:vAlign w:val="center"/>
          </w:tcPr>
          <w:p w14:paraId="07346F50">
            <w:pPr>
              <w:widowControl/>
              <w:spacing w:line="360" w:lineRule="auto"/>
              <w:jc w:val="center"/>
              <w:rPr>
                <w:rFonts w:hint="eastAsia" w:ascii="宋体" w:hAnsi="宋体" w:eastAsia="宋体" w:cs="宋体"/>
                <w:kern w:val="0"/>
                <w:sz w:val="24"/>
                <w:szCs w:val="24"/>
              </w:rPr>
            </w:pPr>
          </w:p>
        </w:tc>
        <w:tc>
          <w:tcPr>
            <w:tcW w:w="7692" w:type="dxa"/>
            <w:noWrap w:val="0"/>
            <w:vAlign w:val="center"/>
          </w:tcPr>
          <w:p w14:paraId="1DBB9F19">
            <w:pPr>
              <w:widowControl/>
              <w:spacing w:line="360" w:lineRule="auto"/>
              <w:jc w:val="left"/>
              <w:rPr>
                <w:rFonts w:hint="eastAsia" w:ascii="宋体" w:hAnsi="宋体" w:eastAsia="宋体" w:cs="宋体"/>
                <w:bCs/>
                <w:kern w:val="0"/>
                <w:sz w:val="24"/>
                <w:szCs w:val="24"/>
              </w:rPr>
            </w:pPr>
            <w:r>
              <w:rPr>
                <w:rFonts w:hint="eastAsia" w:ascii="宋体" w:hAnsi="宋体" w:cs="宋体"/>
                <w:bCs/>
                <w:kern w:val="0"/>
                <w:sz w:val="24"/>
              </w:rPr>
              <w:t>2.服务范围：</w:t>
            </w:r>
            <w:r>
              <w:rPr>
                <w:rFonts w:hint="eastAsia" w:ascii="宋体" w:hAnsi="宋体" w:eastAsia="宋体" w:cs="宋体"/>
                <w:bCs/>
                <w:kern w:val="0"/>
                <w:sz w:val="24"/>
                <w:szCs w:val="24"/>
              </w:rPr>
              <w:t>招标人指定的2个信息系统。</w:t>
            </w:r>
          </w:p>
        </w:tc>
      </w:tr>
      <w:tr w14:paraId="5092E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70" w:type="dxa"/>
            <w:vMerge w:val="continue"/>
            <w:noWrap w:val="0"/>
            <w:vAlign w:val="center"/>
          </w:tcPr>
          <w:p w14:paraId="7E457BFC">
            <w:pPr>
              <w:widowControl/>
              <w:spacing w:line="360" w:lineRule="auto"/>
              <w:jc w:val="center"/>
              <w:rPr>
                <w:rFonts w:hint="eastAsia" w:ascii="宋体" w:hAnsi="宋体" w:eastAsia="宋体" w:cs="宋体"/>
                <w:kern w:val="0"/>
                <w:sz w:val="24"/>
                <w:szCs w:val="24"/>
              </w:rPr>
            </w:pPr>
          </w:p>
        </w:tc>
        <w:tc>
          <w:tcPr>
            <w:tcW w:w="7692" w:type="dxa"/>
            <w:noWrap w:val="0"/>
            <w:vAlign w:val="center"/>
          </w:tcPr>
          <w:p w14:paraId="776A0581">
            <w:pPr>
              <w:widowControl/>
              <w:spacing w:line="360" w:lineRule="auto"/>
              <w:rPr>
                <w:rFonts w:hint="eastAsia" w:ascii="宋体" w:hAnsi="宋体" w:eastAsia="宋体" w:cs="宋体"/>
                <w:kern w:val="0"/>
                <w:sz w:val="24"/>
                <w:szCs w:val="24"/>
              </w:rPr>
            </w:pPr>
            <w:r>
              <w:rPr>
                <w:rFonts w:hint="eastAsia" w:ascii="宋体" w:hAnsi="宋体" w:cs="宋体"/>
                <w:kern w:val="0"/>
                <w:sz w:val="24"/>
              </w:rPr>
              <w:t>3.服务频次：</w:t>
            </w:r>
            <w:r>
              <w:rPr>
                <w:rFonts w:hint="eastAsia" w:ascii="宋体" w:hAnsi="宋体" w:eastAsia="宋体" w:cs="宋体"/>
                <w:kern w:val="0"/>
                <w:sz w:val="24"/>
                <w:szCs w:val="24"/>
              </w:rPr>
              <w:t>服务期限内每年提供1次。</w:t>
            </w:r>
          </w:p>
        </w:tc>
      </w:tr>
      <w:tr w14:paraId="0ED4D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70" w:type="dxa"/>
            <w:vMerge w:val="continue"/>
            <w:noWrap w:val="0"/>
            <w:vAlign w:val="center"/>
          </w:tcPr>
          <w:p w14:paraId="24312236">
            <w:pPr>
              <w:widowControl/>
              <w:spacing w:line="360" w:lineRule="auto"/>
              <w:jc w:val="center"/>
              <w:rPr>
                <w:rFonts w:hint="eastAsia" w:ascii="宋体" w:hAnsi="宋体" w:eastAsia="宋体" w:cs="宋体"/>
                <w:kern w:val="0"/>
                <w:sz w:val="24"/>
                <w:szCs w:val="24"/>
              </w:rPr>
            </w:pPr>
          </w:p>
        </w:tc>
        <w:tc>
          <w:tcPr>
            <w:tcW w:w="7692" w:type="dxa"/>
            <w:noWrap w:val="0"/>
            <w:vAlign w:val="center"/>
          </w:tcPr>
          <w:p w14:paraId="13A5B86E">
            <w:pPr>
              <w:widowControl/>
              <w:spacing w:line="360" w:lineRule="auto"/>
              <w:jc w:val="left"/>
              <w:rPr>
                <w:rFonts w:hint="eastAsia" w:ascii="宋体" w:hAnsi="宋体" w:cs="宋体"/>
                <w:kern w:val="0"/>
                <w:sz w:val="24"/>
              </w:rPr>
            </w:pPr>
            <w:r>
              <w:rPr>
                <w:kern w:val="0"/>
                <w:sz w:val="24"/>
              </w:rPr>
              <w:t>4.</w:t>
            </w:r>
            <w:r>
              <w:rPr>
                <w:rFonts w:hint="eastAsia" w:ascii="宋体" w:hAnsi="宋体" w:cs="宋体"/>
                <w:kern w:val="0"/>
                <w:sz w:val="24"/>
              </w:rPr>
              <w:t>服务成果需包括但不限于：</w:t>
            </w:r>
          </w:p>
          <w:p w14:paraId="706A186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《门头沟卫健委xx信息系统等保测评报告》</w:t>
            </w:r>
          </w:p>
        </w:tc>
      </w:tr>
    </w:tbl>
    <w:p w14:paraId="4A8A2287">
      <w:pPr>
        <w:spacing w:before="160" w:after="80"/>
        <w:outlineLvl w:val="3"/>
        <w:rPr>
          <w:rFonts w:ascii="Times New Roman" w:hAnsi="Times New Roman" w:eastAsia="宋体"/>
          <w:b/>
          <w:bCs/>
          <w:sz w:val="24"/>
          <w:szCs w:val="24"/>
        </w:rPr>
      </w:pPr>
      <w:r>
        <w:rPr>
          <w:rFonts w:hint="eastAsia"/>
          <w:b/>
          <w:bCs/>
          <w:sz w:val="24"/>
        </w:rPr>
        <w:t>4.3.14</w:t>
      </w:r>
      <w:r>
        <w:rPr>
          <w:rFonts w:hint="default" w:ascii="Times New Roman" w:hAnsi="Times New Roman" w:eastAsia="宋体"/>
          <w:b/>
          <w:bCs/>
          <w:sz w:val="24"/>
          <w:szCs w:val="24"/>
        </w:rPr>
        <w:t>应急演练</w:t>
      </w:r>
      <w:r>
        <w:rPr>
          <w:rFonts w:hint="eastAsia"/>
          <w:b/>
          <w:bCs/>
          <w:sz w:val="24"/>
        </w:rPr>
        <w:t>服务</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0"/>
        <w:gridCol w:w="7692"/>
      </w:tblGrid>
      <w:tr w14:paraId="2550D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70" w:type="dxa"/>
            <w:noWrap w:val="0"/>
            <w:vAlign w:val="center"/>
          </w:tcPr>
          <w:p w14:paraId="4DAD724B">
            <w:pPr>
              <w:widowControl/>
              <w:spacing w:line="360" w:lineRule="auto"/>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服务名称</w:t>
            </w:r>
          </w:p>
        </w:tc>
        <w:tc>
          <w:tcPr>
            <w:tcW w:w="7692" w:type="dxa"/>
            <w:noWrap w:val="0"/>
            <w:vAlign w:val="center"/>
          </w:tcPr>
          <w:p w14:paraId="207FA6F9">
            <w:pPr>
              <w:widowControl/>
              <w:spacing w:line="360" w:lineRule="auto"/>
              <w:jc w:val="center"/>
              <w:rPr>
                <w:rFonts w:hint="default" w:ascii="Times New Roman" w:hAnsi="Times New Roman" w:eastAsia="宋体" w:cs="Times New Roman"/>
                <w:b/>
                <w:kern w:val="0"/>
                <w:sz w:val="24"/>
                <w:szCs w:val="24"/>
              </w:rPr>
            </w:pPr>
            <w:r>
              <w:rPr>
                <w:rFonts w:hint="default" w:ascii="Times New Roman" w:hAnsi="Times New Roman" w:cs="Times New Roman"/>
                <w:b/>
                <w:kern w:val="0"/>
                <w:sz w:val="24"/>
              </w:rPr>
              <w:t>服务指标要求</w:t>
            </w:r>
          </w:p>
        </w:tc>
      </w:tr>
      <w:tr w14:paraId="67A24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70" w:type="dxa"/>
            <w:vMerge w:val="restart"/>
            <w:noWrap w:val="0"/>
            <w:vAlign w:val="center"/>
          </w:tcPr>
          <w:p w14:paraId="0E7C80B9">
            <w:pPr>
              <w:widowControl/>
              <w:spacing w:line="360" w:lineRule="auto"/>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应急演练服务</w:t>
            </w:r>
          </w:p>
        </w:tc>
        <w:tc>
          <w:tcPr>
            <w:tcW w:w="7692" w:type="dxa"/>
            <w:noWrap w:val="0"/>
            <w:vAlign w:val="center"/>
          </w:tcPr>
          <w:p w14:paraId="57E33438">
            <w:pPr>
              <w:spacing w:line="360" w:lineRule="auto"/>
              <w:rPr>
                <w:rFonts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1.服务内容：需结合招标人实际需求，为其提供定制化的应急演练服务，一方面使相关方熟悉应急响应流程，提高对安全事件的响应能力；另一方面验证预案正确性和适用性，进行总结分析，根据需要对应急预案进行修订。</w:t>
            </w:r>
          </w:p>
        </w:tc>
      </w:tr>
      <w:tr w14:paraId="0B1AC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70" w:type="dxa"/>
            <w:vMerge w:val="continue"/>
            <w:noWrap w:val="0"/>
            <w:vAlign w:val="center"/>
          </w:tcPr>
          <w:p w14:paraId="2D55683E">
            <w:pPr>
              <w:widowControl/>
              <w:spacing w:line="360" w:lineRule="auto"/>
              <w:jc w:val="center"/>
              <w:rPr>
                <w:rFonts w:hint="default" w:ascii="Times New Roman" w:hAnsi="Times New Roman" w:eastAsia="宋体" w:cs="Times New Roman"/>
                <w:kern w:val="0"/>
                <w:sz w:val="24"/>
                <w:szCs w:val="24"/>
              </w:rPr>
            </w:pPr>
          </w:p>
        </w:tc>
        <w:tc>
          <w:tcPr>
            <w:tcW w:w="7692" w:type="dxa"/>
            <w:noWrap w:val="0"/>
            <w:vAlign w:val="center"/>
          </w:tcPr>
          <w:p w14:paraId="3FC7AAAA">
            <w:pPr>
              <w:widowControl/>
              <w:spacing w:line="360" w:lineRule="auto"/>
              <w:jc w:val="left"/>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2.服务范围：招标人指定的应急演练场景。</w:t>
            </w:r>
          </w:p>
        </w:tc>
      </w:tr>
      <w:tr w14:paraId="13B32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70" w:type="dxa"/>
            <w:vMerge w:val="continue"/>
            <w:noWrap w:val="0"/>
            <w:vAlign w:val="center"/>
          </w:tcPr>
          <w:p w14:paraId="4B653D59">
            <w:pPr>
              <w:widowControl/>
              <w:spacing w:line="360" w:lineRule="auto"/>
              <w:jc w:val="center"/>
              <w:rPr>
                <w:rFonts w:hint="default" w:ascii="Times New Roman" w:hAnsi="Times New Roman" w:eastAsia="宋体" w:cs="Times New Roman"/>
                <w:kern w:val="0"/>
                <w:sz w:val="24"/>
                <w:szCs w:val="24"/>
              </w:rPr>
            </w:pPr>
          </w:p>
        </w:tc>
        <w:tc>
          <w:tcPr>
            <w:tcW w:w="7692" w:type="dxa"/>
            <w:noWrap w:val="0"/>
            <w:vAlign w:val="center"/>
          </w:tcPr>
          <w:p w14:paraId="0707D9EB">
            <w:pPr>
              <w:widowControl/>
              <w:spacing w:line="360" w:lineRule="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3.服务频次：服务期限内每年提供1次。</w:t>
            </w:r>
          </w:p>
        </w:tc>
      </w:tr>
      <w:tr w14:paraId="2EC13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70" w:type="dxa"/>
            <w:vMerge w:val="continue"/>
            <w:noWrap w:val="0"/>
            <w:vAlign w:val="center"/>
          </w:tcPr>
          <w:p w14:paraId="0F4937FB">
            <w:pPr>
              <w:widowControl/>
              <w:spacing w:line="360" w:lineRule="auto"/>
              <w:jc w:val="center"/>
              <w:rPr>
                <w:rFonts w:ascii="Times New Roman" w:hAnsi="Times New Roman" w:eastAsia="宋体" w:cs="Times New Roman"/>
                <w:kern w:val="0"/>
                <w:sz w:val="24"/>
                <w:szCs w:val="24"/>
              </w:rPr>
            </w:pPr>
          </w:p>
        </w:tc>
        <w:tc>
          <w:tcPr>
            <w:tcW w:w="7692" w:type="dxa"/>
            <w:noWrap w:val="0"/>
            <w:vAlign w:val="center"/>
          </w:tcPr>
          <w:p w14:paraId="345044B1">
            <w:pPr>
              <w:widowControl/>
              <w:spacing w:line="360" w:lineRule="auto"/>
              <w:jc w:val="left"/>
              <w:rPr>
                <w:rFonts w:hint="default" w:ascii="Times New Roman" w:hAnsi="Times New Roman" w:cs="Times New Roman"/>
                <w:kern w:val="0"/>
                <w:sz w:val="24"/>
              </w:rPr>
            </w:pPr>
            <w:r>
              <w:rPr>
                <w:kern w:val="0"/>
                <w:sz w:val="24"/>
              </w:rPr>
              <w:t>4.</w:t>
            </w:r>
            <w:r>
              <w:rPr>
                <w:rFonts w:hint="default" w:ascii="Times New Roman" w:hAnsi="Times New Roman" w:cs="Times New Roman"/>
                <w:kern w:val="0"/>
                <w:sz w:val="24"/>
              </w:rPr>
              <w:t>服务成果需包括但不限于：</w:t>
            </w:r>
          </w:p>
          <w:p w14:paraId="762E490B">
            <w:pPr>
              <w:widowControl/>
              <w:spacing w:line="360" w:lineRule="auto"/>
              <w:jc w:val="lef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《门头沟卫健委应急演练报告》</w:t>
            </w:r>
          </w:p>
        </w:tc>
      </w:tr>
    </w:tbl>
    <w:p w14:paraId="54377AD3">
      <w:pPr>
        <w:spacing w:before="160" w:after="80"/>
        <w:outlineLvl w:val="3"/>
        <w:rPr>
          <w:rFonts w:ascii="Times New Roman" w:hAnsi="Times New Roman" w:eastAsia="宋体"/>
          <w:b/>
          <w:bCs/>
          <w:sz w:val="24"/>
          <w:szCs w:val="24"/>
        </w:rPr>
      </w:pPr>
      <w:r>
        <w:rPr>
          <w:rFonts w:hint="eastAsia"/>
          <w:b/>
          <w:bCs/>
          <w:sz w:val="24"/>
        </w:rPr>
        <w:t>4.3.15</w:t>
      </w:r>
      <w:r>
        <w:rPr>
          <w:rFonts w:hint="default" w:ascii="Times New Roman" w:hAnsi="Times New Roman" w:eastAsia="宋体"/>
          <w:b/>
          <w:bCs/>
          <w:sz w:val="24"/>
          <w:szCs w:val="24"/>
        </w:rPr>
        <w:t>安全培训</w:t>
      </w:r>
      <w:r>
        <w:rPr>
          <w:rFonts w:hint="eastAsia"/>
          <w:b/>
          <w:bCs/>
          <w:sz w:val="24"/>
        </w:rPr>
        <w:t>服务</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0"/>
        <w:gridCol w:w="7692"/>
      </w:tblGrid>
      <w:tr w14:paraId="259E5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70" w:type="dxa"/>
            <w:noWrap w:val="0"/>
            <w:vAlign w:val="center"/>
          </w:tcPr>
          <w:p w14:paraId="4AB4711B">
            <w:pPr>
              <w:widowControl/>
              <w:spacing w:line="360" w:lineRule="auto"/>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服务名称</w:t>
            </w:r>
          </w:p>
        </w:tc>
        <w:tc>
          <w:tcPr>
            <w:tcW w:w="7692" w:type="dxa"/>
            <w:noWrap w:val="0"/>
            <w:vAlign w:val="center"/>
          </w:tcPr>
          <w:p w14:paraId="560E49CD">
            <w:pPr>
              <w:widowControl/>
              <w:spacing w:line="360" w:lineRule="auto"/>
              <w:jc w:val="center"/>
              <w:rPr>
                <w:rFonts w:hint="default" w:ascii="Times New Roman" w:hAnsi="Times New Roman" w:eastAsia="宋体" w:cs="Times New Roman"/>
                <w:b/>
                <w:kern w:val="0"/>
                <w:sz w:val="24"/>
                <w:szCs w:val="24"/>
              </w:rPr>
            </w:pPr>
            <w:r>
              <w:rPr>
                <w:b/>
                <w:kern w:val="0"/>
                <w:sz w:val="24"/>
              </w:rPr>
              <w:t>服务指标要求</w:t>
            </w:r>
          </w:p>
        </w:tc>
      </w:tr>
      <w:tr w14:paraId="391F7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70" w:type="dxa"/>
            <w:vMerge w:val="restart"/>
            <w:noWrap w:val="0"/>
            <w:vAlign w:val="center"/>
          </w:tcPr>
          <w:p w14:paraId="7B1F22C2">
            <w:pPr>
              <w:widowControl/>
              <w:spacing w:line="360" w:lineRule="auto"/>
              <w:jc w:val="center"/>
              <w:rPr>
                <w:rFonts w:ascii="Times New Roman" w:hAnsi="Times New Roman" w:eastAsia="宋体" w:cs="Times New Roman"/>
                <w:kern w:val="0"/>
                <w:sz w:val="24"/>
                <w:szCs w:val="24"/>
              </w:rPr>
            </w:pPr>
            <w:r>
              <w:rPr>
                <w:rFonts w:hint="default" w:ascii="Times New Roman" w:hAnsi="Times New Roman" w:eastAsia="宋体" w:cs="Times New Roman"/>
                <w:kern w:val="0"/>
                <w:sz w:val="24"/>
                <w:szCs w:val="24"/>
              </w:rPr>
              <w:t>安全培训服务</w:t>
            </w:r>
          </w:p>
        </w:tc>
        <w:tc>
          <w:tcPr>
            <w:tcW w:w="7692" w:type="dxa"/>
            <w:noWrap w:val="0"/>
            <w:vAlign w:val="center"/>
          </w:tcPr>
          <w:p w14:paraId="5F8ED70D">
            <w:pPr>
              <w:spacing w:line="360" w:lineRule="auto"/>
              <w:rPr>
                <w:rFonts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1.服务内容：需为</w:t>
            </w:r>
            <w:r>
              <w:rPr>
                <w:rFonts w:hint="default" w:ascii="Times New Roman" w:hAnsi="Times New Roman" w:eastAsia="宋体" w:cs="Times New Roman"/>
                <w:kern w:val="0"/>
                <w:sz w:val="24"/>
                <w:szCs w:val="24"/>
              </w:rPr>
              <w:t>招标人</w:t>
            </w:r>
            <w:r>
              <w:rPr>
                <w:rFonts w:hint="default" w:ascii="Times New Roman" w:hAnsi="Times New Roman" w:eastAsia="宋体" w:cs="Times New Roman"/>
                <w:bCs/>
                <w:kern w:val="0"/>
                <w:sz w:val="24"/>
                <w:szCs w:val="24"/>
              </w:rPr>
              <w:t>提供形式多样的宣教培训，提升员工网络安全意识，增强网络安全素养，提高风险辨识和防范技能，建立网络安全的第一道防线；并根据客户需要提供相关指导服务。</w:t>
            </w:r>
          </w:p>
        </w:tc>
      </w:tr>
      <w:tr w14:paraId="3B01F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70" w:type="dxa"/>
            <w:vMerge w:val="continue"/>
            <w:noWrap w:val="0"/>
            <w:vAlign w:val="center"/>
          </w:tcPr>
          <w:p w14:paraId="06F896A3">
            <w:pPr>
              <w:widowControl/>
              <w:spacing w:line="360" w:lineRule="auto"/>
              <w:jc w:val="center"/>
              <w:rPr>
                <w:rFonts w:hint="default" w:ascii="Times New Roman" w:hAnsi="Times New Roman" w:eastAsia="宋体" w:cs="Times New Roman"/>
                <w:kern w:val="0"/>
                <w:sz w:val="24"/>
                <w:szCs w:val="24"/>
              </w:rPr>
            </w:pPr>
          </w:p>
        </w:tc>
        <w:tc>
          <w:tcPr>
            <w:tcW w:w="7692" w:type="dxa"/>
            <w:noWrap w:val="0"/>
            <w:vAlign w:val="center"/>
          </w:tcPr>
          <w:p w14:paraId="3F0C504E">
            <w:pPr>
              <w:widowControl/>
              <w:spacing w:line="360" w:lineRule="auto"/>
              <w:jc w:val="left"/>
              <w:rPr>
                <w:rFonts w:ascii="Times New Roman" w:hAnsi="Times New Roman" w:eastAsia="宋体" w:cs="Times New Roman"/>
                <w:bCs/>
                <w:kern w:val="0"/>
                <w:sz w:val="24"/>
                <w:szCs w:val="24"/>
                <w:highlight w:val="none"/>
              </w:rPr>
            </w:pPr>
            <w:r>
              <w:rPr>
                <w:rFonts w:hint="default" w:ascii="Times New Roman" w:hAnsi="Times New Roman" w:eastAsia="宋体" w:cs="Times New Roman"/>
                <w:bCs/>
                <w:kern w:val="0"/>
                <w:sz w:val="24"/>
                <w:szCs w:val="24"/>
                <w:highlight w:val="none"/>
              </w:rPr>
              <w:t>2.服务要求：培训方式需包括但不限于移动端、网页端等，需提供截图证明材料；</w:t>
            </w:r>
          </w:p>
        </w:tc>
      </w:tr>
      <w:tr w14:paraId="12219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70" w:type="dxa"/>
            <w:vMerge w:val="continue"/>
            <w:noWrap w:val="0"/>
            <w:vAlign w:val="center"/>
          </w:tcPr>
          <w:p w14:paraId="73AE0DE9">
            <w:pPr>
              <w:widowControl/>
              <w:spacing w:line="360" w:lineRule="auto"/>
              <w:jc w:val="center"/>
              <w:rPr>
                <w:rFonts w:hint="default" w:ascii="Times New Roman" w:hAnsi="Times New Roman" w:eastAsia="宋体" w:cs="Times New Roman"/>
                <w:kern w:val="0"/>
                <w:sz w:val="24"/>
                <w:szCs w:val="24"/>
              </w:rPr>
            </w:pPr>
          </w:p>
        </w:tc>
        <w:tc>
          <w:tcPr>
            <w:tcW w:w="7692" w:type="dxa"/>
            <w:noWrap w:val="0"/>
            <w:vAlign w:val="center"/>
          </w:tcPr>
          <w:p w14:paraId="46B52AFE">
            <w:pPr>
              <w:widowControl/>
              <w:spacing w:line="360" w:lineRule="auto"/>
              <w:jc w:val="left"/>
              <w:rPr>
                <w:rFonts w:ascii="Times New Roman" w:hAnsi="Times New Roman" w:eastAsia="宋体" w:cs="Times New Roman"/>
                <w:bCs/>
                <w:kern w:val="0"/>
                <w:sz w:val="24"/>
                <w:szCs w:val="24"/>
                <w:highlight w:val="none"/>
              </w:rPr>
            </w:pPr>
            <w:r>
              <w:rPr>
                <w:rFonts w:hint="default" w:ascii="Times New Roman" w:hAnsi="Times New Roman" w:eastAsia="宋体" w:cs="Times New Roman"/>
                <w:bCs/>
                <w:kern w:val="0"/>
                <w:sz w:val="24"/>
                <w:szCs w:val="24"/>
                <w:highlight w:val="none"/>
              </w:rPr>
              <w:t>▲3.服务要求：该培训服务工具需具备近三年内为卫生健康行业提供同类网络安全培训的经验；需提供用户发布的培训通知或服务合同作为证明材料。</w:t>
            </w:r>
          </w:p>
        </w:tc>
      </w:tr>
      <w:tr w14:paraId="79645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70" w:type="dxa"/>
            <w:vMerge w:val="continue"/>
            <w:noWrap w:val="0"/>
            <w:vAlign w:val="center"/>
          </w:tcPr>
          <w:p w14:paraId="0652CF3D">
            <w:pPr>
              <w:widowControl/>
              <w:spacing w:line="360" w:lineRule="auto"/>
              <w:jc w:val="center"/>
              <w:rPr>
                <w:rFonts w:hint="default" w:ascii="Times New Roman" w:hAnsi="Times New Roman" w:eastAsia="宋体" w:cs="Times New Roman"/>
                <w:kern w:val="0"/>
                <w:sz w:val="24"/>
                <w:szCs w:val="24"/>
              </w:rPr>
            </w:pPr>
          </w:p>
        </w:tc>
        <w:tc>
          <w:tcPr>
            <w:tcW w:w="7692" w:type="dxa"/>
            <w:noWrap w:val="0"/>
            <w:vAlign w:val="center"/>
          </w:tcPr>
          <w:p w14:paraId="160E3493">
            <w:pPr>
              <w:widowControl/>
              <w:spacing w:line="360" w:lineRule="auto"/>
              <w:jc w:val="left"/>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4.服务范围：招标人指定人员。</w:t>
            </w:r>
          </w:p>
        </w:tc>
      </w:tr>
      <w:tr w14:paraId="3FBB1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70" w:type="dxa"/>
            <w:vMerge w:val="continue"/>
            <w:noWrap w:val="0"/>
            <w:vAlign w:val="center"/>
          </w:tcPr>
          <w:p w14:paraId="144C238D">
            <w:pPr>
              <w:widowControl/>
              <w:spacing w:line="360" w:lineRule="auto"/>
              <w:jc w:val="center"/>
              <w:rPr>
                <w:rFonts w:hint="default" w:ascii="Times New Roman" w:hAnsi="Times New Roman" w:eastAsia="宋体" w:cs="Times New Roman"/>
                <w:kern w:val="0"/>
                <w:sz w:val="24"/>
                <w:szCs w:val="24"/>
              </w:rPr>
            </w:pPr>
          </w:p>
        </w:tc>
        <w:tc>
          <w:tcPr>
            <w:tcW w:w="7692" w:type="dxa"/>
            <w:noWrap w:val="0"/>
            <w:vAlign w:val="center"/>
          </w:tcPr>
          <w:p w14:paraId="54540C75">
            <w:pPr>
              <w:widowControl/>
              <w:spacing w:line="360" w:lineRule="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5.服务频次：服务期限内每年提供1次。</w:t>
            </w:r>
          </w:p>
        </w:tc>
      </w:tr>
      <w:tr w14:paraId="5187D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70" w:type="dxa"/>
            <w:vMerge w:val="continue"/>
            <w:noWrap w:val="0"/>
            <w:vAlign w:val="center"/>
          </w:tcPr>
          <w:p w14:paraId="645B5B7D">
            <w:pPr>
              <w:widowControl/>
              <w:spacing w:line="360" w:lineRule="auto"/>
              <w:jc w:val="center"/>
              <w:rPr>
                <w:rFonts w:ascii="Times New Roman" w:hAnsi="Times New Roman" w:eastAsia="宋体" w:cs="Times New Roman"/>
                <w:kern w:val="0"/>
                <w:sz w:val="24"/>
                <w:szCs w:val="24"/>
              </w:rPr>
            </w:pPr>
          </w:p>
        </w:tc>
        <w:tc>
          <w:tcPr>
            <w:tcW w:w="7692" w:type="dxa"/>
            <w:noWrap w:val="0"/>
            <w:vAlign w:val="center"/>
          </w:tcPr>
          <w:p w14:paraId="23125A07">
            <w:pPr>
              <w:widowControl/>
              <w:spacing w:line="360" w:lineRule="auto"/>
              <w:jc w:val="left"/>
              <w:rPr>
                <w:kern w:val="0"/>
                <w:sz w:val="24"/>
              </w:rPr>
            </w:pPr>
            <w:r>
              <w:rPr>
                <w:rFonts w:hint="default"/>
                <w:kern w:val="0"/>
                <w:sz w:val="24"/>
              </w:rPr>
              <w:t>6</w:t>
            </w:r>
            <w:r>
              <w:rPr>
                <w:kern w:val="0"/>
                <w:sz w:val="24"/>
              </w:rPr>
              <w:t>.服务成果需包括但不限于：</w:t>
            </w:r>
          </w:p>
          <w:p w14:paraId="52545203">
            <w:pPr>
              <w:widowControl/>
              <w:spacing w:line="360" w:lineRule="auto"/>
              <w:jc w:val="lef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安全培训记录</w:t>
            </w:r>
          </w:p>
        </w:tc>
      </w:tr>
      <w:bookmarkEnd w:id="19"/>
    </w:tbl>
    <w:p w14:paraId="25AF21CB">
      <w:pPr>
        <w:widowControl/>
        <w:jc w:val="left"/>
        <w:rPr>
          <w:rFonts w:hint="eastAsia" w:ascii="宋体" w:hAnsi="宋体" w:cs="宋体"/>
          <w:sz w:val="24"/>
        </w:rPr>
      </w:pPr>
    </w:p>
    <w:p w14:paraId="4EC67E40">
      <w:pPr>
        <w:rPr>
          <w:rFonts w:hint="eastAsia" w:ascii="宋体" w:hAnsi="宋体" w:cs="宋体"/>
          <w:color w:val="0F4761"/>
          <w:sz w:val="24"/>
        </w:rPr>
      </w:pPr>
      <w:bookmarkStart w:id="20" w:name="_Toc203292984"/>
      <w:r>
        <w:rPr>
          <w:rFonts w:hint="eastAsia" w:ascii="宋体" w:hAnsi="宋体" w:cs="宋体"/>
          <w:b/>
          <w:bCs/>
          <w:sz w:val="24"/>
        </w:rPr>
        <w:br w:type="page"/>
      </w:r>
    </w:p>
    <w:p w14:paraId="6357B2D3">
      <w:pPr>
        <w:keepNext/>
        <w:keepLines/>
        <w:numPr>
          <w:ilvl w:val="0"/>
          <w:numId w:val="3"/>
        </w:numPr>
        <w:spacing w:before="160" w:after="80"/>
        <w:outlineLvl w:val="1"/>
        <w:rPr>
          <w:rFonts w:hint="eastAsia" w:ascii="宋体" w:hAnsi="宋体" w:cs="宋体"/>
          <w:color w:val="0F4761"/>
          <w:sz w:val="24"/>
        </w:rPr>
      </w:pPr>
      <w:r>
        <w:rPr>
          <w:rFonts w:hint="eastAsia" w:ascii="宋体" w:hAnsi="宋体" w:cs="宋体"/>
          <w:b/>
          <w:bCs/>
          <w:sz w:val="24"/>
        </w:rPr>
        <w:t>村卫生室监控项目</w:t>
      </w:r>
    </w:p>
    <w:tbl>
      <w:tblPr>
        <w:tblStyle w:val="5"/>
        <w:tblW w:w="0" w:type="auto"/>
        <w:jc w:val="center"/>
        <w:tblLayout w:type="fixed"/>
        <w:tblCellMar>
          <w:top w:w="0" w:type="dxa"/>
          <w:left w:w="108" w:type="dxa"/>
          <w:bottom w:w="0" w:type="dxa"/>
          <w:right w:w="108" w:type="dxa"/>
        </w:tblCellMar>
      </w:tblPr>
      <w:tblGrid>
        <w:gridCol w:w="489"/>
        <w:gridCol w:w="807"/>
        <w:gridCol w:w="5941"/>
        <w:gridCol w:w="502"/>
        <w:gridCol w:w="597"/>
        <w:gridCol w:w="1615"/>
      </w:tblGrid>
      <w:tr w14:paraId="6203C9AA">
        <w:tblPrEx>
          <w:tblCellMar>
            <w:top w:w="0" w:type="dxa"/>
            <w:left w:w="108" w:type="dxa"/>
            <w:bottom w:w="0" w:type="dxa"/>
            <w:right w:w="108" w:type="dxa"/>
          </w:tblCellMar>
        </w:tblPrEx>
        <w:trPr>
          <w:trHeight w:val="660" w:hRule="atLeast"/>
          <w:jc w:val="center"/>
        </w:trPr>
        <w:tc>
          <w:tcPr>
            <w:tcW w:w="9951" w:type="dxa"/>
            <w:gridSpan w:val="6"/>
            <w:tcBorders>
              <w:top w:val="nil"/>
              <w:left w:val="nil"/>
              <w:bottom w:val="nil"/>
              <w:right w:val="nil"/>
            </w:tcBorders>
            <w:noWrap w:val="0"/>
            <w:vAlign w:val="center"/>
          </w:tcPr>
          <w:p w14:paraId="40BE3B58">
            <w:pPr>
              <w:widowControl/>
              <w:jc w:val="center"/>
              <w:textAlignment w:val="center"/>
              <w:rPr>
                <w:rFonts w:hint="eastAsia" w:ascii="宋体" w:hAnsi="宋体" w:cs="宋体"/>
                <w:b/>
                <w:bCs/>
                <w:color w:val="000000"/>
                <w:sz w:val="24"/>
                <w:szCs w:val="24"/>
              </w:rPr>
            </w:pPr>
            <w:r>
              <w:rPr>
                <w:rFonts w:hint="eastAsia" w:ascii="宋体" w:hAnsi="宋体" w:cs="宋体"/>
                <w:b/>
                <w:bCs/>
                <w:color w:val="000000"/>
                <w:kern w:val="0"/>
                <w:sz w:val="24"/>
                <w:szCs w:val="24"/>
                <w:lang w:bidi="ar"/>
              </w:rPr>
              <w:t>（一）监控设备清单</w:t>
            </w:r>
          </w:p>
        </w:tc>
      </w:tr>
      <w:tr w14:paraId="7B68B824">
        <w:tblPrEx>
          <w:tblCellMar>
            <w:top w:w="0" w:type="dxa"/>
            <w:left w:w="108" w:type="dxa"/>
            <w:bottom w:w="0" w:type="dxa"/>
            <w:right w:w="108" w:type="dxa"/>
          </w:tblCellMar>
        </w:tblPrEx>
        <w:trPr>
          <w:trHeight w:val="660" w:hRule="atLeast"/>
          <w:jc w:val="center"/>
        </w:trPr>
        <w:tc>
          <w:tcPr>
            <w:tcW w:w="489" w:type="dxa"/>
            <w:tcBorders>
              <w:top w:val="single" w:color="000000" w:sz="4" w:space="0"/>
              <w:left w:val="single" w:color="000000" w:sz="4" w:space="0"/>
              <w:bottom w:val="single" w:color="000000" w:sz="4" w:space="0"/>
              <w:right w:val="single" w:color="000000" w:sz="4" w:space="0"/>
            </w:tcBorders>
            <w:noWrap w:val="0"/>
            <w:vAlign w:val="center"/>
          </w:tcPr>
          <w:p w14:paraId="19A022A1">
            <w:pPr>
              <w:widowControl/>
              <w:jc w:val="left"/>
              <w:textAlignment w:val="center"/>
              <w:rPr>
                <w:rFonts w:hint="eastAsia" w:ascii="宋体" w:hAnsi="宋体" w:cs="宋体"/>
                <w:b/>
                <w:bCs/>
                <w:color w:val="000000"/>
                <w:sz w:val="24"/>
                <w:szCs w:val="24"/>
              </w:rPr>
            </w:pPr>
            <w:r>
              <w:rPr>
                <w:rFonts w:hint="eastAsia" w:ascii="宋体" w:hAnsi="宋体" w:cs="宋体"/>
                <w:b/>
                <w:bCs/>
                <w:color w:val="000000"/>
                <w:kern w:val="0"/>
                <w:sz w:val="24"/>
                <w:szCs w:val="24"/>
                <w:lang w:bidi="ar"/>
              </w:rPr>
              <w:t>序号</w:t>
            </w:r>
          </w:p>
        </w:tc>
        <w:tc>
          <w:tcPr>
            <w:tcW w:w="807" w:type="dxa"/>
            <w:tcBorders>
              <w:top w:val="single" w:color="000000" w:sz="4" w:space="0"/>
              <w:left w:val="single" w:color="000000" w:sz="4" w:space="0"/>
              <w:bottom w:val="single" w:color="000000" w:sz="4" w:space="0"/>
              <w:right w:val="single" w:color="000000" w:sz="4" w:space="0"/>
            </w:tcBorders>
            <w:noWrap w:val="0"/>
            <w:vAlign w:val="center"/>
          </w:tcPr>
          <w:p w14:paraId="27E062B1">
            <w:pPr>
              <w:widowControl/>
              <w:jc w:val="center"/>
              <w:textAlignment w:val="center"/>
              <w:rPr>
                <w:rFonts w:hint="eastAsia" w:ascii="宋体" w:hAnsi="宋体" w:cs="宋体"/>
                <w:b/>
                <w:bCs/>
                <w:color w:val="000000"/>
                <w:sz w:val="24"/>
                <w:szCs w:val="24"/>
              </w:rPr>
            </w:pPr>
            <w:r>
              <w:rPr>
                <w:rFonts w:hint="eastAsia" w:ascii="宋体" w:hAnsi="宋体" w:cs="宋体"/>
                <w:b/>
                <w:bCs/>
                <w:color w:val="000000"/>
                <w:kern w:val="0"/>
                <w:sz w:val="24"/>
                <w:szCs w:val="24"/>
                <w:lang w:bidi="ar"/>
              </w:rPr>
              <w:t>商品名称</w:t>
            </w:r>
          </w:p>
        </w:tc>
        <w:tc>
          <w:tcPr>
            <w:tcW w:w="5941" w:type="dxa"/>
            <w:tcBorders>
              <w:top w:val="single" w:color="000000" w:sz="4" w:space="0"/>
              <w:left w:val="single" w:color="000000" w:sz="4" w:space="0"/>
              <w:bottom w:val="single" w:color="000000" w:sz="4" w:space="0"/>
              <w:right w:val="single" w:color="000000" w:sz="4" w:space="0"/>
            </w:tcBorders>
            <w:noWrap w:val="0"/>
            <w:vAlign w:val="center"/>
          </w:tcPr>
          <w:p w14:paraId="11165517">
            <w:pPr>
              <w:widowControl/>
              <w:jc w:val="center"/>
              <w:textAlignment w:val="center"/>
              <w:rPr>
                <w:rFonts w:hint="eastAsia" w:ascii="宋体" w:hAnsi="宋体" w:cs="宋体"/>
                <w:b/>
                <w:bCs/>
                <w:color w:val="000000"/>
                <w:sz w:val="24"/>
                <w:szCs w:val="24"/>
              </w:rPr>
            </w:pPr>
            <w:r>
              <w:rPr>
                <w:rFonts w:hint="eastAsia" w:ascii="宋体" w:hAnsi="宋体" w:cs="宋体"/>
                <w:b/>
                <w:bCs/>
                <w:color w:val="000000"/>
                <w:kern w:val="0"/>
                <w:sz w:val="24"/>
                <w:szCs w:val="24"/>
                <w:lang w:bidi="ar"/>
              </w:rPr>
              <w:t>技术规格</w:t>
            </w:r>
          </w:p>
        </w:tc>
        <w:tc>
          <w:tcPr>
            <w:tcW w:w="502" w:type="dxa"/>
            <w:tcBorders>
              <w:top w:val="single" w:color="000000" w:sz="4" w:space="0"/>
              <w:left w:val="single" w:color="000000" w:sz="4" w:space="0"/>
              <w:bottom w:val="single" w:color="000000" w:sz="4" w:space="0"/>
              <w:right w:val="single" w:color="000000" w:sz="4" w:space="0"/>
            </w:tcBorders>
            <w:noWrap w:val="0"/>
            <w:vAlign w:val="center"/>
          </w:tcPr>
          <w:p w14:paraId="47CD3E10">
            <w:pPr>
              <w:widowControl/>
              <w:jc w:val="center"/>
              <w:textAlignment w:val="center"/>
              <w:rPr>
                <w:rFonts w:hint="eastAsia" w:ascii="宋体" w:hAnsi="宋体" w:cs="宋体"/>
                <w:b/>
                <w:bCs/>
                <w:color w:val="000000"/>
                <w:sz w:val="24"/>
                <w:szCs w:val="24"/>
              </w:rPr>
            </w:pPr>
            <w:r>
              <w:rPr>
                <w:rFonts w:hint="eastAsia" w:ascii="宋体" w:hAnsi="宋体" w:cs="宋体"/>
                <w:b/>
                <w:bCs/>
                <w:color w:val="000000"/>
                <w:kern w:val="0"/>
                <w:sz w:val="24"/>
                <w:szCs w:val="24"/>
                <w:lang w:bidi="ar"/>
              </w:rPr>
              <w:t>单位</w:t>
            </w:r>
          </w:p>
        </w:tc>
        <w:tc>
          <w:tcPr>
            <w:tcW w:w="597" w:type="dxa"/>
            <w:tcBorders>
              <w:top w:val="single" w:color="000000" w:sz="4" w:space="0"/>
              <w:left w:val="single" w:color="000000" w:sz="4" w:space="0"/>
              <w:bottom w:val="single" w:color="000000" w:sz="4" w:space="0"/>
              <w:right w:val="single" w:color="000000" w:sz="4" w:space="0"/>
            </w:tcBorders>
            <w:noWrap w:val="0"/>
            <w:vAlign w:val="center"/>
          </w:tcPr>
          <w:p w14:paraId="23C210D4">
            <w:pPr>
              <w:widowControl/>
              <w:jc w:val="center"/>
              <w:textAlignment w:val="center"/>
              <w:rPr>
                <w:rFonts w:hint="eastAsia" w:ascii="宋体" w:hAnsi="宋体" w:cs="宋体"/>
                <w:b/>
                <w:bCs/>
                <w:color w:val="000000"/>
                <w:sz w:val="24"/>
                <w:szCs w:val="24"/>
              </w:rPr>
            </w:pPr>
            <w:r>
              <w:rPr>
                <w:rFonts w:hint="eastAsia" w:ascii="宋体" w:hAnsi="宋体" w:cs="宋体"/>
                <w:b/>
                <w:bCs/>
                <w:color w:val="000000"/>
                <w:kern w:val="0"/>
                <w:sz w:val="24"/>
                <w:szCs w:val="24"/>
                <w:lang w:bidi="ar"/>
              </w:rPr>
              <w:t>数量</w:t>
            </w:r>
          </w:p>
        </w:tc>
        <w:tc>
          <w:tcPr>
            <w:tcW w:w="1615" w:type="dxa"/>
            <w:tcBorders>
              <w:top w:val="single" w:color="000000" w:sz="4" w:space="0"/>
              <w:left w:val="single" w:color="000000" w:sz="4" w:space="0"/>
              <w:bottom w:val="single" w:color="000000" w:sz="4" w:space="0"/>
              <w:right w:val="single" w:color="000000" w:sz="4" w:space="0"/>
            </w:tcBorders>
            <w:noWrap w:val="0"/>
            <w:vAlign w:val="center"/>
          </w:tcPr>
          <w:p w14:paraId="2B84CE9B">
            <w:pPr>
              <w:widowControl/>
              <w:jc w:val="center"/>
              <w:textAlignment w:val="center"/>
              <w:rPr>
                <w:rFonts w:hint="eastAsia" w:ascii="宋体" w:hAnsi="宋体" w:cs="宋体"/>
                <w:b/>
                <w:bCs/>
                <w:color w:val="000000"/>
                <w:sz w:val="24"/>
                <w:szCs w:val="24"/>
              </w:rPr>
            </w:pPr>
            <w:r>
              <w:rPr>
                <w:rFonts w:hint="eastAsia" w:ascii="宋体" w:hAnsi="宋体" w:cs="宋体"/>
                <w:b/>
                <w:bCs/>
                <w:color w:val="000000"/>
                <w:kern w:val="0"/>
                <w:sz w:val="24"/>
                <w:szCs w:val="24"/>
                <w:lang w:bidi="ar"/>
              </w:rPr>
              <w:t>备注</w:t>
            </w:r>
          </w:p>
        </w:tc>
      </w:tr>
      <w:tr w14:paraId="49D6AC7A">
        <w:tblPrEx>
          <w:tblCellMar>
            <w:top w:w="0" w:type="dxa"/>
            <w:left w:w="108" w:type="dxa"/>
            <w:bottom w:w="0" w:type="dxa"/>
            <w:right w:w="108" w:type="dxa"/>
          </w:tblCellMar>
        </w:tblPrEx>
        <w:trPr>
          <w:trHeight w:val="1240" w:hRule="atLeast"/>
          <w:jc w:val="center"/>
        </w:trPr>
        <w:tc>
          <w:tcPr>
            <w:tcW w:w="489" w:type="dxa"/>
            <w:tcBorders>
              <w:top w:val="single" w:color="000000" w:sz="4" w:space="0"/>
              <w:left w:val="single" w:color="000000" w:sz="4" w:space="0"/>
              <w:bottom w:val="single" w:color="000000" w:sz="4" w:space="0"/>
              <w:right w:val="single" w:color="000000" w:sz="4" w:space="0"/>
            </w:tcBorders>
            <w:noWrap w:val="0"/>
            <w:vAlign w:val="center"/>
          </w:tcPr>
          <w:p w14:paraId="0F65412E">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1</w:t>
            </w:r>
          </w:p>
        </w:tc>
        <w:tc>
          <w:tcPr>
            <w:tcW w:w="807" w:type="dxa"/>
            <w:tcBorders>
              <w:top w:val="single" w:color="000000" w:sz="4" w:space="0"/>
              <w:left w:val="single" w:color="000000" w:sz="4" w:space="0"/>
              <w:bottom w:val="single" w:color="000000" w:sz="4" w:space="0"/>
              <w:right w:val="single" w:color="000000" w:sz="4" w:space="0"/>
            </w:tcBorders>
            <w:noWrap w:val="0"/>
            <w:vAlign w:val="center"/>
          </w:tcPr>
          <w:p w14:paraId="4A916061">
            <w:pPr>
              <w:widowControl/>
              <w:jc w:val="left"/>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400万人脸文搜变焦网络摄像机</w:t>
            </w:r>
          </w:p>
        </w:tc>
        <w:tc>
          <w:tcPr>
            <w:tcW w:w="5941" w:type="dxa"/>
            <w:tcBorders>
              <w:top w:val="single" w:color="000000" w:sz="4" w:space="0"/>
              <w:left w:val="single" w:color="000000" w:sz="4" w:space="0"/>
              <w:bottom w:val="single" w:color="000000" w:sz="4" w:space="0"/>
              <w:right w:val="single" w:color="000000" w:sz="4" w:space="0"/>
            </w:tcBorders>
            <w:noWrap w:val="0"/>
            <w:vAlign w:val="center"/>
          </w:tcPr>
          <w:p w14:paraId="6D1AABBA">
            <w:pPr>
              <w:widowControl/>
              <w:jc w:val="left"/>
              <w:textAlignment w:val="center"/>
              <w:rPr>
                <w:rFonts w:hint="eastAsia" w:ascii="宋体" w:hAnsi="宋体" w:eastAsia="宋体" w:cs="宋体"/>
                <w:sz w:val="24"/>
                <w:szCs w:val="24"/>
              </w:rPr>
            </w:pPr>
            <w:r>
              <w:rPr>
                <w:rFonts w:hint="eastAsia"/>
                <w:sz w:val="24"/>
                <w:szCs w:val="24"/>
              </w:rPr>
              <w:t>1.</w:t>
            </w:r>
            <w:r>
              <w:rPr>
                <w:rFonts w:hint="eastAsia"/>
                <w:sz w:val="24"/>
                <w:szCs w:val="24"/>
                <w:lang w:val="en-US" w:eastAsia="zh-CN"/>
              </w:rPr>
              <w:t>≥</w:t>
            </w:r>
            <w:r>
              <w:rPr>
                <w:rFonts w:hint="eastAsia"/>
                <w:sz w:val="24"/>
                <w:szCs w:val="24"/>
              </w:rPr>
              <w:t>400万变焦筒型网络摄像机</w:t>
            </w:r>
            <w:r>
              <w:rPr>
                <w:rFonts w:hint="eastAsia"/>
                <w:sz w:val="24"/>
                <w:szCs w:val="24"/>
              </w:rPr>
              <w:br w:type="textWrapping"/>
            </w:r>
            <w:r>
              <w:rPr>
                <w:rFonts w:hint="eastAsia"/>
                <w:sz w:val="24"/>
                <w:szCs w:val="24"/>
              </w:rPr>
              <w:t>2.最高分辨率可达2688 × 1520 @25 fps，在该分辨率下可输出实时图像</w:t>
            </w:r>
            <w:r>
              <w:rPr>
                <w:rFonts w:hint="eastAsia"/>
                <w:sz w:val="24"/>
                <w:szCs w:val="24"/>
              </w:rPr>
              <w:br w:type="textWrapping"/>
            </w:r>
            <w:r>
              <w:rPr>
                <w:rFonts w:hint="eastAsia"/>
                <w:sz w:val="24"/>
                <w:szCs w:val="24"/>
              </w:rPr>
              <w:t>3.支持Smart侦测：场景变更侦测，虚焦侦测，区域入侵侦测，越界侦测，进入区域侦测，离开区域侦测，物品遗留侦测，物品拿取侦测，徘徊侦测，停车侦测，人员聚集侦测，快速移动侦测，音频异常侦测，音频陡升侦测，音频陡降侦测</w:t>
            </w:r>
            <w:r>
              <w:rPr>
                <w:rFonts w:hint="eastAsia"/>
                <w:sz w:val="24"/>
                <w:szCs w:val="24"/>
              </w:rPr>
              <w:br w:type="textWrapping"/>
            </w:r>
            <w:r>
              <w:rPr>
                <w:rFonts w:hint="eastAsia"/>
                <w:sz w:val="24"/>
                <w:szCs w:val="24"/>
              </w:rPr>
              <w:t>4.支持背光补偿，强光抑制，3D数字降噪，120 dB宽动态</w:t>
            </w:r>
            <w:r>
              <w:rPr>
                <w:rFonts w:hint="eastAsia"/>
                <w:sz w:val="24"/>
                <w:szCs w:val="24"/>
              </w:rPr>
              <w:br w:type="textWrapping"/>
            </w:r>
            <w:r>
              <w:rPr>
                <w:rFonts w:hint="eastAsia"/>
                <w:sz w:val="24"/>
                <w:szCs w:val="24"/>
              </w:rPr>
              <w:t>5.支持白光/红外双补光，红外光最远</w:t>
            </w:r>
            <w:r>
              <w:rPr>
                <w:rFonts w:hint="eastAsia"/>
                <w:sz w:val="24"/>
                <w:szCs w:val="24"/>
                <w:lang w:val="en-US" w:eastAsia="zh-CN"/>
              </w:rPr>
              <w:t>≥</w:t>
            </w:r>
            <w:r>
              <w:rPr>
                <w:rFonts w:hint="eastAsia"/>
                <w:sz w:val="24"/>
                <w:szCs w:val="24"/>
              </w:rPr>
              <w:t>50 m，白光最远</w:t>
            </w:r>
            <w:r>
              <w:rPr>
                <w:rFonts w:hint="eastAsia"/>
                <w:sz w:val="24"/>
                <w:szCs w:val="24"/>
                <w:lang w:val="en-US" w:eastAsia="zh-CN"/>
              </w:rPr>
              <w:t>≥</w:t>
            </w:r>
            <w:r>
              <w:rPr>
                <w:rFonts w:hint="eastAsia"/>
                <w:sz w:val="24"/>
                <w:szCs w:val="24"/>
              </w:rPr>
              <w:t>30 m</w:t>
            </w:r>
            <w:r>
              <w:rPr>
                <w:rFonts w:hint="eastAsia"/>
                <w:sz w:val="24"/>
                <w:szCs w:val="24"/>
              </w:rPr>
              <w:br w:type="textWrapping"/>
            </w:r>
            <w:r>
              <w:rPr>
                <w:rFonts w:hint="eastAsia"/>
                <w:sz w:val="24"/>
                <w:szCs w:val="24"/>
              </w:rPr>
              <w:t>6.支持H.265/H.264/MJPEG视频压缩算法，支持多级别视频质量配置、编码复杂度设置</w:t>
            </w:r>
            <w:r>
              <w:rPr>
                <w:rFonts w:hint="eastAsia"/>
                <w:sz w:val="24"/>
                <w:szCs w:val="24"/>
              </w:rPr>
              <w:br w:type="textWrapping"/>
            </w:r>
            <w:r>
              <w:rPr>
                <w:rFonts w:hint="eastAsia"/>
                <w:sz w:val="24"/>
                <w:szCs w:val="24"/>
              </w:rPr>
              <w:t>7.支持1路报警输入，1路报警输出（报警输出最大支持DC12 V，30 mA），1路音频输入，1路音频输出</w:t>
            </w:r>
            <w:r>
              <w:rPr>
                <w:rFonts w:hint="eastAsia"/>
                <w:sz w:val="24"/>
                <w:szCs w:val="24"/>
              </w:rPr>
              <w:br w:type="textWrapping"/>
            </w:r>
            <w:r>
              <w:rPr>
                <w:rFonts w:hint="eastAsia"/>
                <w:sz w:val="24"/>
                <w:szCs w:val="24"/>
              </w:rPr>
              <w:t>8.支持最大512 GB MicroSD/MicroSDHC/MicroSDXC卡本地存储</w:t>
            </w:r>
            <w:r>
              <w:rPr>
                <w:rFonts w:hint="eastAsia"/>
                <w:sz w:val="24"/>
                <w:szCs w:val="24"/>
              </w:rPr>
              <w:br w:type="textWrapping"/>
            </w:r>
            <w:r>
              <w:rPr>
                <w:rFonts w:hint="eastAsia"/>
                <w:sz w:val="24"/>
                <w:szCs w:val="24"/>
              </w:rPr>
              <w:t>9.1个内置麦克风</w:t>
            </w:r>
            <w:r>
              <w:rPr>
                <w:rFonts w:hint="eastAsia"/>
                <w:sz w:val="24"/>
                <w:szCs w:val="24"/>
              </w:rPr>
              <w:br w:type="textWrapping"/>
            </w:r>
            <w:r>
              <w:rPr>
                <w:rFonts w:hint="eastAsia"/>
                <w:sz w:val="24"/>
                <w:szCs w:val="24"/>
              </w:rPr>
              <w:t>10.符合</w:t>
            </w:r>
            <w:r>
              <w:rPr>
                <w:rFonts w:hint="eastAsia"/>
                <w:sz w:val="24"/>
                <w:szCs w:val="24"/>
                <w:lang w:val="en-US" w:eastAsia="zh-CN"/>
              </w:rPr>
              <w:t>≥</w:t>
            </w:r>
            <w:r>
              <w:rPr>
                <w:rFonts w:hint="eastAsia"/>
                <w:sz w:val="24"/>
                <w:szCs w:val="24"/>
              </w:rPr>
              <w:t>IP66防尘防水设计</w:t>
            </w:r>
            <w:r>
              <w:rPr>
                <w:rFonts w:hint="eastAsia"/>
                <w:sz w:val="24"/>
                <w:szCs w:val="24"/>
              </w:rPr>
              <w:br w:type="textWrapping"/>
            </w:r>
            <w:r>
              <w:rPr>
                <w:rFonts w:hint="eastAsia"/>
                <w:sz w:val="24"/>
                <w:szCs w:val="24"/>
              </w:rPr>
              <w:t>11.传感器类型：1/3" Progressive Scan CMOS</w:t>
            </w:r>
            <w:r>
              <w:rPr>
                <w:rFonts w:hint="eastAsia"/>
                <w:sz w:val="24"/>
                <w:szCs w:val="24"/>
              </w:rPr>
              <w:br w:type="textWrapping"/>
            </w:r>
            <w:r>
              <w:rPr>
                <w:rFonts w:hint="eastAsia"/>
                <w:sz w:val="24"/>
                <w:szCs w:val="24"/>
              </w:rPr>
              <w:t xml:space="preserve">最低照度：彩色：0.005 Lux </w:t>
            </w:r>
            <w:r>
              <w:rPr>
                <w:rFonts w:hint="eastAsia"/>
                <w:sz w:val="24"/>
                <w:szCs w:val="24"/>
              </w:rPr>
              <w:br w:type="textWrapping"/>
            </w:r>
            <w:r>
              <w:rPr>
                <w:rFonts w:hint="eastAsia"/>
                <w:sz w:val="24"/>
                <w:szCs w:val="24"/>
              </w:rPr>
              <w:t>12.焦距&amp;视场角：</w:t>
            </w:r>
            <w:r>
              <w:rPr>
                <w:rFonts w:hint="eastAsia"/>
                <w:sz w:val="24"/>
                <w:szCs w:val="24"/>
                <w:lang w:val="en-US" w:eastAsia="zh-CN"/>
              </w:rPr>
              <w:t>≥</w:t>
            </w:r>
            <w:r>
              <w:rPr>
                <w:rFonts w:hint="eastAsia"/>
                <w:sz w:val="24"/>
                <w:szCs w:val="24"/>
              </w:rPr>
              <w:t>2.</w:t>
            </w:r>
            <w:r>
              <w:rPr>
                <w:rFonts w:hint="eastAsia"/>
                <w:sz w:val="24"/>
                <w:szCs w:val="24"/>
                <w:lang w:val="en-US" w:eastAsia="zh-CN"/>
              </w:rPr>
              <w:t>5</w:t>
            </w:r>
            <w:r>
              <w:rPr>
                <w:rFonts w:hint="eastAsia"/>
                <w:sz w:val="24"/>
                <w:szCs w:val="24"/>
              </w:rPr>
              <w:t>~13mm，水平视场角：</w:t>
            </w:r>
            <w:r>
              <w:rPr>
                <w:rFonts w:hint="eastAsia"/>
                <w:sz w:val="24"/>
                <w:szCs w:val="24"/>
                <w:lang w:val="en-US" w:eastAsia="zh-CN"/>
              </w:rPr>
              <w:t>≥</w:t>
            </w:r>
            <w:r>
              <w:rPr>
                <w:rFonts w:hint="eastAsia"/>
                <w:sz w:val="24"/>
                <w:szCs w:val="24"/>
              </w:rPr>
              <w:t>102°~31°，垂直视场角：</w:t>
            </w:r>
            <w:r>
              <w:rPr>
                <w:rFonts w:hint="eastAsia"/>
                <w:sz w:val="24"/>
                <w:szCs w:val="24"/>
                <w:lang w:val="en-US" w:eastAsia="zh-CN"/>
              </w:rPr>
              <w:t>≥</w:t>
            </w:r>
            <w:r>
              <w:rPr>
                <w:rFonts w:hint="eastAsia"/>
                <w:sz w:val="24"/>
                <w:szCs w:val="24"/>
              </w:rPr>
              <w:t>54.</w:t>
            </w:r>
            <w:r>
              <w:rPr>
                <w:rFonts w:hint="eastAsia"/>
                <w:sz w:val="24"/>
                <w:szCs w:val="24"/>
                <w:lang w:val="en-US" w:eastAsia="zh-CN"/>
              </w:rPr>
              <w:t>5</w:t>
            </w:r>
            <w:r>
              <w:rPr>
                <w:rFonts w:hint="eastAsia"/>
                <w:sz w:val="24"/>
                <w:szCs w:val="24"/>
              </w:rPr>
              <w:t>°~17.</w:t>
            </w:r>
            <w:r>
              <w:rPr>
                <w:rFonts w:hint="eastAsia"/>
                <w:sz w:val="24"/>
                <w:szCs w:val="24"/>
                <w:lang w:val="en-US" w:eastAsia="zh-CN"/>
              </w:rPr>
              <w:t>5</w:t>
            </w:r>
            <w:r>
              <w:rPr>
                <w:rFonts w:hint="eastAsia"/>
                <w:sz w:val="24"/>
                <w:szCs w:val="24"/>
              </w:rPr>
              <w:t>°，13.对角视场角：</w:t>
            </w:r>
            <w:r>
              <w:rPr>
                <w:rFonts w:hint="eastAsia"/>
                <w:sz w:val="24"/>
                <w:szCs w:val="24"/>
                <w:lang w:val="en-US" w:eastAsia="zh-CN"/>
              </w:rPr>
              <w:t>≥</w:t>
            </w:r>
            <w:r>
              <w:rPr>
                <w:rFonts w:hint="eastAsia"/>
                <w:sz w:val="24"/>
                <w:szCs w:val="24"/>
              </w:rPr>
              <w:t>122°~35.</w:t>
            </w:r>
            <w:r>
              <w:rPr>
                <w:rFonts w:hint="eastAsia"/>
                <w:sz w:val="24"/>
                <w:szCs w:val="24"/>
                <w:lang w:val="en-US" w:eastAsia="zh-CN"/>
              </w:rPr>
              <w:t>5</w:t>
            </w:r>
            <w:r>
              <w:rPr>
                <w:rFonts w:hint="eastAsia"/>
                <w:sz w:val="24"/>
                <w:szCs w:val="24"/>
              </w:rPr>
              <w:t xml:space="preserve">° </w:t>
            </w:r>
            <w:r>
              <w:rPr>
                <w:rFonts w:hint="eastAsia"/>
                <w:sz w:val="24"/>
                <w:szCs w:val="24"/>
              </w:rPr>
              <w:br w:type="textWrapping"/>
            </w:r>
            <w:r>
              <w:rPr>
                <w:rFonts w:hint="eastAsia"/>
                <w:sz w:val="24"/>
                <w:szCs w:val="24"/>
              </w:rPr>
              <w:t>14.补光灯类型：支持白光，红外补光</w:t>
            </w:r>
            <w:r>
              <w:rPr>
                <w:rFonts w:hint="eastAsia"/>
                <w:sz w:val="24"/>
                <w:szCs w:val="24"/>
              </w:rPr>
              <w:br w:type="textWrapping"/>
            </w:r>
            <w:r>
              <w:rPr>
                <w:rFonts w:hint="eastAsia"/>
                <w:sz w:val="24"/>
                <w:szCs w:val="24"/>
              </w:rPr>
              <w:t>15.补光距离：红外光最远可达50 m，白光最远可达30 m</w:t>
            </w:r>
            <w:r>
              <w:rPr>
                <w:rFonts w:hint="eastAsia"/>
                <w:sz w:val="24"/>
                <w:szCs w:val="24"/>
              </w:rPr>
              <w:br w:type="textWrapping"/>
            </w:r>
            <w:r>
              <w:rPr>
                <w:rFonts w:hint="eastAsia"/>
                <w:sz w:val="24"/>
                <w:szCs w:val="24"/>
              </w:rPr>
              <w:t>16.防补光过曝：支持</w:t>
            </w:r>
            <w:r>
              <w:rPr>
                <w:rFonts w:hint="eastAsia"/>
                <w:sz w:val="24"/>
                <w:szCs w:val="24"/>
              </w:rPr>
              <w:br w:type="textWrapping"/>
            </w:r>
            <w:r>
              <w:rPr>
                <w:rFonts w:hint="eastAsia"/>
                <w:sz w:val="24"/>
                <w:szCs w:val="24"/>
              </w:rPr>
              <w:t>17.红外波长范围：</w:t>
            </w:r>
            <w:r>
              <w:rPr>
                <w:rFonts w:hint="eastAsia"/>
                <w:sz w:val="24"/>
                <w:szCs w:val="24"/>
                <w:lang w:val="en-US" w:eastAsia="zh-CN"/>
              </w:rPr>
              <w:t>≥</w:t>
            </w:r>
            <w:r>
              <w:rPr>
                <w:rFonts w:hint="eastAsia"/>
                <w:sz w:val="24"/>
                <w:szCs w:val="24"/>
              </w:rPr>
              <w:t xml:space="preserve">850 nm </w:t>
            </w:r>
            <w:r>
              <w:rPr>
                <w:rFonts w:hint="eastAsia"/>
                <w:sz w:val="24"/>
                <w:szCs w:val="24"/>
              </w:rPr>
              <w:br w:type="textWrapping"/>
            </w:r>
            <w:r>
              <w:rPr>
                <w:rFonts w:hint="eastAsia"/>
                <w:sz w:val="24"/>
                <w:szCs w:val="24"/>
              </w:rPr>
              <w:t>18.最大分辨率：</w:t>
            </w:r>
            <w:r>
              <w:rPr>
                <w:rFonts w:hint="eastAsia"/>
                <w:sz w:val="24"/>
                <w:szCs w:val="24"/>
                <w:lang w:val="en-US" w:eastAsia="zh-CN"/>
              </w:rPr>
              <w:t>≥</w:t>
            </w:r>
            <w:r>
              <w:rPr>
                <w:rFonts w:hint="eastAsia"/>
                <w:sz w:val="24"/>
                <w:szCs w:val="24"/>
              </w:rPr>
              <w:t>2688 × 1520</w:t>
            </w:r>
            <w:r>
              <w:rPr>
                <w:rFonts w:hint="eastAsia"/>
                <w:sz w:val="24"/>
                <w:szCs w:val="24"/>
              </w:rPr>
              <w:br w:type="textWrapping"/>
            </w:r>
            <w:r>
              <w:rPr>
                <w:rFonts w:hint="eastAsia"/>
                <w:sz w:val="24"/>
                <w:szCs w:val="24"/>
              </w:rPr>
              <w:t>19.视频压缩标准：主码流：H.265/H.264，支20.持超级智能编码</w:t>
            </w:r>
            <w:r>
              <w:rPr>
                <w:rFonts w:hint="eastAsia"/>
                <w:sz w:val="24"/>
                <w:szCs w:val="24"/>
              </w:rPr>
              <w:br w:type="textWrapping"/>
            </w:r>
            <w:r>
              <w:rPr>
                <w:rFonts w:hint="eastAsia"/>
                <w:sz w:val="24"/>
                <w:szCs w:val="24"/>
              </w:rPr>
              <w:t>21.子码流：H.265/H.264/MJPEG</w:t>
            </w:r>
            <w:r>
              <w:rPr>
                <w:rFonts w:hint="eastAsia"/>
                <w:sz w:val="24"/>
                <w:szCs w:val="24"/>
              </w:rPr>
              <w:br w:type="textWrapping"/>
            </w:r>
            <w:r>
              <w:rPr>
                <w:rFonts w:hint="eastAsia"/>
                <w:sz w:val="24"/>
                <w:szCs w:val="24"/>
              </w:rPr>
              <w:t xml:space="preserve">22.第三码流：H.265/H.264 </w:t>
            </w:r>
            <w:r>
              <w:rPr>
                <w:rFonts w:hint="eastAsia"/>
                <w:sz w:val="24"/>
                <w:szCs w:val="24"/>
              </w:rPr>
              <w:br w:type="textWrapping"/>
            </w:r>
            <w:r>
              <w:rPr>
                <w:rFonts w:hint="eastAsia"/>
                <w:sz w:val="24"/>
                <w:szCs w:val="24"/>
              </w:rPr>
              <w:t xml:space="preserve">23.宽动态：120 dB </w:t>
            </w:r>
            <w:r>
              <w:rPr>
                <w:rFonts w:hint="eastAsia"/>
                <w:sz w:val="24"/>
                <w:szCs w:val="24"/>
              </w:rPr>
              <w:br w:type="textWrapping"/>
            </w:r>
            <w:r>
              <w:rPr>
                <w:rFonts w:hint="eastAsia"/>
                <w:sz w:val="24"/>
                <w:szCs w:val="24"/>
              </w:rPr>
              <w:t>24.网络：1个RJ45 10 M/100 M自适应以太网口</w:t>
            </w:r>
            <w:r>
              <w:rPr>
                <w:rFonts w:hint="eastAsia"/>
                <w:sz w:val="24"/>
                <w:szCs w:val="24"/>
              </w:rPr>
              <w:br w:type="textWrapping"/>
            </w:r>
            <w:r>
              <w:rPr>
                <w:rFonts w:hint="eastAsia"/>
                <w:sz w:val="24"/>
                <w:szCs w:val="24"/>
              </w:rPr>
              <w:t>25.SD卡扩展：内置MicroSD/MicroSDHC/MicroSDXC插槽，最大支持512 GB</w:t>
            </w:r>
            <w:r>
              <w:rPr>
                <w:rFonts w:hint="eastAsia"/>
                <w:sz w:val="24"/>
                <w:szCs w:val="24"/>
              </w:rPr>
              <w:br w:type="textWrapping"/>
            </w:r>
            <w:r>
              <w:rPr>
                <w:rFonts w:hint="eastAsia"/>
                <w:sz w:val="24"/>
                <w:szCs w:val="24"/>
              </w:rPr>
              <w:t>26.音频：1个内置麦克风</w:t>
            </w:r>
            <w:r>
              <w:rPr>
                <w:rFonts w:hint="eastAsia"/>
                <w:sz w:val="24"/>
                <w:szCs w:val="24"/>
              </w:rPr>
              <w:br w:type="textWrapping"/>
            </w:r>
            <w:r>
              <w:rPr>
                <w:rFonts w:hint="eastAsia"/>
                <w:sz w:val="24"/>
                <w:szCs w:val="24"/>
              </w:rPr>
              <w:t>27.1路输入（Line in），最大输入幅值：3.3 Vpp，输入阻抗：4.7 kΩ，接口类型：非平衡</w:t>
            </w:r>
            <w:r>
              <w:rPr>
                <w:rFonts w:hint="eastAsia"/>
                <w:sz w:val="24"/>
                <w:szCs w:val="24"/>
              </w:rPr>
              <w:br w:type="textWrapping"/>
            </w:r>
            <w:r>
              <w:rPr>
                <w:rFonts w:hint="eastAsia"/>
                <w:sz w:val="24"/>
                <w:szCs w:val="24"/>
              </w:rPr>
              <w:t>28.1路输出（Line out），最大输出幅值：3.3 Vpp，输出阻抗：100 Ω，接口类型：非平衡</w:t>
            </w:r>
            <w:r>
              <w:rPr>
                <w:rFonts w:hint="eastAsia"/>
                <w:sz w:val="24"/>
                <w:szCs w:val="24"/>
              </w:rPr>
              <w:br w:type="textWrapping"/>
            </w:r>
            <w:r>
              <w:rPr>
                <w:rFonts w:hint="eastAsia"/>
                <w:sz w:val="24"/>
                <w:szCs w:val="24"/>
              </w:rPr>
              <w:t>29.报警：1路输入，1路输出（报警输出最大支持DC12 V，30 mA）</w:t>
            </w:r>
            <w:r>
              <w:rPr>
                <w:rFonts w:hint="eastAsia"/>
                <w:sz w:val="24"/>
                <w:szCs w:val="24"/>
              </w:rPr>
              <w:br w:type="textWrapping"/>
            </w:r>
            <w:r>
              <w:rPr>
                <w:rFonts w:hint="eastAsia"/>
                <w:sz w:val="24"/>
                <w:szCs w:val="24"/>
              </w:rPr>
              <w:t>30.复位：支持</w:t>
            </w:r>
            <w:r>
              <w:rPr>
                <w:rFonts w:hint="eastAsia"/>
                <w:sz w:val="24"/>
                <w:szCs w:val="24"/>
              </w:rPr>
              <w:br w:type="textWrapping"/>
            </w:r>
            <w:r>
              <w:rPr>
                <w:rFonts w:hint="eastAsia"/>
                <w:sz w:val="24"/>
                <w:szCs w:val="24"/>
              </w:rPr>
              <w:t xml:space="preserve">31.电源输出：DC12 V，100 mA，建议用于拾音器供电 </w:t>
            </w:r>
            <w:r>
              <w:rPr>
                <w:rFonts w:hint="eastAsia"/>
                <w:sz w:val="24"/>
                <w:szCs w:val="24"/>
              </w:rPr>
              <w:br w:type="textWrapping"/>
            </w:r>
            <w:r>
              <w:rPr>
                <w:rFonts w:hint="eastAsia"/>
                <w:sz w:val="24"/>
                <w:szCs w:val="24"/>
              </w:rPr>
              <w:t>32.产品尺寸：</w:t>
            </w:r>
            <w:r>
              <w:rPr>
                <w:rFonts w:hint="eastAsia"/>
                <w:sz w:val="24"/>
                <w:szCs w:val="24"/>
                <w:lang w:val="en-US" w:eastAsia="zh-CN"/>
              </w:rPr>
              <w:t>≥</w:t>
            </w:r>
            <w:r>
              <w:rPr>
                <w:rFonts w:hint="eastAsia"/>
                <w:sz w:val="24"/>
                <w:szCs w:val="24"/>
              </w:rPr>
              <w:t>94 × 100 × 195 mm</w:t>
            </w:r>
            <w:r>
              <w:rPr>
                <w:rFonts w:hint="eastAsia"/>
                <w:sz w:val="24"/>
                <w:szCs w:val="24"/>
              </w:rPr>
              <w:br w:type="textWrapping"/>
            </w:r>
            <w:r>
              <w:rPr>
                <w:rFonts w:hint="eastAsia"/>
                <w:sz w:val="24"/>
                <w:szCs w:val="24"/>
              </w:rPr>
              <w:t>33.包装尺寸：</w:t>
            </w:r>
            <w:r>
              <w:rPr>
                <w:rFonts w:hint="eastAsia"/>
                <w:sz w:val="24"/>
                <w:szCs w:val="24"/>
                <w:lang w:val="en-US" w:eastAsia="zh-CN"/>
              </w:rPr>
              <w:t>≥</w:t>
            </w:r>
            <w:r>
              <w:rPr>
                <w:rFonts w:hint="eastAsia"/>
                <w:sz w:val="24"/>
                <w:szCs w:val="24"/>
              </w:rPr>
              <w:t>315 × 13</w:t>
            </w:r>
            <w:r>
              <w:rPr>
                <w:rFonts w:hint="eastAsia"/>
                <w:sz w:val="24"/>
                <w:szCs w:val="24"/>
                <w:lang w:val="en-US" w:eastAsia="zh-CN"/>
              </w:rPr>
              <w:t>5</w:t>
            </w:r>
            <w:r>
              <w:rPr>
                <w:rFonts w:hint="eastAsia"/>
                <w:sz w:val="24"/>
                <w:szCs w:val="24"/>
              </w:rPr>
              <w:t xml:space="preserve"> × 14</w:t>
            </w:r>
            <w:r>
              <w:rPr>
                <w:rFonts w:hint="eastAsia"/>
                <w:sz w:val="24"/>
                <w:szCs w:val="24"/>
                <w:lang w:val="en-US" w:eastAsia="zh-CN"/>
              </w:rPr>
              <w:t>0</w:t>
            </w:r>
            <w:r>
              <w:rPr>
                <w:rFonts w:hint="eastAsia"/>
                <w:sz w:val="24"/>
                <w:szCs w:val="24"/>
              </w:rPr>
              <w:t xml:space="preserve"> mm</w:t>
            </w:r>
            <w:r>
              <w:rPr>
                <w:rFonts w:hint="eastAsia"/>
                <w:sz w:val="24"/>
                <w:szCs w:val="24"/>
              </w:rPr>
              <w:br w:type="textWrapping"/>
            </w:r>
            <w:r>
              <w:rPr>
                <w:rFonts w:hint="eastAsia"/>
                <w:sz w:val="24"/>
                <w:szCs w:val="24"/>
              </w:rPr>
              <w:t>34.设备重量：</w:t>
            </w:r>
            <w:r>
              <w:rPr>
                <w:rFonts w:hint="eastAsia"/>
                <w:sz w:val="24"/>
                <w:szCs w:val="24"/>
                <w:lang w:val="en-US" w:eastAsia="zh-CN"/>
              </w:rPr>
              <w:t>≤</w:t>
            </w:r>
            <w:r>
              <w:rPr>
                <w:rFonts w:hint="eastAsia"/>
                <w:sz w:val="24"/>
                <w:szCs w:val="24"/>
              </w:rPr>
              <w:t>760 g</w:t>
            </w:r>
            <w:r>
              <w:rPr>
                <w:rFonts w:hint="eastAsia"/>
                <w:sz w:val="24"/>
                <w:szCs w:val="24"/>
              </w:rPr>
              <w:br w:type="textWrapping"/>
            </w:r>
            <w:r>
              <w:rPr>
                <w:rFonts w:hint="eastAsia"/>
                <w:sz w:val="24"/>
                <w:szCs w:val="24"/>
              </w:rPr>
              <w:t>35.带包装重量：</w:t>
            </w:r>
            <w:r>
              <w:rPr>
                <w:rFonts w:hint="eastAsia"/>
                <w:sz w:val="24"/>
                <w:szCs w:val="24"/>
                <w:lang w:val="en-US" w:eastAsia="zh-CN"/>
              </w:rPr>
              <w:t>≤</w:t>
            </w:r>
            <w:r>
              <w:rPr>
                <w:rFonts w:hint="eastAsia"/>
                <w:sz w:val="24"/>
                <w:szCs w:val="24"/>
              </w:rPr>
              <w:t>1050 g</w:t>
            </w:r>
            <w:r>
              <w:rPr>
                <w:rFonts w:hint="eastAsia"/>
                <w:sz w:val="24"/>
                <w:szCs w:val="24"/>
              </w:rPr>
              <w:br w:type="textWrapping"/>
            </w:r>
            <w:r>
              <w:rPr>
                <w:rFonts w:hint="eastAsia"/>
                <w:sz w:val="24"/>
                <w:szCs w:val="24"/>
              </w:rPr>
              <w:t>36.启动和工作温湿度：-30 °C~60 °C，湿度小于95%（无凝结）</w:t>
            </w:r>
            <w:r>
              <w:rPr>
                <w:rFonts w:hint="eastAsia"/>
                <w:sz w:val="24"/>
                <w:szCs w:val="24"/>
              </w:rPr>
              <w:br w:type="textWrapping"/>
            </w:r>
            <w:r>
              <w:rPr>
                <w:rFonts w:hint="eastAsia"/>
                <w:sz w:val="24"/>
                <w:szCs w:val="24"/>
              </w:rPr>
              <w:t>37.恢复出厂设置：支持RESET按键，客户端或浏览器恢复</w:t>
            </w:r>
            <w:r>
              <w:rPr>
                <w:rFonts w:hint="eastAsia"/>
                <w:sz w:val="24"/>
                <w:szCs w:val="24"/>
              </w:rPr>
              <w:br w:type="textWrapping"/>
            </w:r>
            <w:r>
              <w:rPr>
                <w:rFonts w:hint="eastAsia" w:ascii="宋体" w:hAnsi="宋体" w:eastAsia="宋体" w:cs="宋体"/>
                <w:sz w:val="24"/>
                <w:szCs w:val="24"/>
              </w:rPr>
              <w:t>38.电流及功耗：DC：12 V，0.63 A，最大功耗：7.5 W</w:t>
            </w:r>
            <w:r>
              <w:rPr>
                <w:rFonts w:hint="eastAsia" w:ascii="宋体" w:hAnsi="宋体" w:eastAsia="宋体" w:cs="宋体"/>
                <w:sz w:val="24"/>
                <w:szCs w:val="24"/>
              </w:rPr>
              <w:br w:type="textWrapping"/>
            </w:r>
            <w:r>
              <w:rPr>
                <w:rFonts w:hint="eastAsia" w:ascii="宋体" w:hAnsi="宋体" w:eastAsia="宋体" w:cs="宋体"/>
                <w:sz w:val="24"/>
                <w:szCs w:val="24"/>
              </w:rPr>
              <w:t>39.PoE：IEEE 802.3af，CLASS 3，最大功耗：9 W</w:t>
            </w:r>
            <w:r>
              <w:rPr>
                <w:rFonts w:hint="eastAsia" w:ascii="宋体" w:hAnsi="宋体" w:eastAsia="宋体" w:cs="宋体"/>
                <w:sz w:val="24"/>
                <w:szCs w:val="24"/>
              </w:rPr>
              <w:br w:type="textWrapping"/>
            </w:r>
            <w:r>
              <w:rPr>
                <w:rFonts w:hint="eastAsia" w:ascii="宋体" w:hAnsi="宋体" w:eastAsia="宋体" w:cs="宋体"/>
                <w:sz w:val="24"/>
                <w:szCs w:val="24"/>
              </w:rPr>
              <w:t>40.供电方式：DC：12 V ± 25%</w:t>
            </w:r>
            <w:r>
              <w:rPr>
                <w:rFonts w:hint="eastAsia" w:ascii="宋体" w:hAnsi="宋体" w:eastAsia="宋体" w:cs="宋体"/>
                <w:sz w:val="24"/>
                <w:szCs w:val="24"/>
              </w:rPr>
              <w:br w:type="textWrapping"/>
            </w:r>
            <w:r>
              <w:rPr>
                <w:rFonts w:hint="eastAsia" w:ascii="宋体" w:hAnsi="宋体" w:eastAsia="宋体" w:cs="宋体"/>
                <w:sz w:val="24"/>
                <w:szCs w:val="24"/>
              </w:rPr>
              <w:t>41.PoE：IEEE 802.3af，CLASS 3</w:t>
            </w:r>
            <w:r>
              <w:rPr>
                <w:rFonts w:hint="eastAsia" w:ascii="宋体" w:hAnsi="宋体" w:eastAsia="宋体" w:cs="宋体"/>
                <w:sz w:val="24"/>
                <w:szCs w:val="24"/>
              </w:rPr>
              <w:br w:type="textWrapping"/>
            </w:r>
            <w:r>
              <w:rPr>
                <w:rFonts w:hint="eastAsia" w:ascii="宋体" w:hAnsi="宋体" w:eastAsia="宋体" w:cs="宋体"/>
                <w:sz w:val="24"/>
                <w:szCs w:val="24"/>
              </w:rPr>
              <w:t xml:space="preserve">42.电源接口类型：Ø5.5 mm圆口  </w:t>
            </w:r>
            <w:r>
              <w:rPr>
                <w:rFonts w:hint="eastAsia" w:ascii="宋体" w:hAnsi="宋体" w:eastAsia="宋体" w:cs="宋体"/>
                <w:sz w:val="24"/>
                <w:szCs w:val="24"/>
              </w:rPr>
              <w:br w:type="textWrapping"/>
            </w:r>
            <w:r>
              <w:rPr>
                <w:rFonts w:hint="eastAsia" w:ascii="宋体" w:hAnsi="宋体" w:eastAsia="宋体" w:cs="宋体"/>
                <w:sz w:val="24"/>
                <w:szCs w:val="24"/>
              </w:rPr>
              <w:t xml:space="preserve">43.防护：IP66 </w:t>
            </w:r>
          </w:p>
          <w:p w14:paraId="4C5FCF4E">
            <w:pPr>
              <w:pStyle w:val="2"/>
              <w:rPr>
                <w:rFonts w:hint="eastAsia"/>
                <w:sz w:val="24"/>
                <w:szCs w:val="24"/>
              </w:rPr>
            </w:pPr>
            <w:r>
              <w:rPr>
                <w:rFonts w:hint="eastAsia" w:ascii="宋体" w:hAnsi="宋体" w:eastAsia="宋体" w:cs="宋体"/>
                <w:b/>
                <w:bCs/>
                <w:color w:val="auto"/>
                <w:kern w:val="0"/>
                <w:sz w:val="24"/>
                <w:szCs w:val="24"/>
                <w:lang w:bidi="ar"/>
              </w:rPr>
              <w:t>需提供厂商售后服务承诺函</w:t>
            </w:r>
          </w:p>
        </w:tc>
        <w:tc>
          <w:tcPr>
            <w:tcW w:w="502" w:type="dxa"/>
            <w:tcBorders>
              <w:top w:val="single" w:color="000000" w:sz="4" w:space="0"/>
              <w:left w:val="single" w:color="000000" w:sz="4" w:space="0"/>
              <w:bottom w:val="single" w:color="000000" w:sz="4" w:space="0"/>
              <w:right w:val="single" w:color="000000" w:sz="4" w:space="0"/>
            </w:tcBorders>
            <w:noWrap w:val="0"/>
            <w:vAlign w:val="center"/>
          </w:tcPr>
          <w:p w14:paraId="090302B9">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台</w:t>
            </w:r>
          </w:p>
        </w:tc>
        <w:tc>
          <w:tcPr>
            <w:tcW w:w="597" w:type="dxa"/>
            <w:tcBorders>
              <w:top w:val="single" w:color="000000" w:sz="4" w:space="0"/>
              <w:left w:val="single" w:color="000000" w:sz="4" w:space="0"/>
              <w:bottom w:val="single" w:color="000000" w:sz="4" w:space="0"/>
              <w:right w:val="single" w:color="000000" w:sz="4" w:space="0"/>
            </w:tcBorders>
            <w:noWrap w:val="0"/>
            <w:vAlign w:val="center"/>
          </w:tcPr>
          <w:p w14:paraId="1B7B7613">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178</w:t>
            </w:r>
          </w:p>
        </w:tc>
        <w:tc>
          <w:tcPr>
            <w:tcW w:w="1615" w:type="dxa"/>
            <w:tcBorders>
              <w:top w:val="single" w:color="000000" w:sz="4" w:space="0"/>
              <w:left w:val="single" w:color="000000" w:sz="4" w:space="0"/>
              <w:bottom w:val="single" w:color="000000" w:sz="4" w:space="0"/>
              <w:right w:val="single" w:color="000000" w:sz="4" w:space="0"/>
            </w:tcBorders>
            <w:noWrap w:val="0"/>
            <w:vAlign w:val="center"/>
          </w:tcPr>
          <w:p w14:paraId="027F1870">
            <w:pPr>
              <w:jc w:val="center"/>
              <w:rPr>
                <w:rFonts w:hint="eastAsia" w:ascii="宋体" w:hAnsi="宋体" w:cs="宋体"/>
                <w:color w:val="000000"/>
                <w:sz w:val="24"/>
                <w:szCs w:val="24"/>
              </w:rPr>
            </w:pPr>
          </w:p>
        </w:tc>
      </w:tr>
      <w:tr w14:paraId="0B14847F">
        <w:tblPrEx>
          <w:tblCellMar>
            <w:top w:w="0" w:type="dxa"/>
            <w:left w:w="108" w:type="dxa"/>
            <w:bottom w:w="0" w:type="dxa"/>
            <w:right w:w="108" w:type="dxa"/>
          </w:tblCellMar>
        </w:tblPrEx>
        <w:trPr>
          <w:trHeight w:val="660" w:hRule="atLeast"/>
          <w:jc w:val="center"/>
        </w:trPr>
        <w:tc>
          <w:tcPr>
            <w:tcW w:w="489" w:type="dxa"/>
            <w:tcBorders>
              <w:top w:val="single" w:color="000000" w:sz="4" w:space="0"/>
              <w:left w:val="single" w:color="000000" w:sz="4" w:space="0"/>
              <w:bottom w:val="single" w:color="000000" w:sz="4" w:space="0"/>
              <w:right w:val="single" w:color="000000" w:sz="4" w:space="0"/>
            </w:tcBorders>
            <w:noWrap w:val="0"/>
            <w:vAlign w:val="center"/>
          </w:tcPr>
          <w:p w14:paraId="2EF08CD9">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2</w:t>
            </w:r>
          </w:p>
        </w:tc>
        <w:tc>
          <w:tcPr>
            <w:tcW w:w="807" w:type="dxa"/>
            <w:tcBorders>
              <w:top w:val="single" w:color="000000" w:sz="4" w:space="0"/>
              <w:left w:val="single" w:color="000000" w:sz="4" w:space="0"/>
              <w:bottom w:val="single" w:color="000000" w:sz="4" w:space="0"/>
              <w:right w:val="single" w:color="000000" w:sz="4" w:space="0"/>
            </w:tcBorders>
            <w:noWrap w:val="0"/>
            <w:vAlign w:val="center"/>
          </w:tcPr>
          <w:p w14:paraId="6FB22729">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摄像机支架</w:t>
            </w:r>
          </w:p>
        </w:tc>
        <w:tc>
          <w:tcPr>
            <w:tcW w:w="5941" w:type="dxa"/>
            <w:tcBorders>
              <w:top w:val="single" w:color="000000" w:sz="4" w:space="0"/>
              <w:left w:val="single" w:color="000000" w:sz="4" w:space="0"/>
              <w:bottom w:val="single" w:color="000000" w:sz="4" w:space="0"/>
              <w:right w:val="single" w:color="000000" w:sz="4" w:space="0"/>
            </w:tcBorders>
            <w:noWrap w:val="0"/>
            <w:vAlign w:val="center"/>
          </w:tcPr>
          <w:p w14:paraId="43438025">
            <w:pPr>
              <w:widowControl/>
              <w:jc w:val="left"/>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1.金属壁装支架</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2.压铸纯铝合金材质，表面做喷塑处理</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3.支架带出线孔，安装更加美观</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4.摄像机安装座表面有海绵垫，保证和摄像机5.底座结合更紧密</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6.摄像机安装座可旋转，方便摄像机角度调整</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7.材质：铝合金</w:t>
            </w:r>
          </w:p>
        </w:tc>
        <w:tc>
          <w:tcPr>
            <w:tcW w:w="502" w:type="dxa"/>
            <w:tcBorders>
              <w:top w:val="single" w:color="000000" w:sz="4" w:space="0"/>
              <w:left w:val="single" w:color="000000" w:sz="4" w:space="0"/>
              <w:bottom w:val="single" w:color="000000" w:sz="4" w:space="0"/>
              <w:right w:val="single" w:color="000000" w:sz="4" w:space="0"/>
            </w:tcBorders>
            <w:noWrap w:val="0"/>
            <w:vAlign w:val="center"/>
          </w:tcPr>
          <w:p w14:paraId="489A6BCE">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个</w:t>
            </w:r>
          </w:p>
        </w:tc>
        <w:tc>
          <w:tcPr>
            <w:tcW w:w="597" w:type="dxa"/>
            <w:tcBorders>
              <w:top w:val="single" w:color="000000" w:sz="4" w:space="0"/>
              <w:left w:val="single" w:color="000000" w:sz="4" w:space="0"/>
              <w:bottom w:val="single" w:color="000000" w:sz="4" w:space="0"/>
              <w:right w:val="single" w:color="000000" w:sz="4" w:space="0"/>
            </w:tcBorders>
            <w:noWrap w:val="0"/>
            <w:vAlign w:val="center"/>
          </w:tcPr>
          <w:p w14:paraId="6B42EBF8">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178</w:t>
            </w:r>
          </w:p>
        </w:tc>
        <w:tc>
          <w:tcPr>
            <w:tcW w:w="1615" w:type="dxa"/>
            <w:tcBorders>
              <w:top w:val="single" w:color="000000" w:sz="4" w:space="0"/>
              <w:left w:val="single" w:color="000000" w:sz="4" w:space="0"/>
              <w:bottom w:val="single" w:color="000000" w:sz="4" w:space="0"/>
              <w:right w:val="single" w:color="000000" w:sz="4" w:space="0"/>
            </w:tcBorders>
            <w:noWrap w:val="0"/>
            <w:vAlign w:val="center"/>
          </w:tcPr>
          <w:p w14:paraId="60022834">
            <w:pPr>
              <w:jc w:val="center"/>
              <w:rPr>
                <w:rFonts w:hint="eastAsia" w:ascii="宋体" w:hAnsi="宋体" w:cs="宋体"/>
                <w:color w:val="000000"/>
                <w:sz w:val="24"/>
                <w:szCs w:val="24"/>
              </w:rPr>
            </w:pPr>
          </w:p>
        </w:tc>
      </w:tr>
      <w:tr w14:paraId="498AC927">
        <w:tblPrEx>
          <w:tblCellMar>
            <w:top w:w="0" w:type="dxa"/>
            <w:left w:w="108" w:type="dxa"/>
            <w:bottom w:w="0" w:type="dxa"/>
            <w:right w:w="108" w:type="dxa"/>
          </w:tblCellMar>
        </w:tblPrEx>
        <w:trPr>
          <w:trHeight w:val="410" w:hRule="atLeast"/>
          <w:jc w:val="center"/>
        </w:trPr>
        <w:tc>
          <w:tcPr>
            <w:tcW w:w="489" w:type="dxa"/>
            <w:tcBorders>
              <w:top w:val="single" w:color="000000" w:sz="4" w:space="0"/>
              <w:left w:val="single" w:color="000000" w:sz="4" w:space="0"/>
              <w:bottom w:val="single" w:color="000000" w:sz="4" w:space="0"/>
              <w:right w:val="single" w:color="000000" w:sz="4" w:space="0"/>
            </w:tcBorders>
            <w:noWrap w:val="0"/>
            <w:vAlign w:val="center"/>
          </w:tcPr>
          <w:p w14:paraId="08A234CA">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3</w:t>
            </w:r>
          </w:p>
        </w:tc>
        <w:tc>
          <w:tcPr>
            <w:tcW w:w="807" w:type="dxa"/>
            <w:tcBorders>
              <w:top w:val="single" w:color="000000" w:sz="4" w:space="0"/>
              <w:left w:val="single" w:color="000000" w:sz="4" w:space="0"/>
              <w:bottom w:val="single" w:color="000000" w:sz="4" w:space="0"/>
              <w:right w:val="single" w:color="000000" w:sz="4" w:space="0"/>
            </w:tcBorders>
            <w:noWrap w:val="0"/>
            <w:vAlign w:val="center"/>
          </w:tcPr>
          <w:p w14:paraId="56FECAF0">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千兆交换机</w:t>
            </w:r>
          </w:p>
        </w:tc>
        <w:tc>
          <w:tcPr>
            <w:tcW w:w="5941" w:type="dxa"/>
            <w:tcBorders>
              <w:top w:val="single" w:color="000000" w:sz="4" w:space="0"/>
              <w:left w:val="single" w:color="000000" w:sz="4" w:space="0"/>
              <w:bottom w:val="single" w:color="000000" w:sz="4" w:space="0"/>
              <w:right w:val="single" w:color="000000" w:sz="4" w:space="0"/>
            </w:tcBorders>
            <w:noWrap w:val="0"/>
            <w:vAlign w:val="center"/>
          </w:tcPr>
          <w:p w14:paraId="5EFA9B45">
            <w:pPr>
              <w:widowControl/>
              <w:jc w:val="left"/>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1.支持10个10/100/1000M自适应电口，2个1G/2.5G SFP光口，固化单交流电源和风扇，1-8端口支持PoE/PoE+远程供电，125W POE供电</w:t>
            </w:r>
          </w:p>
        </w:tc>
        <w:tc>
          <w:tcPr>
            <w:tcW w:w="502" w:type="dxa"/>
            <w:tcBorders>
              <w:top w:val="single" w:color="000000" w:sz="4" w:space="0"/>
              <w:left w:val="single" w:color="000000" w:sz="4" w:space="0"/>
              <w:bottom w:val="single" w:color="000000" w:sz="4" w:space="0"/>
              <w:right w:val="single" w:color="000000" w:sz="4" w:space="0"/>
            </w:tcBorders>
            <w:noWrap w:val="0"/>
            <w:vAlign w:val="center"/>
          </w:tcPr>
          <w:p w14:paraId="210DD929">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台</w:t>
            </w:r>
          </w:p>
        </w:tc>
        <w:tc>
          <w:tcPr>
            <w:tcW w:w="597" w:type="dxa"/>
            <w:tcBorders>
              <w:top w:val="single" w:color="000000" w:sz="4" w:space="0"/>
              <w:left w:val="single" w:color="000000" w:sz="4" w:space="0"/>
              <w:bottom w:val="single" w:color="000000" w:sz="4" w:space="0"/>
              <w:right w:val="single" w:color="000000" w:sz="4" w:space="0"/>
            </w:tcBorders>
            <w:noWrap w:val="0"/>
            <w:vAlign w:val="center"/>
          </w:tcPr>
          <w:p w14:paraId="4A11AFEF">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89</w:t>
            </w:r>
          </w:p>
        </w:tc>
        <w:tc>
          <w:tcPr>
            <w:tcW w:w="1615" w:type="dxa"/>
            <w:tcBorders>
              <w:top w:val="single" w:color="000000" w:sz="4" w:space="0"/>
              <w:left w:val="single" w:color="000000" w:sz="4" w:space="0"/>
              <w:bottom w:val="single" w:color="000000" w:sz="4" w:space="0"/>
              <w:right w:val="single" w:color="000000" w:sz="4" w:space="0"/>
            </w:tcBorders>
            <w:noWrap w:val="0"/>
            <w:vAlign w:val="center"/>
          </w:tcPr>
          <w:p w14:paraId="59894BA9">
            <w:pPr>
              <w:jc w:val="center"/>
              <w:rPr>
                <w:rFonts w:hint="eastAsia" w:ascii="宋体" w:hAnsi="宋体" w:cs="宋体"/>
                <w:color w:val="000000"/>
                <w:sz w:val="24"/>
                <w:szCs w:val="24"/>
              </w:rPr>
            </w:pPr>
          </w:p>
        </w:tc>
      </w:tr>
      <w:tr w14:paraId="6A411C6C">
        <w:tblPrEx>
          <w:tblCellMar>
            <w:top w:w="0" w:type="dxa"/>
            <w:left w:w="108" w:type="dxa"/>
            <w:bottom w:w="0" w:type="dxa"/>
            <w:right w:w="108" w:type="dxa"/>
          </w:tblCellMar>
        </w:tblPrEx>
        <w:trPr>
          <w:trHeight w:val="660" w:hRule="atLeast"/>
          <w:jc w:val="center"/>
        </w:trPr>
        <w:tc>
          <w:tcPr>
            <w:tcW w:w="489" w:type="dxa"/>
            <w:tcBorders>
              <w:top w:val="single" w:color="000000" w:sz="4" w:space="0"/>
              <w:left w:val="single" w:color="000000" w:sz="4" w:space="0"/>
              <w:bottom w:val="single" w:color="000000" w:sz="4" w:space="0"/>
              <w:right w:val="single" w:color="000000" w:sz="4" w:space="0"/>
            </w:tcBorders>
            <w:noWrap w:val="0"/>
            <w:vAlign w:val="center"/>
          </w:tcPr>
          <w:p w14:paraId="24A4A7DE">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4</w:t>
            </w:r>
          </w:p>
        </w:tc>
        <w:tc>
          <w:tcPr>
            <w:tcW w:w="807" w:type="dxa"/>
            <w:tcBorders>
              <w:top w:val="single" w:color="000000" w:sz="4" w:space="0"/>
              <w:left w:val="single" w:color="000000" w:sz="4" w:space="0"/>
              <w:bottom w:val="single" w:color="000000" w:sz="4" w:space="0"/>
              <w:right w:val="single" w:color="000000" w:sz="4" w:space="0"/>
            </w:tcBorders>
            <w:noWrap w:val="0"/>
            <w:vAlign w:val="center"/>
          </w:tcPr>
          <w:p w14:paraId="6B8E6B06">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千兆交换机</w:t>
            </w:r>
          </w:p>
        </w:tc>
        <w:tc>
          <w:tcPr>
            <w:tcW w:w="5941" w:type="dxa"/>
            <w:tcBorders>
              <w:top w:val="single" w:color="000000" w:sz="4" w:space="0"/>
              <w:left w:val="single" w:color="000000" w:sz="4" w:space="0"/>
              <w:bottom w:val="single" w:color="000000" w:sz="4" w:space="0"/>
              <w:right w:val="single" w:color="000000" w:sz="4" w:space="0"/>
            </w:tcBorders>
            <w:noWrap w:val="0"/>
            <w:vAlign w:val="center"/>
          </w:tcPr>
          <w:p w14:paraId="1A15469B">
            <w:pPr>
              <w:widowControl/>
              <w:jc w:val="left"/>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支持24个10/100/1000Base-T自适应以太网接口，4个2.5G/1G SFP接口</w:t>
            </w:r>
          </w:p>
        </w:tc>
        <w:tc>
          <w:tcPr>
            <w:tcW w:w="502" w:type="dxa"/>
            <w:tcBorders>
              <w:top w:val="single" w:color="000000" w:sz="4" w:space="0"/>
              <w:left w:val="single" w:color="000000" w:sz="4" w:space="0"/>
              <w:bottom w:val="single" w:color="000000" w:sz="4" w:space="0"/>
              <w:right w:val="single" w:color="000000" w:sz="4" w:space="0"/>
            </w:tcBorders>
            <w:noWrap w:val="0"/>
            <w:vAlign w:val="center"/>
          </w:tcPr>
          <w:p w14:paraId="682497C2">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台</w:t>
            </w:r>
          </w:p>
        </w:tc>
        <w:tc>
          <w:tcPr>
            <w:tcW w:w="597" w:type="dxa"/>
            <w:tcBorders>
              <w:top w:val="single" w:color="000000" w:sz="4" w:space="0"/>
              <w:left w:val="single" w:color="000000" w:sz="4" w:space="0"/>
              <w:bottom w:val="single" w:color="000000" w:sz="4" w:space="0"/>
              <w:right w:val="single" w:color="000000" w:sz="4" w:space="0"/>
            </w:tcBorders>
            <w:noWrap w:val="0"/>
            <w:vAlign w:val="center"/>
          </w:tcPr>
          <w:p w14:paraId="71C1305B">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9</w:t>
            </w:r>
          </w:p>
        </w:tc>
        <w:tc>
          <w:tcPr>
            <w:tcW w:w="1615" w:type="dxa"/>
            <w:tcBorders>
              <w:top w:val="single" w:color="000000" w:sz="4" w:space="0"/>
              <w:left w:val="single" w:color="000000" w:sz="4" w:space="0"/>
              <w:bottom w:val="single" w:color="000000" w:sz="4" w:space="0"/>
              <w:right w:val="single" w:color="000000" w:sz="4" w:space="0"/>
            </w:tcBorders>
            <w:noWrap w:val="0"/>
            <w:vAlign w:val="center"/>
          </w:tcPr>
          <w:p w14:paraId="1605B157">
            <w:pPr>
              <w:jc w:val="center"/>
              <w:rPr>
                <w:rFonts w:hint="eastAsia" w:ascii="宋体" w:hAnsi="宋体" w:cs="宋体"/>
                <w:color w:val="000000"/>
                <w:sz w:val="24"/>
                <w:szCs w:val="24"/>
              </w:rPr>
            </w:pPr>
          </w:p>
        </w:tc>
      </w:tr>
      <w:tr w14:paraId="545C9650">
        <w:tblPrEx>
          <w:tblCellMar>
            <w:top w:w="0" w:type="dxa"/>
            <w:left w:w="108" w:type="dxa"/>
            <w:bottom w:w="0" w:type="dxa"/>
            <w:right w:w="108" w:type="dxa"/>
          </w:tblCellMar>
        </w:tblPrEx>
        <w:trPr>
          <w:trHeight w:val="660" w:hRule="atLeast"/>
          <w:jc w:val="center"/>
        </w:trPr>
        <w:tc>
          <w:tcPr>
            <w:tcW w:w="489" w:type="dxa"/>
            <w:tcBorders>
              <w:top w:val="single" w:color="000000" w:sz="4" w:space="0"/>
              <w:left w:val="single" w:color="000000" w:sz="4" w:space="0"/>
              <w:bottom w:val="single" w:color="000000" w:sz="4" w:space="0"/>
              <w:right w:val="single" w:color="000000" w:sz="4" w:space="0"/>
            </w:tcBorders>
            <w:noWrap w:val="0"/>
            <w:vAlign w:val="center"/>
          </w:tcPr>
          <w:p w14:paraId="528DB790">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5</w:t>
            </w:r>
          </w:p>
        </w:tc>
        <w:tc>
          <w:tcPr>
            <w:tcW w:w="807" w:type="dxa"/>
            <w:vMerge w:val="restart"/>
            <w:tcBorders>
              <w:top w:val="single" w:color="000000" w:sz="4" w:space="0"/>
              <w:left w:val="single" w:color="000000" w:sz="4" w:space="0"/>
              <w:bottom w:val="single" w:color="000000" w:sz="4" w:space="0"/>
              <w:right w:val="single" w:color="000000" w:sz="4" w:space="0"/>
            </w:tcBorders>
            <w:noWrap w:val="0"/>
            <w:vAlign w:val="center"/>
          </w:tcPr>
          <w:p w14:paraId="74F0E092">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网络硬盘录像机</w:t>
            </w:r>
          </w:p>
        </w:tc>
        <w:tc>
          <w:tcPr>
            <w:tcW w:w="5941" w:type="dxa"/>
            <w:tcBorders>
              <w:top w:val="single" w:color="000000" w:sz="4" w:space="0"/>
              <w:left w:val="single" w:color="000000" w:sz="4" w:space="0"/>
              <w:bottom w:val="single" w:color="000000" w:sz="4" w:space="0"/>
              <w:right w:val="single" w:color="000000" w:sz="4" w:space="0"/>
            </w:tcBorders>
            <w:noWrap w:val="0"/>
            <w:vAlign w:val="top"/>
          </w:tcPr>
          <w:p w14:paraId="7CCB1B6A">
            <w:pPr>
              <w:widowControl/>
              <w:jc w:val="left"/>
              <w:textAlignment w:val="top"/>
              <w:rPr>
                <w:rFonts w:hint="eastAsia" w:ascii="宋体" w:hAnsi="宋体" w:cs="宋体"/>
                <w:color w:val="000000"/>
                <w:sz w:val="24"/>
                <w:szCs w:val="24"/>
              </w:rPr>
            </w:pPr>
            <w:r>
              <w:rPr>
                <w:rFonts w:hint="eastAsia" w:ascii="宋体" w:hAnsi="宋体" w:cs="宋体"/>
                <w:color w:val="000000"/>
                <w:kern w:val="0"/>
                <w:sz w:val="24"/>
                <w:szCs w:val="24"/>
                <w:lang w:bidi="ar"/>
              </w:rPr>
              <w:t>1.2U机架式8盘位嵌入式网络硬盘录像机，采用短机箱设计，搭载高性能ATX电源</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2.存储接口：8个SATA接口，可</w:t>
            </w:r>
            <w:r>
              <w:rPr>
                <w:rFonts w:hint="eastAsia" w:ascii="宋体" w:hAnsi="宋体" w:cs="宋体"/>
                <w:color w:val="000000"/>
                <w:kern w:val="0"/>
                <w:sz w:val="24"/>
                <w:szCs w:val="24"/>
                <w:lang w:val="en-US" w:eastAsia="zh-CN" w:bidi="ar"/>
              </w:rPr>
              <w:t>配备</w:t>
            </w:r>
            <w:r>
              <w:rPr>
                <w:rFonts w:hint="eastAsia" w:ascii="宋体" w:hAnsi="宋体" w:cs="宋体"/>
                <w:color w:val="000000"/>
                <w:kern w:val="0"/>
                <w:sz w:val="24"/>
                <w:szCs w:val="24"/>
                <w:lang w:bidi="ar"/>
              </w:rPr>
              <w:t>12TB硬盘</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3.视频接口：2×HDMI，2×VGA</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4.网络接口：2×RJ45 10/100/1000Mbps自适应以太网口</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5.报警接口：16路报警输入，4路报警输出</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6.串行接口：1路RS-232接口，2路半双工RS-485接口</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7.USB接口：2×USB 2.0，1×USB 3.0</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8.输入带宽：256Mbps</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9.输出带宽：160Mbps</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10.接入能力：32路H.264、H.265格式高清码流接入</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11.解码能力：最大支持24×1080P</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 xml:space="preserve">12.显示能力：最大支持4K+1080P异源输出 </w:t>
            </w:r>
          </w:p>
        </w:tc>
        <w:tc>
          <w:tcPr>
            <w:tcW w:w="502" w:type="dxa"/>
            <w:tcBorders>
              <w:top w:val="single" w:color="000000" w:sz="4" w:space="0"/>
              <w:left w:val="single" w:color="000000" w:sz="4" w:space="0"/>
              <w:bottom w:val="single" w:color="000000" w:sz="4" w:space="0"/>
              <w:right w:val="single" w:color="000000" w:sz="4" w:space="0"/>
            </w:tcBorders>
            <w:noWrap w:val="0"/>
            <w:vAlign w:val="center"/>
          </w:tcPr>
          <w:p w14:paraId="055DD306">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台</w:t>
            </w:r>
          </w:p>
        </w:tc>
        <w:tc>
          <w:tcPr>
            <w:tcW w:w="597" w:type="dxa"/>
            <w:tcBorders>
              <w:top w:val="single" w:color="000000" w:sz="4" w:space="0"/>
              <w:left w:val="single" w:color="000000" w:sz="4" w:space="0"/>
              <w:bottom w:val="single" w:color="000000" w:sz="4" w:space="0"/>
              <w:right w:val="single" w:color="000000" w:sz="4" w:space="0"/>
            </w:tcBorders>
            <w:noWrap w:val="0"/>
            <w:vAlign w:val="center"/>
          </w:tcPr>
          <w:p w14:paraId="2A3CC840">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3</w:t>
            </w:r>
          </w:p>
        </w:tc>
        <w:tc>
          <w:tcPr>
            <w:tcW w:w="1615" w:type="dxa"/>
            <w:tcBorders>
              <w:top w:val="single" w:color="000000" w:sz="4" w:space="0"/>
              <w:left w:val="single" w:color="000000" w:sz="4" w:space="0"/>
              <w:bottom w:val="single" w:color="000000" w:sz="4" w:space="0"/>
              <w:right w:val="single" w:color="000000" w:sz="4" w:space="0"/>
            </w:tcBorders>
            <w:noWrap w:val="0"/>
            <w:vAlign w:val="center"/>
          </w:tcPr>
          <w:p w14:paraId="3372D69F">
            <w:pPr>
              <w:jc w:val="center"/>
              <w:rPr>
                <w:rFonts w:hint="eastAsia" w:ascii="宋体" w:hAnsi="宋体" w:cs="宋体"/>
                <w:color w:val="000000"/>
                <w:sz w:val="24"/>
                <w:szCs w:val="24"/>
              </w:rPr>
            </w:pPr>
          </w:p>
        </w:tc>
      </w:tr>
      <w:tr w14:paraId="0EEC314F">
        <w:tblPrEx>
          <w:tblCellMar>
            <w:top w:w="0" w:type="dxa"/>
            <w:left w:w="108" w:type="dxa"/>
            <w:bottom w:w="0" w:type="dxa"/>
            <w:right w:w="108" w:type="dxa"/>
          </w:tblCellMar>
        </w:tblPrEx>
        <w:trPr>
          <w:trHeight w:val="575" w:hRule="atLeast"/>
          <w:jc w:val="center"/>
        </w:trPr>
        <w:tc>
          <w:tcPr>
            <w:tcW w:w="489" w:type="dxa"/>
            <w:tcBorders>
              <w:top w:val="single" w:color="000000" w:sz="4" w:space="0"/>
              <w:left w:val="single" w:color="000000" w:sz="4" w:space="0"/>
              <w:bottom w:val="single" w:color="000000" w:sz="4" w:space="0"/>
              <w:right w:val="single" w:color="000000" w:sz="4" w:space="0"/>
            </w:tcBorders>
            <w:noWrap w:val="0"/>
            <w:vAlign w:val="center"/>
          </w:tcPr>
          <w:p w14:paraId="16528207">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6</w:t>
            </w:r>
          </w:p>
        </w:tc>
        <w:tc>
          <w:tcPr>
            <w:tcW w:w="80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F790F93">
            <w:pPr>
              <w:jc w:val="center"/>
              <w:rPr>
                <w:rFonts w:hint="eastAsia" w:ascii="宋体" w:hAnsi="宋体" w:cs="宋体"/>
                <w:color w:val="000000"/>
                <w:sz w:val="24"/>
                <w:szCs w:val="24"/>
              </w:rPr>
            </w:pPr>
          </w:p>
        </w:tc>
        <w:tc>
          <w:tcPr>
            <w:tcW w:w="5941" w:type="dxa"/>
            <w:tcBorders>
              <w:top w:val="single" w:color="000000" w:sz="4" w:space="0"/>
              <w:left w:val="single" w:color="000000" w:sz="4" w:space="0"/>
              <w:bottom w:val="single" w:color="000000" w:sz="4" w:space="0"/>
              <w:right w:val="single" w:color="000000" w:sz="4" w:space="0"/>
            </w:tcBorders>
            <w:noWrap w:val="0"/>
            <w:vAlign w:val="center"/>
          </w:tcPr>
          <w:p w14:paraId="399AB852">
            <w:pPr>
              <w:widowControl/>
              <w:jc w:val="left"/>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AI 12TB</w:t>
            </w:r>
          </w:p>
        </w:tc>
        <w:tc>
          <w:tcPr>
            <w:tcW w:w="502" w:type="dxa"/>
            <w:tcBorders>
              <w:top w:val="single" w:color="000000" w:sz="4" w:space="0"/>
              <w:left w:val="single" w:color="000000" w:sz="4" w:space="0"/>
              <w:bottom w:val="single" w:color="000000" w:sz="4" w:space="0"/>
              <w:right w:val="single" w:color="000000" w:sz="4" w:space="0"/>
            </w:tcBorders>
            <w:noWrap w:val="0"/>
            <w:vAlign w:val="center"/>
          </w:tcPr>
          <w:p w14:paraId="73B645FB">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片</w:t>
            </w:r>
          </w:p>
        </w:tc>
        <w:tc>
          <w:tcPr>
            <w:tcW w:w="597" w:type="dxa"/>
            <w:tcBorders>
              <w:top w:val="single" w:color="000000" w:sz="4" w:space="0"/>
              <w:left w:val="single" w:color="000000" w:sz="4" w:space="0"/>
              <w:bottom w:val="single" w:color="000000" w:sz="4" w:space="0"/>
              <w:right w:val="single" w:color="000000" w:sz="4" w:space="0"/>
            </w:tcBorders>
            <w:noWrap w:val="0"/>
            <w:vAlign w:val="center"/>
          </w:tcPr>
          <w:p w14:paraId="66F81937">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35</w:t>
            </w:r>
          </w:p>
        </w:tc>
        <w:tc>
          <w:tcPr>
            <w:tcW w:w="1615" w:type="dxa"/>
            <w:tcBorders>
              <w:top w:val="single" w:color="000000" w:sz="4" w:space="0"/>
              <w:left w:val="single" w:color="000000" w:sz="4" w:space="0"/>
              <w:bottom w:val="single" w:color="000000" w:sz="4" w:space="0"/>
              <w:right w:val="single" w:color="000000" w:sz="4" w:space="0"/>
            </w:tcBorders>
            <w:noWrap w:val="0"/>
            <w:vAlign w:val="center"/>
          </w:tcPr>
          <w:p w14:paraId="1171F743">
            <w:pPr>
              <w:jc w:val="center"/>
              <w:rPr>
                <w:rFonts w:hint="eastAsia" w:ascii="宋体" w:hAnsi="宋体" w:cs="宋体"/>
                <w:color w:val="000000"/>
                <w:sz w:val="24"/>
                <w:szCs w:val="24"/>
              </w:rPr>
            </w:pPr>
          </w:p>
        </w:tc>
      </w:tr>
      <w:tr w14:paraId="3AECB10A">
        <w:tblPrEx>
          <w:tblCellMar>
            <w:top w:w="0" w:type="dxa"/>
            <w:left w:w="108" w:type="dxa"/>
            <w:bottom w:w="0" w:type="dxa"/>
            <w:right w:w="108" w:type="dxa"/>
          </w:tblCellMar>
        </w:tblPrEx>
        <w:trPr>
          <w:trHeight w:val="660" w:hRule="atLeast"/>
          <w:jc w:val="center"/>
        </w:trPr>
        <w:tc>
          <w:tcPr>
            <w:tcW w:w="489" w:type="dxa"/>
            <w:tcBorders>
              <w:top w:val="single" w:color="000000" w:sz="4" w:space="0"/>
              <w:left w:val="single" w:color="000000" w:sz="4" w:space="0"/>
              <w:bottom w:val="single" w:color="000000" w:sz="4" w:space="0"/>
              <w:right w:val="single" w:color="000000" w:sz="4" w:space="0"/>
            </w:tcBorders>
            <w:noWrap w:val="0"/>
            <w:vAlign w:val="center"/>
          </w:tcPr>
          <w:p w14:paraId="6A694AA2">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7</w:t>
            </w:r>
          </w:p>
        </w:tc>
        <w:tc>
          <w:tcPr>
            <w:tcW w:w="807" w:type="dxa"/>
            <w:tcBorders>
              <w:top w:val="single" w:color="000000" w:sz="4" w:space="0"/>
              <w:left w:val="single" w:color="000000" w:sz="4" w:space="0"/>
              <w:bottom w:val="single" w:color="000000" w:sz="4" w:space="0"/>
              <w:right w:val="single" w:color="000000" w:sz="4" w:space="0"/>
            </w:tcBorders>
            <w:noWrap w:val="0"/>
            <w:vAlign w:val="center"/>
          </w:tcPr>
          <w:p w14:paraId="2F639315">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网络硬盘录像机</w:t>
            </w:r>
          </w:p>
        </w:tc>
        <w:tc>
          <w:tcPr>
            <w:tcW w:w="5941" w:type="dxa"/>
            <w:tcBorders>
              <w:top w:val="single" w:color="000000" w:sz="4" w:space="0"/>
              <w:left w:val="single" w:color="000000" w:sz="4" w:space="0"/>
              <w:bottom w:val="single" w:color="000000" w:sz="4" w:space="0"/>
              <w:right w:val="single" w:color="000000" w:sz="4" w:space="0"/>
            </w:tcBorders>
            <w:noWrap w:val="0"/>
            <w:vAlign w:val="center"/>
          </w:tcPr>
          <w:p w14:paraId="24C6C7DD">
            <w:pPr>
              <w:widowControl/>
              <w:jc w:val="left"/>
              <w:textAlignment w:val="center"/>
              <w:rPr>
                <w:color w:val="auto"/>
                <w:sz w:val="24"/>
                <w:szCs w:val="24"/>
              </w:rPr>
            </w:pPr>
            <w:r>
              <w:rPr>
                <w:rFonts w:hint="eastAsia" w:ascii="宋体" w:hAnsi="宋体" w:eastAsia="宋体" w:cs="宋体"/>
                <w:color w:val="auto"/>
                <w:sz w:val="24"/>
                <w:szCs w:val="24"/>
              </w:rPr>
              <w:t>1.2U机架式8盘位嵌入式网络硬盘录像机，采2.用短机箱设计，搭载高性能ATX电源</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3.存储接口：8个SATA接口，可</w:t>
            </w:r>
            <w:r>
              <w:rPr>
                <w:rFonts w:hint="eastAsia" w:ascii="宋体" w:hAnsi="宋体" w:eastAsia="宋体" w:cs="宋体"/>
                <w:color w:val="000000"/>
                <w:kern w:val="0"/>
                <w:sz w:val="24"/>
                <w:szCs w:val="24"/>
                <w:lang w:val="en-US" w:eastAsia="zh-CN" w:bidi="ar"/>
              </w:rPr>
              <w:t>配备</w:t>
            </w:r>
            <w:r>
              <w:rPr>
                <w:rFonts w:hint="eastAsia" w:ascii="宋体" w:hAnsi="宋体" w:eastAsia="宋体" w:cs="宋体"/>
                <w:color w:val="auto"/>
                <w:sz w:val="24"/>
                <w:szCs w:val="24"/>
              </w:rPr>
              <w:t>12TB硬盘</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4.视频接口：2×HDMI，2×VGA</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5.网络接口：2×RJ45 10/100/1000Mbps自适应以太网口</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6.报警接口：16路报警输入，4路报警输出</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7.串行接口：1路RS-232接口，1路全双工RS-485接口</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8.USB接口：2×USB 2.0，2×USB 3.0</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9.解码能力：最大支持16×1080P</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10.显示能力：最大支持4K+1080P异源输出</w:t>
            </w:r>
            <w:r>
              <w:rPr>
                <w:rFonts w:hint="eastAsia"/>
                <w:color w:val="auto"/>
                <w:sz w:val="24"/>
                <w:szCs w:val="24"/>
              </w:rPr>
              <w:t xml:space="preserve"> </w:t>
            </w:r>
          </w:p>
          <w:p w14:paraId="511FD371">
            <w:pPr>
              <w:pStyle w:val="2"/>
              <w:rPr>
                <w:rFonts w:hint="eastAsia"/>
                <w:color w:val="auto"/>
                <w:sz w:val="24"/>
                <w:szCs w:val="24"/>
              </w:rPr>
            </w:pPr>
            <w:r>
              <w:rPr>
                <w:rFonts w:hint="eastAsia" w:cs="宋体"/>
                <w:b/>
                <w:bCs/>
                <w:color w:val="auto"/>
                <w:kern w:val="0"/>
                <w:sz w:val="24"/>
                <w:szCs w:val="24"/>
                <w:lang w:bidi="ar"/>
              </w:rPr>
              <w:t>需提供厂商售后服务承诺函</w:t>
            </w:r>
          </w:p>
        </w:tc>
        <w:tc>
          <w:tcPr>
            <w:tcW w:w="502" w:type="dxa"/>
            <w:tcBorders>
              <w:top w:val="single" w:color="000000" w:sz="4" w:space="0"/>
              <w:left w:val="single" w:color="000000" w:sz="4" w:space="0"/>
              <w:bottom w:val="single" w:color="000000" w:sz="4" w:space="0"/>
              <w:right w:val="single" w:color="000000" w:sz="4" w:space="0"/>
            </w:tcBorders>
            <w:noWrap w:val="0"/>
            <w:vAlign w:val="center"/>
          </w:tcPr>
          <w:p w14:paraId="49CD913C">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台</w:t>
            </w:r>
          </w:p>
        </w:tc>
        <w:tc>
          <w:tcPr>
            <w:tcW w:w="597" w:type="dxa"/>
            <w:tcBorders>
              <w:top w:val="single" w:color="000000" w:sz="4" w:space="0"/>
              <w:left w:val="single" w:color="000000" w:sz="4" w:space="0"/>
              <w:bottom w:val="single" w:color="000000" w:sz="4" w:space="0"/>
              <w:right w:val="single" w:color="000000" w:sz="4" w:space="0"/>
            </w:tcBorders>
            <w:noWrap w:val="0"/>
            <w:vAlign w:val="center"/>
          </w:tcPr>
          <w:p w14:paraId="2760FFE3">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1</w:t>
            </w:r>
          </w:p>
        </w:tc>
        <w:tc>
          <w:tcPr>
            <w:tcW w:w="1615" w:type="dxa"/>
            <w:tcBorders>
              <w:top w:val="single" w:color="000000" w:sz="4" w:space="0"/>
              <w:left w:val="single" w:color="000000" w:sz="4" w:space="0"/>
              <w:bottom w:val="single" w:color="000000" w:sz="4" w:space="0"/>
              <w:right w:val="single" w:color="000000" w:sz="4" w:space="0"/>
            </w:tcBorders>
            <w:noWrap w:val="0"/>
            <w:vAlign w:val="center"/>
          </w:tcPr>
          <w:p w14:paraId="2B7BC9C5">
            <w:pPr>
              <w:jc w:val="center"/>
              <w:rPr>
                <w:rFonts w:hint="eastAsia" w:ascii="宋体" w:hAnsi="宋体" w:cs="宋体"/>
                <w:color w:val="000000"/>
                <w:sz w:val="24"/>
                <w:szCs w:val="24"/>
              </w:rPr>
            </w:pPr>
          </w:p>
        </w:tc>
      </w:tr>
      <w:tr w14:paraId="53D254DD">
        <w:tblPrEx>
          <w:tblCellMar>
            <w:top w:w="0" w:type="dxa"/>
            <w:left w:w="108" w:type="dxa"/>
            <w:bottom w:w="0" w:type="dxa"/>
            <w:right w:w="108" w:type="dxa"/>
          </w:tblCellMar>
        </w:tblPrEx>
        <w:trPr>
          <w:trHeight w:val="660" w:hRule="atLeast"/>
          <w:jc w:val="center"/>
        </w:trPr>
        <w:tc>
          <w:tcPr>
            <w:tcW w:w="489" w:type="dxa"/>
            <w:tcBorders>
              <w:top w:val="single" w:color="000000" w:sz="4" w:space="0"/>
              <w:left w:val="single" w:color="000000" w:sz="4" w:space="0"/>
              <w:bottom w:val="single" w:color="000000" w:sz="4" w:space="0"/>
              <w:right w:val="single" w:color="000000" w:sz="4" w:space="0"/>
            </w:tcBorders>
            <w:noWrap w:val="0"/>
            <w:vAlign w:val="center"/>
          </w:tcPr>
          <w:p w14:paraId="694FAA99">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8</w:t>
            </w:r>
          </w:p>
        </w:tc>
        <w:tc>
          <w:tcPr>
            <w:tcW w:w="807" w:type="dxa"/>
            <w:tcBorders>
              <w:top w:val="single" w:color="000000" w:sz="4" w:space="0"/>
              <w:left w:val="single" w:color="000000" w:sz="4" w:space="0"/>
              <w:bottom w:val="single" w:color="000000" w:sz="4" w:space="0"/>
              <w:right w:val="single" w:color="000000" w:sz="4" w:space="0"/>
            </w:tcBorders>
            <w:noWrap w:val="0"/>
            <w:vAlign w:val="center"/>
          </w:tcPr>
          <w:p w14:paraId="48B5C660">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网络硬盘录像机</w:t>
            </w:r>
          </w:p>
        </w:tc>
        <w:tc>
          <w:tcPr>
            <w:tcW w:w="5941" w:type="dxa"/>
            <w:tcBorders>
              <w:top w:val="single" w:color="000000" w:sz="4" w:space="0"/>
              <w:left w:val="single" w:color="000000" w:sz="4" w:space="0"/>
              <w:bottom w:val="single" w:color="000000" w:sz="4" w:space="0"/>
              <w:right w:val="single" w:color="000000" w:sz="4" w:space="0"/>
            </w:tcBorders>
            <w:noWrap w:val="0"/>
            <w:vAlign w:val="center"/>
          </w:tcPr>
          <w:p w14:paraId="05673F32">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1.5U机架式4盘位嵌入式网络硬盘录像机，采用短机箱设计，搭载高性能ATX电源</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2.存储接口：4个SATA接口，可</w:t>
            </w:r>
            <w:r>
              <w:rPr>
                <w:rFonts w:hint="eastAsia" w:ascii="宋体" w:hAnsi="宋体" w:eastAsia="宋体" w:cs="宋体"/>
                <w:color w:val="000000"/>
                <w:kern w:val="0"/>
                <w:sz w:val="24"/>
                <w:szCs w:val="24"/>
                <w:lang w:val="en-US" w:eastAsia="zh-CN" w:bidi="ar"/>
              </w:rPr>
              <w:t>配备</w:t>
            </w:r>
            <w:r>
              <w:rPr>
                <w:rFonts w:hint="eastAsia" w:ascii="宋体" w:hAnsi="宋体" w:eastAsia="宋体" w:cs="宋体"/>
                <w:color w:val="auto"/>
                <w:sz w:val="24"/>
                <w:szCs w:val="24"/>
              </w:rPr>
              <w:t>12TB硬盘</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3.视频接口：2×HDMI，1×VGA</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4.网络接口：2×RJ45 10/100/1000Mbps自适应以太网口</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5.报警接口：16路报警输入，4路报警输出</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6.串行接口：1路RS-232接口，2路半双工RS-485接口</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7.USB接口：2×USB 2.0，1×USB 3.0</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8.接入能力：16路H.264、H.265格式高清码流接入</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9.解码能力：最大支持24×1080P</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 xml:space="preserve">10.显示能力：最大支持4K+1080P异源输出 </w:t>
            </w:r>
          </w:p>
          <w:p w14:paraId="3279E113">
            <w:pPr>
              <w:pStyle w:val="2"/>
              <w:rPr>
                <w:rFonts w:hint="eastAsia"/>
                <w:color w:val="auto"/>
                <w:sz w:val="24"/>
                <w:szCs w:val="24"/>
              </w:rPr>
            </w:pPr>
            <w:r>
              <w:rPr>
                <w:rFonts w:hint="eastAsia" w:cs="宋体"/>
                <w:b/>
                <w:bCs/>
                <w:color w:val="auto"/>
                <w:kern w:val="0"/>
                <w:sz w:val="24"/>
                <w:szCs w:val="24"/>
                <w:lang w:bidi="ar"/>
              </w:rPr>
              <w:t>需提供厂商售后服务承诺函</w:t>
            </w:r>
          </w:p>
        </w:tc>
        <w:tc>
          <w:tcPr>
            <w:tcW w:w="502" w:type="dxa"/>
            <w:tcBorders>
              <w:top w:val="single" w:color="000000" w:sz="4" w:space="0"/>
              <w:left w:val="single" w:color="000000" w:sz="4" w:space="0"/>
              <w:bottom w:val="single" w:color="000000" w:sz="4" w:space="0"/>
              <w:right w:val="single" w:color="000000" w:sz="4" w:space="0"/>
            </w:tcBorders>
            <w:noWrap w:val="0"/>
            <w:vAlign w:val="center"/>
          </w:tcPr>
          <w:p w14:paraId="07313E92">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台</w:t>
            </w:r>
          </w:p>
        </w:tc>
        <w:tc>
          <w:tcPr>
            <w:tcW w:w="597" w:type="dxa"/>
            <w:tcBorders>
              <w:top w:val="single" w:color="000000" w:sz="4" w:space="0"/>
              <w:left w:val="single" w:color="000000" w:sz="4" w:space="0"/>
              <w:bottom w:val="single" w:color="000000" w:sz="4" w:space="0"/>
              <w:right w:val="single" w:color="000000" w:sz="4" w:space="0"/>
            </w:tcBorders>
            <w:noWrap w:val="0"/>
            <w:vAlign w:val="center"/>
          </w:tcPr>
          <w:p w14:paraId="0F7B22BA">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2</w:t>
            </w:r>
          </w:p>
        </w:tc>
        <w:tc>
          <w:tcPr>
            <w:tcW w:w="1615" w:type="dxa"/>
            <w:tcBorders>
              <w:top w:val="single" w:color="000000" w:sz="4" w:space="0"/>
              <w:left w:val="single" w:color="000000" w:sz="4" w:space="0"/>
              <w:bottom w:val="single" w:color="000000" w:sz="4" w:space="0"/>
              <w:right w:val="single" w:color="000000" w:sz="4" w:space="0"/>
            </w:tcBorders>
            <w:noWrap w:val="0"/>
            <w:vAlign w:val="center"/>
          </w:tcPr>
          <w:p w14:paraId="720C77CB">
            <w:pPr>
              <w:jc w:val="center"/>
              <w:rPr>
                <w:rFonts w:hint="eastAsia" w:ascii="宋体" w:hAnsi="宋体" w:cs="宋体"/>
                <w:color w:val="000000"/>
                <w:sz w:val="24"/>
                <w:szCs w:val="24"/>
              </w:rPr>
            </w:pPr>
          </w:p>
        </w:tc>
      </w:tr>
      <w:tr w14:paraId="6B8F269A">
        <w:tblPrEx>
          <w:tblCellMar>
            <w:top w:w="0" w:type="dxa"/>
            <w:left w:w="108" w:type="dxa"/>
            <w:bottom w:w="0" w:type="dxa"/>
            <w:right w:w="108" w:type="dxa"/>
          </w:tblCellMar>
        </w:tblPrEx>
        <w:trPr>
          <w:trHeight w:val="660" w:hRule="atLeast"/>
          <w:jc w:val="center"/>
        </w:trPr>
        <w:tc>
          <w:tcPr>
            <w:tcW w:w="489" w:type="dxa"/>
            <w:tcBorders>
              <w:top w:val="single" w:color="000000" w:sz="4" w:space="0"/>
              <w:left w:val="single" w:color="000000" w:sz="4" w:space="0"/>
              <w:bottom w:val="single" w:color="000000" w:sz="4" w:space="0"/>
              <w:right w:val="single" w:color="000000" w:sz="4" w:space="0"/>
            </w:tcBorders>
            <w:noWrap w:val="0"/>
            <w:vAlign w:val="center"/>
          </w:tcPr>
          <w:p w14:paraId="5718B672">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9</w:t>
            </w:r>
          </w:p>
        </w:tc>
        <w:tc>
          <w:tcPr>
            <w:tcW w:w="807" w:type="dxa"/>
            <w:tcBorders>
              <w:top w:val="single" w:color="000000" w:sz="4" w:space="0"/>
              <w:left w:val="single" w:color="000000" w:sz="4" w:space="0"/>
              <w:bottom w:val="single" w:color="000000" w:sz="4" w:space="0"/>
              <w:right w:val="single" w:color="000000" w:sz="4" w:space="0"/>
            </w:tcBorders>
            <w:noWrap w:val="0"/>
            <w:vAlign w:val="center"/>
          </w:tcPr>
          <w:p w14:paraId="3F576FC5">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网络硬盘录像机</w:t>
            </w:r>
          </w:p>
        </w:tc>
        <w:tc>
          <w:tcPr>
            <w:tcW w:w="5941" w:type="dxa"/>
            <w:tcBorders>
              <w:top w:val="single" w:color="000000" w:sz="4" w:space="0"/>
              <w:left w:val="single" w:color="000000" w:sz="4" w:space="0"/>
              <w:bottom w:val="single" w:color="000000" w:sz="4" w:space="0"/>
              <w:right w:val="single" w:color="000000" w:sz="4" w:space="0"/>
            </w:tcBorders>
            <w:noWrap w:val="0"/>
            <w:vAlign w:val="center"/>
          </w:tcPr>
          <w:p w14:paraId="751FE37C">
            <w:pPr>
              <w:widowControl/>
              <w:jc w:val="left"/>
              <w:textAlignment w:val="center"/>
              <w:rPr>
                <w:rFonts w:hint="eastAsia" w:ascii="宋体" w:hAnsi="宋体" w:eastAsia="宋体" w:cs="宋体"/>
                <w:sz w:val="24"/>
                <w:szCs w:val="24"/>
              </w:rPr>
            </w:pPr>
            <w:r>
              <w:rPr>
                <w:rFonts w:hint="eastAsia"/>
                <w:sz w:val="24"/>
                <w:szCs w:val="24"/>
              </w:rPr>
              <w:t>1.1U机架式2盘位嵌入式网络硬盘录像机，采用短机箱设计，搭载高性能电源</w:t>
            </w:r>
            <w:r>
              <w:rPr>
                <w:rFonts w:hint="eastAsia"/>
                <w:sz w:val="24"/>
                <w:szCs w:val="24"/>
              </w:rPr>
              <w:br w:type="textWrapping"/>
            </w:r>
            <w:r>
              <w:rPr>
                <w:rFonts w:hint="eastAsia"/>
                <w:sz w:val="24"/>
                <w:szCs w:val="24"/>
              </w:rPr>
              <w:t>2.存储</w:t>
            </w:r>
            <w:r>
              <w:rPr>
                <w:rFonts w:hint="eastAsia" w:ascii="宋体" w:hAnsi="宋体" w:eastAsia="宋体" w:cs="宋体"/>
                <w:sz w:val="24"/>
                <w:szCs w:val="24"/>
              </w:rPr>
              <w:t>接口：2个SATA接口，可</w:t>
            </w:r>
            <w:r>
              <w:rPr>
                <w:rFonts w:hint="eastAsia" w:ascii="宋体" w:hAnsi="宋体" w:eastAsia="宋体" w:cs="宋体"/>
                <w:color w:val="000000"/>
                <w:kern w:val="0"/>
                <w:sz w:val="24"/>
                <w:szCs w:val="24"/>
                <w:lang w:val="en-US" w:eastAsia="zh-CN" w:bidi="ar"/>
              </w:rPr>
              <w:t>配备</w:t>
            </w:r>
            <w:r>
              <w:rPr>
                <w:rFonts w:hint="eastAsia" w:ascii="宋体" w:hAnsi="宋体" w:eastAsia="宋体" w:cs="宋体"/>
                <w:sz w:val="24"/>
                <w:szCs w:val="24"/>
              </w:rPr>
              <w:t>12TB硬盘</w:t>
            </w:r>
            <w:r>
              <w:rPr>
                <w:rFonts w:hint="eastAsia" w:ascii="宋体" w:hAnsi="宋体" w:eastAsia="宋体" w:cs="宋体"/>
                <w:sz w:val="24"/>
                <w:szCs w:val="24"/>
              </w:rPr>
              <w:br w:type="textWrapping"/>
            </w:r>
            <w:r>
              <w:rPr>
                <w:rFonts w:hint="eastAsia" w:ascii="宋体" w:hAnsi="宋体" w:eastAsia="宋体" w:cs="宋体"/>
                <w:sz w:val="24"/>
                <w:szCs w:val="24"/>
              </w:rPr>
              <w:t>3.视频接口：1×HDMI，1×VGA</w:t>
            </w:r>
            <w:r>
              <w:rPr>
                <w:rFonts w:hint="eastAsia" w:ascii="宋体" w:hAnsi="宋体" w:eastAsia="宋体" w:cs="宋体"/>
                <w:sz w:val="24"/>
                <w:szCs w:val="24"/>
              </w:rPr>
              <w:br w:type="textWrapping"/>
            </w:r>
            <w:r>
              <w:rPr>
                <w:rFonts w:hint="eastAsia" w:ascii="宋体" w:hAnsi="宋体" w:eastAsia="宋体" w:cs="宋体"/>
                <w:sz w:val="24"/>
                <w:szCs w:val="24"/>
              </w:rPr>
              <w:t>4.网络接口：2×RJ45 10/100/1000Mbps自适应以太网口</w:t>
            </w:r>
            <w:r>
              <w:rPr>
                <w:rFonts w:hint="eastAsia" w:ascii="宋体" w:hAnsi="宋体" w:eastAsia="宋体" w:cs="宋体"/>
                <w:sz w:val="24"/>
                <w:szCs w:val="24"/>
              </w:rPr>
              <w:br w:type="textWrapping"/>
            </w:r>
            <w:r>
              <w:rPr>
                <w:rFonts w:hint="eastAsia" w:ascii="宋体" w:hAnsi="宋体" w:eastAsia="宋体" w:cs="宋体"/>
                <w:sz w:val="24"/>
                <w:szCs w:val="24"/>
              </w:rPr>
              <w:t>5.报警接口：4路报警输入，1路报警输出</w:t>
            </w:r>
            <w:r>
              <w:rPr>
                <w:rFonts w:hint="eastAsia" w:ascii="宋体" w:hAnsi="宋体" w:eastAsia="宋体" w:cs="宋体"/>
                <w:sz w:val="24"/>
                <w:szCs w:val="24"/>
              </w:rPr>
              <w:br w:type="textWrapping"/>
            </w:r>
            <w:r>
              <w:rPr>
                <w:rFonts w:hint="eastAsia" w:ascii="宋体" w:hAnsi="宋体" w:eastAsia="宋体" w:cs="宋体"/>
                <w:sz w:val="24"/>
                <w:szCs w:val="24"/>
              </w:rPr>
              <w:t>6.USB接口：2×USB2.0</w:t>
            </w:r>
            <w:r>
              <w:rPr>
                <w:rFonts w:hint="eastAsia" w:ascii="宋体" w:hAnsi="宋体" w:eastAsia="宋体" w:cs="宋体"/>
                <w:sz w:val="24"/>
                <w:szCs w:val="24"/>
              </w:rPr>
              <w:br w:type="textWrapping"/>
            </w:r>
            <w:r>
              <w:rPr>
                <w:rFonts w:hint="eastAsia" w:ascii="宋体" w:hAnsi="宋体" w:eastAsia="宋体" w:cs="宋体"/>
                <w:sz w:val="24"/>
                <w:szCs w:val="24"/>
              </w:rPr>
              <w:t>7.接入能力：8路H.264、H.265格式高清码流接入</w:t>
            </w:r>
            <w:r>
              <w:rPr>
                <w:rFonts w:hint="eastAsia" w:ascii="宋体" w:hAnsi="宋体" w:eastAsia="宋体" w:cs="宋体"/>
                <w:sz w:val="24"/>
                <w:szCs w:val="24"/>
              </w:rPr>
              <w:br w:type="textWrapping"/>
            </w:r>
            <w:r>
              <w:rPr>
                <w:rFonts w:hint="eastAsia" w:ascii="宋体" w:hAnsi="宋体" w:eastAsia="宋体" w:cs="宋体"/>
                <w:sz w:val="24"/>
                <w:szCs w:val="24"/>
              </w:rPr>
              <w:t>8.解码能力：最大支持24×1080P</w:t>
            </w:r>
            <w:r>
              <w:rPr>
                <w:rFonts w:hint="eastAsia" w:ascii="宋体" w:hAnsi="宋体" w:eastAsia="宋体" w:cs="宋体"/>
                <w:sz w:val="24"/>
                <w:szCs w:val="24"/>
              </w:rPr>
              <w:br w:type="textWrapping"/>
            </w:r>
            <w:r>
              <w:rPr>
                <w:rFonts w:hint="eastAsia" w:ascii="宋体" w:hAnsi="宋体" w:eastAsia="宋体" w:cs="宋体"/>
                <w:sz w:val="24"/>
                <w:szCs w:val="24"/>
              </w:rPr>
              <w:t xml:space="preserve">9.显示能力：最大支持4K+1080P异源输出 </w:t>
            </w:r>
          </w:p>
          <w:p w14:paraId="1F49446B">
            <w:pPr>
              <w:pStyle w:val="2"/>
              <w:rPr>
                <w:rFonts w:hint="eastAsia"/>
                <w:sz w:val="24"/>
                <w:szCs w:val="24"/>
              </w:rPr>
            </w:pPr>
            <w:r>
              <w:rPr>
                <w:rFonts w:hint="eastAsia" w:cs="宋体"/>
                <w:b/>
                <w:bCs/>
                <w:color w:val="auto"/>
                <w:kern w:val="0"/>
                <w:sz w:val="24"/>
                <w:szCs w:val="24"/>
                <w:lang w:bidi="ar"/>
              </w:rPr>
              <w:t>需提供厂商售后服务承诺函</w:t>
            </w:r>
          </w:p>
        </w:tc>
        <w:tc>
          <w:tcPr>
            <w:tcW w:w="502" w:type="dxa"/>
            <w:tcBorders>
              <w:top w:val="single" w:color="000000" w:sz="4" w:space="0"/>
              <w:left w:val="single" w:color="000000" w:sz="4" w:space="0"/>
              <w:bottom w:val="single" w:color="000000" w:sz="4" w:space="0"/>
              <w:right w:val="single" w:color="000000" w:sz="4" w:space="0"/>
            </w:tcBorders>
            <w:noWrap w:val="0"/>
            <w:vAlign w:val="center"/>
          </w:tcPr>
          <w:p w14:paraId="24E43DC3">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台</w:t>
            </w:r>
          </w:p>
        </w:tc>
        <w:tc>
          <w:tcPr>
            <w:tcW w:w="597" w:type="dxa"/>
            <w:tcBorders>
              <w:top w:val="single" w:color="000000" w:sz="4" w:space="0"/>
              <w:left w:val="single" w:color="000000" w:sz="4" w:space="0"/>
              <w:bottom w:val="single" w:color="000000" w:sz="4" w:space="0"/>
              <w:right w:val="single" w:color="000000" w:sz="4" w:space="0"/>
            </w:tcBorders>
            <w:noWrap w:val="0"/>
            <w:vAlign w:val="center"/>
          </w:tcPr>
          <w:p w14:paraId="56822BEE">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3</w:t>
            </w:r>
          </w:p>
        </w:tc>
        <w:tc>
          <w:tcPr>
            <w:tcW w:w="1615" w:type="dxa"/>
            <w:tcBorders>
              <w:top w:val="single" w:color="000000" w:sz="4" w:space="0"/>
              <w:left w:val="single" w:color="000000" w:sz="4" w:space="0"/>
              <w:bottom w:val="single" w:color="000000" w:sz="4" w:space="0"/>
              <w:right w:val="single" w:color="000000" w:sz="4" w:space="0"/>
            </w:tcBorders>
            <w:noWrap w:val="0"/>
            <w:vAlign w:val="center"/>
          </w:tcPr>
          <w:p w14:paraId="4AE378FD">
            <w:pPr>
              <w:jc w:val="center"/>
              <w:rPr>
                <w:rFonts w:hint="eastAsia" w:ascii="宋体" w:hAnsi="宋体" w:cs="宋体"/>
                <w:color w:val="000000"/>
                <w:sz w:val="24"/>
                <w:szCs w:val="24"/>
              </w:rPr>
            </w:pPr>
          </w:p>
        </w:tc>
      </w:tr>
      <w:tr w14:paraId="7C157DEF">
        <w:tblPrEx>
          <w:tblCellMar>
            <w:top w:w="0" w:type="dxa"/>
            <w:left w:w="108" w:type="dxa"/>
            <w:bottom w:w="0" w:type="dxa"/>
            <w:right w:w="108" w:type="dxa"/>
          </w:tblCellMar>
        </w:tblPrEx>
        <w:trPr>
          <w:trHeight w:val="660" w:hRule="atLeast"/>
          <w:jc w:val="center"/>
        </w:trPr>
        <w:tc>
          <w:tcPr>
            <w:tcW w:w="489" w:type="dxa"/>
            <w:tcBorders>
              <w:top w:val="single" w:color="000000" w:sz="4" w:space="0"/>
              <w:left w:val="single" w:color="000000" w:sz="4" w:space="0"/>
              <w:bottom w:val="single" w:color="000000" w:sz="4" w:space="0"/>
              <w:right w:val="single" w:color="000000" w:sz="4" w:space="0"/>
            </w:tcBorders>
            <w:noWrap w:val="0"/>
            <w:vAlign w:val="center"/>
          </w:tcPr>
          <w:p w14:paraId="22531B96">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10</w:t>
            </w:r>
          </w:p>
        </w:tc>
        <w:tc>
          <w:tcPr>
            <w:tcW w:w="807" w:type="dxa"/>
            <w:tcBorders>
              <w:top w:val="single" w:color="000000" w:sz="4" w:space="0"/>
              <w:left w:val="single" w:color="000000" w:sz="4" w:space="0"/>
              <w:bottom w:val="nil"/>
              <w:right w:val="single" w:color="000000" w:sz="4" w:space="0"/>
            </w:tcBorders>
            <w:noWrap w:val="0"/>
            <w:vAlign w:val="center"/>
          </w:tcPr>
          <w:p w14:paraId="5D1FDC5D">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千兆交换机</w:t>
            </w:r>
          </w:p>
        </w:tc>
        <w:tc>
          <w:tcPr>
            <w:tcW w:w="5941" w:type="dxa"/>
            <w:tcBorders>
              <w:top w:val="single" w:color="000000" w:sz="4" w:space="0"/>
              <w:left w:val="single" w:color="000000" w:sz="4" w:space="0"/>
              <w:bottom w:val="single" w:color="000000" w:sz="4" w:space="0"/>
              <w:right w:val="single" w:color="000000" w:sz="4" w:space="0"/>
            </w:tcBorders>
            <w:noWrap w:val="0"/>
            <w:vAlign w:val="center"/>
          </w:tcPr>
          <w:p w14:paraId="27CF4B17">
            <w:pPr>
              <w:widowControl/>
              <w:jc w:val="left"/>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三层交换机；≥28口SFP接口（SFP为千兆/百兆口），8个复用的10/100/1000M自适应电口，4个1G/10G SFP+光口，2个扩展槽，2个模块化电源插槽（含电源模块）</w:t>
            </w:r>
          </w:p>
        </w:tc>
        <w:tc>
          <w:tcPr>
            <w:tcW w:w="502" w:type="dxa"/>
            <w:tcBorders>
              <w:top w:val="single" w:color="000000" w:sz="4" w:space="0"/>
              <w:left w:val="single" w:color="000000" w:sz="4" w:space="0"/>
              <w:bottom w:val="single" w:color="000000" w:sz="4" w:space="0"/>
              <w:right w:val="single" w:color="000000" w:sz="4" w:space="0"/>
            </w:tcBorders>
            <w:noWrap w:val="0"/>
            <w:vAlign w:val="center"/>
          </w:tcPr>
          <w:p w14:paraId="01C10300">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台</w:t>
            </w:r>
          </w:p>
        </w:tc>
        <w:tc>
          <w:tcPr>
            <w:tcW w:w="597" w:type="dxa"/>
            <w:tcBorders>
              <w:top w:val="single" w:color="000000" w:sz="4" w:space="0"/>
              <w:left w:val="single" w:color="000000" w:sz="4" w:space="0"/>
              <w:bottom w:val="single" w:color="000000" w:sz="4" w:space="0"/>
              <w:right w:val="single" w:color="000000" w:sz="4" w:space="0"/>
            </w:tcBorders>
            <w:noWrap w:val="0"/>
            <w:vAlign w:val="center"/>
          </w:tcPr>
          <w:p w14:paraId="118C6C83">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1</w:t>
            </w:r>
          </w:p>
        </w:tc>
        <w:tc>
          <w:tcPr>
            <w:tcW w:w="1615" w:type="dxa"/>
            <w:tcBorders>
              <w:top w:val="single" w:color="000000" w:sz="4" w:space="0"/>
              <w:left w:val="single" w:color="000000" w:sz="4" w:space="0"/>
              <w:bottom w:val="single" w:color="000000" w:sz="4" w:space="0"/>
              <w:right w:val="single" w:color="000000" w:sz="4" w:space="0"/>
            </w:tcBorders>
            <w:noWrap w:val="0"/>
            <w:vAlign w:val="center"/>
          </w:tcPr>
          <w:p w14:paraId="500D00D0">
            <w:pPr>
              <w:jc w:val="center"/>
              <w:rPr>
                <w:rFonts w:hint="eastAsia" w:ascii="宋体" w:hAnsi="宋体" w:cs="宋体"/>
                <w:color w:val="000000"/>
                <w:sz w:val="24"/>
                <w:szCs w:val="24"/>
              </w:rPr>
            </w:pPr>
          </w:p>
        </w:tc>
      </w:tr>
      <w:tr w14:paraId="162B7FE3">
        <w:tblPrEx>
          <w:tblCellMar>
            <w:top w:w="0" w:type="dxa"/>
            <w:left w:w="108" w:type="dxa"/>
            <w:bottom w:w="0" w:type="dxa"/>
            <w:right w:w="108" w:type="dxa"/>
          </w:tblCellMar>
        </w:tblPrEx>
        <w:trPr>
          <w:trHeight w:val="660" w:hRule="atLeast"/>
          <w:jc w:val="center"/>
        </w:trPr>
        <w:tc>
          <w:tcPr>
            <w:tcW w:w="489" w:type="dxa"/>
            <w:tcBorders>
              <w:top w:val="single" w:color="000000" w:sz="4" w:space="0"/>
              <w:left w:val="single" w:color="000000" w:sz="4" w:space="0"/>
              <w:bottom w:val="single" w:color="000000" w:sz="4" w:space="0"/>
              <w:right w:val="single" w:color="000000" w:sz="4" w:space="0"/>
            </w:tcBorders>
            <w:noWrap w:val="0"/>
            <w:vAlign w:val="center"/>
          </w:tcPr>
          <w:p w14:paraId="0AB39752">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11</w:t>
            </w:r>
          </w:p>
        </w:tc>
        <w:tc>
          <w:tcPr>
            <w:tcW w:w="807" w:type="dxa"/>
            <w:tcBorders>
              <w:top w:val="single" w:color="000000" w:sz="4" w:space="0"/>
              <w:left w:val="single" w:color="000000" w:sz="4" w:space="0"/>
              <w:bottom w:val="single" w:color="000000" w:sz="4" w:space="0"/>
              <w:right w:val="single" w:color="000000" w:sz="4" w:space="0"/>
            </w:tcBorders>
            <w:noWrap w:val="0"/>
            <w:vAlign w:val="center"/>
          </w:tcPr>
          <w:p w14:paraId="073B47AE">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流媒体服务器</w:t>
            </w:r>
          </w:p>
        </w:tc>
        <w:tc>
          <w:tcPr>
            <w:tcW w:w="5941" w:type="dxa"/>
            <w:tcBorders>
              <w:top w:val="single" w:color="000000" w:sz="4" w:space="0"/>
              <w:left w:val="single" w:color="000000" w:sz="4" w:space="0"/>
              <w:bottom w:val="single" w:color="000000" w:sz="4" w:space="0"/>
              <w:right w:val="single" w:color="000000" w:sz="4" w:space="0"/>
            </w:tcBorders>
            <w:noWrap w:val="0"/>
            <w:vAlign w:val="center"/>
          </w:tcPr>
          <w:p w14:paraId="129B775A">
            <w:pPr>
              <w:widowControl/>
              <w:jc w:val="left"/>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 xml:space="preserve">1.2U 3000双路标准机架式服务器 </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 xml:space="preserve">2.CPU：配置2颗处理器，单处理器物理核心数≥8核，主频≥3.0 GHz，末级缓存容量≥16 MB，线程数≥16线程，热设计功耗≥90 W，支持内存的最高速率≥3200 MHz，通道数≥2，位宽≥64； </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 xml:space="preserve">3.内存：配置64G DDR4，8根内存插槽，最大可支持扩展至1TB； </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 xml:space="preserve">4.硬盘：2块600G 10K SAS硬盘（Raid1），前置最大可选支持12块3.5寸(兼容2.5寸)热插拔SATA/SAS硬盘，后置最大可选支持2块2.5寸热插拔SATA/SAS硬盘，内置最大可选支持2块2.5寸非热插拔SATA SSD硬盘，板载最大可选支持1个SATA M.2硬盘  </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 xml:space="preserve">3.阵列卡：配置SAS_HBA卡（支持RAID 0/1/10） </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 xml:space="preserve">PCIE扩展：最大支持4个标准PCIE插槽； </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4.网口：配备板载2个千兆电口和2个PCIE千兆电口，可选配置2个万兆网口，</w:t>
            </w:r>
            <w:r>
              <w:rPr>
                <w:rFonts w:hint="default" w:ascii="宋体" w:hAnsi="宋体" w:cs="宋体"/>
                <w:color w:val="000000"/>
                <w:kern w:val="0"/>
                <w:sz w:val="24"/>
                <w:szCs w:val="24"/>
                <w:lang w:val="en-US" w:bidi="ar"/>
              </w:rPr>
              <w:t>支持选配</w:t>
            </w:r>
            <w:r>
              <w:rPr>
                <w:rFonts w:hint="eastAsia" w:ascii="宋体" w:hAnsi="宋体" w:cs="宋体"/>
                <w:color w:val="000000"/>
                <w:kern w:val="0"/>
                <w:sz w:val="24"/>
                <w:szCs w:val="24"/>
                <w:lang w:bidi="ar"/>
              </w:rPr>
              <w:t xml:space="preserve">10GbE SFP+等多种网络接口 </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 xml:space="preserve">5.其他接口：配备1个IPMI RJ-45管理接口，位于机箱后部；7个USB 3.0接口 4个位于机箱后部，2个位于机箱前部，1个位于机箱内部；2个VGA接口 1个位于机箱前部，1个位于机箱后部； </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 xml:space="preserve">6.电源：配置550W（1+1）冗余电源 </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7.机箱规格：</w:t>
            </w:r>
            <w:r>
              <w:rPr>
                <w:rFonts w:hint="eastAsia" w:ascii="宋体" w:hAnsi="宋体" w:cs="宋体"/>
                <w:color w:val="000000"/>
                <w:kern w:val="0"/>
                <w:sz w:val="24"/>
                <w:szCs w:val="24"/>
                <w:lang w:val="en-US" w:eastAsia="zh-CN" w:bidi="ar"/>
              </w:rPr>
              <w:t>≥</w:t>
            </w:r>
            <w:r>
              <w:rPr>
                <w:rFonts w:hint="eastAsia" w:ascii="宋体" w:hAnsi="宋体" w:cs="宋体"/>
                <w:color w:val="000000"/>
                <w:kern w:val="0"/>
                <w:sz w:val="24"/>
                <w:szCs w:val="24"/>
                <w:lang w:bidi="ar"/>
              </w:rPr>
              <w:t>87.5mm(高)x 446.</w:t>
            </w:r>
            <w:r>
              <w:rPr>
                <w:rFonts w:hint="eastAsia" w:ascii="宋体" w:hAnsi="宋体" w:cs="宋体"/>
                <w:color w:val="000000"/>
                <w:kern w:val="0"/>
                <w:sz w:val="24"/>
                <w:szCs w:val="24"/>
                <w:lang w:val="en-US" w:eastAsia="zh-CN" w:bidi="ar"/>
              </w:rPr>
              <w:t>5</w:t>
            </w:r>
            <w:r>
              <w:rPr>
                <w:rFonts w:hint="eastAsia" w:ascii="宋体" w:hAnsi="宋体" w:cs="宋体"/>
                <w:color w:val="000000"/>
                <w:kern w:val="0"/>
                <w:sz w:val="24"/>
                <w:szCs w:val="24"/>
                <w:lang w:bidi="ar"/>
              </w:rPr>
              <w:t xml:space="preserve">mm(宽)x700mm(深) 不含箱耳 </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8.设备重量：</w:t>
            </w:r>
            <w:r>
              <w:rPr>
                <w:rFonts w:hint="eastAsia" w:ascii="宋体" w:hAnsi="宋体" w:cs="宋体"/>
                <w:color w:val="000000"/>
                <w:kern w:val="0"/>
                <w:sz w:val="24"/>
                <w:szCs w:val="24"/>
                <w:lang w:val="en-US" w:eastAsia="zh-CN" w:bidi="ar"/>
              </w:rPr>
              <w:t>≤</w:t>
            </w:r>
            <w:r>
              <w:rPr>
                <w:rFonts w:hint="eastAsia" w:ascii="宋体" w:hAnsi="宋体" w:cs="宋体"/>
                <w:color w:val="000000"/>
                <w:kern w:val="0"/>
                <w:sz w:val="24"/>
                <w:szCs w:val="24"/>
                <w:lang w:bidi="ar"/>
              </w:rPr>
              <w:t>23千克（含导轨）</w:t>
            </w:r>
          </w:p>
        </w:tc>
        <w:tc>
          <w:tcPr>
            <w:tcW w:w="502" w:type="dxa"/>
            <w:tcBorders>
              <w:top w:val="single" w:color="000000" w:sz="4" w:space="0"/>
              <w:left w:val="single" w:color="000000" w:sz="4" w:space="0"/>
              <w:bottom w:val="single" w:color="000000" w:sz="4" w:space="0"/>
              <w:right w:val="single" w:color="000000" w:sz="4" w:space="0"/>
            </w:tcBorders>
            <w:noWrap w:val="0"/>
            <w:vAlign w:val="center"/>
          </w:tcPr>
          <w:p w14:paraId="6F12C490">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台</w:t>
            </w:r>
          </w:p>
        </w:tc>
        <w:tc>
          <w:tcPr>
            <w:tcW w:w="597" w:type="dxa"/>
            <w:tcBorders>
              <w:top w:val="single" w:color="000000" w:sz="4" w:space="0"/>
              <w:left w:val="single" w:color="000000" w:sz="4" w:space="0"/>
              <w:bottom w:val="single" w:color="000000" w:sz="4" w:space="0"/>
              <w:right w:val="single" w:color="000000" w:sz="4" w:space="0"/>
            </w:tcBorders>
            <w:noWrap w:val="0"/>
            <w:vAlign w:val="center"/>
          </w:tcPr>
          <w:p w14:paraId="71772794">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1</w:t>
            </w:r>
          </w:p>
        </w:tc>
        <w:tc>
          <w:tcPr>
            <w:tcW w:w="1615" w:type="dxa"/>
            <w:tcBorders>
              <w:top w:val="single" w:color="000000" w:sz="4" w:space="0"/>
              <w:left w:val="single" w:color="000000" w:sz="4" w:space="0"/>
              <w:bottom w:val="single" w:color="000000" w:sz="4" w:space="0"/>
              <w:right w:val="single" w:color="000000" w:sz="4" w:space="0"/>
            </w:tcBorders>
            <w:noWrap w:val="0"/>
            <w:vAlign w:val="center"/>
          </w:tcPr>
          <w:p w14:paraId="37F7B67C">
            <w:pPr>
              <w:jc w:val="center"/>
              <w:rPr>
                <w:rFonts w:hint="eastAsia" w:ascii="宋体" w:hAnsi="宋体" w:cs="宋体"/>
                <w:color w:val="000000"/>
                <w:sz w:val="24"/>
                <w:szCs w:val="24"/>
              </w:rPr>
            </w:pPr>
          </w:p>
        </w:tc>
      </w:tr>
      <w:tr w14:paraId="41EFFEA9">
        <w:tblPrEx>
          <w:tblCellMar>
            <w:top w:w="0" w:type="dxa"/>
            <w:left w:w="108" w:type="dxa"/>
            <w:bottom w:w="0" w:type="dxa"/>
            <w:right w:w="108" w:type="dxa"/>
          </w:tblCellMar>
        </w:tblPrEx>
        <w:trPr>
          <w:trHeight w:val="660" w:hRule="atLeast"/>
          <w:jc w:val="center"/>
        </w:trPr>
        <w:tc>
          <w:tcPr>
            <w:tcW w:w="489" w:type="dxa"/>
            <w:tcBorders>
              <w:top w:val="single" w:color="000000" w:sz="4" w:space="0"/>
              <w:left w:val="single" w:color="000000" w:sz="4" w:space="0"/>
              <w:bottom w:val="single" w:color="000000" w:sz="4" w:space="0"/>
              <w:right w:val="single" w:color="000000" w:sz="4" w:space="0"/>
            </w:tcBorders>
            <w:noWrap w:val="0"/>
            <w:vAlign w:val="center"/>
          </w:tcPr>
          <w:p w14:paraId="6F74BD86">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12</w:t>
            </w:r>
          </w:p>
        </w:tc>
        <w:tc>
          <w:tcPr>
            <w:tcW w:w="807" w:type="dxa"/>
            <w:tcBorders>
              <w:top w:val="single" w:color="000000" w:sz="4" w:space="0"/>
              <w:left w:val="single" w:color="000000" w:sz="4" w:space="0"/>
              <w:bottom w:val="single" w:color="000000" w:sz="4" w:space="0"/>
              <w:right w:val="single" w:color="000000" w:sz="4" w:space="0"/>
            </w:tcBorders>
            <w:noWrap w:val="0"/>
            <w:vAlign w:val="center"/>
          </w:tcPr>
          <w:p w14:paraId="29026D38">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视频服务器</w:t>
            </w:r>
          </w:p>
        </w:tc>
        <w:tc>
          <w:tcPr>
            <w:tcW w:w="5941" w:type="dxa"/>
            <w:tcBorders>
              <w:top w:val="single" w:color="000000" w:sz="4" w:space="0"/>
              <w:left w:val="single" w:color="000000" w:sz="4" w:space="0"/>
              <w:bottom w:val="single" w:color="000000" w:sz="4" w:space="0"/>
              <w:right w:val="single" w:color="000000" w:sz="4" w:space="0"/>
            </w:tcBorders>
            <w:noWrap w:val="0"/>
            <w:vAlign w:val="center"/>
          </w:tcPr>
          <w:p w14:paraId="542E3ED8">
            <w:pPr>
              <w:widowControl/>
              <w:jc w:val="left"/>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 xml:space="preserve">1.2U单路标准机架式服务器 </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 xml:space="preserve">2.CPU：配置1颗处理器，核数≥12核，主频≥2.4GHz </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 xml:space="preserve">3.内存：配置64G DDR5，8根内存插槽，最大支持扩展至1TB内存 </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 xml:space="preserve">4.硬盘：配置2块1.2T 10K 2.5寸 SAS硬盘，默认支持8个3.5寸/2.5寸硬盘，配置最大支持12个3.5寸/2.5寸硬盘，配置兼容4个NVMe硬盘 </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 xml:space="preserve">5.阵列卡：配置SAS+HBA卡，支持RAID 0/1/10; </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 xml:space="preserve">PCIE扩展：支持4个PCIe扩展插槽（包括1个OCP 插槽），其中2个PCIe 5.0 </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 xml:space="preserve">6.网口：板载2个千兆电口； 配置10GbE、25GbE SFP+等多种网络接口 </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 xml:space="preserve">7.其他接口：1个RJ45管理接口，后置2个USB 3.0接口，前置2个USB2.0接口，1个VGA接口 </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 xml:space="preserve">8.电源：配备550W（1+1）冗余电源 </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9.机箱规格：87mm(高)x 466mm(宽)x680mm(深)</w:t>
            </w:r>
          </w:p>
        </w:tc>
        <w:tc>
          <w:tcPr>
            <w:tcW w:w="502" w:type="dxa"/>
            <w:tcBorders>
              <w:top w:val="single" w:color="000000" w:sz="4" w:space="0"/>
              <w:left w:val="single" w:color="000000" w:sz="4" w:space="0"/>
              <w:bottom w:val="single" w:color="000000" w:sz="4" w:space="0"/>
              <w:right w:val="single" w:color="000000" w:sz="4" w:space="0"/>
            </w:tcBorders>
            <w:noWrap w:val="0"/>
            <w:vAlign w:val="center"/>
          </w:tcPr>
          <w:p w14:paraId="3927AA48">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台</w:t>
            </w:r>
          </w:p>
        </w:tc>
        <w:tc>
          <w:tcPr>
            <w:tcW w:w="597" w:type="dxa"/>
            <w:tcBorders>
              <w:top w:val="single" w:color="000000" w:sz="4" w:space="0"/>
              <w:left w:val="single" w:color="000000" w:sz="4" w:space="0"/>
              <w:bottom w:val="single" w:color="000000" w:sz="4" w:space="0"/>
              <w:right w:val="single" w:color="000000" w:sz="4" w:space="0"/>
            </w:tcBorders>
            <w:noWrap w:val="0"/>
            <w:vAlign w:val="center"/>
          </w:tcPr>
          <w:p w14:paraId="645448E1">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1</w:t>
            </w:r>
          </w:p>
        </w:tc>
        <w:tc>
          <w:tcPr>
            <w:tcW w:w="1615" w:type="dxa"/>
            <w:tcBorders>
              <w:top w:val="single" w:color="000000" w:sz="4" w:space="0"/>
              <w:left w:val="single" w:color="000000" w:sz="4" w:space="0"/>
              <w:bottom w:val="single" w:color="000000" w:sz="4" w:space="0"/>
              <w:right w:val="single" w:color="000000" w:sz="4" w:space="0"/>
            </w:tcBorders>
            <w:noWrap w:val="0"/>
            <w:vAlign w:val="center"/>
          </w:tcPr>
          <w:p w14:paraId="0EF4ED41">
            <w:pPr>
              <w:jc w:val="center"/>
              <w:rPr>
                <w:rFonts w:hint="eastAsia" w:ascii="宋体" w:hAnsi="宋体" w:cs="宋体"/>
                <w:color w:val="000000"/>
                <w:sz w:val="24"/>
                <w:szCs w:val="24"/>
              </w:rPr>
            </w:pPr>
          </w:p>
        </w:tc>
      </w:tr>
      <w:tr w14:paraId="3817564B">
        <w:tblPrEx>
          <w:tblCellMar>
            <w:top w:w="0" w:type="dxa"/>
            <w:left w:w="108" w:type="dxa"/>
            <w:bottom w:w="0" w:type="dxa"/>
            <w:right w:w="108" w:type="dxa"/>
          </w:tblCellMar>
        </w:tblPrEx>
        <w:trPr>
          <w:trHeight w:val="660" w:hRule="atLeast"/>
          <w:jc w:val="center"/>
        </w:trPr>
        <w:tc>
          <w:tcPr>
            <w:tcW w:w="489" w:type="dxa"/>
            <w:tcBorders>
              <w:top w:val="single" w:color="000000" w:sz="4" w:space="0"/>
              <w:left w:val="single" w:color="000000" w:sz="4" w:space="0"/>
              <w:bottom w:val="single" w:color="000000" w:sz="4" w:space="0"/>
              <w:right w:val="single" w:color="000000" w:sz="4" w:space="0"/>
            </w:tcBorders>
            <w:noWrap w:val="0"/>
            <w:vAlign w:val="center"/>
          </w:tcPr>
          <w:p w14:paraId="587B1067">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13</w:t>
            </w:r>
          </w:p>
        </w:tc>
        <w:tc>
          <w:tcPr>
            <w:tcW w:w="807" w:type="dxa"/>
            <w:vMerge w:val="restart"/>
            <w:tcBorders>
              <w:top w:val="single" w:color="000000" w:sz="4" w:space="0"/>
              <w:left w:val="single" w:color="000000" w:sz="4" w:space="0"/>
              <w:bottom w:val="single" w:color="000000" w:sz="4" w:space="0"/>
              <w:right w:val="single" w:color="000000" w:sz="4" w:space="0"/>
            </w:tcBorders>
            <w:noWrap w:val="0"/>
            <w:vAlign w:val="center"/>
          </w:tcPr>
          <w:p w14:paraId="5CD47CCD">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软件</w:t>
            </w:r>
          </w:p>
        </w:tc>
        <w:tc>
          <w:tcPr>
            <w:tcW w:w="5941" w:type="dxa"/>
            <w:tcBorders>
              <w:top w:val="single" w:color="000000" w:sz="4" w:space="0"/>
              <w:left w:val="single" w:color="000000" w:sz="4" w:space="0"/>
              <w:bottom w:val="single" w:color="000000" w:sz="4" w:space="0"/>
              <w:right w:val="single" w:color="000000" w:sz="4" w:space="0"/>
            </w:tcBorders>
            <w:noWrap w:val="0"/>
            <w:vAlign w:val="center"/>
          </w:tcPr>
          <w:p w14:paraId="72A9A104">
            <w:pPr>
              <w:widowControl/>
              <w:jc w:val="left"/>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1、提供门户首页内容自定义能力，支持自定义快捷入口、自定义菜单内容、自定义页面元素设置；支持门户展示元素自定义，包括页面logo图标、修改网站标题、设置并添加网站外部链接；</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2、提供统一的认证、鉴权管理、应用管理、菜单管理、用户管理、角色管理、组织管理、资源管理等能力；</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3、提供用户权限管理能力，包括菜单权限、组织权限、区域权限、资源权限、功能控制权限；</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4、提供组织、区域、设备、人员、卡片、车辆等资源统一管理；</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5、提供用户安全管理，支持账户绑定用户mac地址及IP地址能力，提供账户安全设置，支持账户密码有效期设置，支持登录类型（Web端、PC客户端、移动端）和认证方式（密码、PKI）的配置；</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6、提供NTP校时服务能力，支持对设备和服务器统一校时;</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7、提供数据、服务等统一开放能力；</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8、提供系统运行状态监测能力，包括运行服务监控、运行服务统计、运行数据报告和运行服务解析概览。</w:t>
            </w:r>
          </w:p>
        </w:tc>
        <w:tc>
          <w:tcPr>
            <w:tcW w:w="502" w:type="dxa"/>
            <w:tcBorders>
              <w:top w:val="single" w:color="000000" w:sz="4" w:space="0"/>
              <w:left w:val="single" w:color="000000" w:sz="4" w:space="0"/>
              <w:bottom w:val="single" w:color="000000" w:sz="4" w:space="0"/>
              <w:right w:val="single" w:color="000000" w:sz="4" w:space="0"/>
            </w:tcBorders>
            <w:noWrap w:val="0"/>
            <w:vAlign w:val="center"/>
          </w:tcPr>
          <w:p w14:paraId="2F64828F">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套</w:t>
            </w:r>
          </w:p>
        </w:tc>
        <w:tc>
          <w:tcPr>
            <w:tcW w:w="597" w:type="dxa"/>
            <w:tcBorders>
              <w:top w:val="single" w:color="000000" w:sz="4" w:space="0"/>
              <w:left w:val="single" w:color="000000" w:sz="4" w:space="0"/>
              <w:bottom w:val="single" w:color="000000" w:sz="4" w:space="0"/>
              <w:right w:val="single" w:color="000000" w:sz="4" w:space="0"/>
            </w:tcBorders>
            <w:noWrap w:val="0"/>
            <w:vAlign w:val="center"/>
          </w:tcPr>
          <w:p w14:paraId="3269D85A">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1</w:t>
            </w:r>
          </w:p>
        </w:tc>
        <w:tc>
          <w:tcPr>
            <w:tcW w:w="1615" w:type="dxa"/>
            <w:tcBorders>
              <w:top w:val="single" w:color="000000" w:sz="4" w:space="0"/>
              <w:left w:val="single" w:color="000000" w:sz="4" w:space="0"/>
              <w:bottom w:val="single" w:color="000000" w:sz="4" w:space="0"/>
              <w:right w:val="single" w:color="000000" w:sz="4" w:space="0"/>
            </w:tcBorders>
            <w:noWrap w:val="0"/>
            <w:vAlign w:val="center"/>
          </w:tcPr>
          <w:p w14:paraId="166B39C0">
            <w:pPr>
              <w:widowControl/>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1、支持管理最大组织数2000个，组织层级最大10级；</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2、支持管理最大区域数2000个，区域层级最大10级。；</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3、支持管理最大人员数量5万；</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4、支持管理最大卡片数量5万；</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5、支持管理最大车辆数量3万；</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6、支持最大的在线用户数1000个，并发登录用户数50个。</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7、支持最大事件并发处理500条/秒（不带图片）；</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8、支持联动上墙并发1次/秒；</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9、支持最大每秒联动100个不同的视频点位进行抓图；</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10、支持最大每秒联动100个不同的视频点位进行录像；</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11、支持联动并发发邮件2封/秒；</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12、支持短信联动（云信留客短信网关：1-2秒/条；</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短信猫：70字符以下，10秒/条；</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70字符以上分条发送，20秒/条；）</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13、支持最大事件存储7200万条；</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14、支持管理资源上图数量2万个。</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备注：以上是单台服务器部署系统基础规格，超出规格需考虑分布式部署。</w:t>
            </w:r>
          </w:p>
        </w:tc>
      </w:tr>
      <w:tr w14:paraId="7DAF0B27">
        <w:tblPrEx>
          <w:tblCellMar>
            <w:top w:w="0" w:type="dxa"/>
            <w:left w:w="108" w:type="dxa"/>
            <w:bottom w:w="0" w:type="dxa"/>
            <w:right w:w="108" w:type="dxa"/>
          </w:tblCellMar>
        </w:tblPrEx>
        <w:trPr>
          <w:trHeight w:val="660" w:hRule="atLeast"/>
          <w:jc w:val="center"/>
        </w:trPr>
        <w:tc>
          <w:tcPr>
            <w:tcW w:w="489" w:type="dxa"/>
            <w:tcBorders>
              <w:top w:val="single" w:color="000000" w:sz="4" w:space="0"/>
              <w:left w:val="single" w:color="000000" w:sz="4" w:space="0"/>
              <w:bottom w:val="single" w:color="000000" w:sz="4" w:space="0"/>
              <w:right w:val="single" w:color="000000" w:sz="4" w:space="0"/>
            </w:tcBorders>
            <w:noWrap w:val="0"/>
            <w:vAlign w:val="center"/>
          </w:tcPr>
          <w:p w14:paraId="2C6867E1">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14</w:t>
            </w:r>
          </w:p>
        </w:tc>
        <w:tc>
          <w:tcPr>
            <w:tcW w:w="80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0228C05">
            <w:pPr>
              <w:jc w:val="center"/>
              <w:rPr>
                <w:rFonts w:hint="eastAsia" w:ascii="宋体" w:hAnsi="宋体" w:cs="宋体"/>
                <w:color w:val="000000"/>
                <w:sz w:val="24"/>
                <w:szCs w:val="24"/>
              </w:rPr>
            </w:pPr>
          </w:p>
        </w:tc>
        <w:tc>
          <w:tcPr>
            <w:tcW w:w="5941" w:type="dxa"/>
            <w:tcBorders>
              <w:top w:val="single" w:color="000000" w:sz="4" w:space="0"/>
              <w:left w:val="single" w:color="000000" w:sz="4" w:space="0"/>
              <w:bottom w:val="single" w:color="000000" w:sz="4" w:space="0"/>
              <w:right w:val="single" w:color="000000" w:sz="4" w:space="0"/>
            </w:tcBorders>
            <w:noWrap w:val="0"/>
            <w:vAlign w:val="center"/>
          </w:tcPr>
          <w:p w14:paraId="4D0550EE">
            <w:pPr>
              <w:widowControl/>
              <w:jc w:val="left"/>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视频监控应用提供视频管理服务，支持编码设备通过主流厂商设备无缝兼容现有系统，实现视频预览、录像回放、视频上墙、视频事件监控服务能力，并且在网络带宽不足、有流量限制的网络环境下可以通过以图片替代视频的模式提供监控服务。</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一、视频预览</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1、支持视频实时预览能力，实现预览窗口布局切换、预览画面自适应及全屏切换；</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2、支持云台控制、实时抓图、紧急录像、即时回放、主子码流切换、声音开启\关闭、辅屏预览（1个辅屏）、对讲、广播、报警输出控制的能力；</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3、支持智能规则展示的能力（如：针对热成像设备温度信息实时展示）；</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4、支持资源视图管理能力，以视图形式管理监控点、视频预览轮巡等自定义资源组，其中视图类型包含公有视图和私有视图；</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5、支持全景视频监控预览能力，支持球型鹰眼、全景摄像机的全景模式；</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二、录像回放</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1、支持录像计划管理能力，支持实时录像计划、录像回传计划；</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2、支持录像回放能力，支持多画面同步回放和异步回放切换、超高倍速回放、分段回放、录像下载、录像剪辑、录像标签、录像锁定、录像抓图；</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三、图片监控</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1、支持视频预览与图片实时监控模式切换能力，实现图片监控模式；</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2、支持图片查询回放能力，实现按监控点、时间段展示抓拍图片；</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3、支持图片自动播放能力，支持图片自动播放速度可设置；</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4、支持图片下载能力；</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四、视频上墙</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1、支持电视墙场景管理能力，实现场景窗口配置、场景切换计划配置以及轮巡计划的管理；</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2、支持上墙控制能力，实现场景一键上墙、场景切换、电视墙切换、监控点上下墙、轮巡控制操作；</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五、视频事件</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1、支持视频事件布撤防能力，可按计划模版进行布防，事件类型包括移动侦测、视频丢失、视频遮挡、报警输入、报警输出；</w:t>
            </w:r>
          </w:p>
        </w:tc>
        <w:tc>
          <w:tcPr>
            <w:tcW w:w="502" w:type="dxa"/>
            <w:tcBorders>
              <w:top w:val="single" w:color="000000" w:sz="4" w:space="0"/>
              <w:left w:val="single" w:color="000000" w:sz="4" w:space="0"/>
              <w:bottom w:val="single" w:color="000000" w:sz="4" w:space="0"/>
              <w:right w:val="single" w:color="000000" w:sz="4" w:space="0"/>
            </w:tcBorders>
            <w:noWrap w:val="0"/>
            <w:vAlign w:val="center"/>
          </w:tcPr>
          <w:p w14:paraId="2F8FD7E9">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路</w:t>
            </w:r>
          </w:p>
        </w:tc>
        <w:tc>
          <w:tcPr>
            <w:tcW w:w="597" w:type="dxa"/>
            <w:tcBorders>
              <w:top w:val="single" w:color="000000" w:sz="4" w:space="0"/>
              <w:left w:val="single" w:color="000000" w:sz="4" w:space="0"/>
              <w:bottom w:val="single" w:color="000000" w:sz="4" w:space="0"/>
              <w:right w:val="single" w:color="000000" w:sz="4" w:space="0"/>
            </w:tcBorders>
            <w:noWrap w:val="0"/>
            <w:vAlign w:val="center"/>
          </w:tcPr>
          <w:p w14:paraId="5CCE0EC2">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200</w:t>
            </w:r>
          </w:p>
        </w:tc>
        <w:tc>
          <w:tcPr>
            <w:tcW w:w="1615" w:type="dxa"/>
            <w:tcBorders>
              <w:top w:val="single" w:color="000000" w:sz="4" w:space="0"/>
              <w:left w:val="single" w:color="000000" w:sz="4" w:space="0"/>
              <w:bottom w:val="single" w:color="000000" w:sz="4" w:space="0"/>
              <w:right w:val="single" w:color="000000" w:sz="4" w:space="0"/>
            </w:tcBorders>
            <w:noWrap w:val="0"/>
            <w:vAlign w:val="center"/>
          </w:tcPr>
          <w:p w14:paraId="280CD46E">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1、支持监控点数量10W个（超过5000需要分布式部署）；</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2、支持并发取流带宽2000M，例如以2M/路计算最大并发路数为1000路 （以千兆服务器为例，每台服务器并发取流带宽为600M，超过600M需要分布式部署）；</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3、解码能力：在i7、GTX1070的PC上，解码H264、720P的视频36路；</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4、支持电视墙最大场景数128个；</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5、单个电视墙最大支持数量25*25个；</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6、单个窗口最大分割数量16个。</w:t>
            </w:r>
          </w:p>
        </w:tc>
      </w:tr>
      <w:tr w14:paraId="126FC67F">
        <w:tblPrEx>
          <w:tblCellMar>
            <w:top w:w="0" w:type="dxa"/>
            <w:left w:w="108" w:type="dxa"/>
            <w:bottom w:w="0" w:type="dxa"/>
            <w:right w:w="108" w:type="dxa"/>
          </w:tblCellMar>
        </w:tblPrEx>
        <w:trPr>
          <w:trHeight w:val="660" w:hRule="atLeast"/>
          <w:jc w:val="center"/>
        </w:trPr>
        <w:tc>
          <w:tcPr>
            <w:tcW w:w="489" w:type="dxa"/>
            <w:tcBorders>
              <w:top w:val="single" w:color="000000" w:sz="4" w:space="0"/>
              <w:left w:val="single" w:color="000000" w:sz="4" w:space="0"/>
              <w:bottom w:val="single" w:color="000000" w:sz="4" w:space="0"/>
              <w:right w:val="single" w:color="000000" w:sz="4" w:space="0"/>
            </w:tcBorders>
            <w:noWrap w:val="0"/>
            <w:vAlign w:val="center"/>
          </w:tcPr>
          <w:p w14:paraId="71DB5398">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15</w:t>
            </w:r>
          </w:p>
        </w:tc>
        <w:tc>
          <w:tcPr>
            <w:tcW w:w="80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7959EE3">
            <w:pPr>
              <w:jc w:val="center"/>
              <w:rPr>
                <w:rFonts w:hint="eastAsia" w:ascii="宋体" w:hAnsi="宋体" w:cs="宋体"/>
                <w:color w:val="000000"/>
                <w:sz w:val="24"/>
                <w:szCs w:val="24"/>
              </w:rPr>
            </w:pPr>
          </w:p>
        </w:tc>
        <w:tc>
          <w:tcPr>
            <w:tcW w:w="5941" w:type="dxa"/>
            <w:tcBorders>
              <w:top w:val="single" w:color="000000" w:sz="4" w:space="0"/>
              <w:left w:val="single" w:color="000000" w:sz="4" w:space="0"/>
              <w:bottom w:val="single" w:color="000000" w:sz="4" w:space="0"/>
              <w:right w:val="single" w:color="000000" w:sz="4" w:space="0"/>
            </w:tcBorders>
            <w:noWrap w:val="0"/>
            <w:vAlign w:val="center"/>
          </w:tcPr>
          <w:p w14:paraId="2E875AB2">
            <w:pPr>
              <w:widowControl/>
              <w:jc w:val="left"/>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设备网络管理应用，对接入平台的视频设备，门禁设备，梯控设备，可视对讲设备进行在线巡检，及时发现故障设备和掉线设备，使运维工作更加高效，便利。</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一、视频网络管理</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1、支持监控摄像机、编码设备、存储设备、解码设备等物联设备在线状态、工作状态、硬盘状态、指标采集。</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2、支持监控点通道的在线状态、录制状态、录像完整性、录像保存天数指标检测。</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3、支持告警信息统计展现。并支持对监控点、编码设备、解码设备、视频综合矩阵、NVR/CVR、云储存、门禁设备、门禁点、读卡器、梯控设备/梯控读卡器/可视对讲的告警阈值进行配置。</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4、提供视频运维报表统计能力，包含区域综合排名统计、录像完整性统计、录像存储达标统计、在线状态统计、离线时长统计报表。</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5、支持巡检计划配置，可以按照类型和资源以及自定义的巡检周期进行巡检计划配置。</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6、支持海康SDK、大华SDK、ehome、isup5.0、GB28181、部标808、Open Network Video Interface、萤石、ISAPI协议。</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二、门禁运维管理</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1、提供门禁设备在线状态监测能力；</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2、提供门禁设备运维报表统计能力；</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三、可视对讲运维管理</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1、提供门口机、室内机、管理机、围墙机设备在线状态监测能力；</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2、提供可视对讲设备运维报表统计能力；</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四、梯控运维管理</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1、提供梯控主机、读卡器在线状态监测能力；</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2、提供梯控设备运维报表统计能力；</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五、停车场出入口运维管理</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1、提供岗亭缴费终端、出入口控制设备、出入口显示设备、读卡设备在线状态监测能力；</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2、提供停车场出入口设备运维报表统计能力；</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六、寻车诱导运维管理</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1、提供诱导管理器、车位相机、显示屏在线状态监测能力；</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2、提供寻车诱导设备运维报表统计能力</w:t>
            </w:r>
          </w:p>
        </w:tc>
        <w:tc>
          <w:tcPr>
            <w:tcW w:w="502" w:type="dxa"/>
            <w:tcBorders>
              <w:top w:val="single" w:color="000000" w:sz="4" w:space="0"/>
              <w:left w:val="single" w:color="000000" w:sz="4" w:space="0"/>
              <w:bottom w:val="single" w:color="000000" w:sz="4" w:space="0"/>
              <w:right w:val="single" w:color="000000" w:sz="4" w:space="0"/>
            </w:tcBorders>
            <w:noWrap w:val="0"/>
            <w:vAlign w:val="center"/>
          </w:tcPr>
          <w:p w14:paraId="0DA5C28F">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路</w:t>
            </w:r>
          </w:p>
        </w:tc>
        <w:tc>
          <w:tcPr>
            <w:tcW w:w="597" w:type="dxa"/>
            <w:tcBorders>
              <w:top w:val="single" w:color="000000" w:sz="4" w:space="0"/>
              <w:left w:val="single" w:color="000000" w:sz="4" w:space="0"/>
              <w:bottom w:val="single" w:color="000000" w:sz="4" w:space="0"/>
              <w:right w:val="single" w:color="000000" w:sz="4" w:space="0"/>
            </w:tcBorders>
            <w:noWrap w:val="0"/>
            <w:vAlign w:val="center"/>
          </w:tcPr>
          <w:p w14:paraId="3DC185BB">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300</w:t>
            </w:r>
          </w:p>
        </w:tc>
        <w:tc>
          <w:tcPr>
            <w:tcW w:w="1615" w:type="dxa"/>
            <w:tcBorders>
              <w:top w:val="single" w:color="000000" w:sz="4" w:space="0"/>
              <w:left w:val="single" w:color="000000" w:sz="4" w:space="0"/>
              <w:bottom w:val="single" w:color="000000" w:sz="4" w:space="0"/>
              <w:right w:val="single" w:color="000000" w:sz="4" w:space="0"/>
            </w:tcBorders>
            <w:noWrap w:val="0"/>
            <w:vAlign w:val="center"/>
          </w:tcPr>
          <w:p w14:paraId="573E6A1C">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1、单节点在线状态巡检效率不低于1000路/小时；</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2、单节点录像情况巡检效率不低于1000路/小时</w:t>
            </w:r>
          </w:p>
        </w:tc>
      </w:tr>
      <w:tr w14:paraId="1C89E3AF">
        <w:tblPrEx>
          <w:tblCellMar>
            <w:top w:w="0" w:type="dxa"/>
            <w:left w:w="108" w:type="dxa"/>
            <w:bottom w:w="0" w:type="dxa"/>
            <w:right w:w="108" w:type="dxa"/>
          </w:tblCellMar>
        </w:tblPrEx>
        <w:trPr>
          <w:trHeight w:val="660" w:hRule="atLeast"/>
          <w:jc w:val="center"/>
        </w:trPr>
        <w:tc>
          <w:tcPr>
            <w:tcW w:w="489" w:type="dxa"/>
            <w:tcBorders>
              <w:top w:val="single" w:color="000000" w:sz="4" w:space="0"/>
              <w:left w:val="single" w:color="000000" w:sz="4" w:space="0"/>
              <w:bottom w:val="single" w:color="000000" w:sz="4" w:space="0"/>
              <w:right w:val="single" w:color="000000" w:sz="4" w:space="0"/>
            </w:tcBorders>
            <w:noWrap w:val="0"/>
            <w:vAlign w:val="center"/>
          </w:tcPr>
          <w:p w14:paraId="32E6A46A">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16</w:t>
            </w:r>
          </w:p>
        </w:tc>
        <w:tc>
          <w:tcPr>
            <w:tcW w:w="80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99EC673">
            <w:pPr>
              <w:jc w:val="center"/>
              <w:rPr>
                <w:rFonts w:hint="eastAsia" w:ascii="宋体" w:hAnsi="宋体" w:cs="宋体"/>
                <w:color w:val="000000"/>
                <w:sz w:val="24"/>
                <w:szCs w:val="24"/>
              </w:rPr>
            </w:pPr>
          </w:p>
        </w:tc>
        <w:tc>
          <w:tcPr>
            <w:tcW w:w="5941" w:type="dxa"/>
            <w:tcBorders>
              <w:top w:val="single" w:color="000000" w:sz="4" w:space="0"/>
              <w:left w:val="single" w:color="000000" w:sz="4" w:space="0"/>
              <w:bottom w:val="single" w:color="000000" w:sz="4" w:space="0"/>
              <w:right w:val="single" w:color="000000" w:sz="4" w:space="0"/>
            </w:tcBorders>
            <w:noWrap w:val="0"/>
            <w:vAlign w:val="center"/>
          </w:tcPr>
          <w:p w14:paraId="4E7ECC4A">
            <w:pPr>
              <w:widowControl/>
              <w:jc w:val="left"/>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提供视频点位联网服务能力，用于平台域间视频联网，基于视频通用标准协议（GB/T28181-2011,GB/T28181-2016）与外域平台互联互通，实现平台视频资源点位推送等操作控制。</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1、支持上下级域注册管理能力，实现平台数据级联；</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2、支持资源同步能力；</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3、支持级联视频点位实时预览、录像回放、录像下载、语音对讲能力；</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4、支持级联视频点位设备操作控制能力；</w:t>
            </w:r>
          </w:p>
        </w:tc>
        <w:tc>
          <w:tcPr>
            <w:tcW w:w="502" w:type="dxa"/>
            <w:tcBorders>
              <w:top w:val="single" w:color="000000" w:sz="4" w:space="0"/>
              <w:left w:val="single" w:color="000000" w:sz="4" w:space="0"/>
              <w:bottom w:val="single" w:color="000000" w:sz="4" w:space="0"/>
              <w:right w:val="single" w:color="000000" w:sz="4" w:space="0"/>
            </w:tcBorders>
            <w:noWrap w:val="0"/>
            <w:vAlign w:val="center"/>
          </w:tcPr>
          <w:p w14:paraId="7CB9C102">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套</w:t>
            </w:r>
          </w:p>
        </w:tc>
        <w:tc>
          <w:tcPr>
            <w:tcW w:w="597" w:type="dxa"/>
            <w:tcBorders>
              <w:top w:val="single" w:color="000000" w:sz="4" w:space="0"/>
              <w:left w:val="single" w:color="000000" w:sz="4" w:space="0"/>
              <w:bottom w:val="single" w:color="000000" w:sz="4" w:space="0"/>
              <w:right w:val="single" w:color="000000" w:sz="4" w:space="0"/>
            </w:tcBorders>
            <w:noWrap w:val="0"/>
            <w:vAlign w:val="center"/>
          </w:tcPr>
          <w:p w14:paraId="3DA16081">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1</w:t>
            </w:r>
          </w:p>
        </w:tc>
        <w:tc>
          <w:tcPr>
            <w:tcW w:w="1615" w:type="dxa"/>
            <w:tcBorders>
              <w:top w:val="single" w:color="000000" w:sz="4" w:space="0"/>
              <w:left w:val="single" w:color="000000" w:sz="4" w:space="0"/>
              <w:bottom w:val="single" w:color="000000" w:sz="4" w:space="0"/>
              <w:right w:val="single" w:color="000000" w:sz="4" w:space="0"/>
            </w:tcBorders>
            <w:noWrap w:val="0"/>
            <w:vAlign w:val="center"/>
          </w:tcPr>
          <w:p w14:paraId="4311D2D8">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1、最大级联监控点数量20W个；</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2、单个NCG信令节点：最大支持5个上级域平台、15个下级域平台；</w:t>
            </w:r>
            <w:r>
              <w:rPr>
                <w:rFonts w:hint="eastAsia" w:ascii="宋体" w:hAnsi="宋体" w:cs="宋体"/>
                <w:color w:val="000000"/>
                <w:kern w:val="0"/>
                <w:sz w:val="24"/>
                <w:szCs w:val="24"/>
                <w:lang w:bidi="ar"/>
              </w:rPr>
              <w:br w:type="textWrapping"/>
            </w:r>
            <w:r>
              <w:rPr>
                <w:rFonts w:hint="eastAsia" w:ascii="宋体" w:hAnsi="宋体" w:cs="宋体"/>
                <w:color w:val="000000"/>
                <w:kern w:val="0"/>
                <w:sz w:val="24"/>
                <w:szCs w:val="24"/>
                <w:lang w:bidi="ar"/>
              </w:rPr>
              <w:t>3、支持并发取流带宽2000M，例如以2M/路计算最大并发路数为1000路 （以千兆服务器为例，每台服务器并发取流带宽为600M，超过600M需要分布式部署）。</w:t>
            </w:r>
          </w:p>
        </w:tc>
      </w:tr>
      <w:tr w14:paraId="4DD5202F">
        <w:tblPrEx>
          <w:tblCellMar>
            <w:top w:w="0" w:type="dxa"/>
            <w:left w:w="108" w:type="dxa"/>
            <w:bottom w:w="0" w:type="dxa"/>
            <w:right w:w="108" w:type="dxa"/>
          </w:tblCellMar>
        </w:tblPrEx>
        <w:trPr>
          <w:trHeight w:val="660" w:hRule="atLeast"/>
          <w:jc w:val="center"/>
        </w:trPr>
        <w:tc>
          <w:tcPr>
            <w:tcW w:w="489" w:type="dxa"/>
            <w:tcBorders>
              <w:top w:val="single" w:color="000000" w:sz="4" w:space="0"/>
              <w:left w:val="single" w:color="000000" w:sz="4" w:space="0"/>
              <w:bottom w:val="single" w:color="000000" w:sz="4" w:space="0"/>
              <w:right w:val="single" w:color="000000" w:sz="4" w:space="0"/>
            </w:tcBorders>
            <w:noWrap w:val="0"/>
            <w:vAlign w:val="center"/>
          </w:tcPr>
          <w:p w14:paraId="7061E55E">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17</w:t>
            </w:r>
          </w:p>
        </w:tc>
        <w:tc>
          <w:tcPr>
            <w:tcW w:w="807" w:type="dxa"/>
            <w:tcBorders>
              <w:top w:val="single" w:color="000000" w:sz="4" w:space="0"/>
              <w:left w:val="single" w:color="000000" w:sz="4" w:space="0"/>
              <w:bottom w:val="single" w:color="000000" w:sz="4" w:space="0"/>
              <w:right w:val="single" w:color="000000" w:sz="4" w:space="0"/>
            </w:tcBorders>
            <w:noWrap w:val="0"/>
            <w:vAlign w:val="center"/>
          </w:tcPr>
          <w:p w14:paraId="564CC703">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光模块</w:t>
            </w:r>
          </w:p>
        </w:tc>
        <w:tc>
          <w:tcPr>
            <w:tcW w:w="5941" w:type="dxa"/>
            <w:tcBorders>
              <w:top w:val="single" w:color="000000" w:sz="4" w:space="0"/>
              <w:left w:val="single" w:color="000000" w:sz="4" w:space="0"/>
              <w:bottom w:val="single" w:color="000000" w:sz="4" w:space="0"/>
              <w:right w:val="single" w:color="000000" w:sz="4" w:space="0"/>
            </w:tcBorders>
            <w:noWrap w:val="0"/>
            <w:vAlign w:val="center"/>
          </w:tcPr>
          <w:p w14:paraId="410533DE">
            <w:pPr>
              <w:widowControl/>
              <w:jc w:val="left"/>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千兆单模 单芯20KM</w:t>
            </w:r>
          </w:p>
        </w:tc>
        <w:tc>
          <w:tcPr>
            <w:tcW w:w="502" w:type="dxa"/>
            <w:tcBorders>
              <w:top w:val="single" w:color="000000" w:sz="4" w:space="0"/>
              <w:left w:val="single" w:color="000000" w:sz="4" w:space="0"/>
              <w:bottom w:val="single" w:color="000000" w:sz="4" w:space="0"/>
              <w:right w:val="single" w:color="000000" w:sz="4" w:space="0"/>
            </w:tcBorders>
            <w:noWrap w:val="0"/>
            <w:vAlign w:val="center"/>
          </w:tcPr>
          <w:p w14:paraId="6A4C405D">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块</w:t>
            </w:r>
          </w:p>
        </w:tc>
        <w:tc>
          <w:tcPr>
            <w:tcW w:w="597" w:type="dxa"/>
            <w:tcBorders>
              <w:top w:val="single" w:color="000000" w:sz="4" w:space="0"/>
              <w:left w:val="single" w:color="000000" w:sz="4" w:space="0"/>
              <w:bottom w:val="single" w:color="000000" w:sz="4" w:space="0"/>
              <w:right w:val="single" w:color="000000" w:sz="4" w:space="0"/>
            </w:tcBorders>
            <w:noWrap w:val="0"/>
            <w:vAlign w:val="center"/>
          </w:tcPr>
          <w:p w14:paraId="5B44F416">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89</w:t>
            </w:r>
          </w:p>
        </w:tc>
        <w:tc>
          <w:tcPr>
            <w:tcW w:w="1615" w:type="dxa"/>
            <w:tcBorders>
              <w:top w:val="single" w:color="000000" w:sz="4" w:space="0"/>
              <w:left w:val="single" w:color="000000" w:sz="4" w:space="0"/>
              <w:bottom w:val="single" w:color="000000" w:sz="4" w:space="0"/>
              <w:right w:val="single" w:color="000000" w:sz="4" w:space="0"/>
            </w:tcBorders>
            <w:noWrap w:val="0"/>
            <w:vAlign w:val="center"/>
          </w:tcPr>
          <w:p w14:paraId="38658258">
            <w:pPr>
              <w:jc w:val="center"/>
              <w:rPr>
                <w:rFonts w:hint="eastAsia" w:ascii="宋体" w:hAnsi="宋体" w:cs="宋体"/>
                <w:color w:val="000000"/>
                <w:sz w:val="24"/>
                <w:szCs w:val="24"/>
              </w:rPr>
            </w:pPr>
          </w:p>
        </w:tc>
      </w:tr>
      <w:tr w14:paraId="0A0D9844">
        <w:tblPrEx>
          <w:tblCellMar>
            <w:top w:w="0" w:type="dxa"/>
            <w:left w:w="108" w:type="dxa"/>
            <w:bottom w:w="0" w:type="dxa"/>
            <w:right w:w="108" w:type="dxa"/>
          </w:tblCellMar>
        </w:tblPrEx>
        <w:trPr>
          <w:trHeight w:val="660" w:hRule="atLeast"/>
          <w:jc w:val="center"/>
        </w:trPr>
        <w:tc>
          <w:tcPr>
            <w:tcW w:w="489" w:type="dxa"/>
            <w:tcBorders>
              <w:top w:val="single" w:color="000000" w:sz="4" w:space="0"/>
              <w:left w:val="single" w:color="000000" w:sz="4" w:space="0"/>
              <w:bottom w:val="single" w:color="000000" w:sz="4" w:space="0"/>
              <w:right w:val="single" w:color="000000" w:sz="4" w:space="0"/>
            </w:tcBorders>
            <w:noWrap w:val="0"/>
            <w:vAlign w:val="center"/>
          </w:tcPr>
          <w:p w14:paraId="2010E1CF">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18</w:t>
            </w:r>
          </w:p>
        </w:tc>
        <w:tc>
          <w:tcPr>
            <w:tcW w:w="807" w:type="dxa"/>
            <w:tcBorders>
              <w:top w:val="single" w:color="000000" w:sz="4" w:space="0"/>
              <w:left w:val="single" w:color="000000" w:sz="4" w:space="0"/>
              <w:bottom w:val="single" w:color="000000" w:sz="4" w:space="0"/>
              <w:right w:val="single" w:color="000000" w:sz="4" w:space="0"/>
            </w:tcBorders>
            <w:noWrap w:val="0"/>
            <w:vAlign w:val="center"/>
          </w:tcPr>
          <w:p w14:paraId="0832C52C">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光模块</w:t>
            </w:r>
          </w:p>
        </w:tc>
        <w:tc>
          <w:tcPr>
            <w:tcW w:w="5941" w:type="dxa"/>
            <w:tcBorders>
              <w:top w:val="single" w:color="000000" w:sz="4" w:space="0"/>
              <w:left w:val="single" w:color="000000" w:sz="4" w:space="0"/>
              <w:bottom w:val="single" w:color="000000" w:sz="4" w:space="0"/>
              <w:right w:val="single" w:color="000000" w:sz="4" w:space="0"/>
            </w:tcBorders>
            <w:noWrap w:val="0"/>
            <w:vAlign w:val="center"/>
          </w:tcPr>
          <w:p w14:paraId="6864EF56">
            <w:pPr>
              <w:widowControl/>
              <w:jc w:val="left"/>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千兆单模 单芯40KM</w:t>
            </w:r>
          </w:p>
        </w:tc>
        <w:tc>
          <w:tcPr>
            <w:tcW w:w="502" w:type="dxa"/>
            <w:tcBorders>
              <w:top w:val="single" w:color="000000" w:sz="4" w:space="0"/>
              <w:left w:val="single" w:color="000000" w:sz="4" w:space="0"/>
              <w:bottom w:val="single" w:color="000000" w:sz="4" w:space="0"/>
              <w:right w:val="single" w:color="000000" w:sz="4" w:space="0"/>
            </w:tcBorders>
            <w:noWrap w:val="0"/>
            <w:vAlign w:val="center"/>
          </w:tcPr>
          <w:p w14:paraId="03C72B1B">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块</w:t>
            </w:r>
          </w:p>
        </w:tc>
        <w:tc>
          <w:tcPr>
            <w:tcW w:w="597" w:type="dxa"/>
            <w:tcBorders>
              <w:top w:val="single" w:color="000000" w:sz="4" w:space="0"/>
              <w:left w:val="single" w:color="000000" w:sz="4" w:space="0"/>
              <w:bottom w:val="single" w:color="000000" w:sz="4" w:space="0"/>
              <w:right w:val="single" w:color="000000" w:sz="4" w:space="0"/>
            </w:tcBorders>
            <w:noWrap w:val="0"/>
            <w:vAlign w:val="center"/>
          </w:tcPr>
          <w:p w14:paraId="71A14CF8">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5</w:t>
            </w:r>
          </w:p>
        </w:tc>
        <w:tc>
          <w:tcPr>
            <w:tcW w:w="1615" w:type="dxa"/>
            <w:tcBorders>
              <w:top w:val="single" w:color="000000" w:sz="4" w:space="0"/>
              <w:left w:val="single" w:color="000000" w:sz="4" w:space="0"/>
              <w:bottom w:val="single" w:color="000000" w:sz="4" w:space="0"/>
              <w:right w:val="single" w:color="000000" w:sz="4" w:space="0"/>
            </w:tcBorders>
            <w:noWrap w:val="0"/>
            <w:vAlign w:val="center"/>
          </w:tcPr>
          <w:p w14:paraId="3165E797">
            <w:pPr>
              <w:jc w:val="center"/>
              <w:rPr>
                <w:rFonts w:hint="eastAsia" w:ascii="宋体" w:hAnsi="宋体" w:cs="宋体"/>
                <w:color w:val="000000"/>
                <w:sz w:val="24"/>
                <w:szCs w:val="24"/>
              </w:rPr>
            </w:pPr>
          </w:p>
        </w:tc>
      </w:tr>
      <w:tr w14:paraId="45ECC356">
        <w:tblPrEx>
          <w:tblCellMar>
            <w:top w:w="0" w:type="dxa"/>
            <w:left w:w="108" w:type="dxa"/>
            <w:bottom w:w="0" w:type="dxa"/>
            <w:right w:w="108" w:type="dxa"/>
          </w:tblCellMar>
        </w:tblPrEx>
        <w:trPr>
          <w:trHeight w:val="660" w:hRule="atLeast"/>
          <w:jc w:val="center"/>
        </w:trPr>
        <w:tc>
          <w:tcPr>
            <w:tcW w:w="489" w:type="dxa"/>
            <w:tcBorders>
              <w:top w:val="single" w:color="000000" w:sz="4" w:space="0"/>
              <w:left w:val="single" w:color="000000" w:sz="4" w:space="0"/>
              <w:bottom w:val="single" w:color="000000" w:sz="4" w:space="0"/>
              <w:right w:val="single" w:color="000000" w:sz="4" w:space="0"/>
            </w:tcBorders>
            <w:noWrap w:val="0"/>
            <w:vAlign w:val="center"/>
          </w:tcPr>
          <w:p w14:paraId="10F75F44">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19</w:t>
            </w:r>
          </w:p>
        </w:tc>
        <w:tc>
          <w:tcPr>
            <w:tcW w:w="807" w:type="dxa"/>
            <w:tcBorders>
              <w:top w:val="single" w:color="000000" w:sz="4" w:space="0"/>
              <w:left w:val="single" w:color="000000" w:sz="4" w:space="0"/>
              <w:bottom w:val="single" w:color="000000" w:sz="4" w:space="0"/>
              <w:right w:val="single" w:color="000000" w:sz="4" w:space="0"/>
            </w:tcBorders>
            <w:noWrap w:val="0"/>
            <w:vAlign w:val="center"/>
          </w:tcPr>
          <w:p w14:paraId="07706DD6">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网线</w:t>
            </w:r>
          </w:p>
        </w:tc>
        <w:tc>
          <w:tcPr>
            <w:tcW w:w="5941" w:type="dxa"/>
            <w:tcBorders>
              <w:top w:val="single" w:color="000000" w:sz="4" w:space="0"/>
              <w:left w:val="single" w:color="000000" w:sz="4" w:space="0"/>
              <w:bottom w:val="single" w:color="000000" w:sz="4" w:space="0"/>
              <w:right w:val="single" w:color="000000" w:sz="4" w:space="0"/>
            </w:tcBorders>
            <w:noWrap w:val="0"/>
            <w:vAlign w:val="center"/>
          </w:tcPr>
          <w:p w14:paraId="44E01D9E">
            <w:pPr>
              <w:widowControl/>
              <w:jc w:val="left"/>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六类非屏蔽网络传输双绞线</w:t>
            </w:r>
          </w:p>
        </w:tc>
        <w:tc>
          <w:tcPr>
            <w:tcW w:w="502" w:type="dxa"/>
            <w:tcBorders>
              <w:top w:val="single" w:color="000000" w:sz="4" w:space="0"/>
              <w:left w:val="single" w:color="000000" w:sz="4" w:space="0"/>
              <w:bottom w:val="single" w:color="000000" w:sz="4" w:space="0"/>
              <w:right w:val="single" w:color="000000" w:sz="4" w:space="0"/>
            </w:tcBorders>
            <w:noWrap w:val="0"/>
            <w:vAlign w:val="center"/>
          </w:tcPr>
          <w:p w14:paraId="135CEAD8">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米</w:t>
            </w:r>
          </w:p>
        </w:tc>
        <w:tc>
          <w:tcPr>
            <w:tcW w:w="597" w:type="dxa"/>
            <w:tcBorders>
              <w:top w:val="single" w:color="000000" w:sz="4" w:space="0"/>
              <w:left w:val="single" w:color="000000" w:sz="4" w:space="0"/>
              <w:bottom w:val="single" w:color="000000" w:sz="4" w:space="0"/>
              <w:right w:val="single" w:color="000000" w:sz="4" w:space="0"/>
            </w:tcBorders>
            <w:noWrap w:val="0"/>
            <w:vAlign w:val="center"/>
          </w:tcPr>
          <w:p w14:paraId="400D792F">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5400</w:t>
            </w:r>
          </w:p>
        </w:tc>
        <w:tc>
          <w:tcPr>
            <w:tcW w:w="1615" w:type="dxa"/>
            <w:tcBorders>
              <w:top w:val="single" w:color="000000" w:sz="4" w:space="0"/>
              <w:left w:val="single" w:color="000000" w:sz="4" w:space="0"/>
              <w:bottom w:val="single" w:color="000000" w:sz="4" w:space="0"/>
              <w:right w:val="single" w:color="000000" w:sz="4" w:space="0"/>
            </w:tcBorders>
            <w:noWrap w:val="0"/>
            <w:vAlign w:val="center"/>
          </w:tcPr>
          <w:p w14:paraId="61B04D44">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 xml:space="preserve"> 平均每个点30米 </w:t>
            </w:r>
          </w:p>
        </w:tc>
      </w:tr>
      <w:tr w14:paraId="197B534E">
        <w:tblPrEx>
          <w:tblCellMar>
            <w:top w:w="0" w:type="dxa"/>
            <w:left w:w="108" w:type="dxa"/>
            <w:bottom w:w="0" w:type="dxa"/>
            <w:right w:w="108" w:type="dxa"/>
          </w:tblCellMar>
        </w:tblPrEx>
        <w:trPr>
          <w:trHeight w:val="660" w:hRule="atLeast"/>
          <w:jc w:val="center"/>
        </w:trPr>
        <w:tc>
          <w:tcPr>
            <w:tcW w:w="489" w:type="dxa"/>
            <w:tcBorders>
              <w:top w:val="single" w:color="000000" w:sz="4" w:space="0"/>
              <w:left w:val="single" w:color="000000" w:sz="4" w:space="0"/>
              <w:bottom w:val="single" w:color="000000" w:sz="4" w:space="0"/>
              <w:right w:val="single" w:color="000000" w:sz="4" w:space="0"/>
            </w:tcBorders>
            <w:noWrap w:val="0"/>
            <w:vAlign w:val="center"/>
          </w:tcPr>
          <w:p w14:paraId="4C9C41A7">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20</w:t>
            </w:r>
          </w:p>
        </w:tc>
        <w:tc>
          <w:tcPr>
            <w:tcW w:w="807" w:type="dxa"/>
            <w:tcBorders>
              <w:top w:val="single" w:color="000000" w:sz="4" w:space="0"/>
              <w:left w:val="single" w:color="000000" w:sz="4" w:space="0"/>
              <w:bottom w:val="single" w:color="000000" w:sz="4" w:space="0"/>
              <w:right w:val="single" w:color="000000" w:sz="4" w:space="0"/>
            </w:tcBorders>
            <w:noWrap w:val="0"/>
            <w:vAlign w:val="center"/>
          </w:tcPr>
          <w:p w14:paraId="2F516982">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光纤跳线</w:t>
            </w:r>
          </w:p>
        </w:tc>
        <w:tc>
          <w:tcPr>
            <w:tcW w:w="5941" w:type="dxa"/>
            <w:tcBorders>
              <w:top w:val="single" w:color="000000" w:sz="4" w:space="0"/>
              <w:left w:val="single" w:color="000000" w:sz="4" w:space="0"/>
              <w:bottom w:val="single" w:color="000000" w:sz="4" w:space="0"/>
              <w:right w:val="single" w:color="000000" w:sz="4" w:space="0"/>
            </w:tcBorders>
            <w:noWrap w:val="0"/>
            <w:vAlign w:val="center"/>
          </w:tcPr>
          <w:p w14:paraId="7C6C77F9">
            <w:pPr>
              <w:widowControl/>
              <w:jc w:val="left"/>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2m</w:t>
            </w:r>
            <w:r>
              <w:rPr>
                <w:rFonts w:hint="eastAsia" w:ascii="宋体" w:hAnsi="宋体" w:cs="宋体"/>
                <w:sz w:val="24"/>
                <w:szCs w:val="24"/>
              </w:rPr>
              <w:t>，SC-LC</w:t>
            </w:r>
          </w:p>
        </w:tc>
        <w:tc>
          <w:tcPr>
            <w:tcW w:w="502" w:type="dxa"/>
            <w:tcBorders>
              <w:top w:val="single" w:color="000000" w:sz="4" w:space="0"/>
              <w:left w:val="single" w:color="000000" w:sz="4" w:space="0"/>
              <w:bottom w:val="single" w:color="000000" w:sz="4" w:space="0"/>
              <w:right w:val="single" w:color="000000" w:sz="4" w:space="0"/>
            </w:tcBorders>
            <w:noWrap w:val="0"/>
            <w:vAlign w:val="center"/>
          </w:tcPr>
          <w:p w14:paraId="41F4D6FB">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条</w:t>
            </w:r>
          </w:p>
        </w:tc>
        <w:tc>
          <w:tcPr>
            <w:tcW w:w="597" w:type="dxa"/>
            <w:tcBorders>
              <w:top w:val="single" w:color="000000" w:sz="4" w:space="0"/>
              <w:left w:val="single" w:color="000000" w:sz="4" w:space="0"/>
              <w:bottom w:val="single" w:color="000000" w:sz="4" w:space="0"/>
              <w:right w:val="single" w:color="000000" w:sz="4" w:space="0"/>
            </w:tcBorders>
            <w:noWrap w:val="0"/>
            <w:vAlign w:val="center"/>
          </w:tcPr>
          <w:p w14:paraId="7CEC8B75">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90</w:t>
            </w:r>
          </w:p>
        </w:tc>
        <w:tc>
          <w:tcPr>
            <w:tcW w:w="1615" w:type="dxa"/>
            <w:tcBorders>
              <w:top w:val="single" w:color="000000" w:sz="4" w:space="0"/>
              <w:left w:val="single" w:color="000000" w:sz="4" w:space="0"/>
              <w:bottom w:val="single" w:color="000000" w:sz="4" w:space="0"/>
              <w:right w:val="single" w:color="000000" w:sz="4" w:space="0"/>
            </w:tcBorders>
            <w:noWrap w:val="0"/>
            <w:vAlign w:val="center"/>
          </w:tcPr>
          <w:p w14:paraId="6F923FA3">
            <w:pPr>
              <w:jc w:val="center"/>
              <w:rPr>
                <w:rFonts w:hint="eastAsia" w:ascii="宋体" w:hAnsi="宋体" w:cs="宋体"/>
                <w:color w:val="000000"/>
                <w:sz w:val="24"/>
                <w:szCs w:val="24"/>
              </w:rPr>
            </w:pPr>
          </w:p>
        </w:tc>
      </w:tr>
      <w:tr w14:paraId="28389BEE">
        <w:tblPrEx>
          <w:tblCellMar>
            <w:top w:w="0" w:type="dxa"/>
            <w:left w:w="108" w:type="dxa"/>
            <w:bottom w:w="0" w:type="dxa"/>
            <w:right w:w="108" w:type="dxa"/>
          </w:tblCellMar>
        </w:tblPrEx>
        <w:trPr>
          <w:trHeight w:val="660" w:hRule="atLeast"/>
          <w:jc w:val="center"/>
        </w:trPr>
        <w:tc>
          <w:tcPr>
            <w:tcW w:w="489" w:type="dxa"/>
            <w:tcBorders>
              <w:top w:val="single" w:color="000000" w:sz="4" w:space="0"/>
              <w:left w:val="single" w:color="000000" w:sz="4" w:space="0"/>
              <w:bottom w:val="single" w:color="000000" w:sz="4" w:space="0"/>
              <w:right w:val="single" w:color="000000" w:sz="4" w:space="0"/>
            </w:tcBorders>
            <w:noWrap w:val="0"/>
            <w:vAlign w:val="center"/>
          </w:tcPr>
          <w:p w14:paraId="0D3D46AD">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21</w:t>
            </w:r>
          </w:p>
        </w:tc>
        <w:tc>
          <w:tcPr>
            <w:tcW w:w="807" w:type="dxa"/>
            <w:tcBorders>
              <w:top w:val="single" w:color="000000" w:sz="4" w:space="0"/>
              <w:left w:val="single" w:color="000000" w:sz="4" w:space="0"/>
              <w:bottom w:val="single" w:color="000000" w:sz="4" w:space="0"/>
              <w:right w:val="single" w:color="000000" w:sz="4" w:space="0"/>
            </w:tcBorders>
            <w:noWrap w:val="0"/>
            <w:vAlign w:val="center"/>
          </w:tcPr>
          <w:p w14:paraId="0C90A9E2">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pvc线槽</w:t>
            </w:r>
          </w:p>
        </w:tc>
        <w:tc>
          <w:tcPr>
            <w:tcW w:w="5941" w:type="dxa"/>
            <w:tcBorders>
              <w:top w:val="single" w:color="000000" w:sz="4" w:space="0"/>
              <w:left w:val="single" w:color="000000" w:sz="4" w:space="0"/>
              <w:bottom w:val="single" w:color="000000" w:sz="4" w:space="0"/>
              <w:right w:val="single" w:color="000000" w:sz="4" w:space="0"/>
            </w:tcBorders>
            <w:noWrap w:val="0"/>
            <w:vAlign w:val="center"/>
          </w:tcPr>
          <w:p w14:paraId="0455BB37">
            <w:pPr>
              <w:widowControl/>
              <w:jc w:val="left"/>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30mm*15mm*2mm</w:t>
            </w:r>
          </w:p>
        </w:tc>
        <w:tc>
          <w:tcPr>
            <w:tcW w:w="502" w:type="dxa"/>
            <w:tcBorders>
              <w:top w:val="single" w:color="000000" w:sz="4" w:space="0"/>
              <w:left w:val="single" w:color="000000" w:sz="4" w:space="0"/>
              <w:bottom w:val="single" w:color="000000" w:sz="4" w:space="0"/>
              <w:right w:val="single" w:color="000000" w:sz="4" w:space="0"/>
            </w:tcBorders>
            <w:noWrap w:val="0"/>
            <w:vAlign w:val="center"/>
          </w:tcPr>
          <w:p w14:paraId="36A8CF95">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米</w:t>
            </w:r>
          </w:p>
        </w:tc>
        <w:tc>
          <w:tcPr>
            <w:tcW w:w="597" w:type="dxa"/>
            <w:tcBorders>
              <w:top w:val="single" w:color="000000" w:sz="4" w:space="0"/>
              <w:left w:val="single" w:color="000000" w:sz="4" w:space="0"/>
              <w:bottom w:val="single" w:color="000000" w:sz="4" w:space="0"/>
              <w:right w:val="single" w:color="000000" w:sz="4" w:space="0"/>
            </w:tcBorders>
            <w:noWrap w:val="0"/>
            <w:vAlign w:val="center"/>
          </w:tcPr>
          <w:p w14:paraId="79FD4045">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3600</w:t>
            </w:r>
          </w:p>
        </w:tc>
        <w:tc>
          <w:tcPr>
            <w:tcW w:w="1615" w:type="dxa"/>
            <w:tcBorders>
              <w:top w:val="single" w:color="000000" w:sz="4" w:space="0"/>
              <w:left w:val="single" w:color="000000" w:sz="4" w:space="0"/>
              <w:bottom w:val="single" w:color="000000" w:sz="4" w:space="0"/>
              <w:right w:val="single" w:color="000000" w:sz="4" w:space="0"/>
            </w:tcBorders>
            <w:noWrap w:val="0"/>
            <w:vAlign w:val="center"/>
          </w:tcPr>
          <w:p w14:paraId="6A7D993C">
            <w:pPr>
              <w:jc w:val="center"/>
              <w:rPr>
                <w:rFonts w:hint="eastAsia" w:ascii="宋体" w:hAnsi="宋体" w:cs="宋体"/>
                <w:color w:val="000000"/>
                <w:sz w:val="24"/>
                <w:szCs w:val="24"/>
              </w:rPr>
            </w:pPr>
          </w:p>
        </w:tc>
      </w:tr>
      <w:tr w14:paraId="77A265D8">
        <w:tblPrEx>
          <w:tblCellMar>
            <w:top w:w="0" w:type="dxa"/>
            <w:left w:w="108" w:type="dxa"/>
            <w:bottom w:w="0" w:type="dxa"/>
            <w:right w:w="108" w:type="dxa"/>
          </w:tblCellMar>
        </w:tblPrEx>
        <w:trPr>
          <w:trHeight w:val="660" w:hRule="atLeast"/>
          <w:jc w:val="center"/>
        </w:trPr>
        <w:tc>
          <w:tcPr>
            <w:tcW w:w="489" w:type="dxa"/>
            <w:tcBorders>
              <w:top w:val="single" w:color="000000" w:sz="4" w:space="0"/>
              <w:left w:val="single" w:color="000000" w:sz="4" w:space="0"/>
              <w:bottom w:val="single" w:color="000000" w:sz="4" w:space="0"/>
              <w:right w:val="single" w:color="000000" w:sz="4" w:space="0"/>
            </w:tcBorders>
            <w:noWrap w:val="0"/>
            <w:vAlign w:val="center"/>
          </w:tcPr>
          <w:p w14:paraId="712E0466">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22</w:t>
            </w:r>
          </w:p>
        </w:tc>
        <w:tc>
          <w:tcPr>
            <w:tcW w:w="807" w:type="dxa"/>
            <w:tcBorders>
              <w:top w:val="single" w:color="000000" w:sz="4" w:space="0"/>
              <w:left w:val="single" w:color="000000" w:sz="4" w:space="0"/>
              <w:bottom w:val="single" w:color="000000" w:sz="4" w:space="0"/>
              <w:right w:val="single" w:color="000000" w:sz="4" w:space="0"/>
            </w:tcBorders>
            <w:noWrap w:val="0"/>
            <w:vAlign w:val="center"/>
          </w:tcPr>
          <w:p w14:paraId="1574DF2D">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电源线</w:t>
            </w:r>
          </w:p>
        </w:tc>
        <w:tc>
          <w:tcPr>
            <w:tcW w:w="5941" w:type="dxa"/>
            <w:tcBorders>
              <w:top w:val="single" w:color="000000" w:sz="4" w:space="0"/>
              <w:left w:val="single" w:color="000000" w:sz="4" w:space="0"/>
              <w:bottom w:val="single" w:color="000000" w:sz="4" w:space="0"/>
              <w:right w:val="single" w:color="000000" w:sz="4" w:space="0"/>
            </w:tcBorders>
            <w:noWrap w:val="0"/>
            <w:vAlign w:val="center"/>
          </w:tcPr>
          <w:p w14:paraId="24B3B000">
            <w:pPr>
              <w:widowControl/>
              <w:jc w:val="left"/>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RVV2*1.0</w:t>
            </w:r>
          </w:p>
        </w:tc>
        <w:tc>
          <w:tcPr>
            <w:tcW w:w="502" w:type="dxa"/>
            <w:tcBorders>
              <w:top w:val="single" w:color="000000" w:sz="4" w:space="0"/>
              <w:left w:val="single" w:color="000000" w:sz="4" w:space="0"/>
              <w:bottom w:val="single" w:color="000000" w:sz="4" w:space="0"/>
              <w:right w:val="single" w:color="000000" w:sz="4" w:space="0"/>
            </w:tcBorders>
            <w:noWrap w:val="0"/>
            <w:vAlign w:val="center"/>
          </w:tcPr>
          <w:p w14:paraId="73CA6CE4">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米</w:t>
            </w:r>
          </w:p>
        </w:tc>
        <w:tc>
          <w:tcPr>
            <w:tcW w:w="597" w:type="dxa"/>
            <w:tcBorders>
              <w:top w:val="single" w:color="000000" w:sz="4" w:space="0"/>
              <w:left w:val="single" w:color="000000" w:sz="4" w:space="0"/>
              <w:bottom w:val="single" w:color="000000" w:sz="4" w:space="0"/>
              <w:right w:val="single" w:color="000000" w:sz="4" w:space="0"/>
            </w:tcBorders>
            <w:noWrap w:val="0"/>
            <w:vAlign w:val="center"/>
          </w:tcPr>
          <w:p w14:paraId="0122F429">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bidi="ar"/>
              </w:rPr>
              <w:t>600</w:t>
            </w:r>
          </w:p>
        </w:tc>
        <w:tc>
          <w:tcPr>
            <w:tcW w:w="1615" w:type="dxa"/>
            <w:tcBorders>
              <w:top w:val="single" w:color="000000" w:sz="4" w:space="0"/>
              <w:left w:val="single" w:color="000000" w:sz="4" w:space="0"/>
              <w:bottom w:val="single" w:color="000000" w:sz="4" w:space="0"/>
              <w:right w:val="single" w:color="000000" w:sz="4" w:space="0"/>
            </w:tcBorders>
            <w:noWrap w:val="0"/>
            <w:vAlign w:val="center"/>
          </w:tcPr>
          <w:p w14:paraId="5A067D9C">
            <w:pPr>
              <w:jc w:val="center"/>
              <w:rPr>
                <w:rFonts w:hint="eastAsia" w:ascii="宋体" w:hAnsi="宋体" w:cs="宋体"/>
                <w:color w:val="000000"/>
                <w:sz w:val="24"/>
                <w:szCs w:val="24"/>
              </w:rPr>
            </w:pPr>
          </w:p>
        </w:tc>
      </w:tr>
      <w:tr w14:paraId="55F27D6F">
        <w:tblPrEx>
          <w:tblCellMar>
            <w:top w:w="0" w:type="dxa"/>
            <w:left w:w="108" w:type="dxa"/>
            <w:bottom w:w="0" w:type="dxa"/>
            <w:right w:w="108" w:type="dxa"/>
          </w:tblCellMar>
        </w:tblPrEx>
        <w:trPr>
          <w:trHeight w:val="2440" w:hRule="atLeast"/>
          <w:jc w:val="center"/>
        </w:trPr>
        <w:tc>
          <w:tcPr>
            <w:tcW w:w="9951" w:type="dxa"/>
            <w:gridSpan w:val="6"/>
            <w:tcBorders>
              <w:top w:val="nil"/>
              <w:left w:val="nil"/>
              <w:bottom w:val="nil"/>
              <w:right w:val="nil"/>
            </w:tcBorders>
            <w:noWrap w:val="0"/>
            <w:vAlign w:val="center"/>
          </w:tcPr>
          <w:p w14:paraId="137167A7">
            <w:pPr>
              <w:widowControl/>
              <w:numPr>
                <w:ilvl w:val="0"/>
                <w:numId w:val="4"/>
              </w:numPr>
              <w:spacing w:line="360" w:lineRule="auto"/>
              <w:jc w:val="left"/>
              <w:textAlignment w:val="center"/>
              <w:rPr>
                <w:rFonts w:hint="eastAsia" w:ascii="宋体" w:hAnsi="宋体" w:cs="宋体"/>
                <w:color w:val="000000"/>
                <w:sz w:val="24"/>
                <w:szCs w:val="24"/>
                <w:lang w:bidi="ar"/>
              </w:rPr>
            </w:pPr>
            <w:r>
              <w:rPr>
                <w:rFonts w:hint="eastAsia" w:ascii="宋体" w:hAnsi="宋体" w:cs="宋体"/>
                <w:sz w:val="24"/>
                <w:szCs w:val="24"/>
                <w:lang w:bidi="ar"/>
              </w:rPr>
              <w:t>工期要求：30天</w:t>
            </w:r>
            <w:r>
              <w:rPr>
                <w:rFonts w:hint="eastAsia" w:ascii="宋体" w:hAnsi="宋体" w:cs="宋体"/>
                <w:color w:val="000000"/>
                <w:sz w:val="24"/>
                <w:szCs w:val="24"/>
                <w:lang w:bidi="ar"/>
              </w:rPr>
              <w:br w:type="textWrapping"/>
            </w:r>
            <w:r>
              <w:rPr>
                <w:rFonts w:hint="eastAsia" w:ascii="宋体" w:hAnsi="宋体" w:cs="宋体"/>
                <w:color w:val="000000"/>
                <w:sz w:val="24"/>
                <w:szCs w:val="24"/>
                <w:lang w:bidi="ar"/>
              </w:rPr>
              <w:t>三、服务要求：</w:t>
            </w:r>
          </w:p>
          <w:p w14:paraId="12A73C82">
            <w:pPr>
              <w:widowControl/>
              <w:numPr>
                <w:ilvl w:val="0"/>
                <w:numId w:val="5"/>
              </w:numPr>
              <w:spacing w:line="360" w:lineRule="auto"/>
              <w:ind w:firstLine="480" w:firstLineChars="200"/>
              <w:jc w:val="left"/>
              <w:textAlignment w:val="center"/>
              <w:rPr>
                <w:rFonts w:hint="eastAsia" w:ascii="宋体" w:hAnsi="宋体" w:cs="宋体"/>
                <w:color w:val="000000"/>
                <w:sz w:val="24"/>
                <w:szCs w:val="24"/>
                <w:lang w:bidi="ar"/>
              </w:rPr>
            </w:pPr>
            <w:r>
              <w:rPr>
                <w:rFonts w:hint="eastAsia" w:ascii="宋体" w:hAnsi="宋体" w:cs="宋体"/>
                <w:color w:val="000000"/>
                <w:sz w:val="24"/>
                <w:szCs w:val="24"/>
                <w:lang w:bidi="ar"/>
              </w:rPr>
              <w:t>针对雁翅镇、清水镇、斋堂镇、王平镇、军庄镇、潭柘寺镇、妙峰山镇、龙泉镇、永定镇管辖内的87个社区卫生室提供服务，包括但不限于提供送货、安装、标识、测试、网线敷设、综合布线、系统调试、培训等集成服务，保证整套系统的正常运转。</w:t>
            </w:r>
          </w:p>
          <w:p w14:paraId="5D131808">
            <w:pPr>
              <w:widowControl/>
              <w:spacing w:line="360" w:lineRule="auto"/>
              <w:ind w:firstLine="480" w:firstLineChars="200"/>
              <w:jc w:val="left"/>
              <w:textAlignment w:val="center"/>
              <w:rPr>
                <w:rFonts w:hint="eastAsia" w:ascii="宋体" w:hAnsi="宋体" w:cs="宋体"/>
                <w:color w:val="000000"/>
                <w:sz w:val="24"/>
                <w:szCs w:val="24"/>
                <w:lang w:bidi="ar"/>
              </w:rPr>
            </w:pPr>
            <w:r>
              <w:rPr>
                <w:rFonts w:hint="eastAsia" w:ascii="宋体" w:hAnsi="宋体" w:cs="宋体"/>
                <w:color w:val="000000"/>
                <w:sz w:val="24"/>
                <w:szCs w:val="24"/>
                <w:lang w:bidi="ar"/>
              </w:rPr>
              <w:t>2.卫健委机房网络服务器的网络及设备安装布署，要考虑兼容性和匹配性，在保证原有数据的基础上进行系统对接，实现87个卫生室点位与卫生专网接通、实现监控信息与所在属地卫生院联通、所有卫生院实现与卫生健康委联通（含设备配置）等。</w:t>
            </w:r>
          </w:p>
          <w:p w14:paraId="0C36D9E9">
            <w:pPr>
              <w:widowControl/>
              <w:spacing w:line="360" w:lineRule="auto"/>
              <w:ind w:firstLine="480" w:firstLineChars="200"/>
              <w:jc w:val="left"/>
              <w:textAlignment w:val="center"/>
              <w:rPr>
                <w:rFonts w:hint="eastAsia" w:ascii="宋体" w:hAnsi="宋体" w:cs="宋体"/>
                <w:color w:val="000000"/>
                <w:sz w:val="24"/>
                <w:szCs w:val="24"/>
              </w:rPr>
            </w:pPr>
            <w:r>
              <w:rPr>
                <w:rFonts w:hint="eastAsia" w:ascii="宋体" w:hAnsi="宋体" w:cs="宋体"/>
                <w:color w:val="000000"/>
                <w:sz w:val="24"/>
                <w:szCs w:val="24"/>
                <w:lang w:bidi="ar"/>
              </w:rPr>
              <w:t>3.针对各个卫生室的要求进供培训，指导及使用指南等，提供7*24小时运维技术支持，确保设备问题能够及时解决服务。提供定期上门巡检服务，确保设备正常运行。监控信息至少保存3个月及以上。设备质保期36个月。</w:t>
            </w:r>
          </w:p>
        </w:tc>
      </w:tr>
      <w:bookmarkEnd w:id="20"/>
    </w:tbl>
    <w:p w14:paraId="30CE886E">
      <w:bookmarkStart w:id="21" w:name="_GoBack"/>
      <w:bookmarkEnd w:id="2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039F84"/>
    <w:multiLevelType w:val="singleLevel"/>
    <w:tmpl w:val="AE039F84"/>
    <w:lvl w:ilvl="0" w:tentative="0">
      <w:start w:val="4"/>
      <w:numFmt w:val="decimal"/>
      <w:lvlText w:val="%1."/>
      <w:lvlJc w:val="left"/>
      <w:pPr>
        <w:tabs>
          <w:tab w:val="left" w:pos="312"/>
        </w:tabs>
      </w:pPr>
    </w:lvl>
  </w:abstractNum>
  <w:abstractNum w:abstractNumId="1">
    <w:nsid w:val="B794AFBF"/>
    <w:multiLevelType w:val="singleLevel"/>
    <w:tmpl w:val="B794AFBF"/>
    <w:lvl w:ilvl="0" w:tentative="0">
      <w:start w:val="2"/>
      <w:numFmt w:val="chineseCounting"/>
      <w:suff w:val="nothing"/>
      <w:lvlText w:val="%1、"/>
      <w:lvlJc w:val="left"/>
      <w:rPr>
        <w:rFonts w:hint="eastAsia"/>
      </w:rPr>
    </w:lvl>
  </w:abstractNum>
  <w:abstractNum w:abstractNumId="2">
    <w:nsid w:val="FEEEB9DC"/>
    <w:multiLevelType w:val="singleLevel"/>
    <w:tmpl w:val="FEEEB9DC"/>
    <w:lvl w:ilvl="0" w:tentative="0">
      <w:start w:val="1"/>
      <w:numFmt w:val="decimal"/>
      <w:suff w:val="nothing"/>
      <w:lvlText w:val="（%1）"/>
      <w:lvlJc w:val="left"/>
    </w:lvl>
  </w:abstractNum>
  <w:abstractNum w:abstractNumId="3">
    <w:nsid w:val="58907602"/>
    <w:multiLevelType w:val="singleLevel"/>
    <w:tmpl w:val="58907602"/>
    <w:lvl w:ilvl="0" w:tentative="0">
      <w:start w:val="5"/>
      <w:numFmt w:val="chineseCounting"/>
      <w:suff w:val="nothing"/>
      <w:lvlText w:val="%1、"/>
      <w:lvlJc w:val="left"/>
      <w:rPr>
        <w:rFonts w:hint="eastAsia"/>
        <w:color w:val="auto"/>
      </w:rPr>
    </w:lvl>
  </w:abstractNum>
  <w:abstractNum w:abstractNumId="4">
    <w:nsid w:val="66D49BF8"/>
    <w:multiLevelType w:val="singleLevel"/>
    <w:tmpl w:val="66D49BF8"/>
    <w:lvl w:ilvl="0" w:tentative="0">
      <w:start w:val="1"/>
      <w:numFmt w:val="decimal"/>
      <w:suff w:val="nothing"/>
      <w:lvlText w:val="%1、"/>
      <w:lvlJc w:val="left"/>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8738D6"/>
    <w:rsid w:val="248738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tabs>
        <w:tab w:val="left" w:pos="567"/>
      </w:tabs>
      <w:spacing w:before="120" w:line="22" w:lineRule="atLeast"/>
    </w:pPr>
    <w:rPr>
      <w:rFonts w:ascii="宋体" w:hAnsi="宋体"/>
      <w:sz w:val="24"/>
    </w:rPr>
  </w:style>
  <w:style w:type="paragraph" w:customStyle="1" w:styleId="3">
    <w:name w:val="Default"/>
    <w:qFormat/>
    <w:uiPriority w:val="0"/>
    <w:pPr>
      <w:widowControl w:val="0"/>
      <w:autoSpaceDE w:val="0"/>
      <w:autoSpaceDN w:val="0"/>
      <w:adjustRightInd w:val="0"/>
    </w:pPr>
    <w:rPr>
      <w:rFonts w:ascii="Symbol" w:hAnsi="Symbol" w:eastAsia="宋体" w:cs="Symbol"/>
      <w:color w:val="000000"/>
      <w:sz w:val="24"/>
      <w:szCs w:val="24"/>
      <w:lang w:val="en-US" w:eastAsia="zh-CN" w:bidi="ar-SA"/>
    </w:rPr>
  </w:style>
  <w:style w:type="paragraph" w:styleId="4">
    <w:name w:val="Title"/>
    <w:basedOn w:val="1"/>
    <w:qFormat/>
    <w:uiPriority w:val="0"/>
    <w:pPr>
      <w:jc w:val="center"/>
      <w:outlineLvl w:val="0"/>
    </w:pPr>
    <w:rPr>
      <w:b/>
      <w:sz w:val="32"/>
      <w:szCs w:val="20"/>
    </w:rPr>
  </w:style>
  <w:style w:type="paragraph" w:customStyle="1" w:styleId="7">
    <w:name w:val="列表段落1"/>
    <w:basedOn w:val="1"/>
    <w:qFormat/>
    <w:uiPriority w:val="34"/>
    <w:pPr>
      <w:ind w:firstLine="420" w:firstLineChars="200"/>
    </w:pPr>
    <w:rPr>
      <w:rFonts w:ascii="Calibri" w:hAnsi="Calibri"/>
      <w:szCs w:val="22"/>
    </w:rPr>
  </w:style>
  <w:style w:type="paragraph" w:customStyle="1" w:styleId="8">
    <w:name w:val="正文3"/>
    <w:qFormat/>
    <w:uiPriority w:val="0"/>
    <w:pPr>
      <w:jc w:val="both"/>
    </w:pPr>
    <w:rPr>
      <w:rFonts w:ascii="Calibri" w:hAnsi="Calibri" w:eastAsia="宋体" w:cs="Times New Roman"/>
      <w:kern w:val="2"/>
      <w:sz w:val="21"/>
      <w:szCs w:val="21"/>
      <w:lang w:val="en-US" w:eastAsia="zh-CN" w:bidi="ar-SA"/>
    </w:rPr>
  </w:style>
  <w:style w:type="paragraph" w:customStyle="1" w:styleId="9">
    <w:name w:val="列出段落1"/>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2025-08-14T04:00:00Z</dcterms:created>
  <dc:creator>吻安</dc:creator>
  <cp:lastModifiedBy>吻安</cp:lastModifiedBy>
  <dcterms:modified xsi:type="dcterms:W3CDTF">2025-08-14T04:00:42Z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6D79D4CF75BC42728D21D6909213F660_11</vt:lpwstr>
  </property>
  <property fmtid="{D5CDD505-2E9C-101B-9397-08002B2CF9AE}" pid="4" name="KSOTemplateDocerSaveRecord">
    <vt:lpwstr>eyJoZGlkIjoiNTU3MWFmY2JmYjBmNTA2M2Q0ZWY5MzgxYzE5YjliMzUiLCJ1c2VySWQiOiI0NjI2NDg4MjcifQ==</vt:lpwstr>
  </property>
</Properties>
</file>