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3C556">
      <w:pPr>
        <w:spacing w:line="360" w:lineRule="auto"/>
        <w:jc w:val="center"/>
        <w:outlineLvl w:val="0"/>
        <w:rPr>
          <w:b/>
          <w:sz w:val="36"/>
          <w:szCs w:val="36"/>
        </w:rPr>
      </w:pPr>
      <w:r>
        <w:rPr>
          <w:b/>
          <w:sz w:val="36"/>
          <w:szCs w:val="36"/>
        </w:rPr>
        <w:t>采购需求</w:t>
      </w:r>
    </w:p>
    <w:p w14:paraId="16B621F2">
      <w:pPr>
        <w:spacing w:line="360" w:lineRule="auto"/>
        <w:contextualSpacing/>
        <w:rPr>
          <w:sz w:val="24"/>
        </w:rPr>
      </w:pPr>
    </w:p>
    <w:p w14:paraId="3800551B">
      <w:pPr>
        <w:widowControl w:val="0"/>
        <w:spacing w:after="160" w:line="360" w:lineRule="auto"/>
        <w:ind w:left="500" w:hanging="500" w:firstLineChars="0"/>
        <w:contextualSpacing/>
        <w:jc w:val="both"/>
        <w:rPr>
          <w:rFonts w:ascii="Times New Roman" w:hAnsi="Times New Roman" w:eastAsia="宋体" w:cs="Times New Roman"/>
          <w:b/>
          <w:kern w:val="2"/>
          <w:sz w:val="24"/>
          <w:szCs w:val="24"/>
          <w:lang w:val="en-US" w:eastAsia="zh-CN" w:bidi="ar-SA"/>
        </w:rPr>
      </w:pPr>
      <w:r>
        <w:rPr>
          <w:rFonts w:ascii="Times New Roman" w:hAnsi="Times New Roman" w:eastAsia="宋体" w:cs="Times New Roman"/>
          <w:b/>
          <w:kern w:val="2"/>
          <w:sz w:val="24"/>
          <w:szCs w:val="24"/>
          <w:lang w:val="en-US" w:eastAsia="zh-CN" w:bidi="ar-SA"/>
        </w:rPr>
        <w:t>一、采购标的</w:t>
      </w:r>
    </w:p>
    <w:tbl>
      <w:tblPr>
        <w:tblStyle w:val="5"/>
        <w:tblW w:w="7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2732"/>
        <w:gridCol w:w="1592"/>
        <w:gridCol w:w="2250"/>
      </w:tblGrid>
      <w:tr w14:paraId="0933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exact"/>
          <w:jc w:val="center"/>
        </w:trPr>
        <w:tc>
          <w:tcPr>
            <w:tcW w:w="1095" w:type="dxa"/>
            <w:shd w:val="clear" w:color="auto" w:fill="auto"/>
            <w:vAlign w:val="center"/>
          </w:tcPr>
          <w:p w14:paraId="4CF57F04">
            <w:pPr>
              <w:jc w:val="center"/>
              <w:rPr>
                <w:rFonts w:ascii="宋体"/>
                <w:b/>
                <w:bCs/>
                <w:kern w:val="0"/>
                <w:sz w:val="24"/>
              </w:rPr>
            </w:pPr>
            <w:r>
              <w:rPr>
                <w:rFonts w:hint="eastAsia" w:ascii="宋体" w:hAnsi="宋体" w:cs="宋体"/>
                <w:b/>
                <w:bCs/>
                <w:kern w:val="0"/>
                <w:sz w:val="24"/>
              </w:rPr>
              <w:t>包号</w:t>
            </w:r>
          </w:p>
        </w:tc>
        <w:tc>
          <w:tcPr>
            <w:tcW w:w="2732" w:type="dxa"/>
            <w:shd w:val="clear" w:color="auto" w:fill="auto"/>
            <w:vAlign w:val="center"/>
          </w:tcPr>
          <w:p w14:paraId="2161AA4A">
            <w:pPr>
              <w:widowControl/>
              <w:jc w:val="center"/>
              <w:rPr>
                <w:rFonts w:ascii="宋体"/>
                <w:b/>
                <w:bCs/>
                <w:kern w:val="0"/>
                <w:sz w:val="24"/>
              </w:rPr>
            </w:pPr>
            <w:r>
              <w:rPr>
                <w:rFonts w:hint="eastAsia" w:ascii="宋体" w:hAnsi="宋体" w:cs="宋体"/>
                <w:b/>
                <w:bCs/>
                <w:kern w:val="0"/>
                <w:sz w:val="24"/>
              </w:rPr>
              <w:t>采购内容</w:t>
            </w:r>
          </w:p>
        </w:tc>
        <w:tc>
          <w:tcPr>
            <w:tcW w:w="1592" w:type="dxa"/>
            <w:shd w:val="clear" w:color="auto" w:fill="auto"/>
            <w:vAlign w:val="center"/>
          </w:tcPr>
          <w:p w14:paraId="50C43042">
            <w:pPr>
              <w:widowControl/>
              <w:jc w:val="center"/>
              <w:rPr>
                <w:rFonts w:ascii="宋体"/>
                <w:b/>
                <w:bCs/>
                <w:kern w:val="0"/>
                <w:sz w:val="24"/>
              </w:rPr>
            </w:pPr>
            <w:r>
              <w:rPr>
                <w:rFonts w:hint="eastAsia" w:ascii="宋体" w:hAnsi="宋体" w:cs="宋体"/>
                <w:b/>
                <w:bCs/>
                <w:kern w:val="0"/>
                <w:sz w:val="24"/>
              </w:rPr>
              <w:t>数量</w:t>
            </w:r>
          </w:p>
        </w:tc>
        <w:tc>
          <w:tcPr>
            <w:tcW w:w="2250" w:type="dxa"/>
            <w:shd w:val="clear" w:color="auto" w:fill="auto"/>
            <w:vAlign w:val="center"/>
          </w:tcPr>
          <w:p w14:paraId="79F7D3C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宋体" w:hAnsi="宋体" w:cs="宋体"/>
                <w:b/>
                <w:bCs/>
                <w:kern w:val="0"/>
                <w:sz w:val="24"/>
              </w:rPr>
            </w:pPr>
            <w:r>
              <w:rPr>
                <w:rFonts w:hint="eastAsia" w:ascii="宋体" w:hAnsi="宋体" w:cs="宋体"/>
                <w:b/>
                <w:bCs/>
                <w:kern w:val="0"/>
                <w:sz w:val="24"/>
              </w:rPr>
              <w:t>是否允许采购</w:t>
            </w:r>
          </w:p>
          <w:p w14:paraId="32BAF1D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宋体" w:hAnsi="宋体" w:cs="宋体"/>
                <w:b/>
                <w:bCs/>
                <w:kern w:val="0"/>
                <w:sz w:val="24"/>
              </w:rPr>
            </w:pPr>
            <w:r>
              <w:rPr>
                <w:rFonts w:hint="eastAsia" w:ascii="宋体" w:hAnsi="宋体" w:cs="宋体"/>
                <w:b/>
                <w:bCs/>
                <w:kern w:val="0"/>
                <w:sz w:val="24"/>
              </w:rPr>
              <w:t>进口产品</w:t>
            </w:r>
          </w:p>
        </w:tc>
      </w:tr>
      <w:tr w14:paraId="3AFA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095" w:type="dxa"/>
            <w:shd w:val="clear" w:color="auto" w:fill="auto"/>
            <w:vAlign w:val="center"/>
          </w:tcPr>
          <w:p w14:paraId="2DF6B6C1">
            <w:pPr>
              <w:spacing w:before="120" w:beforeLines="50" w:line="360" w:lineRule="auto"/>
              <w:jc w:val="center"/>
              <w:rPr>
                <w:rFonts w:hint="eastAsia" w:ascii="宋体" w:hAnsi="宋体" w:cs="宋体"/>
                <w:sz w:val="24"/>
              </w:rPr>
            </w:pPr>
            <w:r>
              <w:rPr>
                <w:rFonts w:hint="eastAsia" w:ascii="宋体" w:hAnsi="宋体" w:cs="宋体"/>
                <w:sz w:val="24"/>
              </w:rPr>
              <w:t>03</w:t>
            </w:r>
          </w:p>
        </w:tc>
        <w:tc>
          <w:tcPr>
            <w:tcW w:w="2732" w:type="dxa"/>
            <w:shd w:val="clear" w:color="auto" w:fill="auto"/>
            <w:vAlign w:val="center"/>
          </w:tcPr>
          <w:p w14:paraId="1616B950">
            <w:pPr>
              <w:keepNext w:val="0"/>
              <w:keepLines w:val="0"/>
              <w:pageBreakBefore w:val="0"/>
              <w:widowControl/>
              <w:kinsoku/>
              <w:wordWrap/>
              <w:overflowPunct/>
              <w:topLinePunct w:val="0"/>
              <w:autoSpaceDE/>
              <w:autoSpaceDN/>
              <w:bidi w:val="0"/>
              <w:adjustRightInd/>
              <w:snapToGrid/>
              <w:spacing w:after="0" w:line="279" w:lineRule="auto"/>
              <w:jc w:val="center"/>
              <w:textAlignment w:val="center"/>
              <w:rPr>
                <w:rFonts w:hint="eastAsia" w:ascii="宋体" w:hAnsi="宋体" w:cs="宋体"/>
                <w:bCs/>
                <w:sz w:val="24"/>
              </w:rPr>
            </w:pPr>
            <w:r>
              <w:rPr>
                <w:rFonts w:hint="eastAsia" w:ascii="宋体" w:hAnsi="宋体" w:cs="宋体"/>
                <w:sz w:val="24"/>
              </w:rPr>
              <w:t>区域检验、体检及电子病历共享</w:t>
            </w:r>
          </w:p>
        </w:tc>
        <w:tc>
          <w:tcPr>
            <w:tcW w:w="1592" w:type="dxa"/>
            <w:shd w:val="clear" w:color="auto" w:fill="auto"/>
            <w:vAlign w:val="center"/>
          </w:tcPr>
          <w:p w14:paraId="6C3C76FC">
            <w:pPr>
              <w:spacing w:before="50" w:after="160" w:line="278" w:lineRule="auto"/>
              <w:jc w:val="center"/>
              <w:rPr>
                <w:rFonts w:ascii="宋体" w:hAnsi="Calibri" w:eastAsia="宋体" w:cs="Times New Roman"/>
                <w:kern w:val="2"/>
                <w:sz w:val="24"/>
                <w:szCs w:val="21"/>
                <w:lang w:val="en-US" w:eastAsia="zh-CN" w:bidi="ar-SA"/>
              </w:rPr>
            </w:pPr>
            <w:r>
              <w:rPr>
                <w:rFonts w:hint="eastAsia" w:ascii="宋体" w:hAnsi="Calibri" w:eastAsia="宋体" w:cs="Times New Roman"/>
                <w:kern w:val="2"/>
                <w:sz w:val="24"/>
                <w:szCs w:val="21"/>
                <w:lang w:val="en-US" w:eastAsia="zh-CN" w:bidi="ar-SA"/>
              </w:rPr>
              <w:t>1项</w:t>
            </w:r>
          </w:p>
        </w:tc>
        <w:tc>
          <w:tcPr>
            <w:tcW w:w="2250" w:type="dxa"/>
            <w:shd w:val="clear" w:color="auto" w:fill="auto"/>
            <w:vAlign w:val="center"/>
          </w:tcPr>
          <w:p w14:paraId="6CEC477D">
            <w:pPr>
              <w:spacing w:before="50" w:after="160" w:line="278" w:lineRule="auto"/>
              <w:jc w:val="center"/>
              <w:rPr>
                <w:rFonts w:ascii="宋体" w:hAnsi="Calibri" w:eastAsia="宋体" w:cs="Times New Roman"/>
                <w:kern w:val="2"/>
                <w:sz w:val="24"/>
                <w:szCs w:val="21"/>
                <w:lang w:val="en-US" w:eastAsia="zh-CN" w:bidi="ar-SA"/>
              </w:rPr>
            </w:pPr>
            <w:r>
              <w:rPr>
                <w:rFonts w:hint="eastAsia" w:ascii="宋体" w:hAnsi="Calibri" w:eastAsia="宋体" w:cs="Times New Roman"/>
                <w:kern w:val="2"/>
                <w:sz w:val="24"/>
                <w:szCs w:val="21"/>
                <w:lang w:val="en-US" w:eastAsia="zh-CN" w:bidi="ar-SA"/>
              </w:rPr>
              <w:t>否</w:t>
            </w:r>
          </w:p>
        </w:tc>
      </w:tr>
    </w:tbl>
    <w:p w14:paraId="1C47BA66">
      <w:pPr>
        <w:widowControl w:val="0"/>
        <w:spacing w:after="160" w:line="360" w:lineRule="auto"/>
        <w:ind w:left="499" w:hanging="499" w:firstLineChars="0"/>
        <w:contextualSpacing/>
        <w:jc w:val="both"/>
        <w:rPr>
          <w:rFonts w:ascii="Times New Roman" w:hAnsi="Times New Roman" w:eastAsia="宋体" w:cs="Times New Roman"/>
          <w:b/>
          <w:kern w:val="2"/>
          <w:sz w:val="24"/>
          <w:szCs w:val="24"/>
          <w:lang w:val="en-US" w:eastAsia="zh-CN" w:bidi="ar-SA"/>
        </w:rPr>
      </w:pPr>
    </w:p>
    <w:p w14:paraId="74F529FE">
      <w:pPr>
        <w:widowControl w:val="0"/>
        <w:spacing w:after="160" w:line="360" w:lineRule="auto"/>
        <w:ind w:left="499" w:hanging="499" w:firstLineChars="0"/>
        <w:contextualSpacing/>
        <w:jc w:val="both"/>
        <w:rPr>
          <w:rFonts w:ascii="Times New Roman" w:hAnsi="Times New Roman" w:eastAsia="宋体" w:cs="Times New Roman"/>
          <w:b/>
          <w:kern w:val="2"/>
          <w:sz w:val="24"/>
          <w:szCs w:val="24"/>
          <w:lang w:val="en-US" w:eastAsia="zh-CN" w:bidi="ar-SA"/>
        </w:rPr>
      </w:pPr>
      <w:r>
        <w:rPr>
          <w:rFonts w:ascii="Times New Roman" w:hAnsi="Times New Roman" w:eastAsia="宋体" w:cs="Times New Roman"/>
          <w:b/>
          <w:kern w:val="2"/>
          <w:sz w:val="24"/>
          <w:szCs w:val="24"/>
          <w:lang w:val="en-US" w:eastAsia="zh-CN" w:bidi="ar-SA"/>
        </w:rPr>
        <w:t>二、商务要求</w:t>
      </w:r>
    </w:p>
    <w:p w14:paraId="28F35415">
      <w:pPr>
        <w:spacing w:line="360" w:lineRule="auto"/>
        <w:contextualSpacing/>
        <w:rPr>
          <w:i/>
          <w:sz w:val="24"/>
        </w:rPr>
      </w:pPr>
      <w:r>
        <w:rPr>
          <w:sz w:val="24"/>
        </w:rPr>
        <w:t>1.实施的期限和地点</w:t>
      </w:r>
    </w:p>
    <w:p w14:paraId="23E9511A">
      <w:pPr>
        <w:widowControl w:val="0"/>
        <w:spacing w:after="160" w:line="360" w:lineRule="auto"/>
        <w:jc w:val="both"/>
        <w:outlineLvl w:val="9"/>
        <w:rPr>
          <w:rFonts w:hint="eastAsia" w:ascii="宋体" w:hAnsi="宋体" w:eastAsia="宋体" w:cs="宋体"/>
          <w:b w:val="0"/>
          <w:color w:val="000000"/>
          <w:kern w:val="2"/>
          <w:sz w:val="24"/>
          <w:szCs w:val="24"/>
          <w:lang w:val="en-US" w:eastAsia="zh-CN" w:bidi="ar-SA"/>
        </w:rPr>
      </w:pPr>
      <w:bookmarkStart w:id="0" w:name="_Toc27148"/>
      <w:r>
        <w:rPr>
          <w:rFonts w:ascii="宋体" w:hAnsi="宋体" w:eastAsia="宋体" w:cs="宋体"/>
          <w:b w:val="0"/>
          <w:kern w:val="2"/>
          <w:sz w:val="24"/>
          <w:szCs w:val="24"/>
          <w:lang w:val="en-US" w:eastAsia="zh-CN" w:bidi="ar-SA"/>
        </w:rPr>
        <w:t>1.</w:t>
      </w:r>
      <w:r>
        <w:rPr>
          <w:rFonts w:hint="eastAsia" w:ascii="宋体" w:hAnsi="宋体" w:eastAsia="宋体" w:cs="宋体"/>
          <w:b w:val="0"/>
          <w:kern w:val="2"/>
          <w:sz w:val="24"/>
          <w:szCs w:val="24"/>
          <w:lang w:val="en-US" w:eastAsia="zh-CN" w:bidi="ar-SA"/>
        </w:rPr>
        <w:t>1采购项目（标的）实施的时间：</w:t>
      </w:r>
      <w:bookmarkEnd w:id="0"/>
      <w:r>
        <w:rPr>
          <w:rFonts w:hint="eastAsia" w:ascii="宋体" w:hAnsi="宋体" w:eastAsia="宋体" w:cs="宋体"/>
          <w:b w:val="0"/>
          <w:kern w:val="2"/>
          <w:sz w:val="24"/>
          <w:szCs w:val="24"/>
          <w:lang w:val="en-US" w:eastAsia="zh-CN" w:bidi="ar-SA"/>
        </w:rPr>
        <w:t>项目工期为自签订合同之日起12个月内完成系统改造、安装调试、试运行及人员培训等全部工作</w:t>
      </w:r>
    </w:p>
    <w:p w14:paraId="40F8A618">
      <w:pPr>
        <w:widowControl w:val="0"/>
        <w:spacing w:after="160" w:line="360" w:lineRule="auto"/>
        <w:jc w:val="both"/>
        <w:outlineLvl w:val="9"/>
        <w:rPr>
          <w:rFonts w:ascii="Times New Roman" w:hAnsi="Times New Roman" w:eastAsia="宋体" w:cs="Times New Roman"/>
          <w:b/>
          <w:i/>
          <w:kern w:val="2"/>
          <w:sz w:val="24"/>
          <w:szCs w:val="20"/>
          <w:lang w:val="en-US" w:eastAsia="zh-CN" w:bidi="ar-SA"/>
        </w:rPr>
      </w:pPr>
      <w:bookmarkStart w:id="1" w:name="_Toc6283"/>
      <w:r>
        <w:rPr>
          <w:rFonts w:hint="eastAsia" w:ascii="宋体" w:hAnsi="宋体" w:eastAsia="宋体" w:cs="宋体"/>
          <w:b w:val="0"/>
          <w:kern w:val="2"/>
          <w:sz w:val="24"/>
          <w:szCs w:val="24"/>
          <w:lang w:val="en-US" w:eastAsia="zh-CN" w:bidi="ar-SA"/>
        </w:rPr>
        <w:t>1.</w:t>
      </w:r>
      <w:r>
        <w:rPr>
          <w:rFonts w:ascii="宋体" w:hAnsi="宋体" w:eastAsia="宋体" w:cs="宋体"/>
          <w:b w:val="0"/>
          <w:kern w:val="2"/>
          <w:sz w:val="24"/>
          <w:szCs w:val="24"/>
          <w:lang w:val="en-US" w:eastAsia="zh-CN" w:bidi="ar-SA"/>
        </w:rPr>
        <w:t>2</w:t>
      </w:r>
      <w:r>
        <w:rPr>
          <w:rFonts w:hint="eastAsia" w:ascii="宋体" w:hAnsi="宋体" w:eastAsia="宋体" w:cs="宋体"/>
          <w:b w:val="0"/>
          <w:kern w:val="2"/>
          <w:sz w:val="24"/>
          <w:szCs w:val="24"/>
          <w:lang w:val="en-US" w:eastAsia="zh-CN" w:bidi="ar-SA"/>
        </w:rPr>
        <w:t>采购项目（标的）实施的地点：北京市门头沟区卫生健康委员会指定地点</w:t>
      </w:r>
      <w:bookmarkEnd w:id="1"/>
    </w:p>
    <w:p w14:paraId="3EE13584">
      <w:pPr>
        <w:spacing w:line="360" w:lineRule="auto"/>
        <w:contextualSpacing/>
        <w:rPr>
          <w:sz w:val="24"/>
        </w:rPr>
      </w:pPr>
      <w:r>
        <w:rPr>
          <w:sz w:val="24"/>
        </w:rPr>
        <w:t>2.付款条件（进度和方式）</w:t>
      </w:r>
    </w:p>
    <w:p w14:paraId="152D832E">
      <w:pPr>
        <w:spacing w:line="360" w:lineRule="auto"/>
        <w:contextualSpacing/>
        <w:rPr>
          <w:bCs/>
          <w:iCs/>
          <w:sz w:val="24"/>
        </w:rPr>
      </w:pPr>
      <w:r>
        <w:rPr>
          <w:rFonts w:hint="eastAsia" w:ascii="宋体" w:hAnsi="宋体" w:cs="宋体"/>
          <w:sz w:val="24"/>
        </w:rPr>
        <w:t>详见“拟签订的合同文本”。</w:t>
      </w:r>
    </w:p>
    <w:p w14:paraId="0A8989B1">
      <w:pPr>
        <w:widowControl w:val="0"/>
        <w:spacing w:after="160" w:line="360" w:lineRule="auto"/>
        <w:ind w:left="500" w:hanging="500" w:firstLineChars="0"/>
        <w:contextualSpacing/>
        <w:jc w:val="both"/>
        <w:rPr>
          <w:rFonts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3.售后服务（质保期）：</w:t>
      </w:r>
      <w:r>
        <w:rPr>
          <w:rFonts w:hint="eastAsia" w:ascii="宋体" w:hAnsi="宋体" w:eastAsia="宋体" w:cs="宋体"/>
          <w:snapToGrid w:val="0"/>
          <w:color w:val="000000"/>
          <w:kern w:val="0"/>
          <w:sz w:val="24"/>
          <w:szCs w:val="24"/>
          <w:lang w:val="en-US" w:eastAsia="zh-CN" w:bidi="ar-SA"/>
        </w:rPr>
        <w:t>终验合格后，中标人免费质保（运维）期2年。</w:t>
      </w:r>
    </w:p>
    <w:p w14:paraId="55C655B3">
      <w:pPr>
        <w:widowControl w:val="0"/>
        <w:spacing w:after="160" w:line="360" w:lineRule="auto"/>
        <w:ind w:left="500" w:hanging="500" w:firstLineChars="0"/>
        <w:contextualSpacing/>
        <w:jc w:val="both"/>
        <w:rPr>
          <w:rFonts w:ascii="Times New Roman" w:hAnsi="Times New Roman" w:eastAsia="宋体" w:cs="Times New Roman"/>
          <w:b/>
          <w:kern w:val="2"/>
          <w:sz w:val="24"/>
          <w:szCs w:val="24"/>
          <w:lang w:val="en-US" w:eastAsia="zh-CN" w:bidi="ar-SA"/>
        </w:rPr>
      </w:pPr>
    </w:p>
    <w:p w14:paraId="119116AF">
      <w:pPr>
        <w:widowControl w:val="0"/>
        <w:spacing w:after="160" w:line="360" w:lineRule="auto"/>
        <w:ind w:left="500" w:hanging="500" w:firstLineChars="0"/>
        <w:contextualSpacing/>
        <w:jc w:val="both"/>
        <w:rPr>
          <w:rFonts w:ascii="Times New Roman" w:hAnsi="Times New Roman" w:eastAsia="宋体" w:cs="Times New Roman"/>
          <w:b/>
          <w:kern w:val="2"/>
          <w:sz w:val="24"/>
          <w:szCs w:val="24"/>
          <w:lang w:val="en-US" w:eastAsia="zh-CN" w:bidi="ar-SA"/>
        </w:rPr>
      </w:pPr>
      <w:r>
        <w:rPr>
          <w:rFonts w:ascii="Times New Roman" w:hAnsi="Times New Roman" w:eastAsia="宋体" w:cs="Times New Roman"/>
          <w:b/>
          <w:kern w:val="2"/>
          <w:sz w:val="24"/>
          <w:szCs w:val="24"/>
          <w:lang w:val="en-US" w:eastAsia="zh-CN" w:bidi="ar-SA"/>
        </w:rPr>
        <w:t>三、技术要求</w:t>
      </w:r>
    </w:p>
    <w:p w14:paraId="3071D3DD">
      <w:pPr>
        <w:spacing w:line="360" w:lineRule="auto"/>
        <w:contextualSpacing/>
        <w:rPr>
          <w:sz w:val="24"/>
        </w:rPr>
      </w:pPr>
      <w:r>
        <w:rPr>
          <w:sz w:val="24"/>
        </w:rPr>
        <w:t>1.基本要求</w:t>
      </w:r>
    </w:p>
    <w:p w14:paraId="23FC84CE">
      <w:pPr>
        <w:spacing w:line="360" w:lineRule="auto"/>
        <w:contextualSpacing/>
        <w:rPr>
          <w:sz w:val="24"/>
        </w:rPr>
      </w:pPr>
      <w:r>
        <w:rPr>
          <w:sz w:val="24"/>
        </w:rPr>
        <w:t>1.1采购标的需实现的功能或者目标</w:t>
      </w:r>
    </w:p>
    <w:p w14:paraId="2655023E">
      <w:pPr>
        <w:spacing w:line="360" w:lineRule="auto"/>
        <w:ind w:firstLine="480" w:firstLineChars="200"/>
        <w:jc w:val="left"/>
        <w:rPr>
          <w:rFonts w:ascii="宋体"/>
          <w:sz w:val="24"/>
        </w:rPr>
      </w:pPr>
      <w:r>
        <w:rPr>
          <w:rFonts w:hint="eastAsia"/>
          <w:bCs/>
          <w:sz w:val="24"/>
        </w:rPr>
        <w:t>本次招标采购是为</w:t>
      </w:r>
      <w:r>
        <w:rPr>
          <w:rFonts w:hint="eastAsia" w:ascii="宋体" w:hAnsi="宋体" w:cs="宋体"/>
          <w:sz w:val="24"/>
        </w:rPr>
        <w:t>北京市门头沟区卫生健康委员会配置</w:t>
      </w:r>
      <w:r>
        <w:rPr>
          <w:rFonts w:hint="eastAsia"/>
          <w:sz w:val="24"/>
        </w:rPr>
        <w:t>信息化平台建设相关设备</w:t>
      </w:r>
      <w:r>
        <w:rPr>
          <w:rFonts w:hint="eastAsia"/>
          <w:bCs/>
          <w:sz w:val="24"/>
        </w:rPr>
        <w:t>，供应商应根据招标文件所提出的技术规格和服务要求，综合考虑所投货物的适用性，选择需要最佳性能价格比的货物前来投标。供应商应以先进的技术、优良的服务和优惠的价格，充分显示自己的竞争实力。</w:t>
      </w:r>
    </w:p>
    <w:p w14:paraId="327FB8C1">
      <w:pPr>
        <w:widowControl w:val="0"/>
        <w:numPr>
          <w:ilvl w:val="1"/>
          <w:numId w:val="0"/>
        </w:numPr>
        <w:tabs>
          <w:tab w:val="left" w:pos="1101"/>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4"/>
          <w:lang w:val="en-US" w:eastAsia="zh-CN" w:bidi="ar-SA"/>
        </w:rPr>
        <w:t>1.2</w:t>
      </w:r>
      <w:r>
        <w:rPr>
          <w:rFonts w:hint="eastAsia" w:ascii="Calibri" w:hAnsi="Calibri" w:eastAsia="宋体" w:cs="Times New Roman"/>
          <w:kern w:val="2"/>
          <w:sz w:val="24"/>
          <w:szCs w:val="22"/>
          <w:lang w:val="en-US" w:eastAsia="zh-CN" w:bidi="ar-SA"/>
        </w:rPr>
        <w:t>需执行的国家相关标准、行业标准、地方标准或者其他标准、规范</w:t>
      </w:r>
    </w:p>
    <w:p w14:paraId="40266B91">
      <w:pPr>
        <w:widowControl w:val="0"/>
        <w:tabs>
          <w:tab w:val="left" w:pos="567"/>
        </w:tabs>
        <w:spacing w:before="0" w:after="160" w:line="360" w:lineRule="auto"/>
        <w:ind w:firstLine="480" w:firstLineChars="200"/>
        <w:jc w:val="both"/>
        <w:rPr>
          <w:rFonts w:hint="eastAsia" w:ascii="宋体" w:hAnsi="宋体" w:eastAsia="宋体" w:cs="Times New Roman"/>
          <w:kern w:val="2"/>
          <w:sz w:val="24"/>
          <w:szCs w:val="24"/>
          <w:lang w:val="en-US" w:eastAsia="zh-CN" w:bidi="ar-SA"/>
        </w:rPr>
      </w:pPr>
      <w:r>
        <w:rPr>
          <w:rFonts w:ascii="Segoe UI Symbol" w:hAnsi="Segoe UI Symbol" w:eastAsia="宋体" w:cs="Segoe UI Symbol"/>
          <w:color w:val="000000"/>
          <w:kern w:val="0"/>
          <w:sz w:val="24"/>
          <w:szCs w:val="24"/>
          <w:lang w:val="en-US" w:eastAsia="zh-CN" w:bidi="ar-SA"/>
        </w:rPr>
        <w:t>★</w:t>
      </w:r>
      <w:r>
        <w:rPr>
          <w:rFonts w:hint="eastAsia" w:ascii="宋体" w:hAnsi="宋体" w:eastAsia="宋体" w:cs="宋体"/>
          <w:bCs/>
          <w:kern w:val="2"/>
          <w:sz w:val="24"/>
          <w:szCs w:val="24"/>
          <w:lang w:val="en-US" w:eastAsia="zh-CN" w:bidi="ar-SA"/>
        </w:rPr>
        <w:t>（1）投标产品及制造商应符合国家有关部门规定的相应技术、计量、节能、安全和环保法规及标准，如国家有关部门对投标产品或其制造商有强制性规定或要求的，投标产品或其制造商必须符合相应规定或要求，供应商须提供相关证明文件的复印件。</w:t>
      </w:r>
    </w:p>
    <w:p w14:paraId="476EB86B">
      <w:pPr>
        <w:widowControl w:val="0"/>
        <w:tabs>
          <w:tab w:val="left" w:pos="470"/>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4"/>
          <w:lang w:val="en-US" w:eastAsia="zh-CN" w:bidi="ar-SA"/>
        </w:rPr>
        <w:t>2.</w:t>
      </w:r>
      <w:r>
        <w:rPr>
          <w:rFonts w:hint="eastAsia" w:ascii="Calibri" w:hAnsi="Calibri" w:eastAsia="宋体" w:cs="Times New Roman"/>
          <w:kern w:val="2"/>
          <w:sz w:val="24"/>
          <w:szCs w:val="22"/>
          <w:lang w:val="en-US" w:eastAsia="zh-CN" w:bidi="ar-SA"/>
        </w:rPr>
        <w:t>验收标准</w:t>
      </w:r>
    </w:p>
    <w:p w14:paraId="3520C950">
      <w:pPr>
        <w:widowControl w:val="0"/>
        <w:spacing w:after="160" w:line="360" w:lineRule="auto"/>
        <w:ind w:firstLine="480" w:firstLineChars="200"/>
        <w:jc w:val="both"/>
        <w:outlineLvl w:val="9"/>
        <w:rPr>
          <w:rFonts w:ascii="Times New Roman" w:hAnsi="Times New Roman" w:eastAsia="宋体" w:cs="Times New Roman"/>
          <w:b w:val="0"/>
          <w:kern w:val="2"/>
          <w:sz w:val="24"/>
          <w:szCs w:val="24"/>
          <w:lang w:val="en-US" w:eastAsia="zh-CN" w:bidi="ar-SA"/>
        </w:rPr>
      </w:pPr>
      <w:bookmarkStart w:id="2" w:name="_Toc28261"/>
      <w:bookmarkStart w:id="3" w:name="_Toc22918"/>
      <w:bookmarkStart w:id="4" w:name="_Toc4955"/>
      <w:r>
        <w:rPr>
          <w:rFonts w:hint="eastAsia" w:ascii="Times New Roman" w:hAnsi="Times New Roman" w:eastAsia="宋体" w:cs="Times New Roman"/>
          <w:b w:val="0"/>
          <w:kern w:val="2"/>
          <w:sz w:val="24"/>
          <w:szCs w:val="24"/>
          <w:lang w:val="en-US" w:eastAsia="zh-CN" w:bidi="ar-SA"/>
        </w:rPr>
        <w:t>2.1符合采购人服务范围要求。</w:t>
      </w:r>
      <w:bookmarkEnd w:id="2"/>
      <w:bookmarkEnd w:id="3"/>
      <w:bookmarkEnd w:id="4"/>
    </w:p>
    <w:p w14:paraId="35D6BFE1">
      <w:pPr>
        <w:widowControl w:val="0"/>
        <w:spacing w:after="160" w:line="360" w:lineRule="auto"/>
        <w:ind w:firstLine="480" w:firstLineChars="200"/>
        <w:jc w:val="both"/>
        <w:outlineLvl w:val="9"/>
        <w:rPr>
          <w:rFonts w:ascii="Times New Roman" w:hAnsi="Times New Roman" w:eastAsia="宋体" w:cs="Times New Roman"/>
          <w:b w:val="0"/>
          <w:kern w:val="2"/>
          <w:sz w:val="24"/>
          <w:szCs w:val="24"/>
          <w:lang w:val="en-US" w:eastAsia="zh-CN" w:bidi="ar-SA"/>
        </w:rPr>
      </w:pPr>
      <w:bookmarkStart w:id="5" w:name="_Toc24188"/>
      <w:bookmarkStart w:id="6" w:name="_Toc8142"/>
      <w:bookmarkStart w:id="7" w:name="_Toc21148"/>
      <w:r>
        <w:rPr>
          <w:rFonts w:hint="eastAsia" w:ascii="Times New Roman" w:hAnsi="Times New Roman" w:eastAsia="宋体" w:cs="Times New Roman"/>
          <w:b w:val="0"/>
          <w:kern w:val="2"/>
          <w:sz w:val="24"/>
          <w:szCs w:val="24"/>
          <w:lang w:val="en-US" w:eastAsia="zh-CN" w:bidi="ar-SA"/>
        </w:rPr>
        <w:t>2.2供应商配置的硬件设备符合采购人要求。</w:t>
      </w:r>
      <w:bookmarkEnd w:id="5"/>
      <w:bookmarkEnd w:id="6"/>
      <w:bookmarkEnd w:id="7"/>
    </w:p>
    <w:p w14:paraId="5CA24F19">
      <w:pPr>
        <w:widowControl w:val="0"/>
        <w:spacing w:after="160" w:line="360" w:lineRule="auto"/>
        <w:ind w:firstLine="480" w:firstLineChars="200"/>
        <w:jc w:val="both"/>
        <w:outlineLvl w:val="9"/>
        <w:rPr>
          <w:rFonts w:ascii="Times New Roman" w:hAnsi="Times New Roman" w:eastAsia="宋体" w:cs="Times New Roman"/>
          <w:b w:val="0"/>
          <w:kern w:val="2"/>
          <w:sz w:val="24"/>
          <w:szCs w:val="24"/>
          <w:lang w:val="en-US" w:eastAsia="zh-CN" w:bidi="ar-SA"/>
        </w:rPr>
      </w:pPr>
      <w:bookmarkStart w:id="8" w:name="_Toc2456"/>
      <w:bookmarkStart w:id="9" w:name="_Toc26582"/>
      <w:bookmarkStart w:id="10" w:name="_Toc6189"/>
      <w:r>
        <w:rPr>
          <w:rFonts w:hint="eastAsia" w:ascii="Times New Roman" w:hAnsi="Times New Roman" w:eastAsia="宋体" w:cs="Times New Roman"/>
          <w:b w:val="0"/>
          <w:kern w:val="2"/>
          <w:sz w:val="24"/>
          <w:szCs w:val="24"/>
          <w:lang w:val="en-US" w:eastAsia="zh-CN" w:bidi="ar-SA"/>
        </w:rPr>
        <w:t>2.3完成采购人要求的工作内容。</w:t>
      </w:r>
      <w:bookmarkEnd w:id="8"/>
      <w:bookmarkEnd w:id="9"/>
      <w:bookmarkEnd w:id="10"/>
    </w:p>
    <w:p w14:paraId="02CEFFF9">
      <w:pPr>
        <w:widowControl w:val="0"/>
        <w:tabs>
          <w:tab w:val="left" w:pos="567"/>
        </w:tabs>
        <w:spacing w:before="120" w:after="160" w:line="360" w:lineRule="auto"/>
        <w:ind w:firstLine="480" w:firstLineChars="200"/>
        <w:jc w:val="both"/>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2.4达到采购人要求的服务和质量标准。</w:t>
      </w:r>
    </w:p>
    <w:p w14:paraId="6F32C175">
      <w:pPr>
        <w:widowControl w:val="0"/>
        <w:tabs>
          <w:tab w:val="left" w:pos="470"/>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3.服务内容及要求/货物技术要求</w:t>
      </w:r>
    </w:p>
    <w:p w14:paraId="4C8A09A5">
      <w:pPr>
        <w:widowControl w:val="0"/>
        <w:numPr>
          <w:ilvl w:val="1"/>
          <w:numId w:val="0"/>
        </w:numPr>
        <w:tabs>
          <w:tab w:val="left" w:pos="1041"/>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3.1采购标的需满足的性能、材料、结构、外观、质量、安全、技术规格、物理特性等要求</w:t>
      </w:r>
    </w:p>
    <w:p w14:paraId="2F2CD0FE">
      <w:pPr>
        <w:widowControl w:val="0"/>
        <w:tabs>
          <w:tab w:val="left" w:pos="1041"/>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详见其他技术、服务等要求</w:t>
      </w:r>
    </w:p>
    <w:p w14:paraId="79FD8A80">
      <w:pPr>
        <w:widowControl w:val="0"/>
        <w:numPr>
          <w:ilvl w:val="1"/>
          <w:numId w:val="0"/>
        </w:numPr>
        <w:tabs>
          <w:tab w:val="left" w:pos="1041"/>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3.2采购标的需满足的服务标准、期限、效率等要求</w:t>
      </w:r>
    </w:p>
    <w:p w14:paraId="47947B9C">
      <w:pPr>
        <w:widowControl w:val="0"/>
        <w:tabs>
          <w:tab w:val="left" w:pos="1041"/>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详见其他技术、服务等要求</w:t>
      </w:r>
    </w:p>
    <w:p w14:paraId="4B8345D2">
      <w:pPr>
        <w:widowControl w:val="0"/>
        <w:numPr>
          <w:ilvl w:val="1"/>
          <w:numId w:val="0"/>
        </w:numPr>
        <w:tabs>
          <w:tab w:val="left" w:pos="1041"/>
        </w:tabs>
        <w:spacing w:after="160" w:line="360" w:lineRule="auto"/>
        <w:ind w:firstLine="480" w:firstLineChars="200"/>
        <w:jc w:val="both"/>
        <w:rPr>
          <w:rFonts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3.3为落实政府采</w:t>
      </w:r>
      <w:r>
        <w:rPr>
          <w:rFonts w:ascii="Calibri" w:hAnsi="Calibri" w:eastAsia="宋体" w:cs="Times New Roman"/>
          <w:kern w:val="2"/>
          <w:sz w:val="24"/>
          <w:szCs w:val="22"/>
          <w:lang w:val="en-US" w:eastAsia="zh-CN" w:bidi="ar-SA"/>
        </w:rPr>
        <w:t>购政策需满足的要求</w:t>
      </w:r>
      <w:r>
        <w:rPr>
          <w:rFonts w:hint="eastAsia" w:ascii="Calibri" w:hAnsi="Calibri" w:eastAsia="宋体" w:cs="Times New Roman"/>
          <w:b/>
          <w:bCs/>
          <w:kern w:val="2"/>
          <w:sz w:val="24"/>
          <w:szCs w:val="22"/>
          <w:lang w:val="en-US" w:eastAsia="zh-CN" w:bidi="ar-SA"/>
        </w:rPr>
        <w:t>（专门面向中小企业采购或预留份额的情况不享受政策优惠扣除）</w:t>
      </w:r>
    </w:p>
    <w:p w14:paraId="57775A25">
      <w:pPr>
        <w:tabs>
          <w:tab w:val="left" w:pos="900"/>
        </w:tabs>
        <w:spacing w:line="360" w:lineRule="auto"/>
        <w:ind w:firstLine="480" w:firstLineChars="200"/>
        <w:rPr>
          <w:sz w:val="24"/>
        </w:rPr>
      </w:pPr>
      <w:r>
        <w:rPr>
          <w:rFonts w:hint="eastAsia"/>
          <w:sz w:val="24"/>
        </w:rPr>
        <w:t>1）促进中小企业发展政策：根据《政府采购促进中小企业发展管理办法》的通知（财库〔</w:t>
      </w:r>
      <w:r>
        <w:rPr>
          <w:sz w:val="24"/>
        </w:rPr>
        <w:t>2020</w:t>
      </w:r>
      <w:r>
        <w:rPr>
          <w:rFonts w:hint="eastAsia"/>
          <w:sz w:val="24"/>
        </w:rPr>
        <w:t>〕</w:t>
      </w:r>
      <w:r>
        <w:rPr>
          <w:sz w:val="24"/>
        </w:rPr>
        <w:t>46</w:t>
      </w:r>
      <w:r>
        <w:rPr>
          <w:rFonts w:hint="eastAsia"/>
          <w:sz w:val="24"/>
        </w:rPr>
        <w:t>号）规定，本项目供应商所投产品为中小企业制造或提供服务由中小企业承接的，</w:t>
      </w:r>
      <w:r>
        <w:rPr>
          <w:rFonts w:hint="eastAsia"/>
          <w:b/>
          <w:bCs/>
          <w:sz w:val="24"/>
        </w:rPr>
        <w:t>供应商应出具招标文件要求的《中小企业声明函》给予证明，否则评标时不予认可</w:t>
      </w:r>
      <w:r>
        <w:rPr>
          <w:rFonts w:hint="eastAsia"/>
          <w:sz w:val="24"/>
        </w:rPr>
        <w:t>。</w:t>
      </w:r>
      <w:r>
        <w:rPr>
          <w:rFonts w:hint="eastAsia"/>
          <w:b/>
          <w:bCs/>
          <w:sz w:val="24"/>
        </w:rPr>
        <w:t>供应商应对提交的中小企业声明函的真实性负责，</w:t>
      </w:r>
      <w:r>
        <w:rPr>
          <w:rFonts w:hint="eastAsia"/>
          <w:sz w:val="24"/>
        </w:rPr>
        <w:t>提交的中小企业声明函不真实的，应承担相应的法律责任。</w:t>
      </w:r>
    </w:p>
    <w:p w14:paraId="393F5184">
      <w:pPr>
        <w:tabs>
          <w:tab w:val="left" w:pos="900"/>
        </w:tabs>
        <w:spacing w:line="360" w:lineRule="auto"/>
        <w:ind w:firstLine="480" w:firstLineChars="200"/>
        <w:rPr>
          <w:sz w:val="24"/>
        </w:rPr>
      </w:pPr>
      <w:r>
        <w:rPr>
          <w:rFonts w:hint="eastAsia"/>
          <w:sz w:val="24"/>
        </w:rPr>
        <w:t>2）监狱企业扶持政策：供应商如为监狱企业将视同为小型或微型企业，应提供由省级以上监狱管理局、戒毒管理局（含新疆生产建设兵团）出具的属于监狱企业的证明文件。供应商应对提交的属于监狱企业的证明文件的真实性负责，提交的监狱企业的证明文件不真实的，应承担相应的法律责任。</w:t>
      </w:r>
    </w:p>
    <w:p w14:paraId="407B1AED">
      <w:pPr>
        <w:tabs>
          <w:tab w:val="left" w:pos="900"/>
        </w:tabs>
        <w:spacing w:line="360" w:lineRule="auto"/>
        <w:ind w:firstLine="480" w:firstLineChars="200"/>
        <w:rPr>
          <w:sz w:val="24"/>
        </w:rPr>
      </w:pPr>
      <w:r>
        <w:rPr>
          <w:rFonts w:hint="eastAsia"/>
          <w:sz w:val="24"/>
        </w:rPr>
        <w:t>3）促进残疾人就业政府采购政策：根据《三部门联合发布关于促进残疾人就业政府采购政策的通知》（财库〔</w:t>
      </w:r>
      <w:r>
        <w:rPr>
          <w:sz w:val="24"/>
        </w:rPr>
        <w:t>2017</w:t>
      </w:r>
      <w:r>
        <w:rPr>
          <w:rFonts w:hint="eastAsia"/>
          <w:sz w:val="24"/>
        </w:rPr>
        <w:t>〕</w:t>
      </w:r>
      <w:r>
        <w:rPr>
          <w:sz w:val="24"/>
        </w:rPr>
        <w:t>141</w:t>
      </w:r>
      <w:r>
        <w:rPr>
          <w:rFonts w:hint="eastAsia"/>
          <w:sz w:val="24"/>
        </w:rPr>
        <w:t>号）规定，符合条件的残疾人福利性单位在参加本项目政府采购活动时，供应商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14:paraId="2B721A2A">
      <w:pPr>
        <w:tabs>
          <w:tab w:val="left" w:pos="900"/>
        </w:tabs>
        <w:spacing w:line="360" w:lineRule="auto"/>
        <w:ind w:firstLine="480" w:firstLineChars="200"/>
        <w:rPr>
          <w:sz w:val="24"/>
        </w:rPr>
      </w:pPr>
      <w:r>
        <w:rPr>
          <w:rFonts w:hint="eastAsia"/>
          <w:sz w:val="24"/>
        </w:rPr>
        <w:t>4）鼓励节能、环保政策：依据《财政部发展改革委生态环境部市场监管总局关于调整优化节能产品、环境标志产品政府采购执行机制的通知（财库（</w:t>
      </w:r>
      <w:r>
        <w:rPr>
          <w:sz w:val="24"/>
        </w:rPr>
        <w:t>2019</w:t>
      </w:r>
      <w:r>
        <w:rPr>
          <w:rFonts w:hint="eastAsia"/>
          <w:sz w:val="24"/>
        </w:rPr>
        <w:t>）</w:t>
      </w:r>
      <w:r>
        <w:rPr>
          <w:sz w:val="24"/>
        </w:rPr>
        <w:t>9</w:t>
      </w:r>
      <w:r>
        <w:rPr>
          <w:rFonts w:hint="eastAsia"/>
          <w:sz w:val="24"/>
        </w:rPr>
        <w:t>号）》执行。</w:t>
      </w:r>
    </w:p>
    <w:p w14:paraId="7036FD7F">
      <w:pPr>
        <w:widowControl w:val="0"/>
        <w:numPr>
          <w:ilvl w:val="1"/>
          <w:numId w:val="0"/>
        </w:numPr>
        <w:tabs>
          <w:tab w:val="left" w:pos="1041"/>
        </w:tabs>
        <w:spacing w:after="160" w:line="360" w:lineRule="auto"/>
        <w:ind w:firstLine="480" w:firstLineChars="200"/>
        <w:jc w:val="both"/>
        <w:rPr>
          <w:rFonts w:ascii="Calibri" w:hAnsi="Calibri" w:eastAsia="宋体" w:cs="Times New Roman"/>
          <w:kern w:val="2"/>
          <w:sz w:val="24"/>
          <w:szCs w:val="24"/>
          <w:lang w:val="en-US" w:eastAsia="zh-CN" w:bidi="ar-SA"/>
        </w:rPr>
      </w:pPr>
      <w:r>
        <w:rPr>
          <w:rFonts w:hint="eastAsia" w:ascii="Calibri" w:hAnsi="Calibri" w:eastAsia="宋体" w:cs="Times New Roman"/>
          <w:kern w:val="2"/>
          <w:sz w:val="24"/>
          <w:szCs w:val="22"/>
          <w:lang w:val="en-US" w:eastAsia="zh-CN" w:bidi="ar-SA"/>
        </w:rPr>
        <w:t>3.4</w:t>
      </w:r>
      <w:r>
        <w:rPr>
          <w:rFonts w:hint="eastAsia" w:ascii="Calibri" w:hAnsi="Calibri" w:eastAsia="宋体" w:cs="Times New Roman"/>
          <w:kern w:val="2"/>
          <w:sz w:val="24"/>
          <w:szCs w:val="24"/>
          <w:lang w:val="en-US" w:eastAsia="zh-CN" w:bidi="ar-SA"/>
        </w:rPr>
        <w:t>采购标的的其他技术、服务等要求</w:t>
      </w:r>
    </w:p>
    <w:p w14:paraId="6392DDE5">
      <w:pPr>
        <w:widowControl/>
        <w:kinsoku w:val="0"/>
        <w:autoSpaceDE w:val="0"/>
        <w:autoSpaceDN w:val="0"/>
        <w:adjustRightInd w:val="0"/>
        <w:snapToGrid w:val="0"/>
        <w:spacing w:line="360" w:lineRule="auto"/>
        <w:ind w:firstLine="510" w:firstLineChars="200"/>
        <w:jc w:val="left"/>
        <w:textAlignment w:val="baseline"/>
        <w:rPr>
          <w:rFonts w:hint="eastAsia" w:ascii="宋体" w:hAnsi="宋体" w:cs="宋体"/>
          <w:b/>
          <w:bCs/>
          <w:snapToGrid w:val="0"/>
          <w:color w:val="000000"/>
          <w:spacing w:val="7"/>
          <w:kern w:val="0"/>
          <w:sz w:val="24"/>
        </w:rPr>
      </w:pPr>
    </w:p>
    <w:p w14:paraId="5FA0760E">
      <w:pPr>
        <w:keepNext/>
        <w:keepLines/>
        <w:adjustRightInd w:val="0"/>
        <w:snapToGrid w:val="0"/>
        <w:spacing w:after="0" w:line="360" w:lineRule="auto"/>
        <w:outlineLvl w:val="0"/>
        <w:rPr>
          <w:rFonts w:hint="eastAsia" w:ascii="宋体" w:hAnsi="宋体" w:cs="宋体"/>
          <w:b/>
          <w:bCs/>
          <w:color w:val="000000"/>
          <w:kern w:val="44"/>
          <w:sz w:val="24"/>
        </w:rPr>
      </w:pPr>
      <w:r>
        <w:rPr>
          <w:rFonts w:hint="eastAsia" w:ascii="宋体" w:hAnsi="宋体" w:cs="宋体"/>
          <w:b/>
          <w:bCs/>
          <w:color w:val="000000"/>
          <w:kern w:val="44"/>
          <w:sz w:val="24"/>
        </w:rPr>
        <w:t>1.项目概述</w:t>
      </w:r>
    </w:p>
    <w:p w14:paraId="6B8FB736">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为落实《北京市电子病历共享及检查检验互认统一数据字典工作的通知》（2024年6月）及和《北京市医保移动支付建设指南》（2024版）要求，并响应市级互联网医院总平台“拎包入住”式接入政策，本项目聚焦门头沟区11家社区卫生服务中心信息化升级，重点解决检验标准不统一、电子病历共享率低；医保支付方式单一、114挂号医保结算缺失；互联网医院能力建设成本高、周期长问题；区域检验互认与体检数据管理分散等问题。</w:t>
      </w:r>
    </w:p>
    <w:p w14:paraId="357656F2">
      <w:pPr>
        <w:keepNext/>
        <w:keepLines/>
        <w:adjustRightInd w:val="0"/>
        <w:snapToGrid w:val="0"/>
        <w:spacing w:after="0" w:line="360" w:lineRule="auto"/>
        <w:outlineLvl w:val="0"/>
        <w:rPr>
          <w:rFonts w:hint="eastAsia" w:ascii="宋体" w:hAnsi="宋体" w:cs="宋体"/>
          <w:b/>
          <w:bCs/>
          <w:color w:val="000000"/>
          <w:kern w:val="44"/>
          <w:sz w:val="24"/>
        </w:rPr>
      </w:pPr>
      <w:bookmarkStart w:id="11" w:name="bookmark9"/>
      <w:bookmarkEnd w:id="11"/>
      <w:r>
        <w:rPr>
          <w:rFonts w:hint="eastAsia" w:ascii="宋体" w:hAnsi="宋体" w:cs="宋体"/>
          <w:b/>
          <w:bCs/>
          <w:color w:val="000000"/>
          <w:kern w:val="44"/>
          <w:sz w:val="24"/>
        </w:rPr>
        <w:t>2.项目目标</w:t>
      </w:r>
    </w:p>
    <w:p w14:paraId="6A6EBE90">
      <w:pPr>
        <w:widowControl/>
        <w:kinsoku w:val="0"/>
        <w:autoSpaceDE w:val="0"/>
        <w:autoSpaceDN w:val="0"/>
        <w:adjustRightInd w:val="0"/>
        <w:snapToGrid w:val="0"/>
        <w:spacing w:line="360" w:lineRule="auto"/>
        <w:jc w:val="left"/>
        <w:textAlignment w:val="baseline"/>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1.电子病历共享及检验检查互认改造</w:t>
      </w:r>
    </w:p>
    <w:p w14:paraId="6CCB2ADF">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实现全区11家机构门急诊、住院、体检数据的标准化上传；支持跨机构电子病历调阅与检验检查结果互认。包括区域电子病历共享改造、北京市医生工作站跨院“共享助手”改造、检验数据上传和结果互认改造、检查数据上传和结果互认改造四项。</w:t>
      </w:r>
    </w:p>
    <w:p w14:paraId="5F712FCF">
      <w:pPr>
        <w:widowControl/>
        <w:kinsoku w:val="0"/>
        <w:autoSpaceDE w:val="0"/>
        <w:autoSpaceDN w:val="0"/>
        <w:adjustRightInd w:val="0"/>
        <w:snapToGrid w:val="0"/>
        <w:spacing w:line="360" w:lineRule="auto"/>
        <w:jc w:val="left"/>
        <w:textAlignment w:val="baseline"/>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2.京通医保移动支付对接改造</w:t>
      </w:r>
    </w:p>
    <w:p w14:paraId="41F3A976">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完成与北京市医保移动支付平台的接口对接；实现患者通过移动端完成医保线上结算。</w:t>
      </w:r>
    </w:p>
    <w:p w14:paraId="472AE902">
      <w:pPr>
        <w:widowControl/>
        <w:kinsoku w:val="0"/>
        <w:autoSpaceDE w:val="0"/>
        <w:autoSpaceDN w:val="0"/>
        <w:adjustRightInd w:val="0"/>
        <w:snapToGrid w:val="0"/>
        <w:spacing w:line="360" w:lineRule="auto"/>
        <w:jc w:val="left"/>
        <w:textAlignment w:val="baseline"/>
        <w:rPr>
          <w:rFonts w:hint="eastAsia" w:ascii="宋体" w:hAnsi="宋体" w:eastAsia="宋体" w:cs="宋体"/>
          <w:b/>
          <w:bCs/>
          <w:snapToGrid w:val="0"/>
          <w:color w:val="000000"/>
          <w:kern w:val="0"/>
          <w:sz w:val="24"/>
          <w:lang w:eastAsia="zh-CN"/>
        </w:rPr>
      </w:pPr>
      <w:r>
        <w:rPr>
          <w:rFonts w:hint="eastAsia" w:ascii="宋体" w:hAnsi="宋体" w:cs="宋体"/>
          <w:b/>
          <w:bCs/>
          <w:snapToGrid w:val="0"/>
          <w:color w:val="000000"/>
          <w:kern w:val="0"/>
          <w:sz w:val="24"/>
        </w:rPr>
        <w:t>3.</w:t>
      </w:r>
      <w:r>
        <w:rPr>
          <w:rFonts w:hint="eastAsia" w:ascii="宋体" w:hAnsi="宋体" w:cs="宋体"/>
          <w:b/>
          <w:bCs/>
          <w:snapToGrid w:val="0"/>
          <w:color w:val="000000"/>
          <w:kern w:val="0"/>
          <w:sz w:val="24"/>
          <w:lang w:eastAsia="zh-CN"/>
        </w:rPr>
        <w:t>114平台预约挂号对接改造</w:t>
      </w:r>
    </w:p>
    <w:p w14:paraId="7CD9677F">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开通114平台医保</w:t>
      </w:r>
      <w:r>
        <w:rPr>
          <w:rFonts w:hint="eastAsia" w:ascii="宋体" w:hAnsi="宋体" w:cs="宋体"/>
          <w:snapToGrid w:val="0"/>
          <w:color w:val="000000"/>
          <w:kern w:val="0"/>
          <w:sz w:val="24"/>
          <w:lang w:val="en-US" w:eastAsia="zh-CN"/>
        </w:rPr>
        <w:t>预约</w:t>
      </w:r>
      <w:r>
        <w:rPr>
          <w:rFonts w:hint="eastAsia" w:ascii="宋体" w:hAnsi="宋体" w:cs="宋体"/>
          <w:snapToGrid w:val="0"/>
          <w:color w:val="000000"/>
          <w:kern w:val="0"/>
          <w:sz w:val="24"/>
        </w:rPr>
        <w:t>挂号功能；确保114平台与院内HIS号源管理实时同步。</w:t>
      </w:r>
    </w:p>
    <w:p w14:paraId="6E6801C1">
      <w:pPr>
        <w:widowControl/>
        <w:kinsoku w:val="0"/>
        <w:autoSpaceDE w:val="0"/>
        <w:autoSpaceDN w:val="0"/>
        <w:adjustRightInd w:val="0"/>
        <w:snapToGrid w:val="0"/>
        <w:spacing w:line="360" w:lineRule="auto"/>
        <w:jc w:val="left"/>
        <w:textAlignment w:val="baseline"/>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4.互联网医院平台拎包入住对接改造</w:t>
      </w:r>
    </w:p>
    <w:p w14:paraId="3EDD1E62">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快速接入市级互联网医院总平台，复用标准功能（在线问诊、处方流转等）；统一对接到“京通”健康服务入口。</w:t>
      </w:r>
    </w:p>
    <w:p w14:paraId="653077B1">
      <w:pPr>
        <w:widowControl/>
        <w:kinsoku w:val="0"/>
        <w:autoSpaceDE w:val="0"/>
        <w:autoSpaceDN w:val="0"/>
        <w:adjustRightInd w:val="0"/>
        <w:snapToGrid w:val="0"/>
        <w:spacing w:line="360" w:lineRule="auto"/>
        <w:jc w:val="left"/>
        <w:textAlignment w:val="baseline"/>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5.区域检验平台建设</w:t>
      </w:r>
    </w:p>
    <w:p w14:paraId="77F0912B">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建立区域LIS系统实现检验数据标准化管理；完成检验结果互认接口改造。</w:t>
      </w:r>
    </w:p>
    <w:p w14:paraId="1FF21D92">
      <w:pPr>
        <w:widowControl/>
        <w:kinsoku w:val="0"/>
        <w:autoSpaceDE w:val="0"/>
        <w:autoSpaceDN w:val="0"/>
        <w:adjustRightInd w:val="0"/>
        <w:snapToGrid w:val="0"/>
        <w:spacing w:line="360" w:lineRule="auto"/>
        <w:jc w:val="left"/>
        <w:textAlignment w:val="baseline"/>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6.区域体检平台建设</w:t>
      </w:r>
    </w:p>
    <w:p w14:paraId="65A40128">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构建区域体检数据统一管理平台；实现体检数据与公共卫生系统互联互通。</w:t>
      </w:r>
    </w:p>
    <w:p w14:paraId="3ECE7EE9">
      <w:pPr>
        <w:keepNext/>
        <w:keepLines/>
        <w:adjustRightInd w:val="0"/>
        <w:snapToGrid w:val="0"/>
        <w:spacing w:after="0" w:line="360" w:lineRule="auto"/>
        <w:outlineLvl w:val="0"/>
        <w:rPr>
          <w:rFonts w:hint="eastAsia" w:ascii="宋体" w:hAnsi="宋体" w:cs="宋体"/>
          <w:b/>
          <w:bCs/>
          <w:color w:val="000000"/>
          <w:kern w:val="44"/>
          <w:sz w:val="24"/>
        </w:rPr>
      </w:pPr>
      <w:r>
        <w:rPr>
          <w:rFonts w:hint="eastAsia" w:ascii="宋体" w:hAnsi="宋体" w:cs="宋体"/>
          <w:b/>
          <w:bCs/>
          <w:color w:val="000000"/>
          <w:kern w:val="44"/>
          <w:sz w:val="24"/>
        </w:rPr>
        <w:t>3.技术要求</w:t>
      </w:r>
    </w:p>
    <w:p w14:paraId="3D400D72">
      <w:pPr>
        <w:keepNext/>
        <w:keepLines/>
        <w:numPr>
          <w:ilvl w:val="1"/>
          <w:numId w:val="0"/>
        </w:numPr>
        <w:adjustRightInd w:val="0"/>
        <w:snapToGrid w:val="0"/>
        <w:spacing w:after="0" w:line="360" w:lineRule="auto"/>
        <w:outlineLvl w:val="1"/>
        <w:rPr>
          <w:rFonts w:hint="eastAsia" w:ascii="宋体" w:hAnsi="宋体" w:cs="宋体"/>
          <w:b/>
          <w:bCs/>
          <w:color w:val="000000"/>
          <w:sz w:val="24"/>
        </w:rPr>
      </w:pPr>
      <w:r>
        <w:rPr>
          <w:rFonts w:hint="eastAsia" w:ascii="宋体" w:hAnsi="宋体" w:cs="宋体"/>
          <w:b/>
          <w:bCs/>
          <w:color w:val="000000"/>
          <w:sz w:val="24"/>
        </w:rPr>
        <w:t>3.1.区域电子病历共享改造</w:t>
      </w:r>
    </w:p>
    <w:p w14:paraId="2021210E">
      <w:pPr>
        <w:keepNext/>
        <w:keepLines/>
        <w:numPr>
          <w:ilvl w:val="2"/>
          <w:numId w:val="0"/>
        </w:numPr>
        <w:adjustRightInd w:val="0"/>
        <w:snapToGrid w:val="0"/>
        <w:spacing w:after="0" w:line="360" w:lineRule="auto"/>
        <w:outlineLvl w:val="2"/>
        <w:rPr>
          <w:rFonts w:hint="eastAsia" w:ascii="宋体" w:hAnsi="宋体" w:cs="宋体"/>
          <w:b/>
          <w:bCs/>
          <w:color w:val="000000"/>
          <w:sz w:val="24"/>
        </w:rPr>
      </w:pPr>
      <w:r>
        <w:rPr>
          <w:rFonts w:hint="eastAsia" w:ascii="宋体" w:hAnsi="宋体" w:cs="宋体"/>
          <w:b/>
          <w:bCs/>
          <w:color w:val="000000"/>
          <w:sz w:val="24"/>
        </w:rPr>
        <w:t>3.1.1.功能/流程改造</w:t>
      </w:r>
    </w:p>
    <w:p w14:paraId="6179497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w:t>
      </w:r>
      <w:r>
        <w:rPr>
          <w:rFonts w:hint="eastAsia" w:ascii="宋体" w:hAnsi="宋体" w:cs="宋体"/>
          <w:snapToGrid w:val="0"/>
          <w:color w:val="000000"/>
          <w:kern w:val="0"/>
          <w:sz w:val="24"/>
        </w:rPr>
        <w:t>检查报告信息上传</w:t>
      </w:r>
    </w:p>
    <w:p w14:paraId="55304491">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1）支持检查报告审核后自动上传功能，数据范围涵盖超声、心电、内镜、骨密度、肺功能、病理等检查（北京市影像平台上报内容除外）。</w:t>
      </w:r>
    </w:p>
    <w:p w14:paraId="367E6AD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2）需与现有系统无缝对接，确保数据格式、接口规范与原系统一致。</w:t>
      </w:r>
    </w:p>
    <w:p w14:paraId="05DCCE1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2.</w:t>
      </w:r>
      <w:r>
        <w:rPr>
          <w:rFonts w:hint="eastAsia" w:ascii="宋体" w:hAnsi="宋体" w:cs="宋体"/>
          <w:snapToGrid w:val="0"/>
          <w:color w:val="000000"/>
          <w:kern w:val="0"/>
          <w:sz w:val="24"/>
        </w:rPr>
        <w:t>检验报告明细上报/变更接口</w:t>
      </w:r>
    </w:p>
    <w:p w14:paraId="3EC3CA1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1）实现检验报告审核后自动上报功能，支持报告内容变更时的实时同步更新。</w:t>
      </w:r>
    </w:p>
    <w:p w14:paraId="475FFE3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2）需满足高并发场景下的数据一致性要求，确保变更记录可追溯。</w:t>
      </w:r>
    </w:p>
    <w:p w14:paraId="36BB4E5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3.</w:t>
      </w:r>
      <w:r>
        <w:rPr>
          <w:rFonts w:hint="eastAsia" w:ascii="宋体" w:hAnsi="宋体" w:cs="宋体"/>
          <w:snapToGrid w:val="0"/>
          <w:color w:val="000000"/>
          <w:kern w:val="0"/>
          <w:sz w:val="24"/>
        </w:rPr>
        <w:t>诊断证明上传</w:t>
      </w:r>
    </w:p>
    <w:p w14:paraId="30D6932B">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与门诊医生站模块联动，诊断证明保存后自动触发上传，确保数据实时性与完整性。</w:t>
      </w:r>
    </w:p>
    <w:p w14:paraId="728BE9C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4.</w:t>
      </w:r>
      <w:r>
        <w:rPr>
          <w:rFonts w:hint="eastAsia" w:ascii="宋体" w:hAnsi="宋体" w:cs="宋体"/>
          <w:snapToGrid w:val="0"/>
          <w:color w:val="000000"/>
          <w:kern w:val="0"/>
          <w:sz w:val="24"/>
        </w:rPr>
        <w:t>门急诊住院PDF文档公用上传</w:t>
      </w:r>
    </w:p>
    <w:p w14:paraId="28E19A4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1）支持患者文档报告（如检查报告、病历等）生成后第一时间上传PDF文件。</w:t>
      </w:r>
    </w:p>
    <w:p w14:paraId="38670F1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2）接口入参需符合明文传输要求，并通过防火墙及Web应用防火墙（WAF）进行传输防护。</w:t>
      </w:r>
    </w:p>
    <w:p w14:paraId="1E761A6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5.</w:t>
      </w:r>
      <w:r>
        <w:rPr>
          <w:rFonts w:hint="eastAsia" w:ascii="宋体" w:hAnsi="宋体" w:cs="宋体"/>
          <w:snapToGrid w:val="0"/>
          <w:color w:val="000000"/>
          <w:kern w:val="0"/>
          <w:sz w:val="24"/>
        </w:rPr>
        <w:t>检验报告PDF文档上传</w:t>
      </w:r>
    </w:p>
    <w:p w14:paraId="0421E6B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检验报告PDF生成后自动上传，文档格式需符合北京市卫健委统一规范。</w:t>
      </w:r>
    </w:p>
    <w:p w14:paraId="2A00D35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6.</w:t>
      </w:r>
      <w:r>
        <w:rPr>
          <w:rFonts w:hint="eastAsia" w:ascii="宋体" w:hAnsi="宋体" w:cs="宋体"/>
          <w:snapToGrid w:val="0"/>
          <w:color w:val="000000"/>
          <w:kern w:val="0"/>
          <w:sz w:val="24"/>
        </w:rPr>
        <w:t>患者挂号信息上传</w:t>
      </w:r>
    </w:p>
    <w:p w14:paraId="519E59D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1）实现挂号生效及退号信息自动上传功能，退号时需传递原挂号流水号以确保数据一致性。</w:t>
      </w:r>
    </w:p>
    <w:p w14:paraId="78A5C231">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2）与挂号模块业务流程深度绑定，确保触发逻辑与业务操作同步。</w:t>
      </w:r>
    </w:p>
    <w:p w14:paraId="4843049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7.</w:t>
      </w:r>
      <w:r>
        <w:rPr>
          <w:rFonts w:hint="eastAsia" w:ascii="宋体" w:hAnsi="宋体" w:cs="宋体"/>
          <w:snapToGrid w:val="0"/>
          <w:color w:val="000000"/>
          <w:kern w:val="0"/>
          <w:sz w:val="24"/>
        </w:rPr>
        <w:t>患者就诊信息上传</w:t>
      </w:r>
    </w:p>
    <w:p w14:paraId="12BBA55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接诊完成后自动调用最新患者就诊信息并上传，数据需包含完整就诊记录。</w:t>
      </w:r>
    </w:p>
    <w:p w14:paraId="09819F6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8.</w:t>
      </w:r>
      <w:r>
        <w:rPr>
          <w:rFonts w:hint="eastAsia" w:ascii="宋体" w:hAnsi="宋体" w:cs="宋体"/>
          <w:snapToGrid w:val="0"/>
          <w:color w:val="000000"/>
          <w:kern w:val="0"/>
          <w:sz w:val="24"/>
        </w:rPr>
        <w:t>就诊原因信息上传</w:t>
      </w:r>
    </w:p>
    <w:p w14:paraId="01F9431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就诊结束后自动上传就诊原因信息，字段需符合《门急诊病历上传数据项说明》要求。</w:t>
      </w:r>
    </w:p>
    <w:p w14:paraId="4CB11C1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9.</w:t>
      </w:r>
      <w:r>
        <w:rPr>
          <w:rFonts w:hint="eastAsia" w:ascii="宋体" w:hAnsi="宋体" w:cs="宋体"/>
          <w:snapToGrid w:val="0"/>
          <w:color w:val="000000"/>
          <w:kern w:val="0"/>
          <w:sz w:val="24"/>
        </w:rPr>
        <w:t>门急诊病历上传</w:t>
      </w:r>
    </w:p>
    <w:p w14:paraId="4004C43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病历生效后自动提交上传，支持结构化数据与非结构化文本混合存储。</w:t>
      </w:r>
    </w:p>
    <w:p w14:paraId="54C99CE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10.</w:t>
      </w:r>
      <w:r>
        <w:rPr>
          <w:rFonts w:hint="eastAsia" w:ascii="宋体" w:hAnsi="宋体" w:cs="宋体"/>
          <w:snapToGrid w:val="0"/>
          <w:color w:val="000000"/>
          <w:kern w:val="0"/>
          <w:sz w:val="24"/>
        </w:rPr>
        <w:t>门急诊医嘱信息上传</w:t>
      </w:r>
    </w:p>
    <w:p w14:paraId="0017572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收费结算完成后上传医嘱全量信息，需补充医嘱明细项（规格、单价、频次等），并扩展《门急诊病历上传数据项说明》中要求的字段。</w:t>
      </w:r>
    </w:p>
    <w:p w14:paraId="1CBCC0F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11.</w:t>
      </w:r>
      <w:r>
        <w:rPr>
          <w:rFonts w:hint="eastAsia" w:ascii="宋体" w:hAnsi="宋体" w:cs="宋体"/>
          <w:snapToGrid w:val="0"/>
          <w:color w:val="000000"/>
          <w:kern w:val="0"/>
          <w:sz w:val="24"/>
        </w:rPr>
        <w:t>门急诊结算信息、票据信息上传</w:t>
      </w:r>
    </w:p>
    <w:p w14:paraId="758BC29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收费结算完成后实时上传处方、结算及票据全量信息，确保财务数据与业务数据同步。</w:t>
      </w:r>
    </w:p>
    <w:p w14:paraId="5BB342C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12.</w:t>
      </w:r>
      <w:r>
        <w:rPr>
          <w:rFonts w:hint="eastAsia" w:ascii="宋体" w:hAnsi="宋体" w:cs="宋体"/>
          <w:snapToGrid w:val="0"/>
          <w:color w:val="000000"/>
          <w:kern w:val="0"/>
          <w:sz w:val="24"/>
        </w:rPr>
        <w:t>门急诊手术操作信息上传</w:t>
      </w:r>
    </w:p>
    <w:p w14:paraId="1AB311A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手术记录生效后自动上传操作信息，包含手术时间、术者、术式等核心字段。</w:t>
      </w:r>
    </w:p>
    <w:p w14:paraId="49C13C8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13.</w:t>
      </w:r>
      <w:r>
        <w:rPr>
          <w:rFonts w:hint="eastAsia" w:ascii="宋体" w:hAnsi="宋体" w:cs="宋体"/>
          <w:snapToGrid w:val="0"/>
          <w:color w:val="000000"/>
          <w:kern w:val="0"/>
          <w:sz w:val="24"/>
        </w:rPr>
        <w:t>住院数据上传（入院、出院、在院信息）</w:t>
      </w:r>
    </w:p>
    <w:p w14:paraId="35AD481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患者入科、出院信息录入生效后实时上传，每日00:00自动上报在院患者信息。</w:t>
      </w:r>
    </w:p>
    <w:p w14:paraId="06C8E7F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14.</w:t>
      </w:r>
      <w:r>
        <w:rPr>
          <w:rFonts w:hint="eastAsia" w:ascii="宋体" w:hAnsi="宋体" w:cs="宋体"/>
          <w:snapToGrid w:val="0"/>
          <w:color w:val="000000"/>
          <w:kern w:val="0"/>
          <w:sz w:val="24"/>
        </w:rPr>
        <w:t>中医类与综合医院住院病案首页数据上传</w:t>
      </w:r>
    </w:p>
    <w:p w14:paraId="49C2C11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病案归档后，按《住院病案首页（中医类）上传接口数据项说明》区分中医与综合医院数据模板，分别上传。</w:t>
      </w:r>
    </w:p>
    <w:p w14:paraId="6751B68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15.</w:t>
      </w:r>
      <w:r>
        <w:rPr>
          <w:rFonts w:hint="eastAsia" w:ascii="宋体" w:hAnsi="宋体" w:cs="宋体"/>
          <w:snapToGrid w:val="0"/>
          <w:color w:val="000000"/>
          <w:kern w:val="0"/>
          <w:sz w:val="24"/>
        </w:rPr>
        <w:t>住院记录上传（入院、出院、手术操作、死亡记录）</w:t>
      </w:r>
    </w:p>
    <w:p w14:paraId="370E0821">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病案归档后，自动上传入院记录、出院记录、手术操作记录及死亡记录，确保数据完整性与时效性。</w:t>
      </w:r>
    </w:p>
    <w:p w14:paraId="17AFB02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16.</w:t>
      </w:r>
      <w:r>
        <w:rPr>
          <w:rFonts w:hint="eastAsia" w:ascii="宋体" w:hAnsi="宋体" w:cs="宋体"/>
          <w:snapToGrid w:val="0"/>
          <w:color w:val="000000"/>
          <w:kern w:val="0"/>
          <w:sz w:val="24"/>
        </w:rPr>
        <w:t>住院结算费用及票据信息上传</w:t>
      </w:r>
    </w:p>
    <w:p w14:paraId="6F694F6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结算完成后实时上传住院费用明细及票据信息，数据需与财务系统完全一致。</w:t>
      </w:r>
    </w:p>
    <w:p w14:paraId="51D3327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17.</w:t>
      </w:r>
      <w:r>
        <w:rPr>
          <w:rFonts w:hint="eastAsia" w:ascii="宋体" w:hAnsi="宋体" w:cs="宋体"/>
          <w:snapToGrid w:val="0"/>
          <w:color w:val="000000"/>
          <w:kern w:val="0"/>
          <w:sz w:val="24"/>
        </w:rPr>
        <w:t>住院PDF文档公用上传</w:t>
      </w:r>
    </w:p>
    <w:p w14:paraId="6ACD98B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住院文档生成后自动上传，支持多格式文档兼容。</w:t>
      </w:r>
    </w:p>
    <w:p w14:paraId="1C461FD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18.</w:t>
      </w:r>
      <w:r>
        <w:rPr>
          <w:rFonts w:hint="eastAsia" w:ascii="宋体" w:hAnsi="宋体" w:cs="宋体"/>
          <w:snapToGrid w:val="0"/>
          <w:color w:val="000000"/>
          <w:kern w:val="0"/>
          <w:sz w:val="24"/>
        </w:rPr>
        <w:t>体检报告信息及PDF文档上传</w:t>
      </w:r>
    </w:p>
    <w:p w14:paraId="48CEE74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主检审核完成后上传体检报告信息，PDF文档需通过专用接口上传，</w:t>
      </w:r>
      <w:r>
        <w:rPr>
          <w:rFonts w:hint="eastAsia" w:ascii="宋体" w:hAnsi="宋体" w:eastAsia="宋体" w:cs="宋体"/>
          <w:i w:val="0"/>
          <w:iCs w:val="0"/>
          <w:caps w:val="0"/>
          <w:snapToGrid w:val="0"/>
          <w:color w:val="404040"/>
          <w:spacing w:val="0"/>
          <w:kern w:val="0"/>
          <w:sz w:val="24"/>
          <w:szCs w:val="24"/>
          <w:shd w:val="clear" w:fill="auto"/>
        </w:rPr>
        <w:t>所有上传操作需具备防篡改验证机制</w:t>
      </w:r>
      <w:r>
        <w:rPr>
          <w:rFonts w:hint="eastAsia" w:ascii="宋体" w:hAnsi="宋体" w:cs="宋体"/>
          <w:snapToGrid w:val="0"/>
          <w:color w:val="000000"/>
          <w:kern w:val="0"/>
          <w:sz w:val="24"/>
        </w:rPr>
        <w:t>。</w:t>
      </w:r>
    </w:p>
    <w:p w14:paraId="08B70293">
      <w:pPr>
        <w:keepNext/>
        <w:keepLines/>
        <w:numPr>
          <w:ilvl w:val="2"/>
          <w:numId w:val="0"/>
        </w:numPr>
        <w:adjustRightInd w:val="0"/>
        <w:snapToGrid w:val="0"/>
        <w:spacing w:after="0" w:line="360" w:lineRule="auto"/>
        <w:outlineLvl w:val="2"/>
        <w:rPr>
          <w:rFonts w:hint="eastAsia" w:ascii="宋体" w:hAnsi="宋体" w:cs="宋体"/>
          <w:b/>
          <w:bCs/>
          <w:color w:val="000000"/>
          <w:sz w:val="24"/>
        </w:rPr>
      </w:pPr>
      <w:r>
        <w:rPr>
          <w:rFonts w:hint="eastAsia" w:ascii="宋体" w:hAnsi="宋体" w:cs="宋体"/>
          <w:b/>
          <w:bCs/>
          <w:color w:val="000000"/>
          <w:sz w:val="24"/>
        </w:rPr>
        <w:t>3.1.2.数据安全改造</w:t>
      </w:r>
    </w:p>
    <w:p w14:paraId="4CF2BAB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w:t>
      </w:r>
      <w:r>
        <w:rPr>
          <w:rFonts w:hint="eastAsia" w:ascii="宋体" w:hAnsi="宋体" w:cs="宋体"/>
          <w:snapToGrid w:val="0"/>
          <w:color w:val="000000"/>
          <w:kern w:val="0"/>
          <w:sz w:val="24"/>
        </w:rPr>
        <w:t>客户端签名（SM3）</w:t>
      </w:r>
    </w:p>
    <w:p w14:paraId="15BC220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对传输数据采用国密SM3算法生成签名，确保数据完整性。</w:t>
      </w:r>
    </w:p>
    <w:p w14:paraId="7FC1F96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2.</w:t>
      </w:r>
      <w:r>
        <w:rPr>
          <w:rFonts w:hint="eastAsia" w:ascii="宋体" w:hAnsi="宋体" w:cs="宋体"/>
          <w:snapToGrid w:val="0"/>
          <w:color w:val="000000"/>
          <w:kern w:val="0"/>
          <w:sz w:val="24"/>
        </w:rPr>
        <w:t>传输加密（SM4）</w:t>
      </w:r>
    </w:p>
    <w:p w14:paraId="216A02A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请求Body内容需使用国密SM4算法（ECB模式）加密，加密后数据需进行Base64编码。</w:t>
      </w:r>
    </w:p>
    <w:p w14:paraId="0F789FE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3.</w:t>
      </w:r>
      <w:r>
        <w:rPr>
          <w:rFonts w:hint="eastAsia" w:ascii="宋体" w:hAnsi="宋体" w:cs="宋体"/>
          <w:snapToGrid w:val="0"/>
          <w:color w:val="000000"/>
          <w:kern w:val="0"/>
          <w:sz w:val="24"/>
        </w:rPr>
        <w:t>签名校验</w:t>
      </w:r>
    </w:p>
    <w:p w14:paraId="59AF305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服务端需实现签名合法性验证功能，防止数据篡改，确保传输安全。</w:t>
      </w:r>
    </w:p>
    <w:p w14:paraId="61CE27C2">
      <w:pPr>
        <w:keepNext/>
        <w:keepLines/>
        <w:numPr>
          <w:ilvl w:val="2"/>
          <w:numId w:val="0"/>
        </w:numPr>
        <w:adjustRightInd w:val="0"/>
        <w:snapToGrid w:val="0"/>
        <w:spacing w:after="0" w:line="360" w:lineRule="auto"/>
        <w:outlineLvl w:val="2"/>
        <w:rPr>
          <w:rFonts w:hint="eastAsia" w:ascii="宋体" w:hAnsi="宋体" w:cs="宋体"/>
          <w:b/>
          <w:bCs/>
          <w:color w:val="000000"/>
          <w:sz w:val="24"/>
        </w:rPr>
      </w:pPr>
      <w:r>
        <w:rPr>
          <w:rFonts w:hint="eastAsia" w:ascii="宋体" w:hAnsi="宋体" w:cs="宋体"/>
          <w:b/>
          <w:bCs/>
          <w:color w:val="000000"/>
          <w:sz w:val="24"/>
        </w:rPr>
        <w:t>3.1.3.基础数据标准化</w:t>
      </w:r>
    </w:p>
    <w:p w14:paraId="65DA36A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ascii="宋体" w:hAnsi="宋体" w:cs="宋体"/>
          <w:snapToGrid w:val="0"/>
          <w:color w:val="000000"/>
          <w:kern w:val="0"/>
          <w:sz w:val="24"/>
        </w:rPr>
        <w:t>1.</w:t>
      </w:r>
      <w:r>
        <w:rPr>
          <w:rFonts w:hint="eastAsia" w:ascii="宋体" w:hAnsi="宋体" w:cs="宋体"/>
          <w:snapToGrid w:val="0"/>
          <w:color w:val="000000"/>
          <w:kern w:val="0"/>
          <w:sz w:val="24"/>
        </w:rPr>
        <w:t>基础数据映射</w:t>
      </w:r>
    </w:p>
    <w:p w14:paraId="79A37FE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1）按《门急诊病历上传数据项说明v2.1.0.2》要求，完成挂号类别、医保类别、医嘱类型编码（西医/中医）、科别编码等共32项数据的匹配与对照。</w:t>
      </w:r>
    </w:p>
    <w:p w14:paraId="636015F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2）提供标准化映射表及自动化转换工具，确保数据字典与市级平台完全统一。</w:t>
      </w:r>
    </w:p>
    <w:p w14:paraId="77FD70BB">
      <w:pPr>
        <w:keepNext/>
        <w:keepLines/>
        <w:numPr>
          <w:ilvl w:val="2"/>
          <w:numId w:val="0"/>
        </w:numPr>
        <w:adjustRightInd w:val="0"/>
        <w:snapToGrid w:val="0"/>
        <w:spacing w:after="0" w:line="360" w:lineRule="auto"/>
        <w:outlineLvl w:val="2"/>
        <w:rPr>
          <w:rFonts w:hint="eastAsia" w:ascii="宋体" w:hAnsi="宋体" w:cs="宋体"/>
          <w:b/>
          <w:bCs/>
          <w:color w:val="000000"/>
          <w:sz w:val="24"/>
        </w:rPr>
      </w:pPr>
      <w:r>
        <w:rPr>
          <w:rFonts w:hint="eastAsia" w:ascii="宋体" w:hAnsi="宋体" w:cs="宋体"/>
          <w:b/>
          <w:bCs/>
          <w:color w:val="000000"/>
          <w:sz w:val="24"/>
        </w:rPr>
        <w:t>3.1.4.系统对接</w:t>
      </w:r>
    </w:p>
    <w:p w14:paraId="5730B001">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与北京市电子病历共享平台对接，实现电子病历共享。</w:t>
      </w:r>
    </w:p>
    <w:p w14:paraId="2238F024">
      <w:pPr>
        <w:keepNext/>
        <w:keepLines/>
        <w:numPr>
          <w:ilvl w:val="1"/>
          <w:numId w:val="0"/>
        </w:numPr>
        <w:adjustRightInd w:val="0"/>
        <w:snapToGrid w:val="0"/>
        <w:spacing w:after="0" w:line="360" w:lineRule="auto"/>
        <w:outlineLvl w:val="1"/>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3.2.北京市医生工作站跨院“共享助手”改造</w:t>
      </w:r>
    </w:p>
    <w:p w14:paraId="7B7E3970">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3.2.1.接口集成</w:t>
      </w:r>
    </w:p>
    <w:p w14:paraId="62C55A4B">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 xml:space="preserve">实现接口参数配置（URL/密钥/医院编码），支持HTTP </w:t>
      </w:r>
      <w:r>
        <w:rPr>
          <w:rFonts w:hint="eastAsia" w:ascii="宋体" w:hAnsi="宋体" w:cs="宋体"/>
          <w:snapToGrid w:val="0"/>
          <w:color w:val="000000"/>
          <w:kern w:val="0"/>
          <w:sz w:val="24"/>
          <w:lang w:val="en-US" w:eastAsia="zh-CN"/>
        </w:rPr>
        <w:t>推送</w:t>
      </w:r>
      <w:r>
        <w:rPr>
          <w:rFonts w:hint="eastAsia" w:ascii="宋体" w:hAnsi="宋体" w:cs="宋体"/>
          <w:snapToGrid w:val="0"/>
          <w:color w:val="000000"/>
          <w:kern w:val="0"/>
          <w:sz w:val="24"/>
        </w:rPr>
        <w:t>请求及响应处理。。</w:t>
      </w:r>
    </w:p>
    <w:p w14:paraId="49820AFB">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3.2.2.</w:t>
      </w:r>
      <w:r>
        <w:rPr>
          <w:rFonts w:hint="eastAsia" w:ascii="宋体" w:hAnsi="宋体" w:cs="宋体"/>
          <w:b/>
          <w:bCs/>
          <w:snapToGrid w:val="0"/>
          <w:color w:val="000000"/>
          <w:kern w:val="0"/>
          <w:sz w:val="24"/>
        </w:rPr>
        <w:tab/>
      </w:r>
      <w:r>
        <w:rPr>
          <w:rFonts w:hint="eastAsia" w:ascii="宋体" w:hAnsi="宋体" w:cs="宋体"/>
          <w:b/>
          <w:bCs/>
          <w:snapToGrid w:val="0"/>
          <w:color w:val="000000"/>
          <w:kern w:val="0"/>
          <w:sz w:val="24"/>
        </w:rPr>
        <w:t>就诊通知接口改造</w:t>
      </w:r>
    </w:p>
    <w:p w14:paraId="5443C1F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医生查看患者时，自动</w:t>
      </w:r>
      <w:r>
        <w:rPr>
          <w:rFonts w:hint="eastAsia" w:ascii="宋体" w:hAnsi="宋体" w:cs="宋体"/>
          <w:snapToGrid w:val="0"/>
          <w:color w:val="000000"/>
          <w:kern w:val="0"/>
          <w:sz w:val="24"/>
          <w:lang w:val="en-US" w:eastAsia="zh-CN"/>
        </w:rPr>
        <w:t>推送</w:t>
      </w:r>
      <w:r>
        <w:rPr>
          <w:rFonts w:hint="eastAsia" w:ascii="宋体" w:hAnsi="宋体" w:cs="宋体"/>
          <w:snapToGrid w:val="0"/>
          <w:color w:val="000000"/>
          <w:kern w:val="0"/>
          <w:sz w:val="24"/>
        </w:rPr>
        <w:t>请求至共享助手，</w:t>
      </w:r>
      <w:r>
        <w:rPr>
          <w:rFonts w:hint="eastAsia" w:ascii="宋体" w:hAnsi="宋体" w:cs="宋体"/>
          <w:snapToGrid w:val="0"/>
          <w:color w:val="000000"/>
          <w:kern w:val="0"/>
          <w:sz w:val="24"/>
          <w:lang w:val="en-US" w:eastAsia="zh-CN"/>
        </w:rPr>
        <w:t>同步</w:t>
      </w:r>
      <w:r>
        <w:rPr>
          <w:rFonts w:hint="eastAsia" w:ascii="宋体" w:hAnsi="宋体" w:cs="宋体"/>
          <w:snapToGrid w:val="0"/>
          <w:color w:val="000000"/>
          <w:kern w:val="0"/>
          <w:sz w:val="24"/>
        </w:rPr>
        <w:t>医院ID及加密数据。</w:t>
      </w:r>
    </w:p>
    <w:p w14:paraId="3E0BD3EA">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3.2.3.数据加密与发送处理</w:t>
      </w:r>
    </w:p>
    <w:p w14:paraId="680C62E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医生查看患者时</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val="en-US" w:eastAsia="zh-CN"/>
        </w:rPr>
        <w:t>系统</w:t>
      </w:r>
      <w:r>
        <w:rPr>
          <w:rFonts w:hint="eastAsia" w:ascii="宋体" w:hAnsi="宋体" w:cs="宋体"/>
          <w:snapToGrid w:val="0"/>
          <w:color w:val="000000"/>
          <w:kern w:val="0"/>
          <w:sz w:val="24"/>
        </w:rPr>
        <w:t>自动整理患者和医生信息</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rPr>
        <w:t>进行安全加密处理</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rPr>
        <w:t>将加密后的数据安全发送给共享助手</w:t>
      </w:r>
      <w:r>
        <w:rPr>
          <w:rFonts w:hint="eastAsia" w:ascii="宋体" w:hAnsi="宋体" w:cs="宋体"/>
          <w:snapToGrid w:val="0"/>
          <w:color w:val="000000"/>
          <w:kern w:val="0"/>
          <w:sz w:val="24"/>
          <w:lang w:eastAsia="zh-CN"/>
        </w:rPr>
        <w:t>。</w:t>
      </w:r>
    </w:p>
    <w:p w14:paraId="45606BD0">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3.2.4.数据解密与接收处理</w:t>
      </w:r>
    </w:p>
    <w:p w14:paraId="74FB586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共享助手端需实时解密数据并返回就诊历史。</w:t>
      </w:r>
    </w:p>
    <w:p w14:paraId="0E2B955B">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3.2.5.系统对接</w:t>
      </w:r>
    </w:p>
    <w:p w14:paraId="0EAA1F2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与北京市医生工作站跨院“共享助手”对接，支持跨机构电子病历调阅。</w:t>
      </w:r>
    </w:p>
    <w:p w14:paraId="23064E7E">
      <w:pPr>
        <w:keepNext/>
        <w:keepLines/>
        <w:numPr>
          <w:ilvl w:val="1"/>
          <w:numId w:val="0"/>
        </w:numPr>
        <w:adjustRightInd w:val="0"/>
        <w:snapToGrid w:val="0"/>
        <w:spacing w:after="0" w:line="360" w:lineRule="auto"/>
        <w:outlineLvl w:val="1"/>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3.3.</w:t>
      </w:r>
      <w:r>
        <w:rPr>
          <w:rFonts w:hint="eastAsia" w:ascii="宋体" w:hAnsi="宋体" w:cs="宋体"/>
          <w:b/>
          <w:bCs/>
          <w:color w:val="000000"/>
          <w:sz w:val="24"/>
        </w:rPr>
        <w:t>检验</w:t>
      </w:r>
      <w:r>
        <w:rPr>
          <w:rFonts w:hint="eastAsia" w:ascii="宋体" w:hAnsi="宋体" w:cs="宋体"/>
          <w:b/>
          <w:bCs/>
          <w:snapToGrid w:val="0"/>
          <w:color w:val="000000"/>
          <w:kern w:val="0"/>
          <w:sz w:val="24"/>
        </w:rPr>
        <w:t>数据上传和结果互认改造</w:t>
      </w:r>
    </w:p>
    <w:p w14:paraId="4E58C928">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3.3.1.检验互认功能改造</w:t>
      </w:r>
    </w:p>
    <w:p w14:paraId="3ADF4B3D">
      <w:pPr>
        <w:widowControl/>
        <w:numPr>
          <w:ilvl w:val="0"/>
          <w:numId w:val="1"/>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HIS查询患者所有互认项目明细及报告内容：支持互认报告实时查询。</w:t>
      </w:r>
    </w:p>
    <w:p w14:paraId="12A644B6">
      <w:pPr>
        <w:widowControl/>
        <w:numPr>
          <w:ilvl w:val="0"/>
          <w:numId w:val="1"/>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HIS互认信息回传：医嘱开立时自动回传。</w:t>
      </w:r>
    </w:p>
    <w:p w14:paraId="5BF2471A">
      <w:pPr>
        <w:widowControl/>
        <w:numPr>
          <w:ilvl w:val="0"/>
          <w:numId w:val="1"/>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HIS互信信息处理：记录拒认原因。</w:t>
      </w:r>
    </w:p>
    <w:p w14:paraId="4EF5A94F">
      <w:pPr>
        <w:widowControl/>
        <w:numPr>
          <w:ilvl w:val="0"/>
          <w:numId w:val="1"/>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检验报告明细上报/变更：审核后实时上报。</w:t>
      </w:r>
    </w:p>
    <w:p w14:paraId="47B26640">
      <w:pPr>
        <w:widowControl/>
        <w:numPr>
          <w:ilvl w:val="0"/>
          <w:numId w:val="1"/>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检验报告生成：输出标准格式报告。</w:t>
      </w:r>
    </w:p>
    <w:p w14:paraId="4CDF5F80">
      <w:pPr>
        <w:widowControl/>
        <w:numPr>
          <w:ilvl w:val="0"/>
          <w:numId w:val="1"/>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检验报告pdf文档上传：生成后立即上传。</w:t>
      </w:r>
    </w:p>
    <w:p w14:paraId="2FB14117">
      <w:pPr>
        <w:widowControl/>
        <w:numPr>
          <w:ilvl w:val="0"/>
          <w:numId w:val="1"/>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检验报告查询：互认项目实时校验。</w:t>
      </w:r>
    </w:p>
    <w:p w14:paraId="4DCE6724">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3.3.2.接口安全</w:t>
      </w:r>
    </w:p>
    <w:p w14:paraId="4969F23D">
      <w:pPr>
        <w:widowControl/>
        <w:numPr>
          <w:ilvl w:val="0"/>
          <w:numId w:val="2"/>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获取时间戳：自动调用时间戳接口。</w:t>
      </w:r>
    </w:p>
    <w:p w14:paraId="4C2FE31D">
      <w:pPr>
        <w:widowControl/>
        <w:numPr>
          <w:ilvl w:val="0"/>
          <w:numId w:val="2"/>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生成签章：按JWT标准生成（含医院/医生信息）。</w:t>
      </w:r>
    </w:p>
    <w:p w14:paraId="11A79B25">
      <w:pPr>
        <w:widowControl/>
        <w:numPr>
          <w:ilvl w:val="0"/>
          <w:numId w:val="2"/>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请求内容加解密：SM4(ECB)+Base64加解密</w:t>
      </w:r>
      <w:r>
        <w:rPr>
          <w:rFonts w:hint="eastAsia" w:ascii="宋体" w:hAnsi="宋体" w:cs="宋体"/>
          <w:snapToGrid w:val="0"/>
          <w:color w:val="000000"/>
          <w:kern w:val="0"/>
          <w:sz w:val="24"/>
        </w:rPr>
        <w:t>。</w:t>
      </w:r>
    </w:p>
    <w:p w14:paraId="5AAA7599">
      <w:pPr>
        <w:widowControl/>
        <w:numPr>
          <w:ilvl w:val="0"/>
          <w:numId w:val="2"/>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生成报告浏览签章：扩展签章信息。</w:t>
      </w:r>
    </w:p>
    <w:p w14:paraId="0A2C949F">
      <w:pPr>
        <w:widowControl/>
        <w:numPr>
          <w:ilvl w:val="0"/>
          <w:numId w:val="2"/>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数据加密：敏感数据SM4存储。</w:t>
      </w:r>
    </w:p>
    <w:p w14:paraId="69201719">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3.3.3.系统对接</w:t>
      </w:r>
    </w:p>
    <w:p w14:paraId="61C1B02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与区域检验平台对接，实现检验结果互认。</w:t>
      </w:r>
    </w:p>
    <w:p w14:paraId="428A71C5">
      <w:pPr>
        <w:keepNext/>
        <w:keepLines/>
        <w:numPr>
          <w:ilvl w:val="1"/>
          <w:numId w:val="0"/>
        </w:numPr>
        <w:adjustRightInd w:val="0"/>
        <w:snapToGrid w:val="0"/>
        <w:spacing w:after="0" w:line="360" w:lineRule="auto"/>
        <w:outlineLvl w:val="1"/>
        <w:rPr>
          <w:rFonts w:hint="eastAsia" w:ascii="宋体" w:hAnsi="宋体" w:cs="宋体"/>
          <w:b/>
          <w:bCs/>
          <w:color w:val="000000"/>
          <w:sz w:val="24"/>
        </w:rPr>
      </w:pPr>
      <w:r>
        <w:rPr>
          <w:rFonts w:hint="eastAsia" w:ascii="宋体" w:hAnsi="宋体" w:cs="宋体"/>
          <w:b/>
          <w:bCs/>
          <w:color w:val="000000"/>
          <w:sz w:val="24"/>
        </w:rPr>
        <w:t>3.4.检查数据上传和结果互认改造</w:t>
      </w:r>
    </w:p>
    <w:p w14:paraId="3ED174E5">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3.4.1.功能</w:t>
      </w:r>
      <w:r>
        <w:rPr>
          <w:rFonts w:hint="eastAsia" w:ascii="宋体" w:hAnsi="宋体" w:cs="宋体"/>
          <w:b/>
          <w:bCs/>
          <w:color w:val="000000"/>
          <w:sz w:val="24"/>
        </w:rPr>
        <w:t>改造</w:t>
      </w:r>
    </w:p>
    <w:p w14:paraId="26DB23F9">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检查报告上传</w:t>
      </w:r>
    </w:p>
    <w:p w14:paraId="42C8FD2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审核通过后自动调用接口上传报告至平台业务库，支持超声、心电、内镜等非影像类报告。</w:t>
      </w:r>
    </w:p>
    <w:p w14:paraId="587AE2F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提供API文档及调试工具。</w:t>
      </w:r>
    </w:p>
    <w:p w14:paraId="43154C04">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结构化结果推送</w:t>
      </w:r>
    </w:p>
    <w:p w14:paraId="6FB762A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推送字段包含：检查项目编码（标准字典）、结果值、单位、参考范围。</w:t>
      </w:r>
    </w:p>
    <w:p w14:paraId="08B5B72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支持JSON/XML格式，数据校验成功率≥99.9%。</w:t>
      </w:r>
    </w:p>
    <w:p w14:paraId="43C4DBC0">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报告作废</w:t>
      </w:r>
    </w:p>
    <w:p w14:paraId="5BB4D77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支持通过接口回退已上传报告，标记为“作废状态”，并同步更新平台业务库。</w:t>
      </w:r>
    </w:p>
    <w:p w14:paraId="3962E4BF">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val="en-US" w:eastAsia="zh-CN"/>
        </w:rPr>
        <w:t>影像接收</w:t>
      </w:r>
      <w:r>
        <w:rPr>
          <w:rFonts w:hint="eastAsia" w:ascii="宋体" w:hAnsi="宋体" w:cs="宋体"/>
          <w:snapToGrid w:val="0"/>
          <w:color w:val="000000"/>
          <w:kern w:val="0"/>
          <w:sz w:val="24"/>
          <w:lang w:eastAsia="en-US"/>
        </w:rPr>
        <w:t>服务</w:t>
      </w:r>
    </w:p>
    <w:p w14:paraId="35A09AEB">
      <w:pPr>
        <w:widowControl/>
        <w:kinsoku w:val="0"/>
        <w:autoSpaceDE w:val="0"/>
        <w:autoSpaceDN w:val="0"/>
        <w:adjustRightInd w:val="0"/>
        <w:snapToGrid w:val="0"/>
        <w:spacing w:line="360" w:lineRule="auto"/>
        <w:jc w:val="left"/>
        <w:textAlignment w:val="baseline"/>
        <w:rPr>
          <w:rFonts w:hint="eastAsia" w:ascii="宋体" w:hAnsi="宋体" w:eastAsia="宋体" w:cs="宋体"/>
          <w:snapToGrid w:val="0"/>
          <w:color w:val="000000"/>
          <w:kern w:val="0"/>
          <w:sz w:val="24"/>
          <w:lang w:eastAsia="zh-CN"/>
        </w:rPr>
      </w:pPr>
      <w:r>
        <w:rPr>
          <w:rFonts w:hint="eastAsia" w:ascii="宋体" w:hAnsi="宋体" w:cs="宋体"/>
          <w:snapToGrid w:val="0"/>
          <w:color w:val="000000"/>
          <w:kern w:val="0"/>
          <w:sz w:val="24"/>
          <w:lang w:eastAsia="en-US"/>
        </w:rPr>
        <w:t>接收医疗设备（如CT、MR）生成的影像文件，并存储至本院影像库</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eastAsia="en-US"/>
        </w:rPr>
        <w:t>支持配置设备连接标识和传输端口</w:t>
      </w:r>
      <w:r>
        <w:rPr>
          <w:rFonts w:hint="eastAsia" w:ascii="宋体" w:hAnsi="宋体" w:cs="宋体"/>
          <w:snapToGrid w:val="0"/>
          <w:color w:val="000000"/>
          <w:kern w:val="0"/>
          <w:sz w:val="24"/>
          <w:lang w:eastAsia="zh-CN"/>
        </w:rPr>
        <w:t>，适配不同品牌设备的对接要求。</w:t>
      </w:r>
    </w:p>
    <w:p w14:paraId="773AB8B4">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影像调取服务</w:t>
      </w:r>
    </w:p>
    <w:p w14:paraId="4981FEE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lang w:eastAsia="zh-CN"/>
        </w:rPr>
      </w:pPr>
      <w:r>
        <w:rPr>
          <w:rFonts w:hint="eastAsia" w:ascii="宋体" w:hAnsi="宋体" w:cs="宋体"/>
          <w:snapToGrid w:val="0"/>
          <w:color w:val="000000"/>
          <w:kern w:val="0"/>
          <w:sz w:val="24"/>
          <w:lang w:eastAsia="en-US"/>
        </w:rPr>
        <w:t>支持区域平台按检查项目提取本院影像</w:t>
      </w:r>
      <w:r>
        <w:rPr>
          <w:rFonts w:hint="eastAsia" w:ascii="宋体" w:hAnsi="宋体" w:cs="宋体"/>
          <w:snapToGrid w:val="0"/>
          <w:color w:val="000000"/>
          <w:kern w:val="0"/>
          <w:sz w:val="24"/>
          <w:lang w:eastAsia="zh-CN"/>
        </w:rPr>
        <w:t>。自动将指定检查的影像发送至区域平台，确保传输至平台指定存储节点</w:t>
      </w:r>
    </w:p>
    <w:p w14:paraId="2BE14DEF">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影像查询服务</w:t>
      </w:r>
    </w:p>
    <w:p w14:paraId="049ABA6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响应区域平台的检查检索请求，根据患者信息查询历史检查记录，返回匹配</w:t>
      </w:r>
      <w:r>
        <w:rPr>
          <w:rFonts w:hint="eastAsia" w:ascii="宋体" w:hAnsi="宋体" w:cs="宋体"/>
          <w:snapToGrid w:val="0"/>
          <w:color w:val="000000"/>
          <w:kern w:val="0"/>
          <w:sz w:val="24"/>
          <w:lang w:val="en-US" w:eastAsia="zh-CN"/>
        </w:rPr>
        <w:t>的检查清单</w:t>
      </w:r>
      <w:r>
        <w:rPr>
          <w:rFonts w:hint="eastAsia" w:ascii="宋体" w:hAnsi="宋体" w:cs="宋体"/>
          <w:snapToGrid w:val="0"/>
          <w:color w:val="000000"/>
          <w:kern w:val="0"/>
          <w:sz w:val="24"/>
          <w:lang w:eastAsia="en-US"/>
        </w:rPr>
        <w:t>。</w:t>
      </w:r>
    </w:p>
    <w:p w14:paraId="441C0484">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数据预加载</w:t>
      </w:r>
    </w:p>
    <w:p w14:paraId="3E6686B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按每日7-8点、12-13点、18-19点三个批次预加载预约患者检查数据。</w:t>
      </w:r>
    </w:p>
    <w:p w14:paraId="423A727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急诊患者就诊时实时调用接口加载数据，临时存储3-5天。</w:t>
      </w:r>
    </w:p>
    <w:p w14:paraId="770211A5">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互认提醒</w:t>
      </w:r>
    </w:p>
    <w:p w14:paraId="0A9F640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医生开检查医嘱时，自动检索预加载数据并弹窗提醒可互认项目，支持标准编码匹配。</w:t>
      </w:r>
    </w:p>
    <w:p w14:paraId="4A429079">
      <w:pPr>
        <w:widowControl/>
        <w:numPr>
          <w:ilvl w:val="0"/>
          <w:numId w:val="3"/>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互认结果提交</w:t>
      </w:r>
    </w:p>
    <w:p w14:paraId="4186350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支持单项目互认结果提交，需包含认可/不认可标志、不认可理由（编码化选项）。</w:t>
      </w:r>
    </w:p>
    <w:p w14:paraId="142F292E">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3.4.2.数据</w:t>
      </w:r>
      <w:r>
        <w:rPr>
          <w:rFonts w:hint="eastAsia" w:ascii="宋体" w:hAnsi="宋体" w:cs="宋体"/>
          <w:b/>
          <w:bCs/>
          <w:color w:val="000000"/>
          <w:sz w:val="24"/>
        </w:rPr>
        <w:t>字典</w:t>
      </w:r>
      <w:r>
        <w:rPr>
          <w:rFonts w:hint="eastAsia" w:ascii="宋体" w:hAnsi="宋体" w:cs="宋体"/>
          <w:b/>
          <w:bCs/>
          <w:snapToGrid w:val="0"/>
          <w:color w:val="000000"/>
          <w:kern w:val="0"/>
          <w:sz w:val="24"/>
          <w:lang w:eastAsia="en-US"/>
        </w:rPr>
        <w:t>管理</w:t>
      </w:r>
    </w:p>
    <w:p w14:paraId="43486A11">
      <w:pPr>
        <w:widowControl/>
        <w:numPr>
          <w:ilvl w:val="0"/>
          <w:numId w:val="4"/>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标准字典引用</w:t>
      </w:r>
    </w:p>
    <w:p w14:paraId="01FA5D8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采用北京市卫健委发布的最新数据字典，提供映射对照表（Excel/数据库表）</w:t>
      </w:r>
    </w:p>
    <w:p w14:paraId="2C87A088">
      <w:pPr>
        <w:widowControl/>
        <w:numPr>
          <w:ilvl w:val="0"/>
          <w:numId w:val="4"/>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字典更新机制</w:t>
      </w:r>
    </w:p>
    <w:p w14:paraId="3C80AA41">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支持字典版本在线同步，更新时自动提醒并生成差异报告。</w:t>
      </w:r>
    </w:p>
    <w:p w14:paraId="799DBEF7">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3.4.3.接口安全</w:t>
      </w:r>
    </w:p>
    <w:p w14:paraId="06C7DA97">
      <w:pPr>
        <w:widowControl/>
        <w:numPr>
          <w:ilvl w:val="0"/>
          <w:numId w:val="5"/>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时间戳与签章</w:t>
      </w:r>
    </w:p>
    <w:p w14:paraId="708AE63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实现JWT签章生成模块，包含医院名称、操作医生、时效信息，支持动态AppSecret管理。</w:t>
      </w:r>
    </w:p>
    <w:p w14:paraId="7F40AC9A">
      <w:pPr>
        <w:widowControl/>
        <w:numPr>
          <w:ilvl w:val="0"/>
          <w:numId w:val="5"/>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加解密</w:t>
      </w:r>
    </w:p>
    <w:p w14:paraId="612C30B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使用SM4(ECB)+Base64对请求内容加密，提供密钥管理工具。</w:t>
      </w:r>
    </w:p>
    <w:p w14:paraId="69B17D2B">
      <w:pPr>
        <w:widowControl/>
        <w:numPr>
          <w:ilvl w:val="0"/>
          <w:numId w:val="5"/>
        </w:numPr>
        <w:kinsoku w:val="0"/>
        <w:autoSpaceDE w:val="0"/>
        <w:autoSpaceDN w:val="0"/>
        <w:adjustRightInd w:val="0"/>
        <w:snapToGrid w:val="0"/>
        <w:spacing w:after="0" w:line="360" w:lineRule="auto"/>
        <w:ind w:left="860" w:hanging="440"/>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报告浏览签章</w:t>
      </w:r>
    </w:p>
    <w:p w14:paraId="701FF75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签章需通过平台验证，确保链接有效期≤24小时。</w:t>
      </w:r>
    </w:p>
    <w:p w14:paraId="69CB2213">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3.4.4.系统对接</w:t>
      </w:r>
    </w:p>
    <w:p w14:paraId="197ACC8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和区域影像平台对接，实现检查数据互认。</w:t>
      </w:r>
    </w:p>
    <w:p w14:paraId="3BB8DB87">
      <w:pPr>
        <w:keepNext/>
        <w:keepLines/>
        <w:numPr>
          <w:ilvl w:val="1"/>
          <w:numId w:val="0"/>
        </w:numPr>
        <w:adjustRightInd w:val="0"/>
        <w:snapToGrid w:val="0"/>
        <w:spacing w:after="0" w:line="360" w:lineRule="auto"/>
        <w:outlineLvl w:val="1"/>
        <w:rPr>
          <w:rFonts w:hint="eastAsia" w:ascii="宋体" w:hAnsi="宋体" w:cs="宋体"/>
          <w:b/>
          <w:bCs/>
          <w:color w:val="000000"/>
          <w:sz w:val="24"/>
        </w:rPr>
      </w:pPr>
      <w:r>
        <w:rPr>
          <w:rFonts w:hint="eastAsia" w:ascii="宋体" w:hAnsi="宋体" w:cs="宋体"/>
          <w:b/>
          <w:bCs/>
          <w:color w:val="000000"/>
          <w:sz w:val="24"/>
        </w:rPr>
        <w:t>3.5.京通医保移动支付对接改造</w:t>
      </w:r>
    </w:p>
    <w:p w14:paraId="30EEF9E1">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线上门诊收费结算</w:t>
      </w:r>
    </w:p>
    <w:p w14:paraId="5ED4FD2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删除/修改处方：需实现处方变更后订单重推；</w:t>
      </w:r>
    </w:p>
    <w:p w14:paraId="5899F17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上传订单信息：实时生成医保分解XML；</w:t>
      </w:r>
    </w:p>
    <w:p w14:paraId="575B9C5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支付判定：支付冲突返回</w:t>
      </w:r>
      <w:r>
        <w:rPr>
          <w:rFonts w:hint="eastAsia" w:ascii="宋体" w:hAnsi="宋体" w:cs="宋体"/>
          <w:snapToGrid w:val="0"/>
          <w:color w:val="000000"/>
          <w:kern w:val="0"/>
          <w:sz w:val="24"/>
          <w:lang w:val="en-US" w:eastAsia="zh-CN"/>
        </w:rPr>
        <w:t xml:space="preserve">提示 </w:t>
      </w:r>
      <w:r>
        <w:rPr>
          <w:rFonts w:hint="eastAsia" w:ascii="宋体" w:hAnsi="宋体" w:cs="宋体"/>
          <w:snapToGrid w:val="0"/>
          <w:color w:val="000000"/>
          <w:kern w:val="0"/>
          <w:sz w:val="24"/>
        </w:rPr>
        <w:t>；</w:t>
      </w:r>
    </w:p>
    <w:p w14:paraId="3AE020A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支付完成通知：3秒内同步至“已结算未对账”；</w:t>
      </w:r>
    </w:p>
    <w:p w14:paraId="18862D2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医保交易完成通知：自动调用接口对账。</w:t>
      </w:r>
    </w:p>
    <w:p w14:paraId="2E4140EB">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线上HIS收费补偿</w:t>
      </w:r>
    </w:p>
    <w:p w14:paraId="0AC30B9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交易完成通知补偿：定时任务补对账。</w:t>
      </w:r>
    </w:p>
    <w:p w14:paraId="107F3E5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支付完成通知补偿：轮询支付状态</w:t>
      </w:r>
    </w:p>
    <w:p w14:paraId="7B261F2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撤销挂号补偿：超时自动撤单</w:t>
      </w:r>
    </w:p>
    <w:p w14:paraId="1274366F">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线下窗口缴费</w:t>
      </w:r>
    </w:p>
    <w:p w14:paraId="1064A1A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支付判定：支持线下缴费冲突提示</w:t>
      </w:r>
    </w:p>
    <w:p w14:paraId="376F6C4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确认线下缴费（选做）：调用订单撤销接口。</w:t>
      </w:r>
    </w:p>
    <w:p w14:paraId="7AA81B05">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线下自助缴费</w:t>
      </w:r>
    </w:p>
    <w:p w14:paraId="06AE62A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预结算（选做）：支持自助机冲突提示</w:t>
      </w:r>
    </w:p>
    <w:p w14:paraId="6A0ADE3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确认线下缴费（选做）：支持撤销后执行预结算</w:t>
      </w:r>
    </w:p>
    <w:p w14:paraId="173685CB">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医保接口传输安全</w:t>
      </w:r>
    </w:p>
    <w:p w14:paraId="0816C85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lang w:eastAsia="zh-CN"/>
        </w:rPr>
      </w:pPr>
      <w:r>
        <w:rPr>
          <w:rFonts w:hint="eastAsia" w:ascii="宋体" w:hAnsi="宋体" w:cs="宋体"/>
          <w:snapToGrid w:val="0"/>
          <w:color w:val="000000"/>
          <w:kern w:val="0"/>
          <w:sz w:val="24"/>
          <w:lang w:eastAsia="en-US"/>
        </w:rPr>
        <w:t>在医保移动支付过程中</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val="en-US" w:eastAsia="zh-CN"/>
        </w:rPr>
        <w:t>要求使用国家认证的加密技术全程防护，加密/解密过程自动完成，无需人工干预</w:t>
      </w:r>
      <w:r>
        <w:rPr>
          <w:rFonts w:hint="eastAsia" w:ascii="宋体" w:hAnsi="宋体" w:cs="宋体"/>
          <w:snapToGrid w:val="0"/>
          <w:color w:val="000000"/>
          <w:kern w:val="0"/>
          <w:sz w:val="24"/>
          <w:lang w:eastAsia="zh-CN"/>
        </w:rPr>
        <w:t>：</w:t>
      </w:r>
    </w:p>
    <w:p w14:paraId="65AC2BA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lang w:eastAsia="zh-CN"/>
        </w:rPr>
      </w:pP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val="en-US" w:eastAsia="zh-CN"/>
        </w:rPr>
        <w:t>1</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eastAsia="en-US"/>
        </w:rPr>
        <w:t>发送保护</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eastAsia="en-US"/>
        </w:rPr>
        <w:t>自动加密组合信息：交易流水号+业务类型+支付内容</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eastAsia="en-US"/>
        </w:rPr>
        <w:t>通过安全通道传输至医保平台</w:t>
      </w:r>
      <w:r>
        <w:rPr>
          <w:rFonts w:hint="eastAsia" w:ascii="宋体" w:hAnsi="宋体" w:cs="宋体"/>
          <w:snapToGrid w:val="0"/>
          <w:color w:val="000000"/>
          <w:kern w:val="0"/>
          <w:sz w:val="24"/>
          <w:lang w:eastAsia="zh-CN"/>
        </w:rPr>
        <w:t>。</w:t>
      </w:r>
    </w:p>
    <w:p w14:paraId="48B348F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val="en-US" w:eastAsia="zh-CN"/>
        </w:rPr>
        <w:t>2</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eastAsia="en-US"/>
        </w:rPr>
        <w:t>接收保护</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eastAsia="en-US"/>
        </w:rPr>
        <w:t>自动验证并解密医保平台返回数据</w:t>
      </w:r>
      <w:r>
        <w:rPr>
          <w:rFonts w:hint="eastAsia" w:ascii="宋体" w:hAnsi="宋体" w:cs="宋体"/>
          <w:snapToGrid w:val="0"/>
          <w:color w:val="000000"/>
          <w:kern w:val="0"/>
          <w:sz w:val="24"/>
          <w:lang w:eastAsia="zh-CN"/>
        </w:rPr>
        <w:t>；</w:t>
      </w:r>
      <w:r>
        <w:rPr>
          <w:rFonts w:hint="eastAsia" w:ascii="宋体" w:hAnsi="宋体" w:cs="宋体"/>
          <w:snapToGrid w:val="0"/>
          <w:color w:val="000000"/>
          <w:kern w:val="0"/>
          <w:sz w:val="24"/>
          <w:lang w:eastAsia="en-US"/>
        </w:rPr>
        <w:t>验证组合：交易流水号+业务类型+返回结果</w:t>
      </w:r>
      <w:r>
        <w:rPr>
          <w:rFonts w:hint="eastAsia" w:ascii="宋体" w:hAnsi="宋体" w:cs="宋体"/>
          <w:snapToGrid w:val="0"/>
          <w:color w:val="000000"/>
          <w:kern w:val="0"/>
          <w:sz w:val="24"/>
          <w:lang w:eastAsia="zh-CN"/>
        </w:rPr>
        <w:t>。</w:t>
      </w:r>
    </w:p>
    <w:p w14:paraId="76ECB730">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线下门诊退费结算</w:t>
      </w:r>
    </w:p>
    <w:p w14:paraId="6D83219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退费医保交易：按原支付渠道退费。</w:t>
      </w:r>
    </w:p>
    <w:p w14:paraId="6F0B497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退费银行交易：支持银行加密退费。</w:t>
      </w:r>
    </w:p>
    <w:p w14:paraId="722BA4FB">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线下银行退费接口</w:t>
      </w:r>
    </w:p>
    <w:p w14:paraId="567A182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加密算法：遵循银行指定加密标准（提供协议适配清单）。</w:t>
      </w:r>
    </w:p>
    <w:p w14:paraId="50A403C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退费接口：调用接口+状态轮询。</w:t>
      </w:r>
    </w:p>
    <w:p w14:paraId="6AFE1622">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日志与监控</w:t>
      </w:r>
    </w:p>
    <w:p w14:paraId="694C548B">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接口调用日志记录：记录所有接口请求/响应数据。</w:t>
      </w:r>
    </w:p>
    <w:p w14:paraId="1FC1BD3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交易状态监控告警：实时触发异常告警。</w:t>
      </w:r>
    </w:p>
    <w:p w14:paraId="03F85F3A">
      <w:pPr>
        <w:widowControl/>
        <w:numPr>
          <w:ilvl w:val="0"/>
          <w:numId w:val="6"/>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患者信息管理</w:t>
      </w:r>
    </w:p>
    <w:p w14:paraId="64968A8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自动注册与更新：支付后自费转医保更新</w:t>
      </w:r>
    </w:p>
    <w:p w14:paraId="209980BD">
      <w:pPr>
        <w:keepNext/>
        <w:keepLines/>
        <w:numPr>
          <w:ilvl w:val="1"/>
          <w:numId w:val="0"/>
        </w:numPr>
        <w:adjustRightInd w:val="0"/>
        <w:snapToGrid w:val="0"/>
        <w:spacing w:after="0" w:line="360" w:lineRule="auto"/>
        <w:outlineLvl w:val="1"/>
        <w:rPr>
          <w:rFonts w:hint="eastAsia" w:ascii="宋体" w:hAnsi="宋体" w:eastAsia="宋体" w:cs="宋体"/>
          <w:b/>
          <w:bCs/>
          <w:color w:val="000000"/>
          <w:sz w:val="24"/>
          <w:lang w:eastAsia="zh-CN"/>
        </w:rPr>
      </w:pPr>
      <w:r>
        <w:rPr>
          <w:rFonts w:hint="eastAsia" w:ascii="宋体" w:hAnsi="宋体" w:cs="宋体"/>
          <w:b/>
          <w:bCs/>
          <w:color w:val="000000"/>
          <w:sz w:val="24"/>
        </w:rPr>
        <w:t>3.6.</w:t>
      </w:r>
      <w:r>
        <w:rPr>
          <w:rFonts w:hint="eastAsia" w:ascii="宋体" w:hAnsi="宋体" w:cs="宋体"/>
          <w:b/>
          <w:bCs/>
          <w:color w:val="000000"/>
          <w:sz w:val="24"/>
          <w:lang w:eastAsia="zh-CN"/>
        </w:rPr>
        <w:t>114平台预约挂号对接改造</w:t>
      </w:r>
    </w:p>
    <w:p w14:paraId="59BEC510">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线上预约挂号</w:t>
      </w:r>
    </w:p>
    <w:p w14:paraId="7C64737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科室信息同步：全量科室数据同步。</w:t>
      </w:r>
    </w:p>
    <w:p w14:paraId="46B7516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医生信息同步：实时同步医生排班</w:t>
      </w:r>
    </w:p>
    <w:p w14:paraId="01A0122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号源信息查询：返回医保支付标识。</w:t>
      </w:r>
    </w:p>
    <w:p w14:paraId="758CD42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预约锁号：实现自动建档+幂等控制。</w:t>
      </w:r>
    </w:p>
    <w:p w14:paraId="4DC50F58">
      <w:pPr>
        <w:widowControl/>
        <w:numPr>
          <w:ilvl w:val="-1"/>
          <w:numId w:val="0"/>
        </w:numPr>
        <w:kinsoku w:val="0"/>
        <w:autoSpaceDE w:val="0"/>
        <w:autoSpaceDN w:val="0"/>
        <w:adjustRightInd w:val="0"/>
        <w:snapToGrid w:val="0"/>
        <w:spacing w:line="360" w:lineRule="auto"/>
        <w:ind w:left="0" w:firstLine="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线上HIS挂号补偿</w:t>
      </w:r>
    </w:p>
    <w:p w14:paraId="7D659C8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交易完成通知补偿：定时补偿对账。</w:t>
      </w:r>
    </w:p>
    <w:p w14:paraId="5AD8493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支付完成通知补偿：轮询支付状态。</w:t>
      </w:r>
    </w:p>
    <w:p w14:paraId="4C26CBC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撤销挂号补偿：超时自动撤号。</w:t>
      </w:r>
    </w:p>
    <w:p w14:paraId="364EF4B9">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线下取号</w:t>
      </w:r>
    </w:p>
    <w:p w14:paraId="6290134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预约取号关联：已支付订单自动生成挂号。</w:t>
      </w:r>
    </w:p>
    <w:p w14:paraId="4BB4975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过期未取自动转正：就诊日未取号自动关联医保。</w:t>
      </w:r>
    </w:p>
    <w:p w14:paraId="263BE827">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线上退号</w:t>
      </w:r>
    </w:p>
    <w:p w14:paraId="1430975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挂号退费：退号状态置为“挂起”。</w:t>
      </w:r>
    </w:p>
    <w:p w14:paraId="0739991B">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退费完成通知：解析退费XML更新状态。</w:t>
      </w:r>
    </w:p>
    <w:p w14:paraId="0C04AE4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退费状态查询：支持实时进度查询。</w:t>
      </w:r>
    </w:p>
    <w:p w14:paraId="59B182EE">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线上HIS退号补偿</w:t>
      </w:r>
    </w:p>
    <w:p w14:paraId="0127E16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交易完成通知补偿：退号对账补偿。</w:t>
      </w:r>
    </w:p>
    <w:p w14:paraId="050C277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退号完成通知补偿：轮询退费状态。</w:t>
      </w:r>
    </w:p>
    <w:p w14:paraId="650CA87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撤销退号补偿：支持手动撤销挂起订单。</w:t>
      </w:r>
    </w:p>
    <w:p w14:paraId="15736A9B">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线下退号</w:t>
      </w:r>
    </w:p>
    <w:p w14:paraId="10AC663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退号校验：拦截线上订单线下退号。</w:t>
      </w:r>
    </w:p>
    <w:p w14:paraId="422CCAA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取消预约：强制原渠道退号。</w:t>
      </w:r>
    </w:p>
    <w:p w14:paraId="45E9FB18">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线上114接口</w:t>
      </w:r>
    </w:p>
    <w:p w14:paraId="4DC2495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线下窗口取号通知：HIS通知114更新状态。</w:t>
      </w:r>
    </w:p>
    <w:p w14:paraId="53C07EC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停诊通知：推送停诊信息+5分钟缓冲。</w:t>
      </w:r>
    </w:p>
    <w:p w14:paraId="348836EA">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号源管理</w:t>
      </w:r>
    </w:p>
    <w:p w14:paraId="4C062B1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号源冲突检测：实现幂等锁号。</w:t>
      </w:r>
    </w:p>
    <w:p w14:paraId="49FAAE0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号源超时释放：超时自动释放。</w:t>
      </w:r>
    </w:p>
    <w:p w14:paraId="25764AC1">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数据同步</w:t>
      </w:r>
    </w:p>
    <w:p w14:paraId="54BAF6D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全量数据同步：每日同步科室/医生数据。</w:t>
      </w:r>
    </w:p>
    <w:p w14:paraId="61055F4A">
      <w:pPr>
        <w:widowControl/>
        <w:numPr>
          <w:ilvl w:val="0"/>
          <w:numId w:val="7"/>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异常处理</w:t>
      </w:r>
    </w:p>
    <w:p w14:paraId="071013B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支付中断恢复：支持从“待结算”状态续流程</w:t>
      </w:r>
    </w:p>
    <w:p w14:paraId="707C2F31">
      <w:pPr>
        <w:keepNext/>
        <w:keepLines/>
        <w:numPr>
          <w:ilvl w:val="1"/>
          <w:numId w:val="0"/>
        </w:numPr>
        <w:adjustRightInd w:val="0"/>
        <w:snapToGrid w:val="0"/>
        <w:spacing w:after="0" w:line="360" w:lineRule="auto"/>
        <w:outlineLvl w:val="1"/>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3.7.互联网医院平台拎包入住对接改造</w:t>
      </w:r>
    </w:p>
    <w:p w14:paraId="69E64316">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3.7.1.HIS接口</w:t>
      </w:r>
      <w:r>
        <w:rPr>
          <w:rFonts w:hint="eastAsia" w:ascii="宋体" w:hAnsi="宋体" w:cs="宋体"/>
          <w:b/>
          <w:bCs/>
          <w:snapToGrid w:val="0"/>
          <w:color w:val="000000"/>
          <w:kern w:val="0"/>
          <w:sz w:val="24"/>
        </w:rPr>
        <w:t>改造</w:t>
      </w:r>
    </w:p>
    <w:p w14:paraId="3FFF039F">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科室信息同步</w:t>
      </w:r>
    </w:p>
    <w:p w14:paraId="15B1CC2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返回一级/二级科室结构，必含映射平台科室信息。</w:t>
      </w:r>
    </w:p>
    <w:p w14:paraId="4ADE14D1">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人员信息同步</w:t>
      </w:r>
    </w:p>
    <w:p w14:paraId="627A370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包含医生职称、执业范围、互联网诊疗标识。</w:t>
      </w:r>
    </w:p>
    <w:p w14:paraId="7D95DD60">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查询号源信息</w:t>
      </w:r>
    </w:p>
    <w:p w14:paraId="1490A8C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支持分时段号源，按规则排序（职称降序→余量降序）。</w:t>
      </w:r>
    </w:p>
    <w:p w14:paraId="0B5FB93C">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锁定号源（含建档）</w:t>
      </w:r>
    </w:p>
    <w:p w14:paraId="7A88E23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首次就诊自动建档，校验特殊规则（如儿科年龄≤14岁）。</w:t>
      </w:r>
    </w:p>
    <w:p w14:paraId="6F6A519B">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取消锁号</w:t>
      </w:r>
    </w:p>
    <w:p w14:paraId="7C423BA4">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医保线上支付发起通知</w:t>
      </w:r>
    </w:p>
    <w:p w14:paraId="49A73D2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HIS轮询医保状态间隔≥15分钟。</w:t>
      </w:r>
    </w:p>
    <w:p w14:paraId="6C8590C8">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自费挂号收费成功通知（</w:t>
      </w:r>
    </w:p>
    <w:p w14:paraId="202B292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处理重复通知（校验订单状态）。</w:t>
      </w:r>
    </w:p>
    <w:p w14:paraId="3837B5E1">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退费确认</w:t>
      </w:r>
    </w:p>
    <w:p w14:paraId="633EA0E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返回不可退费原因</w:t>
      </w:r>
      <w:r>
        <w:rPr>
          <w:rFonts w:hint="eastAsia" w:ascii="宋体" w:hAnsi="宋体" w:cs="宋体"/>
          <w:snapToGrid w:val="0"/>
          <w:color w:val="000000"/>
          <w:kern w:val="0"/>
          <w:sz w:val="24"/>
        </w:rPr>
        <w:t>。</w:t>
      </w:r>
    </w:p>
    <w:p w14:paraId="185176F1">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退号消息通知</w:t>
      </w:r>
    </w:p>
    <w:p w14:paraId="3EFB1AF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医保退费时不推送基金明细。</w:t>
      </w:r>
    </w:p>
    <w:p w14:paraId="313D4ACC">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复诊校验</w:t>
      </w:r>
    </w:p>
    <w:p w14:paraId="621FB06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返回满足/不满足复诊信息。</w:t>
      </w:r>
    </w:p>
    <w:p w14:paraId="361AF368">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报到取号</w:t>
      </w:r>
    </w:p>
    <w:p w14:paraId="1E00EA9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记录报到时间并返回成功状态。</w:t>
      </w:r>
    </w:p>
    <w:p w14:paraId="676EE2DC">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处方订单锁定/取消</w:t>
      </w:r>
    </w:p>
    <w:p w14:paraId="7171F09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支持处方信息锁定/取消。</w:t>
      </w:r>
    </w:p>
    <w:p w14:paraId="29BFE04F">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自费处方支付成功通知</w:t>
      </w:r>
    </w:p>
    <w:p w14:paraId="0EFBE8B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失败时主动查询平台状态。</w:t>
      </w:r>
    </w:p>
    <w:p w14:paraId="0A1CD0F5">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处方配送方式推送</w:t>
      </w:r>
    </w:p>
    <w:p w14:paraId="3BF4663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自取时返回取药码</w:t>
      </w:r>
      <w:r>
        <w:rPr>
          <w:rFonts w:hint="eastAsia" w:ascii="宋体" w:hAnsi="宋体" w:cs="宋体"/>
          <w:snapToGrid w:val="0"/>
          <w:color w:val="000000"/>
          <w:kern w:val="0"/>
          <w:sz w:val="24"/>
        </w:rPr>
        <w:t>。</w:t>
      </w:r>
    </w:p>
    <w:p w14:paraId="4A9750DB">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自费订单退款结果通知</w:t>
      </w:r>
    </w:p>
    <w:p w14:paraId="65EEB52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入参增加退款订单号信息。</w:t>
      </w:r>
    </w:p>
    <w:p w14:paraId="5EAD61D4">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处方订单交易状态查询</w:t>
      </w:r>
    </w:p>
    <w:p w14:paraId="33F0668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返回医保统筹/个账支付明细。</w:t>
      </w:r>
    </w:p>
    <w:p w14:paraId="057CB14D">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线上退费申请/取消</w:t>
      </w:r>
    </w:p>
    <w:p w14:paraId="28600EA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30分钟内可申请，返回拦截原因。</w:t>
      </w:r>
    </w:p>
    <w:p w14:paraId="114BF7C1">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线上退费发起通知</w:t>
      </w:r>
    </w:p>
    <w:p w14:paraId="1216C3D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退费审批后校验状态</w:t>
      </w:r>
      <w:r>
        <w:rPr>
          <w:rFonts w:hint="eastAsia" w:ascii="宋体" w:hAnsi="宋体" w:cs="宋体"/>
          <w:snapToGrid w:val="0"/>
          <w:color w:val="000000"/>
          <w:kern w:val="0"/>
          <w:sz w:val="24"/>
        </w:rPr>
        <w:t>。</w:t>
      </w:r>
    </w:p>
    <w:p w14:paraId="0E79E23A">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停诊</w:t>
      </w:r>
    </w:p>
    <w:p w14:paraId="4F0C9FC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避开00:00-06:00平台维护时段</w:t>
      </w:r>
      <w:r>
        <w:rPr>
          <w:rFonts w:hint="eastAsia" w:ascii="宋体" w:hAnsi="宋体" w:cs="宋体"/>
          <w:snapToGrid w:val="0"/>
          <w:color w:val="000000"/>
          <w:kern w:val="0"/>
          <w:sz w:val="24"/>
        </w:rPr>
        <w:t>。</w:t>
      </w:r>
    </w:p>
    <w:p w14:paraId="36A49DAA">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取消停诊</w:t>
      </w:r>
    </w:p>
    <w:p w14:paraId="5996E6F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同停诊接口</w:t>
      </w:r>
      <w:r>
        <w:rPr>
          <w:rFonts w:hint="eastAsia" w:ascii="宋体" w:hAnsi="宋体" w:cs="宋体"/>
          <w:snapToGrid w:val="0"/>
          <w:color w:val="000000"/>
          <w:kern w:val="0"/>
          <w:sz w:val="24"/>
        </w:rPr>
        <w:t>。</w:t>
      </w:r>
    </w:p>
    <w:p w14:paraId="5E82188E">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自费挂号支付状态查询</w:t>
      </w:r>
    </w:p>
    <w:p w14:paraId="7C82F3A4">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互联网医院退号通知</w:t>
      </w:r>
    </w:p>
    <w:p w14:paraId="6DD788A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出参增加退款订单号信息。</w:t>
      </w:r>
    </w:p>
    <w:p w14:paraId="628EF8FA">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自费挂号退款状态查询</w:t>
      </w:r>
    </w:p>
    <w:p w14:paraId="00E00D9B">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返回退款详情（金额、状态）。</w:t>
      </w:r>
    </w:p>
    <w:p w14:paraId="7EC37635">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病历信息同步</w:t>
      </w:r>
    </w:p>
    <w:p w14:paraId="252A326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推送病历数据（含签名），接收成功响应。</w:t>
      </w:r>
    </w:p>
    <w:p w14:paraId="736CE8CA">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诊断信息同步</w:t>
      </w:r>
    </w:p>
    <w:p w14:paraId="42CE8C9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推送中医症候列表</w:t>
      </w:r>
      <w:r>
        <w:rPr>
          <w:rFonts w:hint="eastAsia" w:ascii="宋体" w:hAnsi="宋体" w:cs="宋体"/>
          <w:snapToGrid w:val="0"/>
          <w:color w:val="000000"/>
          <w:kern w:val="0"/>
          <w:sz w:val="24"/>
        </w:rPr>
        <w:t>。</w:t>
      </w:r>
    </w:p>
    <w:p w14:paraId="132184FA">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处方订单信息推送</w:t>
      </w:r>
    </w:p>
    <w:p w14:paraId="48E7D9E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12字段改非必填；外配处方改必填；字段重命名；新增附加项顺序号。</w:t>
      </w:r>
    </w:p>
    <w:p w14:paraId="465403A0">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处方订单作废</w:t>
      </w:r>
    </w:p>
    <w:p w14:paraId="00F48AC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未支付时可作废</w:t>
      </w:r>
      <w:r>
        <w:rPr>
          <w:rFonts w:hint="eastAsia" w:ascii="宋体" w:hAnsi="宋体" w:cs="宋体"/>
          <w:snapToGrid w:val="0"/>
          <w:color w:val="000000"/>
          <w:kern w:val="0"/>
          <w:sz w:val="24"/>
        </w:rPr>
        <w:t>。</w:t>
      </w:r>
    </w:p>
    <w:p w14:paraId="636E6350">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医保处方收费成功通知</w:t>
      </w:r>
    </w:p>
    <w:p w14:paraId="5374942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仅限互联网医院处方</w:t>
      </w:r>
      <w:r>
        <w:rPr>
          <w:rFonts w:hint="eastAsia" w:ascii="宋体" w:hAnsi="宋体" w:cs="宋体"/>
          <w:snapToGrid w:val="0"/>
          <w:color w:val="000000"/>
          <w:kern w:val="0"/>
          <w:sz w:val="24"/>
        </w:rPr>
        <w:t>。</w:t>
      </w:r>
    </w:p>
    <w:p w14:paraId="1551DEAB">
      <w:pPr>
        <w:widowControl/>
        <w:numPr>
          <w:ilvl w:val="0"/>
          <w:numId w:val="8"/>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发药状态同步</w:t>
      </w:r>
    </w:p>
    <w:p w14:paraId="612BE58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如使用快递，需返回物流单号。</w:t>
      </w:r>
    </w:p>
    <w:p w14:paraId="100EBD08">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3.7.2.互联网医院平台提供接口</w:t>
      </w:r>
    </w:p>
    <w:p w14:paraId="6AE96C4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以下接口由互联网医院平台端负责实现，HIS系统需能兼容调用这些接口，并处理返回结果。</w:t>
      </w:r>
    </w:p>
    <w:p w14:paraId="7D4B3A77">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处方订单退费通知</w:t>
      </w:r>
    </w:p>
    <w:p w14:paraId="4BBF997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入参支持代煎费</w:t>
      </w:r>
      <w:r>
        <w:rPr>
          <w:rFonts w:hint="eastAsia" w:ascii="宋体" w:hAnsi="宋体" w:cs="宋体"/>
          <w:snapToGrid w:val="0"/>
          <w:color w:val="000000"/>
          <w:kern w:val="0"/>
          <w:sz w:val="24"/>
        </w:rPr>
        <w:t>。</w:t>
      </w:r>
    </w:p>
    <w:p w14:paraId="63CF3372">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订单支付状态查询</w:t>
      </w:r>
    </w:p>
    <w:p w14:paraId="5BDDA72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HIS补偿查询时调用。</w:t>
      </w:r>
    </w:p>
    <w:p w14:paraId="445382E2">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检验检查执行同步</w:t>
      </w:r>
    </w:p>
    <w:p w14:paraId="2BDD336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推送执行状态，检验项目需附加标本采集信息。</w:t>
      </w:r>
    </w:p>
    <w:p w14:paraId="0765B959">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诊间预约号源</w:t>
      </w:r>
    </w:p>
    <w:p w14:paraId="0618CDB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调用平台接口锁定号源，并传递患者基本信息及费用金额。费用为0时跳过支付流程。</w:t>
      </w:r>
    </w:p>
    <w:p w14:paraId="71771EC5">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电子住院证同步</w:t>
      </w:r>
    </w:p>
    <w:p w14:paraId="5B80CA6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lang w:eastAsia="en-US"/>
        </w:rPr>
        <w:t>同步住院证作废状态</w:t>
      </w:r>
      <w:r>
        <w:rPr>
          <w:rFonts w:hint="eastAsia" w:ascii="宋体" w:hAnsi="宋体" w:cs="宋体"/>
          <w:snapToGrid w:val="0"/>
          <w:color w:val="000000"/>
          <w:kern w:val="0"/>
          <w:sz w:val="24"/>
        </w:rPr>
        <w:t>。</w:t>
      </w:r>
    </w:p>
    <w:p w14:paraId="206E088A">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处方订单线下支付通知</w:t>
      </w:r>
    </w:p>
    <w:p w14:paraId="65E9503B">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支持收费处/自助机渠道。</w:t>
      </w:r>
    </w:p>
    <w:p w14:paraId="3F67348D">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停诊&amp;取消停诊</w:t>
      </w:r>
    </w:p>
    <w:p w14:paraId="425EC04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HIS调用互联网医院接口，并处理返回结果。</w:t>
      </w:r>
    </w:p>
    <w:p w14:paraId="34AE35F3">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自费挂号支付状态查询</w:t>
      </w:r>
    </w:p>
    <w:p w14:paraId="54C3CEC0">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HIS调用平台接口查询状态。</w:t>
      </w:r>
    </w:p>
    <w:p w14:paraId="1C5D6DEE">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互联网医院退号通知</w:t>
      </w:r>
    </w:p>
    <w:p w14:paraId="11AB6FE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HIS调用平台接口通知退号结果。</w:t>
      </w:r>
    </w:p>
    <w:p w14:paraId="5E246C8F">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自费挂号退款状态查询</w:t>
      </w:r>
    </w:p>
    <w:p w14:paraId="5E33609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HIS调用平台接口查询退款状态。</w:t>
      </w:r>
    </w:p>
    <w:p w14:paraId="31860B79">
      <w:pPr>
        <w:widowControl/>
        <w:numPr>
          <w:ilvl w:val="0"/>
          <w:numId w:val="9"/>
        </w:numPr>
        <w:kinsoku w:val="0"/>
        <w:autoSpaceDE w:val="0"/>
        <w:autoSpaceDN w:val="0"/>
        <w:adjustRightInd w:val="0"/>
        <w:snapToGrid w:val="0"/>
        <w:spacing w:line="360" w:lineRule="auto"/>
        <w:ind w:left="425" w:hanging="425"/>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订单支付状态查询</w:t>
      </w:r>
    </w:p>
    <w:p w14:paraId="233C74D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HIS调用平台接口查询处方订单状态。</w:t>
      </w:r>
    </w:p>
    <w:p w14:paraId="68549F42">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3.7.3.系统对接</w:t>
      </w:r>
    </w:p>
    <w:p w14:paraId="2795462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与北京市互联网医院总平台拎包入住项目，复用标准功能，接入“京通”健康服务入口。</w:t>
      </w:r>
    </w:p>
    <w:p w14:paraId="5A11611C">
      <w:pPr>
        <w:keepNext/>
        <w:keepLines/>
        <w:numPr>
          <w:ilvl w:val="1"/>
          <w:numId w:val="0"/>
        </w:numPr>
        <w:adjustRightInd w:val="0"/>
        <w:snapToGrid w:val="0"/>
        <w:spacing w:after="0" w:line="360" w:lineRule="auto"/>
        <w:outlineLvl w:val="1"/>
        <w:rPr>
          <w:rFonts w:hint="eastAsia" w:ascii="宋体" w:hAnsi="宋体" w:cs="宋体"/>
          <w:b/>
          <w:bCs/>
          <w:color w:val="000000"/>
          <w:sz w:val="24"/>
        </w:rPr>
      </w:pPr>
      <w:r>
        <w:rPr>
          <w:rFonts w:hint="eastAsia" w:ascii="宋体" w:hAnsi="宋体" w:cs="宋体"/>
          <w:b/>
          <w:bCs/>
          <w:color w:val="000000"/>
          <w:sz w:val="24"/>
        </w:rPr>
        <w:t>3.8.区域检验平台建设</w:t>
      </w:r>
    </w:p>
    <w:p w14:paraId="4C8FC0F3">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3.8.1.区域检验</w:t>
      </w:r>
      <w:r>
        <w:rPr>
          <w:rFonts w:hint="eastAsia" w:ascii="宋体" w:hAnsi="宋体" w:cs="宋体"/>
          <w:b/>
          <w:bCs/>
          <w:color w:val="000000"/>
          <w:sz w:val="24"/>
        </w:rPr>
        <w:t>中心</w:t>
      </w:r>
      <w:r>
        <w:rPr>
          <w:rFonts w:hint="eastAsia" w:ascii="宋体" w:hAnsi="宋体" w:cs="宋体"/>
          <w:b/>
          <w:bCs/>
          <w:snapToGrid w:val="0"/>
          <w:color w:val="000000"/>
          <w:kern w:val="0"/>
          <w:sz w:val="24"/>
        </w:rPr>
        <w:t>应用</w:t>
      </w:r>
    </w:p>
    <w:p w14:paraId="48FC9DD2">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3.8.1.1.检验数据采集与存储应用</w:t>
      </w:r>
    </w:p>
    <w:p w14:paraId="0C2F8BDA">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支持区域内一级医院实行集中部署区域检验系统，共享同一个服务器；</w:t>
      </w:r>
    </w:p>
    <w:p w14:paraId="266D76A7">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支持通过前置机采集检验信息数据，完成区域检验数据采集与存储；</w:t>
      </w:r>
    </w:p>
    <w:p w14:paraId="439C12F7">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支持通过检验确认服务获取到检验报告的数量，确认上传的检验报告数量是否与院内LIS系统中的检验数量保持一致；</w:t>
      </w:r>
    </w:p>
    <w:p w14:paraId="7388533E">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支持当检验数据确认服务确认接收有缺失时，检验抽取服务主动从</w:t>
      </w:r>
      <w:r>
        <w:rPr>
          <w:rFonts w:hint="eastAsia" w:ascii="宋体" w:hAnsi="宋体" w:cs="宋体"/>
          <w:snapToGrid w:val="0"/>
          <w:color w:val="000000"/>
          <w:kern w:val="0"/>
          <w:sz w:val="24"/>
          <w:lang w:val="en-US" w:eastAsia="zh-CN"/>
        </w:rPr>
        <w:t>二级医院数据所上传的前置机</w:t>
      </w:r>
      <w:r>
        <w:rPr>
          <w:rFonts w:hint="eastAsia" w:ascii="宋体" w:hAnsi="宋体" w:cs="宋体"/>
          <w:snapToGrid w:val="0"/>
          <w:color w:val="000000"/>
          <w:kern w:val="0"/>
          <w:sz w:val="24"/>
        </w:rPr>
        <w:t>中抽取检验数据；</w:t>
      </w:r>
    </w:p>
    <w:p w14:paraId="66D3A036">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支持当前置机与院内连接的网络发生异常抖动，从而影响检验数据或者报告的抽取时，可提供断点续传服务；</w:t>
      </w:r>
    </w:p>
    <w:p w14:paraId="7F9D297E">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支持当服务异常时，前置异常处理服务将监控异常信息并试着处理。</w:t>
      </w:r>
    </w:p>
    <w:p w14:paraId="39792E5F">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3.8.1.2.检验数据交换与共享应用</w:t>
      </w:r>
    </w:p>
    <w:p w14:paraId="188CE67C">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支持各社区端医院可通过由中心交互平台提供的WEB门户，来调阅和查看患者相关的检验报告；</w:t>
      </w:r>
    </w:p>
    <w:p w14:paraId="0DCB6C3C">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支持为区域检验系统部署用于各医疗机构检验数据交换及共享的服务；</w:t>
      </w:r>
    </w:p>
    <w:p w14:paraId="5A08B598">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支持保存各检验报告节点的访问信息和检验报告唯一索引的关联信息，并对所有检验存储管理节点的数据进行统一管理；</w:t>
      </w:r>
    </w:p>
    <w:p w14:paraId="29E8E4CE">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支持对外展示的检验数据匿名化处理。</w:t>
      </w:r>
    </w:p>
    <w:p w14:paraId="40CF3023">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3.8.1.3.区域检验标本流转及报告回传应用</w:t>
      </w:r>
    </w:p>
    <w:p w14:paraId="538C5C47">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支持对日常标本量较少、试剂成本较高的项目，如生化、免疫等项目，由上级医疗机构进行集中检测；</w:t>
      </w:r>
    </w:p>
    <w:p w14:paraId="28E0AA3A">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支持完成的检验报告通过区域检验中心平台回传至委托医疗机构；</w:t>
      </w:r>
    </w:p>
    <w:p w14:paraId="16D9812B">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支持实验室样本流转全流程条码管理，通过条形码对检验标本自动识别，自动接收、分析、处理检验结果，包括医嘱下载，条码打印、手工条码支持、标本确认、标本签收和标本录入等。</w:t>
      </w:r>
    </w:p>
    <w:p w14:paraId="1BAE8912">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3.8.1.4.区域检验BI分析</w:t>
      </w:r>
    </w:p>
    <w:p w14:paraId="4617F4CF">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支持对区域内各医疗机构检验数据进行统一分类管理，并对这些数据进行智能分析统计、展示、排序；</w:t>
      </w:r>
    </w:p>
    <w:p w14:paraId="2CCC327B">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支持根据时间、区域、医疗机构、标本类型等查询统计数据；</w:t>
      </w:r>
    </w:p>
    <w:p w14:paraId="28004DDB">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支持以患者身份信息为主索引关联患者在不同时间段、不同机构进行的检验信息；</w:t>
      </w:r>
    </w:p>
    <w:p w14:paraId="3A71429C">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支持分析医疗机构数据上传的连续性、数据完整性（必填项）、正确性等；</w:t>
      </w:r>
    </w:p>
    <w:p w14:paraId="236C8580">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支持能够根据不同时间精度统计送检机构、检验中心工作量并展示；</w:t>
      </w:r>
    </w:p>
    <w:p w14:paraId="27934F3F">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支持能够实时展示标本状态，为每个标本建立生命周期；</w:t>
      </w:r>
    </w:p>
    <w:p w14:paraId="31480A6D">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支持对整个区域医疗机构外送样本数据进行实时统计分析；</w:t>
      </w:r>
    </w:p>
    <w:p w14:paraId="2FF58EC3">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支持提供统一机构编码、编码管理，便于监管者对机构管理。</w:t>
      </w:r>
    </w:p>
    <w:p w14:paraId="4019B3DE">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3.8.2.社区医院端检验科应用</w:t>
      </w:r>
    </w:p>
    <w:p w14:paraId="123A4C12">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3.8.2.1.常规设备联机</w:t>
      </w:r>
    </w:p>
    <w:p w14:paraId="01A3731D">
      <w:pPr>
        <w:widowControl/>
        <w:kinsoku w:val="0"/>
        <w:autoSpaceDE w:val="0"/>
        <w:autoSpaceDN w:val="0"/>
        <w:adjustRightInd w:val="0"/>
        <w:snapToGrid w:val="0"/>
        <w:spacing w:line="360" w:lineRule="auto"/>
        <w:jc w:val="left"/>
        <w:textAlignment w:val="baseline"/>
        <w:rPr>
          <w:rFonts w:hint="eastAsia" w:ascii="宋体" w:hAnsi="宋体" w:cs="宋体"/>
          <w:b/>
          <w:snapToGrid w:val="0"/>
          <w:color w:val="000000"/>
          <w:kern w:val="0"/>
          <w:sz w:val="24"/>
          <w:lang w:eastAsia="en-US"/>
        </w:rPr>
      </w:pPr>
      <w:r>
        <w:rPr>
          <w:rFonts w:hint="eastAsia" w:ascii="宋体" w:hAnsi="宋体" w:cs="宋体"/>
          <w:snapToGrid w:val="0"/>
          <w:color w:val="000000"/>
          <w:kern w:val="0"/>
          <w:sz w:val="24"/>
        </w:rPr>
        <w:t>支持常规设备联机，实现各类设备仪器与信息系统的信息通讯。</w:t>
      </w:r>
      <w:r>
        <w:rPr>
          <w:rFonts w:hint="eastAsia" w:ascii="宋体" w:hAnsi="宋体" w:cs="宋体"/>
          <w:snapToGrid w:val="0"/>
          <w:color w:val="000000"/>
          <w:kern w:val="0"/>
          <w:sz w:val="24"/>
          <w:lang w:eastAsia="en-US"/>
        </w:rPr>
        <w:t>要求如下：</w:t>
      </w:r>
    </w:p>
    <w:p w14:paraId="7855C6BF">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支持从检验仪器自动接收检验结果；</w:t>
      </w:r>
    </w:p>
    <w:p w14:paraId="29CD68D2">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支持常规检验数据、急诊检验数据、质控数据接收；</w:t>
      </w:r>
    </w:p>
    <w:p w14:paraId="6A11A0D9">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支持数据转换、偏移、计算处理；</w:t>
      </w:r>
    </w:p>
    <w:p w14:paraId="118AED7D">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支持常规检验数据转质控数据自动处理。</w:t>
      </w:r>
    </w:p>
    <w:p w14:paraId="15E1F459">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3.8.2.2.检验结果处理模块</w:t>
      </w:r>
    </w:p>
    <w:p w14:paraId="3F5DA8DB">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支持检验结果确认/修改、批量确认/修改，支持多结果合并，支持酶标数据转换入库，支持外部数据导入，手工结果录入。</w:t>
      </w:r>
    </w:p>
    <w:p w14:paraId="0DC044D9">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支持对需要分类的标本进行分类、自动产生实验室内部样本号，方便进行分批测试；</w:t>
      </w:r>
    </w:p>
    <w:p w14:paraId="2FB403D6">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支持对已签收的条码统一入库，生化、自动免疫仪器标本提供便捷的批量入库功能；</w:t>
      </w:r>
    </w:p>
    <w:p w14:paraId="7AC99CFC">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支持对数据进行增加、删除、修改、复制、标号修改操作，并对各种操作进行自动记录；</w:t>
      </w:r>
    </w:p>
    <w:p w14:paraId="4E197CBD">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支持报告批量输入相同信息和检验结果；</w:t>
      </w:r>
    </w:p>
    <w:p w14:paraId="6BEBD26A">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支持对报告的项目数据进行批量校正。通过仪器，项目，检验日期，样本范围等条件查询出项目，通过公式来校正数据结果；</w:t>
      </w:r>
    </w:p>
    <w:p w14:paraId="5E9A8506">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支持显示病人的超限比较结果集。比较距执行日期最近一次的结果；并能通过显示的内容查询到该化验单，可以比较单个项目也可以比较组合项目；</w:t>
      </w:r>
    </w:p>
    <w:p w14:paraId="67E1D6A7">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支持检验数据自动分析：检验项目数量验证，结果超出临界值控制，自定义判定规则执行；</w:t>
      </w:r>
    </w:p>
    <w:p w14:paraId="64E4D9A9">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复做标本管理：为病人增加复做标志，并将信息以消息方式发布到临床；修改检验项目结果值，保存每次的结果值。能够根据预先设定的审核规则对复做标本进行自动筛选；能够准确、完整记录每次复查情况和结果记录；对复做病人结果进行统计和分析；</w:t>
      </w:r>
    </w:p>
    <w:p w14:paraId="37F90163">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支持对需要进行数据签名的报告</w:t>
      </w:r>
      <w:r>
        <w:rPr>
          <w:rFonts w:hint="eastAsia" w:ascii="宋体" w:hAnsi="宋体" w:cs="宋体"/>
          <w:bCs/>
          <w:snapToGrid w:val="0"/>
          <w:color w:val="000000"/>
          <w:kern w:val="0"/>
          <w:sz w:val="24"/>
        </w:rPr>
        <w:t>进行电子CA签名</w:t>
      </w:r>
      <w:r>
        <w:rPr>
          <w:rFonts w:hint="eastAsia" w:ascii="宋体" w:hAnsi="宋体" w:cs="宋体"/>
          <w:snapToGrid w:val="0"/>
          <w:color w:val="000000"/>
          <w:kern w:val="0"/>
          <w:sz w:val="24"/>
        </w:rPr>
        <w:t>；</w:t>
      </w:r>
    </w:p>
    <w:p w14:paraId="5629E45F">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▲支持检验360视图功能：</w:t>
      </w:r>
      <w:r>
        <w:rPr>
          <w:rFonts w:hint="eastAsia" w:ascii="宋体" w:hAnsi="宋体" w:cs="宋体"/>
          <w:bCs/>
          <w:snapToGrid w:val="0"/>
          <w:color w:val="000000"/>
          <w:kern w:val="0"/>
          <w:sz w:val="24"/>
        </w:rPr>
        <w:t>该视图可以在同一界面可视化的显示该病人的全部历史报告且展现每份报告的全流程信息，包括对应的医嘱列表、联系方式等；以及可按仪器或者检验分类等多种检索条件查看该患者的历史报告，同时可对每个分类的报告的结果进行对比查看；</w:t>
      </w:r>
    </w:p>
    <w:p w14:paraId="0159795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要求在报告管理界面提供点击“检验360”后弹出的检验360视图界面截图证明；</w:t>
      </w:r>
    </w:p>
    <w:p w14:paraId="1E439465">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▲支持报告详情功能，</w:t>
      </w:r>
      <w:r>
        <w:rPr>
          <w:rFonts w:hint="eastAsia" w:ascii="宋体" w:hAnsi="宋体" w:cs="宋体"/>
          <w:bCs/>
          <w:snapToGrid w:val="0"/>
          <w:color w:val="000000"/>
          <w:kern w:val="0"/>
          <w:sz w:val="24"/>
        </w:rPr>
        <w:t>通过“报告详情”可以一目了然查看报告的详情信息，包括全流程明细、报告汇总、检验项目、修改记录-报告、修改记录-结果、危急值项目、危急值流程、标本全流程</w:t>
      </w:r>
      <w:r>
        <w:rPr>
          <w:rFonts w:hint="eastAsia" w:ascii="宋体" w:hAnsi="宋体" w:cs="宋体"/>
          <w:snapToGrid w:val="0"/>
          <w:color w:val="000000"/>
          <w:kern w:val="0"/>
          <w:sz w:val="24"/>
        </w:rPr>
        <w:t>；</w:t>
      </w:r>
    </w:p>
    <w:p w14:paraId="239650A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要求在报告管理界面提供点击“报告详情”后弹出的报告详情界面截图证明。</w:t>
      </w:r>
    </w:p>
    <w:p w14:paraId="4CDC8DC1">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支持趋势分析功能，</w:t>
      </w:r>
      <w:r>
        <w:rPr>
          <w:rFonts w:hint="eastAsia" w:ascii="宋体" w:hAnsi="宋体" w:cs="宋体"/>
          <w:bCs/>
          <w:snapToGrid w:val="0"/>
          <w:color w:val="000000"/>
          <w:kern w:val="0"/>
          <w:sz w:val="24"/>
        </w:rPr>
        <w:t>医生可以查看到该患者在医院做的这项指标的所有趋势，并可以进行下载保存，同时可以关联指标相关相，快速查看与该指标相关联的指标。</w:t>
      </w:r>
    </w:p>
    <w:p w14:paraId="545E68BE">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3.8.2.3.标本登记及收费</w:t>
      </w:r>
    </w:p>
    <w:p w14:paraId="36200318">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支持添加检验项目并计费，并记录签收人、签收时间、生成签收号；</w:t>
      </w:r>
    </w:p>
    <w:p w14:paraId="68453327">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支持检验费用核对；</w:t>
      </w:r>
    </w:p>
    <w:p w14:paraId="5FF1A8DE">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支持免费检验管理；</w:t>
      </w:r>
    </w:p>
    <w:p w14:paraId="4598A5BD">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支持绿色通道管理；</w:t>
      </w:r>
    </w:p>
    <w:p w14:paraId="1A174135">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支持条码标本登记、外来标本接收登记、手工单标本接收登记；</w:t>
      </w:r>
    </w:p>
    <w:p w14:paraId="6BFCDBBD">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支持不合格标本拒收记录，并记录不合格原因；</w:t>
      </w:r>
    </w:p>
    <w:p w14:paraId="71587F3A">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支持实验室对标本进行集中、小组核收，对需要补充检验申请的添加检验申请并计费，记录签收人、签收时间、生成签收号；</w:t>
      </w:r>
    </w:p>
    <w:p w14:paraId="504FAF36">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支持检验费用核对功能；</w:t>
      </w:r>
    </w:p>
    <w:p w14:paraId="7AC9364F">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支持不合格标本（损毁、凝集、采集量少）拒收，记录不合格原因并通知护士进行处理；</w:t>
      </w:r>
    </w:p>
    <w:p w14:paraId="4AB4A7ED">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支持对标本重复、漏检、送检超时、送检地错误等问题智能提醒。</w:t>
      </w:r>
    </w:p>
    <w:p w14:paraId="2FCB8DAA">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3.8.2.4.查询、统计</w:t>
      </w:r>
    </w:p>
    <w:p w14:paraId="56A37A71">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支持标本查询、申请单查询、报告查询以及各种记录查询、统计、分析。具有各种统计报表功能；</w:t>
      </w:r>
    </w:p>
    <w:p w14:paraId="5A9C8799">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支持提供统计分析报表库；</w:t>
      </w:r>
    </w:p>
    <w:p w14:paraId="2BAC1722">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支持提供基础常用报表；</w:t>
      </w:r>
    </w:p>
    <w:p w14:paraId="44ECD6B3">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支持用户个性化定制。</w:t>
      </w:r>
    </w:p>
    <w:p w14:paraId="162A8F7C">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3.8.2.5.报告发布回收及临床调阅</w:t>
      </w:r>
    </w:p>
    <w:p w14:paraId="0571CC18">
      <w:pPr>
        <w:widowControl/>
        <w:numPr>
          <w:ilvl w:val="0"/>
          <w:numId w:val="12"/>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支持按不同分类进行报告的查询、浏览、打印和批量打印；</w:t>
      </w:r>
    </w:p>
    <w:p w14:paraId="00AF8BF4">
      <w:pPr>
        <w:widowControl/>
        <w:numPr>
          <w:ilvl w:val="0"/>
          <w:numId w:val="12"/>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报告发布支持Web查询、医生站调阅、大屏通知、服务台打印。</w:t>
      </w:r>
    </w:p>
    <w:p w14:paraId="4908A1E0">
      <w:pPr>
        <w:widowControl/>
        <w:numPr>
          <w:ilvl w:val="0"/>
          <w:numId w:val="12"/>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支持检验结果、报告单的浏览、阅读功能；</w:t>
      </w:r>
    </w:p>
    <w:p w14:paraId="4CC6EF42">
      <w:pPr>
        <w:widowControl/>
        <w:numPr>
          <w:ilvl w:val="0"/>
          <w:numId w:val="12"/>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支持与医院信息系统医嘱匹配（第三方医院信息系统需做接口）或按实验室完整报告方式调阅检验报告；</w:t>
      </w:r>
    </w:p>
    <w:p w14:paraId="07774BCE">
      <w:pPr>
        <w:widowControl/>
        <w:numPr>
          <w:ilvl w:val="0"/>
          <w:numId w:val="12"/>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支持历史报告调阅。</w:t>
      </w:r>
    </w:p>
    <w:p w14:paraId="34BA77AE">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lang w:eastAsia="en-US"/>
        </w:rPr>
      </w:pPr>
      <w:bookmarkStart w:id="12" w:name="_Toc8002"/>
      <w:bookmarkStart w:id="13" w:name="_Toc33118760"/>
      <w:r>
        <w:rPr>
          <w:rFonts w:hint="eastAsia" w:ascii="宋体" w:hAnsi="宋体" w:cs="宋体"/>
          <w:b/>
          <w:bCs/>
          <w:snapToGrid w:val="0"/>
          <w:color w:val="000000"/>
          <w:kern w:val="0"/>
          <w:sz w:val="24"/>
          <w:lang w:eastAsia="en-US"/>
        </w:rPr>
        <w:t>3.8.2.6.检验条码管理</w:t>
      </w:r>
      <w:bookmarkEnd w:id="12"/>
      <w:bookmarkEnd w:id="13"/>
    </w:p>
    <w:p w14:paraId="6DDF4BFC">
      <w:pPr>
        <w:widowControl/>
        <w:kinsoku w:val="0"/>
        <w:autoSpaceDE w:val="0"/>
        <w:autoSpaceDN w:val="0"/>
        <w:adjustRightInd w:val="0"/>
        <w:snapToGrid w:val="0"/>
        <w:spacing w:line="360" w:lineRule="auto"/>
        <w:jc w:val="left"/>
        <w:textAlignment w:val="baseline"/>
        <w:rPr>
          <w:rFonts w:hint="eastAsia" w:ascii="宋体" w:hAnsi="宋体" w:cs="宋体"/>
          <w:b/>
          <w:snapToGrid w:val="0"/>
          <w:color w:val="000000"/>
          <w:kern w:val="0"/>
          <w:sz w:val="24"/>
          <w:lang w:eastAsia="en-US"/>
        </w:rPr>
      </w:pPr>
      <w:r>
        <w:rPr>
          <w:rFonts w:hint="eastAsia" w:ascii="宋体" w:hAnsi="宋体" w:cs="宋体"/>
          <w:snapToGrid w:val="0"/>
          <w:color w:val="000000"/>
          <w:kern w:val="0"/>
          <w:sz w:val="24"/>
        </w:rPr>
        <w:t>标本采集时，支持与HIS系统对接，完成检验申请的接收、条码与申请信息的绑定、申请信息执行确认、收费确认等操作。</w:t>
      </w:r>
      <w:r>
        <w:rPr>
          <w:rFonts w:hint="eastAsia" w:ascii="宋体" w:hAnsi="宋体" w:cs="宋体"/>
          <w:bCs/>
          <w:snapToGrid w:val="0"/>
          <w:color w:val="000000"/>
          <w:kern w:val="0"/>
          <w:sz w:val="24"/>
          <w:lang w:eastAsia="en-US"/>
        </w:rPr>
        <w:t>要求如下：</w:t>
      </w:r>
    </w:p>
    <w:p w14:paraId="5B6AA38C">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支持门急诊申请单接收：与HIS系统深度融合，接收医生站检验申请信息、病人信息并确认；</w:t>
      </w:r>
    </w:p>
    <w:p w14:paraId="65E84553">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支持费用信息确认：支持接收医生站检验申请项目收费信息确认；</w:t>
      </w:r>
    </w:p>
    <w:p w14:paraId="4F895641">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支持预缴金病人收费确认功能；支持增加收费项目条码标志、急诊标志功能；支持通过医嘱筛选匹配收费项目与各业务模块条码分组、报告发放规则功能；</w:t>
      </w:r>
    </w:p>
    <w:p w14:paraId="5E080DFF">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▲支持已绑定条码的检验项目强制退费功能；要求提供强制退费截图证明并加盖投标人公章；</w:t>
      </w:r>
    </w:p>
    <w:p w14:paraId="1F03461D">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支持条码预印/打印及采集确认：支持门诊收费处、预检台、采血窗口多种场景的条码生成打印及采集确认功能。条码生成打印模式支持条码预印模式、条码即时打印模式；</w:t>
      </w:r>
    </w:p>
    <w:p w14:paraId="3157100C">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支持采血排队叫号接口：支持根据医院需要集成采血排队叫号系统功能；</w:t>
      </w:r>
    </w:p>
    <w:p w14:paraId="5A4D28A9">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支持采集预约登记：支持标本采集预约登记及修改功能；</w:t>
      </w:r>
    </w:p>
    <w:p w14:paraId="631F511B">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支持检验标本采集管理：支持自动按照标本类型、采集要求、检验项目等条件拆分和合并成条码功能；</w:t>
      </w:r>
    </w:p>
    <w:p w14:paraId="22C49255">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支持标本重采、医嘱与条码取消绑定、条码复制、条码重打、条码补打、采集时间更新、条码备注、条码集中打印功能；</w:t>
      </w:r>
    </w:p>
    <w:p w14:paraId="7B1DA32B">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回执单管理：支持根据门诊报告发放规则分类进行回执单打印/补打功能，包括三种常用回执单模式，统一领取时间、依据采集时间的报告周期、报告日期+周末顺延+检测日程+抽血截止时间+截止延续天数+统一领取报告时间；</w:t>
      </w:r>
    </w:p>
    <w:p w14:paraId="133E6CDA">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▲支持标本跟踪查询：</w:t>
      </w:r>
      <w:r>
        <w:rPr>
          <w:rFonts w:hint="eastAsia" w:ascii="宋体" w:hAnsi="宋体" w:cs="宋体"/>
          <w:bCs/>
          <w:snapToGrid w:val="0"/>
          <w:color w:val="000000"/>
          <w:kern w:val="0"/>
          <w:sz w:val="24"/>
        </w:rPr>
        <w:t>门诊采集护士直接点击条码号弹窗查看标本采集全过程，可查看已绑定条码标本采集记录及标本实时状态，可查看绑定信息，签收信息，入库信息，撤销、拒绝信息，实现对标本信息的一键追溯；</w:t>
      </w:r>
    </w:p>
    <w:p w14:paraId="13191811">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bCs/>
          <w:snapToGrid w:val="0"/>
          <w:color w:val="000000"/>
          <w:kern w:val="0"/>
          <w:sz w:val="24"/>
        </w:rPr>
        <w:t>要求提供点击条码号后弹出的标本采集全过程界面的截图证明并加盖投标人公章；</w:t>
      </w:r>
    </w:p>
    <w:p w14:paraId="6BE4346B">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支持信息汇总及单据打印：按条码类别、收费项目、收费项目人次实时集中查询生成采样任务表、标本交接单电子单据并打印。</w:t>
      </w:r>
    </w:p>
    <w:p w14:paraId="5240F6C9">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3.8.2.7.检验设备条码双工通讯</w:t>
      </w:r>
    </w:p>
    <w:p w14:paraId="7B44B02D">
      <w:pPr>
        <w:widowControl/>
        <w:tabs>
          <w:tab w:val="left" w:pos="420"/>
        </w:tabs>
        <w:kinsoku w:val="0"/>
        <w:autoSpaceDE w:val="0"/>
        <w:autoSpaceDN w:val="0"/>
        <w:adjustRightInd w:val="0"/>
        <w:snapToGrid w:val="0"/>
        <w:spacing w:line="360" w:lineRule="auto"/>
        <w:jc w:val="left"/>
        <w:textAlignment w:val="baseline"/>
        <w:rPr>
          <w:rFonts w:hint="eastAsia" w:ascii="宋体" w:hAnsi="宋体" w:cs="宋体"/>
          <w:b/>
          <w:snapToGrid w:val="0"/>
          <w:color w:val="000000"/>
          <w:kern w:val="0"/>
          <w:sz w:val="24"/>
          <w:lang w:eastAsia="en-US"/>
        </w:rPr>
      </w:pPr>
      <w:r>
        <w:rPr>
          <w:rFonts w:hint="eastAsia" w:ascii="宋体" w:hAnsi="宋体" w:cs="宋体"/>
          <w:snapToGrid w:val="0"/>
          <w:color w:val="000000"/>
          <w:kern w:val="0"/>
          <w:sz w:val="24"/>
        </w:rPr>
        <w:t>检验系统与检测仪器连接，仪器将检测结果自动传入LIS系统。</w:t>
      </w:r>
      <w:r>
        <w:rPr>
          <w:rFonts w:hint="eastAsia" w:ascii="宋体" w:hAnsi="宋体" w:cs="宋体"/>
          <w:snapToGrid w:val="0"/>
          <w:color w:val="000000"/>
          <w:kern w:val="0"/>
          <w:sz w:val="24"/>
          <w:lang w:eastAsia="en-US"/>
        </w:rPr>
        <w:t>要求如下：</w:t>
      </w:r>
    </w:p>
    <w:p w14:paraId="0081AABB">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支持自动接收仪器检验结果，向仪器发送检验项目，以便仪器按指定项目检验样本功能</w:t>
      </w:r>
    </w:p>
    <w:p w14:paraId="5D1F2A22">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支持多种双向仪器与系统对接；</w:t>
      </w:r>
    </w:p>
    <w:p w14:paraId="06F90160">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支持没有条码，按试管架和试管位置进行的双向通讯功能；</w:t>
      </w:r>
    </w:p>
    <w:p w14:paraId="6F7920CD">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支持条码双向通讯。支持条码标本直接上仪器试管架，自动核收的双向通讯功能。</w:t>
      </w:r>
    </w:p>
    <w:p w14:paraId="113D309A">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3.8.2.8.标本外送管理</w:t>
      </w:r>
    </w:p>
    <w:p w14:paraId="77663A0C">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支持护工对标本进行信息查询、签收确认及运送时间更新；</w:t>
      </w:r>
    </w:p>
    <w:p w14:paraId="51773B1F">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支持标本签收明细打印，标本交接异常情况登记；</w:t>
      </w:r>
    </w:p>
    <w:p w14:paraId="25A72A59">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▲支持移动终端模式和按科室/病区打包模式，支持扫描标本运送容器或逐个标本条码扫描签收/送达；</w:t>
      </w:r>
    </w:p>
    <w:p w14:paraId="7D866C77">
      <w:pPr>
        <w:widowControl/>
        <w:numPr>
          <w:ilvl w:val="0"/>
          <w:numId w:val="11"/>
        </w:numPr>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支持标本流转过程、流向有效监控，支持集团医院多院区标本流转、区域标本流转，支持与自动化物流系统的集成。</w:t>
      </w:r>
    </w:p>
    <w:p w14:paraId="49D33D02">
      <w:pPr>
        <w:keepNext/>
        <w:keepLines/>
        <w:numPr>
          <w:ilvl w:val="3"/>
          <w:numId w:val="0"/>
        </w:numPr>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3.8.2.</w:t>
      </w:r>
      <w:r>
        <w:rPr>
          <w:rFonts w:hint="eastAsia" w:ascii="宋体" w:hAnsi="宋体" w:cs="宋体"/>
          <w:b/>
          <w:bCs/>
          <w:snapToGrid w:val="0"/>
          <w:color w:val="000000"/>
          <w:kern w:val="0"/>
          <w:sz w:val="24"/>
          <w:lang w:val="en-US" w:eastAsia="zh-CN"/>
        </w:rPr>
        <w:t>9</w:t>
      </w:r>
      <w:r>
        <w:rPr>
          <w:rFonts w:hint="eastAsia" w:ascii="宋体" w:hAnsi="宋体" w:cs="宋体"/>
          <w:b/>
          <w:bCs/>
          <w:snapToGrid w:val="0"/>
          <w:color w:val="000000"/>
          <w:kern w:val="0"/>
          <w:sz w:val="24"/>
          <w:lang w:eastAsia="en-US"/>
        </w:rPr>
        <w:t>.检验质控管理</w:t>
      </w:r>
    </w:p>
    <w:p w14:paraId="5F2250C4">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支持对仪器质控数据自动接收，自动绘制质控图；</w:t>
      </w:r>
    </w:p>
    <w:p w14:paraId="1702D212">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▲支持七种质控图绘制Z-分数图、L-J图、尤顿图、尿液质控图、血液质控图多种图、双区法质控图、滴度质控图，质控图绘制可按月按天描绘；</w:t>
      </w:r>
    </w:p>
    <w:p w14:paraId="1D8390F0">
      <w:pPr>
        <w:widowControl/>
        <w:tabs>
          <w:tab w:val="left" w:pos="420"/>
        </w:tabs>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要求提供绘制Z-分数图、L-J图截图证明并加盖投标人公章；</w:t>
      </w:r>
    </w:p>
    <w:p w14:paraId="669770B3">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支持不同月份的质控点绘制在同一图上进行对比；</w:t>
      </w:r>
    </w:p>
    <w:p w14:paraId="40385CCE">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11大类常用的质控规则，标准差倍数规则、极差规则、趋势规则、平均数控制规则、比例控制规则、±半定量规则、数字半定量规则、定性控制规则、累积和控制规则、滴度半定量规则和经典多规则组合，如WESTGARD质控规则；</w:t>
      </w:r>
    </w:p>
    <w:p w14:paraId="1121651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要求提供累积和、滴度半定量规则截图证明并加盖投标人公章；</w:t>
      </w:r>
    </w:p>
    <w:p w14:paraId="416C49CE">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支持生化临检免疫的定量质控；</w:t>
      </w:r>
    </w:p>
    <w:p w14:paraId="63FFE561">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bCs/>
          <w:snapToGrid w:val="0"/>
          <w:color w:val="000000"/>
          <w:kern w:val="0"/>
          <w:sz w:val="24"/>
        </w:rPr>
        <w:t>持即刻法质控，由仪器直接传输质控数据。</w:t>
      </w:r>
      <w:r>
        <w:rPr>
          <w:rFonts w:hint="eastAsia" w:ascii="宋体" w:hAnsi="宋体" w:cs="宋体"/>
          <w:snapToGrid w:val="0"/>
          <w:color w:val="000000"/>
          <w:kern w:val="0"/>
          <w:sz w:val="24"/>
        </w:rPr>
        <w:t>重新测定当次的结果,累计满20个数据后,可使用常规的质控图；</w:t>
      </w:r>
    </w:p>
    <w:p w14:paraId="179F5F0E">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支持月、季、年的质控分析总结，质控阶段性改进等质控管理，开放质控规则定义支持失控自动报警、质控数据自动分析和失控处理意见记录；</w:t>
      </w:r>
    </w:p>
    <w:p w14:paraId="56F2BC3E">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▲支持重传覆盖功能，解决仪器重传质控数据时质控曲线上显示多个点的问题；</w:t>
      </w:r>
    </w:p>
    <w:p w14:paraId="38253A0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要求提供重传覆盖时间设置截图证明并加盖投标人公章；</w:t>
      </w:r>
    </w:p>
    <w:p w14:paraId="5DD9FDB8">
      <w:pPr>
        <w:widowControl/>
        <w:numPr>
          <w:ilvl w:val="0"/>
          <w:numId w:val="11"/>
        </w:numPr>
        <w:tabs>
          <w:tab w:val="left" w:pos="420"/>
        </w:tabs>
        <w:kinsoku w:val="0"/>
        <w:autoSpaceDE w:val="0"/>
        <w:autoSpaceDN w:val="0"/>
        <w:adjustRightInd w:val="0"/>
        <w:snapToGrid w:val="0"/>
        <w:spacing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▲支持双区法质控，解决免疫阴阳质控品适用Z分数图控制CV过大问题；</w:t>
      </w:r>
    </w:p>
    <w:p w14:paraId="45E0680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要求提供适用Z分数图控制双区法质控截图证明并加盖投标人公章。</w:t>
      </w:r>
    </w:p>
    <w:p w14:paraId="439A5AEA">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lang w:eastAsia="en-US"/>
        </w:rPr>
      </w:pPr>
      <w:r>
        <w:rPr>
          <w:rFonts w:hint="eastAsia" w:ascii="宋体" w:hAnsi="宋体" w:cs="宋体"/>
          <w:b/>
          <w:bCs/>
          <w:snapToGrid w:val="0"/>
          <w:color w:val="000000"/>
          <w:kern w:val="0"/>
          <w:sz w:val="24"/>
          <w:lang w:eastAsia="en-US"/>
        </w:rPr>
        <w:t>3.8.3.第三方系统接口</w:t>
      </w:r>
    </w:p>
    <w:p w14:paraId="4EAC25E8">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区域体检平台接口：实现区域检验中心平台与基层医院体检系统的信息共享和业务联动。</w:t>
      </w:r>
    </w:p>
    <w:p w14:paraId="0E1FBAAB">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基层医疗与公共卫生接口：系统提供标准接口协议，实现与基层医院HIS系统对接。支持获取患者基本信息（病人姓名、性别、民族、科室）、医嘱检验项目信息、费用信息。完成的检验报告数据及时回传到基层医院。此外患者可以通过公共卫生系统中的智慧家医系统居民健康服务公众号上查询查看检验结果。</w:t>
      </w:r>
    </w:p>
    <w:p w14:paraId="7E7147A5">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自助机接口：与自助机对接，实现检验报告自助打印。</w:t>
      </w:r>
    </w:p>
    <w:p w14:paraId="11DF9592">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区域全民健康信息平台接口：区域LIS提供实时检测结果，平台反馈患者全景视图与互认规则，双向协同杜绝重复检验。</w:t>
      </w:r>
    </w:p>
    <w:p w14:paraId="703675FE">
      <w:pPr>
        <w:numPr>
          <w:ilvl w:val="0"/>
          <w:numId w:val="10"/>
        </w:numPr>
        <w:kinsoku w:val="0"/>
        <w:autoSpaceDE w:val="0"/>
        <w:autoSpaceDN w:val="0"/>
        <w:adjustRightInd w:val="0"/>
        <w:snapToGrid w:val="0"/>
        <w:spacing w:after="0" w:line="360" w:lineRule="auto"/>
        <w:ind w:left="420" w:hanging="42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区域CA接口：支持开单、报告等全流程和CA对接。</w:t>
      </w:r>
    </w:p>
    <w:p w14:paraId="54DB8C77">
      <w:pPr>
        <w:keepNext/>
        <w:keepLines/>
        <w:numPr>
          <w:ilvl w:val="1"/>
          <w:numId w:val="0"/>
        </w:numPr>
        <w:adjustRightInd w:val="0"/>
        <w:snapToGrid w:val="0"/>
        <w:spacing w:after="0" w:line="360" w:lineRule="auto"/>
        <w:outlineLvl w:val="1"/>
        <w:rPr>
          <w:rFonts w:hint="eastAsia" w:ascii="宋体" w:hAnsi="宋体" w:cs="宋体"/>
          <w:b/>
          <w:bCs/>
          <w:color w:val="000000"/>
          <w:sz w:val="24"/>
        </w:rPr>
      </w:pPr>
      <w:r>
        <w:rPr>
          <w:rFonts w:hint="eastAsia" w:ascii="宋体" w:hAnsi="宋体" w:cs="宋体"/>
          <w:b/>
          <w:bCs/>
          <w:color w:val="000000"/>
          <w:sz w:val="24"/>
        </w:rPr>
        <w:t>3.9.区域体检平台建设</w:t>
      </w:r>
    </w:p>
    <w:p w14:paraId="5192FA65">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bookmarkStart w:id="14" w:name="_Toc92267330"/>
      <w:r>
        <w:rPr>
          <w:rFonts w:hint="eastAsia" w:ascii="宋体" w:hAnsi="宋体" w:cs="宋体"/>
          <w:b/>
          <w:bCs/>
          <w:snapToGrid w:val="0"/>
          <w:color w:val="000000"/>
          <w:kern w:val="0"/>
          <w:sz w:val="24"/>
        </w:rPr>
        <w:t>3.9.1.统一管理中心</w:t>
      </w:r>
      <w:bookmarkEnd w:id="14"/>
    </w:p>
    <w:p w14:paraId="2AA015F1">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bookmarkStart w:id="15" w:name="_Hlk78297872"/>
      <w:r>
        <w:rPr>
          <w:rFonts w:hint="eastAsia" w:ascii="宋体" w:hAnsi="宋体" w:cs="宋体"/>
          <w:snapToGrid w:val="0"/>
          <w:color w:val="000000"/>
          <w:kern w:val="0"/>
          <w:sz w:val="24"/>
        </w:rPr>
        <w:t>须实现系统机构、人员的统一管理，权限集中分配、统一运维监控；同时提供主数据下发统一入口，支持下载平台下发的基础数据或映射关系。基于统一服务框架，通过统一服务入口，提供基础服务、体检服务等。</w:t>
      </w:r>
    </w:p>
    <w:bookmarkEnd w:id="15"/>
    <w:p w14:paraId="21D58119">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bookmarkStart w:id="16" w:name="_Toc92267331"/>
      <w:r>
        <w:rPr>
          <w:rFonts w:hint="eastAsia" w:ascii="宋体" w:hAnsi="宋体" w:cs="宋体"/>
          <w:b/>
          <w:bCs/>
          <w:snapToGrid w:val="0"/>
          <w:color w:val="000000"/>
          <w:kern w:val="0"/>
          <w:sz w:val="24"/>
        </w:rPr>
        <w:t>3.9.2.基础管理</w:t>
      </w:r>
      <w:bookmarkEnd w:id="16"/>
    </w:p>
    <w:p w14:paraId="3ABB27B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机构信息、体检科室、体检项目、组合项目、诊断建议、体检结果、套餐管理、总检建议知识库、体检匹配指标管理、体检排班、体检合同等基础数据进行维护。体检项目需能够支持设置体检项目展示顺序。</w:t>
      </w:r>
    </w:p>
    <w:p w14:paraId="2C99DE2C">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bookmarkStart w:id="17" w:name="_Toc92267332"/>
      <w:r>
        <w:rPr>
          <w:rFonts w:hint="eastAsia" w:ascii="宋体" w:hAnsi="宋体" w:cs="宋体"/>
          <w:b/>
          <w:bCs/>
          <w:snapToGrid w:val="0"/>
          <w:color w:val="000000"/>
          <w:kern w:val="0"/>
          <w:sz w:val="24"/>
        </w:rPr>
        <w:t>3.9.3.PC管理端</w:t>
      </w:r>
      <w:bookmarkEnd w:id="17"/>
    </w:p>
    <w:p w14:paraId="3DB55906">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bookmarkStart w:id="18" w:name="_Toc92267333"/>
      <w:r>
        <w:rPr>
          <w:rFonts w:hint="eastAsia" w:ascii="宋体" w:hAnsi="宋体" w:cs="宋体"/>
          <w:b/>
          <w:bCs/>
          <w:snapToGrid w:val="0"/>
          <w:color w:val="000000"/>
          <w:kern w:val="0"/>
          <w:sz w:val="24"/>
        </w:rPr>
        <w:t>3.9.3.1.首页</w:t>
      </w:r>
      <w:bookmarkEnd w:id="18"/>
    </w:p>
    <w:p w14:paraId="0A29C7B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首页能够集中展示体检工作相关的数据统计分析、体检结果出现危急值时首页能够及时预警提醒以及部分业务开展的快捷入口。</w:t>
      </w:r>
    </w:p>
    <w:p w14:paraId="1330A5B0">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bookmarkStart w:id="19" w:name="_Toc92267334"/>
      <w:r>
        <w:rPr>
          <w:rFonts w:hint="eastAsia" w:ascii="宋体" w:hAnsi="宋体" w:cs="宋体"/>
          <w:b/>
          <w:bCs/>
          <w:snapToGrid w:val="0"/>
          <w:color w:val="000000"/>
          <w:kern w:val="0"/>
          <w:sz w:val="24"/>
        </w:rPr>
        <w:t>3.9.3.2.体检登记</w:t>
      </w:r>
      <w:bookmarkEnd w:id="19"/>
    </w:p>
    <w:p w14:paraId="77BA5D00">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3.9.3.2.1.个人体检登记</w:t>
      </w:r>
    </w:p>
    <w:p w14:paraId="33E38E0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支持完成个人体检登记，需提供手动录入、读取身份证等多种方式。个人体检登记时应支持读取身份证、关联居民档案来获取居民信息。</w:t>
      </w:r>
    </w:p>
    <w:p w14:paraId="6A49EC47">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3.9.3.2.2.团队体检登记</w:t>
      </w:r>
    </w:p>
    <w:p w14:paraId="6CBC6F25">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支持团检信息登记、团检套餐维护、导入人员名单功能。</w:t>
      </w:r>
    </w:p>
    <w:p w14:paraId="014D7FED">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3.9.3.2.3.体检签到</w:t>
      </w:r>
    </w:p>
    <w:p w14:paraId="7EFA7C5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支持个人签到、批量签到等多种签到方式，能够进行信息条码和体检导检单的打印，同时支持在读取身份证时要能更新EXCEL导入名单中的住址信息。</w:t>
      </w:r>
    </w:p>
    <w:p w14:paraId="218F7561">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bookmarkStart w:id="20" w:name="_Toc92267335"/>
      <w:r>
        <w:rPr>
          <w:rFonts w:hint="eastAsia" w:ascii="宋体" w:hAnsi="宋体" w:cs="宋体"/>
          <w:b/>
          <w:bCs/>
          <w:snapToGrid w:val="0"/>
          <w:color w:val="000000"/>
          <w:kern w:val="0"/>
          <w:sz w:val="24"/>
        </w:rPr>
        <w:t>3.9.3.3.体检预约</w:t>
      </w:r>
      <w:bookmarkEnd w:id="20"/>
    </w:p>
    <w:p w14:paraId="795F1039">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3.9.3.3.1.系统预约登记</w:t>
      </w:r>
    </w:p>
    <w:p w14:paraId="77BAEAE7">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系统支持提供预约登记入口，支持通过系统为居民预约非当日体检，居民可根据预约的时间前往医院进行体检。</w:t>
      </w:r>
    </w:p>
    <w:p w14:paraId="0AAB07CF">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bookmarkStart w:id="21" w:name="_Toc92267336"/>
      <w:r>
        <w:rPr>
          <w:rFonts w:hint="eastAsia" w:ascii="宋体" w:hAnsi="宋体" w:cs="宋体"/>
          <w:b/>
          <w:bCs/>
          <w:snapToGrid w:val="0"/>
          <w:color w:val="000000"/>
          <w:kern w:val="0"/>
          <w:sz w:val="24"/>
        </w:rPr>
        <w:t>3.9.3.4.医生工作站</w:t>
      </w:r>
      <w:bookmarkEnd w:id="21"/>
    </w:p>
    <w:p w14:paraId="19938E56">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3.9.3.4.1.检查结果录入</w:t>
      </w:r>
    </w:p>
    <w:p w14:paraId="5CE0C014">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支持依据业务老师科室权限不同实现单科室或者多科室项目结果录入，需能够依据检查结果自动生成科室小结。支持体检项目评估量表录入，包含老年人生活能力自理评估、智力评估、抑郁评估等。</w:t>
      </w:r>
    </w:p>
    <w:p w14:paraId="342D1FFA">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bookmarkStart w:id="22" w:name="_Toc92267337"/>
      <w:r>
        <w:rPr>
          <w:rFonts w:hint="eastAsia" w:ascii="宋体" w:hAnsi="宋体" w:cs="宋体"/>
          <w:snapToGrid w:val="0"/>
          <w:color w:val="000000"/>
          <w:kern w:val="0"/>
          <w:sz w:val="24"/>
        </w:rPr>
        <w:t>3.9.3.4.2.院外影像文件上传</w:t>
      </w:r>
    </w:p>
    <w:p w14:paraId="34B1AAF9">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支持上传图片、PDF等格式的院外影像报告（如外院CT报告、超声图文）。</w:t>
      </w:r>
    </w:p>
    <w:p w14:paraId="48F07F38">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3.9.3.4.3.影像数据调阅</w:t>
      </w:r>
    </w:p>
    <w:p w14:paraId="5304B766">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支持调阅区域内体检影像（DICOM）及关联报告（PDF/图片）。</w:t>
      </w:r>
    </w:p>
    <w:p w14:paraId="18CE84A6">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3.9.3.5.检完签到</w:t>
      </w:r>
      <w:bookmarkEnd w:id="22"/>
    </w:p>
    <w:p w14:paraId="5650373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居民体检结束后，系统需支持提供签到功能，针对未检项目可以进行弃检操作。</w:t>
      </w:r>
    </w:p>
    <w:p w14:paraId="374F449E">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bookmarkStart w:id="23" w:name="_Toc92267338"/>
      <w:r>
        <w:rPr>
          <w:rFonts w:hint="eastAsia" w:ascii="宋体" w:hAnsi="宋体" w:cs="宋体"/>
          <w:b/>
          <w:bCs/>
          <w:snapToGrid w:val="0"/>
          <w:color w:val="000000"/>
          <w:kern w:val="0"/>
          <w:sz w:val="24"/>
        </w:rPr>
        <w:t>3.9.3.6.总检工作站</w:t>
      </w:r>
      <w:bookmarkEnd w:id="23"/>
    </w:p>
    <w:p w14:paraId="74E15DE4">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3.9.3.6.1.总检评估</w:t>
      </w:r>
    </w:p>
    <w:p w14:paraId="16DCA093">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支持总检建议登记、发布体检报告、查看用户体检明细功能。支持依据科室小结词条带入词条对应的总检建议，已比对和还未比对的词条基于不同颜色展示。</w:t>
      </w:r>
    </w:p>
    <w:p w14:paraId="6D9D92AA">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3.9.3.6.2.体检报告管理</w:t>
      </w:r>
    </w:p>
    <w:p w14:paraId="3C4C96BA">
      <w:pPr>
        <w:keepNext/>
        <w:keepLines/>
        <w:numPr>
          <w:ilvl w:val="5"/>
          <w:numId w:val="0"/>
        </w:numPr>
        <w:tabs>
          <w:tab w:val="left" w:pos="1418"/>
        </w:tabs>
        <w:kinsoku w:val="0"/>
        <w:autoSpaceDE w:val="0"/>
        <w:autoSpaceDN w:val="0"/>
        <w:adjustRightInd w:val="0"/>
        <w:snapToGrid w:val="0"/>
        <w:spacing w:after="0" w:line="360" w:lineRule="auto"/>
        <w:jc w:val="left"/>
        <w:textAlignment w:val="baseline"/>
        <w:outlineLvl w:val="5"/>
        <w:rPr>
          <w:rFonts w:hint="eastAsia" w:ascii="宋体" w:hAnsi="宋体" w:cs="宋体"/>
          <w:snapToGrid w:val="0"/>
          <w:color w:val="000000"/>
          <w:kern w:val="0"/>
          <w:sz w:val="24"/>
        </w:rPr>
      </w:pPr>
      <w:r>
        <w:rPr>
          <w:rFonts w:hint="eastAsia" w:ascii="宋体" w:hAnsi="宋体" w:cs="宋体"/>
          <w:snapToGrid w:val="0"/>
          <w:color w:val="000000"/>
          <w:kern w:val="0"/>
          <w:sz w:val="24"/>
        </w:rPr>
        <w:t>3.9.3.6.2.1.报告审核</w:t>
      </w:r>
    </w:p>
    <w:p w14:paraId="1508AAF8">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支持对总检报告进行审核，针对不合格的报告能够进行驳回操作，并支持备注不通过原因。</w:t>
      </w:r>
    </w:p>
    <w:p w14:paraId="7D7B41C0">
      <w:pPr>
        <w:keepNext/>
        <w:keepLines/>
        <w:numPr>
          <w:ilvl w:val="5"/>
          <w:numId w:val="0"/>
        </w:numPr>
        <w:tabs>
          <w:tab w:val="left" w:pos="1418"/>
        </w:tabs>
        <w:kinsoku w:val="0"/>
        <w:autoSpaceDE w:val="0"/>
        <w:autoSpaceDN w:val="0"/>
        <w:adjustRightInd w:val="0"/>
        <w:snapToGrid w:val="0"/>
        <w:spacing w:after="0" w:line="360" w:lineRule="auto"/>
        <w:jc w:val="left"/>
        <w:textAlignment w:val="baseline"/>
        <w:outlineLvl w:val="5"/>
        <w:rPr>
          <w:rFonts w:hint="eastAsia" w:ascii="宋体" w:hAnsi="宋体" w:cs="宋体"/>
          <w:snapToGrid w:val="0"/>
          <w:color w:val="000000"/>
          <w:kern w:val="0"/>
          <w:sz w:val="24"/>
        </w:rPr>
      </w:pPr>
      <w:r>
        <w:rPr>
          <w:rFonts w:hint="eastAsia" w:ascii="宋体" w:hAnsi="宋体" w:cs="宋体"/>
          <w:snapToGrid w:val="0"/>
          <w:color w:val="000000"/>
          <w:kern w:val="0"/>
          <w:sz w:val="24"/>
        </w:rPr>
        <w:t>3.9.3.6.2.2.体检报告打印</w:t>
      </w:r>
    </w:p>
    <w:p w14:paraId="0255739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支持多种方式查询已经完成体检的个人体检报告信息，并支持个人体检报告打印。</w:t>
      </w:r>
    </w:p>
    <w:p w14:paraId="7AE13BAA">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bookmarkStart w:id="24" w:name="_Toc92267340"/>
      <w:r>
        <w:rPr>
          <w:rFonts w:hint="eastAsia" w:ascii="宋体" w:hAnsi="宋体" w:cs="宋体"/>
          <w:b/>
          <w:bCs/>
          <w:snapToGrid w:val="0"/>
          <w:color w:val="000000"/>
          <w:kern w:val="0"/>
          <w:sz w:val="24"/>
        </w:rPr>
        <w:t>3.9.3.7.统计查询</w:t>
      </w:r>
      <w:bookmarkEnd w:id="24"/>
    </w:p>
    <w:p w14:paraId="61595B0B">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rPr>
      </w:pPr>
      <w:r>
        <w:rPr>
          <w:rFonts w:hint="eastAsia" w:ascii="宋体" w:hAnsi="宋体" w:cs="宋体"/>
          <w:snapToGrid w:val="0"/>
          <w:color w:val="000000"/>
          <w:kern w:val="0"/>
          <w:sz w:val="24"/>
        </w:rPr>
        <w:t>3.9.3.7.1.区级统计查询</w:t>
      </w:r>
    </w:p>
    <w:p w14:paraId="0DA6549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支持提供区级维度的统计查询报表，支持下钻到社区：</w:t>
      </w:r>
    </w:p>
    <w:p w14:paraId="5F1E812D">
      <w:pPr>
        <w:widowControl/>
        <w:numPr>
          <w:ilvl w:val="0"/>
          <w:numId w:val="13"/>
        </w:numPr>
        <w:kinsoku w:val="0"/>
        <w:autoSpaceDE w:val="0"/>
        <w:autoSpaceDN w:val="0"/>
        <w:adjustRightInd w:val="0"/>
        <w:snapToGrid w:val="0"/>
        <w:spacing w:after="0" w:line="360" w:lineRule="auto"/>
        <w:ind w:left="820"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受检人体检情况统计</w:t>
      </w:r>
    </w:p>
    <w:p w14:paraId="39A8FF1C">
      <w:pPr>
        <w:widowControl/>
        <w:numPr>
          <w:ilvl w:val="0"/>
          <w:numId w:val="14"/>
        </w:numPr>
        <w:kinsoku w:val="0"/>
        <w:autoSpaceDE w:val="0"/>
        <w:autoSpaceDN w:val="0"/>
        <w:adjustRightInd w:val="0"/>
        <w:snapToGrid w:val="0"/>
        <w:spacing w:after="0" w:line="360" w:lineRule="auto"/>
        <w:ind w:left="846"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医生工作量统计</w:t>
      </w:r>
    </w:p>
    <w:p w14:paraId="3339F0D9">
      <w:pPr>
        <w:widowControl/>
        <w:numPr>
          <w:ilvl w:val="0"/>
          <w:numId w:val="14"/>
        </w:numPr>
        <w:kinsoku w:val="0"/>
        <w:autoSpaceDE w:val="0"/>
        <w:autoSpaceDN w:val="0"/>
        <w:adjustRightInd w:val="0"/>
        <w:snapToGrid w:val="0"/>
        <w:spacing w:after="0" w:line="360" w:lineRule="auto"/>
        <w:ind w:left="846"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综述疾病诊断汇总</w:t>
      </w:r>
    </w:p>
    <w:p w14:paraId="58EDF0EC">
      <w:pPr>
        <w:widowControl/>
        <w:numPr>
          <w:ilvl w:val="0"/>
          <w:numId w:val="14"/>
        </w:numPr>
        <w:kinsoku w:val="0"/>
        <w:autoSpaceDE w:val="0"/>
        <w:autoSpaceDN w:val="0"/>
        <w:adjustRightInd w:val="0"/>
        <w:snapToGrid w:val="0"/>
        <w:spacing w:after="0" w:line="360" w:lineRule="auto"/>
        <w:ind w:left="846"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收费项目统计</w:t>
      </w:r>
    </w:p>
    <w:p w14:paraId="72F883F8">
      <w:pPr>
        <w:widowControl/>
        <w:numPr>
          <w:ilvl w:val="0"/>
          <w:numId w:val="14"/>
        </w:numPr>
        <w:kinsoku w:val="0"/>
        <w:autoSpaceDE w:val="0"/>
        <w:autoSpaceDN w:val="0"/>
        <w:adjustRightInd w:val="0"/>
        <w:snapToGrid w:val="0"/>
        <w:spacing w:after="0" w:line="360" w:lineRule="auto"/>
        <w:ind w:left="846"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体检人员状态查询</w:t>
      </w:r>
    </w:p>
    <w:p w14:paraId="21FADF06">
      <w:pPr>
        <w:widowControl/>
        <w:numPr>
          <w:ilvl w:val="0"/>
          <w:numId w:val="14"/>
        </w:numPr>
        <w:kinsoku w:val="0"/>
        <w:autoSpaceDE w:val="0"/>
        <w:autoSpaceDN w:val="0"/>
        <w:adjustRightInd w:val="0"/>
        <w:snapToGrid w:val="0"/>
        <w:spacing w:after="0" w:line="360" w:lineRule="auto"/>
        <w:ind w:left="846"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未体检项目汇总</w:t>
      </w:r>
    </w:p>
    <w:p w14:paraId="388C1A11">
      <w:pPr>
        <w:widowControl/>
        <w:numPr>
          <w:ilvl w:val="0"/>
          <w:numId w:val="14"/>
        </w:numPr>
        <w:kinsoku w:val="0"/>
        <w:autoSpaceDE w:val="0"/>
        <w:autoSpaceDN w:val="0"/>
        <w:adjustRightInd w:val="0"/>
        <w:snapToGrid w:val="0"/>
        <w:spacing w:after="0" w:line="360" w:lineRule="auto"/>
        <w:ind w:left="846"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未检项目人员名单</w:t>
      </w:r>
    </w:p>
    <w:p w14:paraId="2C3042BC">
      <w:pPr>
        <w:widowControl/>
        <w:numPr>
          <w:ilvl w:val="0"/>
          <w:numId w:val="14"/>
        </w:numPr>
        <w:kinsoku w:val="0"/>
        <w:autoSpaceDE w:val="0"/>
        <w:autoSpaceDN w:val="0"/>
        <w:adjustRightInd w:val="0"/>
        <w:snapToGrid w:val="0"/>
        <w:spacing w:after="0" w:line="360" w:lineRule="auto"/>
        <w:ind w:left="846" w:hanging="420"/>
        <w:jc w:val="left"/>
        <w:textAlignment w:val="baseline"/>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体检结论统计</w:t>
      </w:r>
    </w:p>
    <w:p w14:paraId="4B06B765">
      <w:pPr>
        <w:keepNext/>
        <w:keepLines/>
        <w:numPr>
          <w:ilvl w:val="4"/>
          <w:numId w:val="0"/>
        </w:numPr>
        <w:tabs>
          <w:tab w:val="left" w:pos="1134"/>
        </w:tabs>
        <w:kinsoku w:val="0"/>
        <w:autoSpaceDE w:val="0"/>
        <w:autoSpaceDN w:val="0"/>
        <w:adjustRightInd w:val="0"/>
        <w:snapToGrid w:val="0"/>
        <w:spacing w:after="0" w:line="360" w:lineRule="auto"/>
        <w:jc w:val="left"/>
        <w:textAlignment w:val="baseline"/>
        <w:outlineLvl w:val="4"/>
        <w:rPr>
          <w:rFonts w:hint="eastAsia" w:ascii="宋体" w:hAnsi="宋体" w:cs="宋体"/>
          <w:snapToGrid w:val="0"/>
          <w:color w:val="000000"/>
          <w:kern w:val="0"/>
          <w:sz w:val="24"/>
          <w:lang w:eastAsia="en-US"/>
        </w:rPr>
      </w:pPr>
      <w:r>
        <w:rPr>
          <w:rFonts w:hint="eastAsia" w:ascii="宋体" w:hAnsi="宋体" w:cs="宋体"/>
          <w:snapToGrid w:val="0"/>
          <w:color w:val="000000"/>
          <w:kern w:val="0"/>
          <w:sz w:val="24"/>
          <w:lang w:eastAsia="en-US"/>
        </w:rPr>
        <w:t>3.9.3.7.2.院内统计查询</w:t>
      </w:r>
    </w:p>
    <w:p w14:paraId="6B5F0A6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支持对院内基本业务数据及工作量统计，提供区级相应的院内统计报表。</w:t>
      </w:r>
    </w:p>
    <w:p w14:paraId="14834E54">
      <w:pPr>
        <w:keepNext/>
        <w:keepLines/>
        <w:numPr>
          <w:ilvl w:val="2"/>
          <w:numId w:val="0"/>
        </w:numPr>
        <w:adjustRightInd w:val="0"/>
        <w:snapToGrid w:val="0"/>
        <w:spacing w:after="0" w:line="360" w:lineRule="auto"/>
        <w:outlineLvl w:val="2"/>
        <w:rPr>
          <w:rFonts w:hint="eastAsia" w:ascii="宋体" w:hAnsi="宋体" w:cs="宋体"/>
          <w:b/>
          <w:bCs/>
          <w:snapToGrid w:val="0"/>
          <w:color w:val="000000"/>
          <w:kern w:val="0"/>
          <w:sz w:val="24"/>
        </w:rPr>
      </w:pPr>
      <w:bookmarkStart w:id="25" w:name="_Toc92267342"/>
      <w:r>
        <w:rPr>
          <w:rFonts w:hint="eastAsia" w:ascii="宋体" w:hAnsi="宋体" w:cs="宋体"/>
          <w:b/>
          <w:bCs/>
          <w:snapToGrid w:val="0"/>
          <w:color w:val="000000"/>
          <w:kern w:val="0"/>
          <w:sz w:val="24"/>
        </w:rPr>
        <w:t>3.9.4.接口对接</w:t>
      </w:r>
      <w:bookmarkEnd w:id="25"/>
    </w:p>
    <w:p w14:paraId="451137A1">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bookmarkStart w:id="26" w:name="_Toc92267347"/>
      <w:r>
        <w:rPr>
          <w:rFonts w:hint="eastAsia" w:ascii="宋体" w:hAnsi="宋体" w:cs="宋体"/>
          <w:b/>
          <w:bCs/>
          <w:snapToGrid w:val="0"/>
          <w:color w:val="000000"/>
          <w:kern w:val="0"/>
          <w:sz w:val="24"/>
        </w:rPr>
        <w:t>3.9.4.1.与</w:t>
      </w:r>
      <w:bookmarkEnd w:id="26"/>
      <w:r>
        <w:rPr>
          <w:rFonts w:hint="eastAsia" w:ascii="宋体" w:hAnsi="宋体" w:cs="宋体"/>
          <w:b/>
          <w:bCs/>
          <w:snapToGrid w:val="0"/>
          <w:color w:val="000000"/>
          <w:kern w:val="0"/>
          <w:sz w:val="24"/>
        </w:rPr>
        <w:t>门头沟区基本医疗和公共卫生信息系统对接</w:t>
      </w:r>
    </w:p>
    <w:p w14:paraId="5A2003B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需支持与基层医疗信息系统对接，实现体检系统与基层医疗信息系统的接口，实现自费体检申请在门诊中收费。</w:t>
      </w:r>
    </w:p>
    <w:p w14:paraId="299B6AC2">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需支持与基本公卫系统对接，获取基本公卫系统居民档案信息并引用，能够接收基本公卫系统发送的体检计划，手动上传体检报告信息至基本公卫系统。</w:t>
      </w:r>
    </w:p>
    <w:p w14:paraId="027EF449">
      <w:pPr>
        <w:keepNext/>
        <w:keepLines/>
        <w:numPr>
          <w:ilvl w:val="3"/>
          <w:numId w:val="0"/>
        </w:numPr>
        <w:tabs>
          <w:tab w:val="left" w:pos="993"/>
        </w:tabs>
        <w:kinsoku w:val="0"/>
        <w:autoSpaceDE w:val="0"/>
        <w:autoSpaceDN w:val="0"/>
        <w:adjustRightInd w:val="0"/>
        <w:snapToGrid w:val="0"/>
        <w:spacing w:after="0" w:line="360" w:lineRule="auto"/>
        <w:jc w:val="left"/>
        <w:textAlignment w:val="baseline"/>
        <w:outlineLvl w:val="3"/>
        <w:rPr>
          <w:rFonts w:hint="eastAsia" w:ascii="宋体" w:hAnsi="宋体" w:cs="宋体"/>
          <w:b/>
          <w:bCs/>
          <w:snapToGrid w:val="0"/>
          <w:color w:val="000000"/>
          <w:kern w:val="0"/>
          <w:sz w:val="24"/>
        </w:rPr>
      </w:pPr>
      <w:r>
        <w:rPr>
          <w:rFonts w:hint="eastAsia" w:ascii="宋体" w:hAnsi="宋体" w:cs="宋体"/>
          <w:b/>
          <w:bCs/>
          <w:snapToGrid w:val="0"/>
          <w:color w:val="000000"/>
          <w:kern w:val="0"/>
          <w:sz w:val="24"/>
        </w:rPr>
        <w:t>3.9.4.2.读卡器对接</w:t>
      </w:r>
    </w:p>
    <w:p w14:paraId="1AC0A68D">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需支持与读卡器对接，读取身份证信息。</w:t>
      </w:r>
    </w:p>
    <w:p w14:paraId="65BB937B">
      <w:pPr>
        <w:keepNext/>
        <w:keepLines/>
        <w:adjustRightInd w:val="0"/>
        <w:snapToGrid w:val="0"/>
        <w:spacing w:after="0" w:line="360" w:lineRule="auto"/>
        <w:outlineLvl w:val="0"/>
        <w:rPr>
          <w:rFonts w:hint="eastAsia" w:ascii="宋体" w:hAnsi="宋体" w:cs="宋体"/>
          <w:b/>
          <w:bCs/>
          <w:snapToGrid w:val="0"/>
          <w:color w:val="000000"/>
          <w:kern w:val="44"/>
          <w:sz w:val="24"/>
        </w:rPr>
      </w:pPr>
      <w:r>
        <w:rPr>
          <w:rFonts w:hint="eastAsia" w:ascii="宋体" w:hAnsi="宋体" w:cs="宋体"/>
          <w:b/>
          <w:bCs/>
          <w:snapToGrid w:val="0"/>
          <w:color w:val="000000"/>
          <w:kern w:val="44"/>
          <w:sz w:val="24"/>
        </w:rPr>
        <w:t>4.实施、</w:t>
      </w:r>
      <w:r>
        <w:rPr>
          <w:rFonts w:hint="eastAsia" w:ascii="宋体" w:hAnsi="宋体" w:cs="宋体"/>
          <w:b/>
          <w:bCs/>
          <w:color w:val="000000"/>
          <w:kern w:val="44"/>
          <w:sz w:val="24"/>
        </w:rPr>
        <w:t>培训</w:t>
      </w:r>
      <w:r>
        <w:rPr>
          <w:rFonts w:hint="eastAsia" w:ascii="宋体" w:hAnsi="宋体" w:cs="宋体"/>
          <w:b/>
          <w:bCs/>
          <w:snapToGrid w:val="0"/>
          <w:color w:val="000000"/>
          <w:kern w:val="44"/>
          <w:sz w:val="24"/>
        </w:rPr>
        <w:t>要求</w:t>
      </w:r>
    </w:p>
    <w:p w14:paraId="71573D0C">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1．项目工期为自签订合同之日起12个月内完成系统改造、安装调试、试运行及人员培训等全部工作。</w:t>
      </w:r>
    </w:p>
    <w:p w14:paraId="035BA7CA">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2．中标人应派遣具备丰富项目经验的项目经理及工程技术人员承担本项目建设实施工作，如用户方认为项目负责人能力不足，有权要求供应商进行更换。</w:t>
      </w:r>
    </w:p>
    <w:p w14:paraId="5416521F">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3．中标人应就所投产品提供一整套中文的技术资料，包括安装手册、系统管理员手册、用户手册等，这些资料费应包括在报价内。</w:t>
      </w:r>
    </w:p>
    <w:p w14:paraId="0C68AD8E">
      <w:pPr>
        <w:widowControl/>
        <w:kinsoku w:val="0"/>
        <w:autoSpaceDE w:val="0"/>
        <w:autoSpaceDN w:val="0"/>
        <w:adjustRightInd w:val="0"/>
        <w:snapToGrid w:val="0"/>
        <w:spacing w:line="360" w:lineRule="auto"/>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4．中标人应在接到采购人通知的 1 周内，须派出合格的技术人员担任教员到采购人所在地对采购人人员进行培训。培训教员的差旅费、食宿费用均由中标人承担。</w:t>
      </w:r>
    </w:p>
    <w:p w14:paraId="11E45DBE">
      <w:pPr>
        <w:keepNext/>
        <w:keepLines/>
        <w:adjustRightInd w:val="0"/>
        <w:snapToGrid w:val="0"/>
        <w:spacing w:after="0" w:line="360" w:lineRule="auto"/>
        <w:outlineLvl w:val="0"/>
        <w:rPr>
          <w:rFonts w:hint="eastAsia" w:ascii="宋体" w:hAnsi="宋体" w:cs="宋体"/>
          <w:b/>
          <w:bCs/>
          <w:snapToGrid w:val="0"/>
          <w:color w:val="000000"/>
          <w:kern w:val="44"/>
          <w:sz w:val="24"/>
        </w:rPr>
      </w:pPr>
      <w:r>
        <w:rPr>
          <w:rFonts w:hint="eastAsia" w:ascii="宋体" w:hAnsi="宋体" w:cs="宋体"/>
          <w:b/>
          <w:bCs/>
          <w:snapToGrid w:val="0"/>
          <w:color w:val="000000"/>
          <w:kern w:val="44"/>
          <w:sz w:val="24"/>
        </w:rPr>
        <w:t>5.验收</w:t>
      </w:r>
      <w:r>
        <w:rPr>
          <w:rFonts w:hint="eastAsia" w:ascii="宋体" w:hAnsi="宋体" w:cs="宋体"/>
          <w:b/>
          <w:bCs/>
          <w:color w:val="000000"/>
          <w:kern w:val="44"/>
          <w:sz w:val="24"/>
        </w:rPr>
        <w:t>要求</w:t>
      </w:r>
    </w:p>
    <w:p w14:paraId="4C407C3F">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项目验收包括初步验收、试运行、竣工验收三个阶段。</w:t>
      </w:r>
    </w:p>
    <w:p w14:paraId="2A48712B">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完成整体实施工作后（合同整体交付）可进行初验申请，初验通过后进入</w:t>
      </w:r>
      <w:r>
        <w:rPr>
          <w:rFonts w:hint="eastAsia" w:ascii="宋体" w:hAnsi="宋体" w:cs="宋体"/>
          <w:snapToGrid w:val="0"/>
          <w:color w:val="000000"/>
          <w:kern w:val="0"/>
          <w:sz w:val="24"/>
          <w:lang w:val="en-US" w:eastAsia="zh-CN"/>
        </w:rPr>
        <w:t>为期</w:t>
      </w:r>
      <w:r>
        <w:rPr>
          <w:rFonts w:hint="eastAsia" w:ascii="宋体" w:hAnsi="宋体" w:cs="宋体"/>
          <w:snapToGrid w:val="0"/>
          <w:color w:val="000000"/>
          <w:kern w:val="0"/>
          <w:sz w:val="24"/>
        </w:rPr>
        <w:t>2个月</w:t>
      </w:r>
      <w:r>
        <w:rPr>
          <w:rFonts w:hint="eastAsia" w:ascii="宋体" w:hAnsi="宋体" w:cs="宋体"/>
          <w:snapToGrid w:val="0"/>
          <w:color w:val="000000"/>
          <w:kern w:val="0"/>
          <w:sz w:val="24"/>
          <w:lang w:val="en-US" w:eastAsia="zh-CN"/>
        </w:rPr>
        <w:t>的</w:t>
      </w:r>
      <w:r>
        <w:rPr>
          <w:rFonts w:hint="eastAsia" w:ascii="宋体" w:hAnsi="宋体" w:cs="宋体"/>
          <w:snapToGrid w:val="0"/>
          <w:color w:val="000000"/>
          <w:kern w:val="0"/>
          <w:sz w:val="24"/>
        </w:rPr>
        <w:t>试运行期，试运行结束后，可申请竣工验收。</w:t>
      </w:r>
    </w:p>
    <w:p w14:paraId="3FE36BF2">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项目竣工验收时中标人需提供包括：详细设计、概要设计、数据库设计、初验报告、试运行报告等文档。</w:t>
      </w:r>
    </w:p>
    <w:p w14:paraId="0D1668BC">
      <w:pPr>
        <w:widowControl/>
        <w:kinsoku w:val="0"/>
        <w:autoSpaceDE w:val="0"/>
        <w:autoSpaceDN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按照招标文件各项技术指标和所有承诺功能和指标，由采购人组织验收，验收合格后，采购人及中标人双方共同签署验收文件。</w:t>
      </w:r>
    </w:p>
    <w:p w14:paraId="723A36B0">
      <w:pPr>
        <w:keepNext/>
        <w:keepLines/>
        <w:pageBreakBefore w:val="0"/>
        <w:wordWrap/>
        <w:overflowPunct/>
        <w:topLinePunct w:val="0"/>
        <w:bidi w:val="0"/>
        <w:adjustRightInd w:val="0"/>
        <w:snapToGrid w:val="0"/>
        <w:spacing w:after="0" w:line="360" w:lineRule="auto"/>
        <w:ind w:firstLine="482" w:firstLineChars="200"/>
        <w:outlineLvl w:val="0"/>
        <w:rPr>
          <w:rFonts w:hint="eastAsia" w:ascii="宋体" w:hAnsi="宋体" w:cs="宋体"/>
          <w:b/>
          <w:bCs/>
          <w:snapToGrid w:val="0"/>
          <w:color w:val="000000"/>
          <w:kern w:val="44"/>
          <w:sz w:val="24"/>
        </w:rPr>
      </w:pPr>
      <w:r>
        <w:rPr>
          <w:rFonts w:hint="eastAsia" w:ascii="宋体" w:hAnsi="宋体" w:cs="宋体"/>
          <w:b/>
          <w:bCs/>
          <w:snapToGrid w:val="0"/>
          <w:color w:val="000000"/>
          <w:kern w:val="44"/>
          <w:sz w:val="24"/>
        </w:rPr>
        <w:t>6.</w:t>
      </w:r>
      <w:r>
        <w:rPr>
          <w:rFonts w:hint="eastAsia" w:ascii="宋体" w:hAnsi="宋体" w:cs="宋体"/>
          <w:b/>
          <w:bCs/>
          <w:color w:val="000000"/>
          <w:kern w:val="44"/>
          <w:sz w:val="24"/>
        </w:rPr>
        <w:t>售后服务</w:t>
      </w:r>
      <w:r>
        <w:rPr>
          <w:rFonts w:hint="eastAsia" w:ascii="宋体" w:hAnsi="宋体" w:cs="宋体"/>
          <w:b/>
          <w:bCs/>
          <w:snapToGrid w:val="0"/>
          <w:color w:val="000000"/>
          <w:kern w:val="44"/>
          <w:sz w:val="24"/>
        </w:rPr>
        <w:t>要求</w:t>
      </w:r>
    </w:p>
    <w:p w14:paraId="7C0BE358">
      <w:pPr>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1．终验合格后，中标人免费质保期2年。</w:t>
      </w:r>
    </w:p>
    <w:p w14:paraId="20A2D406">
      <w:pPr>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2．中标人须提供7×24小时技术支持服务，包括且不限于电话、远程、现场支持等，如遇必须现场支持的故障，应在1小时内对维修要求做出实质性响应，在4小时内到达用户现场，并在24小时内修复。</w:t>
      </w:r>
    </w:p>
    <w:p w14:paraId="5F12B06B">
      <w:pPr>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cs="宋体"/>
          <w:snapToGrid w:val="0"/>
          <w:color w:val="000000"/>
          <w:kern w:val="0"/>
          <w:sz w:val="24"/>
        </w:rPr>
      </w:pPr>
      <w:r>
        <w:rPr>
          <w:rFonts w:hint="eastAsia" w:ascii="宋体" w:hAnsi="宋体" w:cs="宋体"/>
          <w:snapToGrid w:val="0"/>
          <w:color w:val="000000"/>
          <w:kern w:val="0"/>
          <w:sz w:val="24"/>
        </w:rPr>
        <w:t>7.其他服务要求</w:t>
      </w:r>
    </w:p>
    <w:p w14:paraId="79D8F4D2">
      <w:pPr>
        <w:pageBreakBefore w:val="0"/>
        <w:widowControl/>
        <w:numPr>
          <w:ilvl w:val="255"/>
          <w:numId w:val="0"/>
        </w:numPr>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cs="宋体"/>
          <w:color w:val="000000"/>
          <w:sz w:val="24"/>
        </w:rPr>
      </w:pPr>
      <w:r>
        <w:rPr>
          <w:rFonts w:hint="eastAsia" w:ascii="宋体" w:hAnsi="宋体" w:cs="宋体"/>
          <w:color w:val="000000"/>
          <w:sz w:val="24"/>
        </w:rPr>
        <w:t>1.安全性方面：系统软件应满足甲方对信息系统安全的要求。项目设计、实施、运维过程中应该按照甲方的信息系统安全要求进行。实施过程中，接受甲方人员组织的安全抽查，如抽查未通过，甲方有权要求信息系统集成商对信息系统进行安全整改。信息系统需要通过主机漏洞扫描、应用渗透测试等安全扫描及检测，在修复所有漏洞后方可申请上线。信息系统承建方应负责本系统的安全运维，并且需根据甲方相关规定定期进行系统安全加固。甲方不定期对系统进行安全检查，如发现安全隐患问题，投标人有义务配合甲方进行安全整改。</w:t>
      </w:r>
    </w:p>
    <w:p w14:paraId="3639D1A7">
      <w:pPr>
        <w:pageBreakBefore w:val="0"/>
        <w:wordWrap/>
        <w:overflowPunct/>
        <w:topLinePunct w:val="0"/>
        <w:bidi w:val="0"/>
        <w:spacing w:line="360" w:lineRule="auto"/>
        <w:ind w:firstLine="480" w:firstLineChars="200"/>
        <w:rPr>
          <w:rFonts w:hint="eastAsia" w:ascii="仿宋_GB2312" w:hAnsi="仿宋_GB2312" w:eastAsia="仿宋_GB2312" w:cs="仿宋_GB2312"/>
          <w:sz w:val="32"/>
          <w:szCs w:val="32"/>
        </w:rPr>
      </w:pPr>
      <w:r>
        <w:rPr>
          <w:rFonts w:hint="eastAsia" w:ascii="宋体" w:hAnsi="宋体" w:cs="宋体"/>
          <w:color w:val="000000"/>
          <w:sz w:val="24"/>
        </w:rPr>
        <w:t>2.覆盖范围：本项目所有应用软件实施范围均包括：门头沟辖区当前所有社区卫生服务中心（含站、及一体化卫生室）以及运维期内新增机构，至少包括与区医院、京煤集团总医院2家上级医院的对接及应用权限预留。数据查询等管理权限机构包括但不限于区卫生健康委、区卫生综合服务中心及各社区卫生服务中心机构。</w:t>
      </w:r>
    </w:p>
    <w:p w14:paraId="4F8229A4">
      <w:pPr>
        <w:pageBreakBefore w:val="0"/>
        <w:wordWrap/>
        <w:overflowPunct/>
        <w:topLinePunct w:val="0"/>
        <w:bidi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3.系统对接范围：包括与门头沟区社区卫生服务管理系统（含HIS、公卫系统）对接、与门头沟区全民健康信息平台对接、与北京市平台对接（或通过区级平台与市级平台对接）、满足北京市电子病历共享、检查检验结果互认、114平台预约挂号等工作要求；与区域CA系统对接；本系统所在业务领域需对接但上述未提及的系统对接，以保障系统功能完成实现。</w:t>
      </w:r>
    </w:p>
    <w:p w14:paraId="1DB90365">
      <w:pPr>
        <w:pageBreakBefore w:val="0"/>
        <w:wordWrap/>
        <w:overflowPunct/>
        <w:topLinePunct w:val="0"/>
        <w:bidi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4.本项目费用覆盖范围：</w:t>
      </w:r>
    </w:p>
    <w:p w14:paraId="4F4F92CD">
      <w:pPr>
        <w:pageBreakBefore w:val="0"/>
        <w:wordWrap/>
        <w:overflowPunct/>
        <w:topLinePunct w:val="0"/>
        <w:bidi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包括软件开发、建设、实施及约定期限的运维等费用；包括列出的配套应用软硬件费用；包括与社区卫生服务管理系统（含HIS、公卫系统）对接费用（双方）；包括与门头沟区全民健康信息平台对接费用（单方）；包括与北京市平台对接费用（单方）；包括与医疗设备的对接费用（单方）；包括与上级医院对接费用（单方）；包括与CA对接费用（单方）；本系统所在业务领域，需对接但上述未提及的系统对接（单方）；包括安全检查问题整改费用。</w:t>
      </w:r>
    </w:p>
    <w:p w14:paraId="2DA2625F">
      <w:pPr>
        <w:pageBreakBefore w:val="0"/>
        <w:wordWrap/>
        <w:overflowPunct/>
        <w:topLinePunct w:val="0"/>
        <w:bidi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5.数据管理及开放</w:t>
      </w:r>
    </w:p>
    <w:p w14:paraId="5551AB3C">
      <w:pPr>
        <w:pageBreakBefore w:val="0"/>
        <w:wordWrap/>
        <w:overflowPunct/>
        <w:topLinePunct w:val="0"/>
        <w:bidi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本项目所有采购的货物纳入</w:t>
      </w:r>
      <w:r>
        <w:rPr>
          <w:rFonts w:hint="eastAsia" w:ascii="宋体" w:hAnsi="宋体" w:cs="宋体"/>
          <w:color w:val="000000"/>
          <w:sz w:val="24"/>
          <w:lang w:val="en-US" w:eastAsia="zh-CN"/>
        </w:rPr>
        <w:t>用户</w:t>
      </w:r>
      <w:r>
        <w:rPr>
          <w:rFonts w:hint="eastAsia" w:ascii="宋体" w:hAnsi="宋体" w:cs="宋体"/>
          <w:color w:val="000000"/>
          <w:sz w:val="24"/>
        </w:rPr>
        <w:t>固定资产管理；系统运行产生的所有数据归</w:t>
      </w:r>
      <w:r>
        <w:rPr>
          <w:rFonts w:hint="eastAsia" w:ascii="宋体" w:hAnsi="宋体" w:cs="宋体"/>
          <w:color w:val="000000"/>
          <w:sz w:val="24"/>
          <w:lang w:val="en-US" w:eastAsia="zh-CN"/>
        </w:rPr>
        <w:t>用户</w:t>
      </w:r>
      <w:r>
        <w:rPr>
          <w:rFonts w:hint="eastAsia" w:ascii="宋体" w:hAnsi="宋体" w:cs="宋体"/>
          <w:color w:val="000000"/>
          <w:sz w:val="24"/>
        </w:rPr>
        <w:t>所有，</w:t>
      </w:r>
      <w:r>
        <w:rPr>
          <w:rFonts w:hint="eastAsia" w:ascii="宋体" w:hAnsi="宋体" w:cs="宋体"/>
          <w:color w:val="000000"/>
          <w:sz w:val="24"/>
          <w:lang w:val="en-US" w:eastAsia="zh-CN"/>
        </w:rPr>
        <w:t>用户</w:t>
      </w:r>
      <w:r>
        <w:rPr>
          <w:rFonts w:hint="eastAsia" w:ascii="宋体" w:hAnsi="宋体" w:cs="宋体"/>
          <w:color w:val="000000"/>
          <w:sz w:val="24"/>
        </w:rPr>
        <w:t>与</w:t>
      </w:r>
      <w:r>
        <w:rPr>
          <w:rFonts w:hint="eastAsia" w:ascii="宋体" w:hAnsi="宋体" w:cs="宋体"/>
          <w:color w:val="000000"/>
          <w:sz w:val="24"/>
          <w:lang w:val="en-US" w:eastAsia="zh-CN"/>
        </w:rPr>
        <w:t>中标方</w:t>
      </w:r>
      <w:r>
        <w:rPr>
          <w:rFonts w:hint="eastAsia" w:ascii="宋体" w:hAnsi="宋体" w:cs="宋体"/>
          <w:color w:val="000000"/>
          <w:sz w:val="24"/>
        </w:rPr>
        <w:t>签署数据保密协议；</w:t>
      </w:r>
      <w:r>
        <w:rPr>
          <w:rFonts w:hint="eastAsia" w:ascii="宋体" w:hAnsi="宋体" w:cs="宋体"/>
          <w:color w:val="000000"/>
          <w:sz w:val="24"/>
          <w:lang w:val="en-US" w:eastAsia="zh-CN"/>
        </w:rPr>
        <w:t>中标方</w:t>
      </w:r>
      <w:r>
        <w:rPr>
          <w:rFonts w:hint="eastAsia" w:ascii="宋体" w:hAnsi="宋体" w:cs="宋体"/>
          <w:color w:val="000000"/>
          <w:sz w:val="24"/>
        </w:rPr>
        <w:t>配合</w:t>
      </w:r>
      <w:r>
        <w:rPr>
          <w:rFonts w:hint="eastAsia" w:ascii="宋体" w:hAnsi="宋体" w:cs="宋体"/>
          <w:color w:val="000000"/>
          <w:sz w:val="24"/>
          <w:lang w:val="en-US" w:eastAsia="zh-CN"/>
        </w:rPr>
        <w:t>用户</w:t>
      </w:r>
      <w:r>
        <w:rPr>
          <w:rFonts w:hint="eastAsia" w:ascii="宋体" w:hAnsi="宋体" w:cs="宋体"/>
          <w:color w:val="000000"/>
          <w:sz w:val="24"/>
        </w:rPr>
        <w:t>完成目录梳理、数据开放共享等工作。</w:t>
      </w:r>
    </w:p>
    <w:p w14:paraId="5F289CF5">
      <w:pPr>
        <w:pageBreakBefore w:val="0"/>
        <w:wordWrap/>
        <w:overflowPunct/>
        <w:topLinePunct w:val="0"/>
        <w:bidi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6.国产化信创工作要求</w:t>
      </w:r>
    </w:p>
    <w:p w14:paraId="4070654E">
      <w:pPr>
        <w:spacing w:line="360" w:lineRule="auto"/>
        <w:ind w:firstLine="480" w:firstLineChars="200"/>
      </w:pPr>
      <w:bookmarkStart w:id="27" w:name="_GoBack"/>
      <w:bookmarkEnd w:id="27"/>
      <w:r>
        <w:rPr>
          <w:rFonts w:hint="eastAsia" w:ascii="宋体" w:hAnsi="宋体" w:cs="宋体"/>
          <w:color w:val="000000"/>
          <w:sz w:val="24"/>
        </w:rPr>
        <w:t>所有系统均应符合信创国产化工作要求，支持国产数据库、操作系统、中间件等环境适配，暂时不支持的，应承诺在规定时间内完成改造。具体为计算机终端(含工作站)、服务器(芯片)、操作系统、数据库、人工智能产品采购通过国家安全可靠测评的产品。网络设备、存储设备、打印机、中间件等产品采购通过行业测评的产品，不在测评范围内的，优先采购国产芯片设备、国产软件产品。过渡期间提供的产品应符合软件正版化工作要求，即专业版操作系统、数据库及相应授权。</w:t>
      </w:r>
      <w:r>
        <w:rPr>
          <w:rFonts w:hint="eastAsia" w:ascii="宋体" w:hAnsi="宋体" w:cs="宋体"/>
          <w:color w:val="000000"/>
          <w:sz w:val="24"/>
        </w:rPr>
        <w:br w:type="page"/>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swiss"/>
    <w:pitch w:val="default"/>
    <w:sig w:usb0="800001E3" w:usb1="1200FFEF" w:usb2="00040000" w:usb3="04000000" w:csb0="00000001" w:csb1="4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97730"/>
    <w:multiLevelType w:val="singleLevel"/>
    <w:tmpl w:val="84C97730"/>
    <w:lvl w:ilvl="0" w:tentative="0">
      <w:start w:val="1"/>
      <w:numFmt w:val="bullet"/>
      <w:lvlText w:val=""/>
      <w:lvlJc w:val="left"/>
      <w:pPr>
        <w:ind w:left="420" w:hanging="420"/>
      </w:pPr>
      <w:rPr>
        <w:rFonts w:hint="default" w:ascii="Wingdings" w:hAnsi="Wingdings"/>
      </w:rPr>
    </w:lvl>
  </w:abstractNum>
  <w:abstractNum w:abstractNumId="1">
    <w:nsid w:val="B5D69DEA"/>
    <w:multiLevelType w:val="singleLevel"/>
    <w:tmpl w:val="B5D69DEA"/>
    <w:lvl w:ilvl="0" w:tentative="0">
      <w:start w:val="1"/>
      <w:numFmt w:val="decimal"/>
      <w:lvlText w:val="%1."/>
      <w:lvlJc w:val="left"/>
      <w:pPr>
        <w:ind w:left="425" w:hanging="425"/>
      </w:pPr>
      <w:rPr>
        <w:rFonts w:hint="default"/>
      </w:rPr>
    </w:lvl>
  </w:abstractNum>
  <w:abstractNum w:abstractNumId="2">
    <w:nsid w:val="C782F929"/>
    <w:multiLevelType w:val="singleLevel"/>
    <w:tmpl w:val="C782F929"/>
    <w:lvl w:ilvl="0" w:tentative="0">
      <w:start w:val="1"/>
      <w:numFmt w:val="decimal"/>
      <w:lvlText w:val="%1."/>
      <w:lvlJc w:val="left"/>
      <w:pPr>
        <w:ind w:left="425" w:hanging="425"/>
      </w:pPr>
      <w:rPr>
        <w:rFonts w:hint="default"/>
      </w:rPr>
    </w:lvl>
  </w:abstractNum>
  <w:abstractNum w:abstractNumId="3">
    <w:nsid w:val="F2353FDD"/>
    <w:multiLevelType w:val="singleLevel"/>
    <w:tmpl w:val="F2353FDD"/>
    <w:lvl w:ilvl="0" w:tentative="0">
      <w:start w:val="1"/>
      <w:numFmt w:val="decimal"/>
      <w:lvlText w:val="%1."/>
      <w:lvlJc w:val="left"/>
      <w:pPr>
        <w:ind w:left="425" w:hanging="425"/>
      </w:pPr>
      <w:rPr>
        <w:rFonts w:hint="default"/>
      </w:rPr>
    </w:lvl>
  </w:abstractNum>
  <w:abstractNum w:abstractNumId="4">
    <w:nsid w:val="F675CFB1"/>
    <w:multiLevelType w:val="singleLevel"/>
    <w:tmpl w:val="F675CFB1"/>
    <w:lvl w:ilvl="0" w:tentative="0">
      <w:start w:val="1"/>
      <w:numFmt w:val="decimal"/>
      <w:lvlText w:val="%1."/>
      <w:lvlJc w:val="left"/>
      <w:pPr>
        <w:ind w:left="425" w:hanging="425"/>
      </w:pPr>
      <w:rPr>
        <w:rFonts w:hint="default"/>
      </w:rPr>
    </w:lvl>
  </w:abstractNum>
  <w:abstractNum w:abstractNumId="5">
    <w:nsid w:val="F6B45637"/>
    <w:multiLevelType w:val="multilevel"/>
    <w:tmpl w:val="F6B45637"/>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
    <w:nsid w:val="05A8238B"/>
    <w:multiLevelType w:val="multilevel"/>
    <w:tmpl w:val="05A8238B"/>
    <w:lvl w:ilvl="0" w:tentative="0">
      <w:start w:val="1"/>
      <w:numFmt w:val="bullet"/>
      <w:lvlText w:val=""/>
      <w:lvlJc w:val="left"/>
      <w:pPr>
        <w:ind w:left="820" w:hanging="420"/>
      </w:pPr>
      <w:rPr>
        <w:rFonts w:hint="default" w:ascii="Wingdings" w:hAnsi="Wingdings"/>
      </w:rPr>
    </w:lvl>
    <w:lvl w:ilvl="1" w:tentative="0">
      <w:start w:val="1"/>
      <w:numFmt w:val="bullet"/>
      <w:lvlText w:val=""/>
      <w:lvlJc w:val="left"/>
      <w:pPr>
        <w:ind w:left="1240" w:hanging="420"/>
      </w:pPr>
      <w:rPr>
        <w:rFonts w:hint="default" w:ascii="Wingdings" w:hAnsi="Wingdings"/>
      </w:rPr>
    </w:lvl>
    <w:lvl w:ilvl="2" w:tentative="0">
      <w:start w:val="1"/>
      <w:numFmt w:val="bullet"/>
      <w:lvlText w:val=""/>
      <w:lvlJc w:val="left"/>
      <w:pPr>
        <w:ind w:left="1660" w:hanging="420"/>
      </w:pPr>
      <w:rPr>
        <w:rFonts w:hint="default" w:ascii="Wingdings" w:hAnsi="Wingdings"/>
      </w:rPr>
    </w:lvl>
    <w:lvl w:ilvl="3" w:tentative="0">
      <w:start w:val="1"/>
      <w:numFmt w:val="bullet"/>
      <w:lvlText w:val=""/>
      <w:lvlJc w:val="left"/>
      <w:pPr>
        <w:ind w:left="2080" w:hanging="420"/>
      </w:pPr>
      <w:rPr>
        <w:rFonts w:hint="default" w:ascii="Wingdings" w:hAnsi="Wingdings"/>
      </w:rPr>
    </w:lvl>
    <w:lvl w:ilvl="4" w:tentative="0">
      <w:start w:val="1"/>
      <w:numFmt w:val="bullet"/>
      <w:lvlText w:val=""/>
      <w:lvlJc w:val="left"/>
      <w:pPr>
        <w:ind w:left="2500" w:hanging="420"/>
      </w:pPr>
      <w:rPr>
        <w:rFonts w:hint="default" w:ascii="Wingdings" w:hAnsi="Wingdings"/>
      </w:rPr>
    </w:lvl>
    <w:lvl w:ilvl="5" w:tentative="0">
      <w:start w:val="1"/>
      <w:numFmt w:val="bullet"/>
      <w:lvlText w:val=""/>
      <w:lvlJc w:val="left"/>
      <w:pPr>
        <w:ind w:left="2920" w:hanging="420"/>
      </w:pPr>
      <w:rPr>
        <w:rFonts w:hint="default" w:ascii="Wingdings" w:hAnsi="Wingdings"/>
      </w:rPr>
    </w:lvl>
    <w:lvl w:ilvl="6" w:tentative="0">
      <w:start w:val="1"/>
      <w:numFmt w:val="bullet"/>
      <w:lvlText w:val=""/>
      <w:lvlJc w:val="left"/>
      <w:pPr>
        <w:ind w:left="3340" w:hanging="420"/>
      </w:pPr>
      <w:rPr>
        <w:rFonts w:hint="default" w:ascii="Wingdings" w:hAnsi="Wingdings"/>
      </w:rPr>
    </w:lvl>
    <w:lvl w:ilvl="7" w:tentative="0">
      <w:start w:val="1"/>
      <w:numFmt w:val="bullet"/>
      <w:lvlText w:val=""/>
      <w:lvlJc w:val="left"/>
      <w:pPr>
        <w:ind w:left="3760" w:hanging="420"/>
      </w:pPr>
      <w:rPr>
        <w:rFonts w:hint="default" w:ascii="Wingdings" w:hAnsi="Wingdings"/>
      </w:rPr>
    </w:lvl>
    <w:lvl w:ilvl="8" w:tentative="0">
      <w:start w:val="1"/>
      <w:numFmt w:val="bullet"/>
      <w:lvlText w:val=""/>
      <w:lvlJc w:val="left"/>
      <w:pPr>
        <w:ind w:left="4180" w:hanging="420"/>
      </w:pPr>
      <w:rPr>
        <w:rFonts w:hint="default" w:ascii="Wingdings" w:hAnsi="Wingdings"/>
      </w:rPr>
    </w:lvl>
  </w:abstractNum>
  <w:abstractNum w:abstractNumId="7">
    <w:nsid w:val="05AF2C3C"/>
    <w:multiLevelType w:val="singleLevel"/>
    <w:tmpl w:val="05AF2C3C"/>
    <w:lvl w:ilvl="0" w:tentative="0">
      <w:start w:val="1"/>
      <w:numFmt w:val="decimal"/>
      <w:lvlText w:val="%1."/>
      <w:lvlJc w:val="left"/>
      <w:pPr>
        <w:ind w:left="425" w:hanging="425"/>
      </w:pPr>
      <w:rPr>
        <w:rFonts w:hint="default"/>
      </w:rPr>
    </w:lvl>
  </w:abstractNum>
  <w:abstractNum w:abstractNumId="8">
    <w:nsid w:val="0FEC0956"/>
    <w:multiLevelType w:val="multilevel"/>
    <w:tmpl w:val="0FEC0956"/>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408" w:hanging="420"/>
      </w:pPr>
      <w:rPr>
        <w:rFonts w:hint="default" w:ascii="Wingdings" w:hAnsi="Wingdings"/>
      </w:rPr>
    </w:lvl>
    <w:lvl w:ilvl="2" w:tentative="0">
      <w:start w:val="1"/>
      <w:numFmt w:val="bullet"/>
      <w:lvlText w:val=""/>
      <w:lvlJc w:val="left"/>
      <w:pPr>
        <w:ind w:left="1828" w:hanging="420"/>
      </w:pPr>
      <w:rPr>
        <w:rFonts w:hint="default" w:ascii="Wingdings" w:hAnsi="Wingdings"/>
      </w:rPr>
    </w:lvl>
    <w:lvl w:ilvl="3" w:tentative="0">
      <w:start w:val="1"/>
      <w:numFmt w:val="bullet"/>
      <w:lvlText w:val=""/>
      <w:lvlJc w:val="left"/>
      <w:pPr>
        <w:ind w:left="2248" w:hanging="420"/>
      </w:pPr>
      <w:rPr>
        <w:rFonts w:hint="default" w:ascii="Wingdings" w:hAnsi="Wingdings"/>
      </w:rPr>
    </w:lvl>
    <w:lvl w:ilvl="4" w:tentative="0">
      <w:start w:val="1"/>
      <w:numFmt w:val="bullet"/>
      <w:lvlText w:val=""/>
      <w:lvlJc w:val="left"/>
      <w:pPr>
        <w:ind w:left="2668" w:hanging="420"/>
      </w:pPr>
      <w:rPr>
        <w:rFonts w:hint="default" w:ascii="Wingdings" w:hAnsi="Wingdings"/>
      </w:rPr>
    </w:lvl>
    <w:lvl w:ilvl="5" w:tentative="0">
      <w:start w:val="1"/>
      <w:numFmt w:val="bullet"/>
      <w:lvlText w:val=""/>
      <w:lvlJc w:val="left"/>
      <w:pPr>
        <w:ind w:left="3088" w:hanging="420"/>
      </w:pPr>
      <w:rPr>
        <w:rFonts w:hint="default" w:ascii="Wingdings" w:hAnsi="Wingdings"/>
      </w:rPr>
    </w:lvl>
    <w:lvl w:ilvl="6" w:tentative="0">
      <w:start w:val="1"/>
      <w:numFmt w:val="bullet"/>
      <w:lvlText w:val=""/>
      <w:lvlJc w:val="left"/>
      <w:pPr>
        <w:ind w:left="3508" w:hanging="420"/>
      </w:pPr>
      <w:rPr>
        <w:rFonts w:hint="default" w:ascii="Wingdings" w:hAnsi="Wingdings"/>
      </w:rPr>
    </w:lvl>
    <w:lvl w:ilvl="7" w:tentative="0">
      <w:start w:val="1"/>
      <w:numFmt w:val="bullet"/>
      <w:lvlText w:val=""/>
      <w:lvlJc w:val="left"/>
      <w:pPr>
        <w:ind w:left="3928" w:hanging="420"/>
      </w:pPr>
      <w:rPr>
        <w:rFonts w:hint="default" w:ascii="Wingdings" w:hAnsi="Wingdings"/>
      </w:rPr>
    </w:lvl>
    <w:lvl w:ilvl="8" w:tentative="0">
      <w:start w:val="1"/>
      <w:numFmt w:val="bullet"/>
      <w:lvlText w:val=""/>
      <w:lvlJc w:val="left"/>
      <w:pPr>
        <w:ind w:left="4348" w:hanging="420"/>
      </w:pPr>
      <w:rPr>
        <w:rFonts w:hint="default" w:ascii="Wingdings" w:hAnsi="Wingdings"/>
      </w:rPr>
    </w:lvl>
  </w:abstractNum>
  <w:abstractNum w:abstractNumId="9">
    <w:nsid w:val="38C815D5"/>
    <w:multiLevelType w:val="multilevel"/>
    <w:tmpl w:val="38C815D5"/>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0">
    <w:nsid w:val="413D7DBF"/>
    <w:multiLevelType w:val="multilevel"/>
    <w:tmpl w:val="413D7DBF"/>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1">
    <w:nsid w:val="417C4FC5"/>
    <w:multiLevelType w:val="singleLevel"/>
    <w:tmpl w:val="417C4FC5"/>
    <w:lvl w:ilvl="0" w:tentative="0">
      <w:start w:val="1"/>
      <w:numFmt w:val="decimal"/>
      <w:lvlText w:val="%1."/>
      <w:lvlJc w:val="left"/>
      <w:pPr>
        <w:ind w:left="425" w:hanging="425"/>
      </w:pPr>
      <w:rPr>
        <w:rFonts w:hint="default"/>
      </w:rPr>
    </w:lvl>
  </w:abstractNum>
  <w:abstractNum w:abstractNumId="12">
    <w:nsid w:val="4CC4CA17"/>
    <w:multiLevelType w:val="multilevel"/>
    <w:tmpl w:val="4CC4CA17"/>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3">
    <w:nsid w:val="7AA13F4D"/>
    <w:multiLevelType w:val="multilevel"/>
    <w:tmpl w:val="7AA13F4D"/>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10"/>
  </w:num>
  <w:num w:numId="4">
    <w:abstractNumId w:val="5"/>
  </w:num>
  <w:num w:numId="5">
    <w:abstractNumId w:val="12"/>
  </w:num>
  <w:num w:numId="6">
    <w:abstractNumId w:val="4"/>
  </w:num>
  <w:num w:numId="7">
    <w:abstractNumId w:val="2"/>
  </w:num>
  <w:num w:numId="8">
    <w:abstractNumId w:val="11"/>
  </w:num>
  <w:num w:numId="9">
    <w:abstractNumId w:val="7"/>
  </w:num>
  <w:num w:numId="10">
    <w:abstractNumId w:val="0"/>
  </w:num>
  <w:num w:numId="11">
    <w:abstractNumId w:val="13"/>
  </w:num>
  <w:num w:numId="12">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B27521"/>
    <w:rsid w:val="5BB27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customStyle="1" w:styleId="3">
    <w:name w:val="Default"/>
    <w:qFormat/>
    <w:uiPriority w:val="0"/>
    <w:pPr>
      <w:widowControl w:val="0"/>
      <w:autoSpaceDE w:val="0"/>
      <w:autoSpaceDN w:val="0"/>
      <w:adjustRightInd w:val="0"/>
      <w:spacing w:after="160" w:line="278" w:lineRule="auto"/>
    </w:pPr>
    <w:rPr>
      <w:rFonts w:ascii="Symbol" w:hAnsi="Symbol" w:eastAsia="宋体" w:cs="Symbol"/>
      <w:color w:val="000000"/>
      <w:sz w:val="24"/>
      <w:szCs w:val="24"/>
      <w:lang w:val="en-US" w:eastAsia="zh-CN" w:bidi="ar-SA"/>
    </w:rPr>
  </w:style>
  <w:style w:type="paragraph" w:styleId="4">
    <w:name w:val="Title"/>
    <w:basedOn w:val="1"/>
    <w:qFormat/>
    <w:uiPriority w:val="0"/>
    <w:pPr>
      <w:jc w:val="center"/>
      <w:outlineLvl w:val="0"/>
    </w:pPr>
    <w:rPr>
      <w:b/>
      <w:sz w:val="32"/>
      <w:szCs w:val="20"/>
    </w:rPr>
  </w:style>
  <w:style w:type="paragraph" w:customStyle="1" w:styleId="7">
    <w:name w:val="列表段落1"/>
    <w:basedOn w:val="1"/>
    <w:qFormat/>
    <w:uiPriority w:val="34"/>
    <w:pPr>
      <w:ind w:firstLine="420" w:firstLineChars="200"/>
    </w:pPr>
    <w:rPr>
      <w:rFonts w:ascii="Calibri" w:hAnsi="Calibri"/>
      <w:szCs w:val="22"/>
    </w:rPr>
  </w:style>
  <w:style w:type="paragraph" w:customStyle="1" w:styleId="8">
    <w:name w:val="正文3"/>
    <w:qFormat/>
    <w:uiPriority w:val="0"/>
    <w:pPr>
      <w:spacing w:after="160" w:line="278" w:lineRule="auto"/>
      <w:jc w:val="both"/>
    </w:pPr>
    <w:rPr>
      <w:rFonts w:ascii="Calibri" w:hAnsi="Calibri" w:eastAsia="宋体" w:cs="Times New Roman"/>
      <w:kern w:val="2"/>
      <w:sz w:val="21"/>
      <w:szCs w:val="21"/>
      <w:lang w:val="en-US" w:eastAsia="zh-CN" w:bidi="ar-SA"/>
    </w:rPr>
  </w:style>
  <w:style w:type="paragraph" w:customStyle="1" w:styleId="9">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2025-08-14T04:00:00Z</dcterms:created>
  <dc:creator>吻安</dc:creator>
  <cp:lastModifiedBy>吻安</cp:lastModifiedBy>
  <dcterms:modified xsi:type="dcterms:W3CDTF">2025-08-14T04:01:41Z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6CA8F72EC76747B39A2E2FC7BF11B0D0_11</vt:lpwstr>
  </property>
  <property fmtid="{D5CDD505-2E9C-101B-9397-08002B2CF9AE}" pid="4" name="KSOTemplateDocerSaveRecord">
    <vt:lpwstr>eyJoZGlkIjoiNTU3MWFmY2JmYjBmNTA2M2Q0ZWY5MzgxYzE5YjliMzUiLCJ1c2VySWQiOiI0NjI2NDg4MjcifQ==</vt:lpwstr>
  </property>
</Properties>
</file>