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53E1B">
      <w:pPr>
        <w:spacing w:line="240" w:lineRule="auto"/>
        <w:jc w:val="center"/>
        <w:outlineLvl w:val="0"/>
        <w:rPr>
          <w:rFonts w:eastAsiaTheme="minorEastAsia"/>
          <w:b/>
          <w:sz w:val="36"/>
          <w:szCs w:val="36"/>
        </w:rPr>
      </w:pPr>
      <w:bookmarkStart w:id="0" w:name="_GoBack"/>
      <w:bookmarkEnd w:id="0"/>
      <w:r>
        <w:rPr>
          <w:rFonts w:eastAsiaTheme="minorEastAsia"/>
          <w:b/>
          <w:sz w:val="36"/>
          <w:szCs w:val="36"/>
        </w:rPr>
        <w:t>采购需求</w:t>
      </w:r>
    </w:p>
    <w:tbl>
      <w:tblPr>
        <w:tblStyle w:val="3"/>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1"/>
        <w:gridCol w:w="4348"/>
      </w:tblGrid>
      <w:tr w14:paraId="7A45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529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14CA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434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4A7A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说明或要求</w:t>
            </w:r>
          </w:p>
        </w:tc>
      </w:tr>
      <w:tr w14:paraId="5DEB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00D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采购人信息</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C91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单位名称：首都师范大学附属良乡大学城学校</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单位地址：北京市房山区良宝路12号院</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联系人姓名：赵蕊</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联系电话：13720012859</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联系邮箱：rui3377@126.com</w:t>
            </w:r>
          </w:p>
        </w:tc>
      </w:tr>
      <w:tr w14:paraId="4BA1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FF3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采购预算金额</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262A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壹佰肆拾柒万元整人民币，1470000元</w:t>
            </w:r>
          </w:p>
        </w:tc>
      </w:tr>
      <w:tr w14:paraId="5035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95D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供应商资质（实质性资质）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2D4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1、满足《中华人民共和国政府采购法》第二十二条规定及法律法规的其他规定</w:t>
            </w:r>
          </w:p>
          <w:p w14:paraId="5BBC1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 营业执照等证明文件</w:t>
            </w:r>
          </w:p>
          <w:p w14:paraId="04E2C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 供应商资格声明书</w:t>
            </w:r>
          </w:p>
          <w:p w14:paraId="576ACD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 供应商信用记录</w:t>
            </w:r>
          </w:p>
        </w:tc>
      </w:tr>
      <w:tr w14:paraId="5BFE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7D1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供应商资质（评分项资质）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C43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14:paraId="3CC5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854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响应产品资质（实质性资质）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2D4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本项目响应产品涉及中国强制性产品认证目录内产品的，供应商必须报价目录内的产品。提供CCC认证证书及有关其他强制性产品资质。</w:t>
            </w:r>
          </w:p>
        </w:tc>
      </w:tr>
      <w:tr w14:paraId="6026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23C6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本项目节能环保要求</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AE7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响应产品如为《节能产品政府采购品目清单》内“★”号标注的政府强制采购产品，供应商须提供响应产品的节能产品认证证书。</w:t>
            </w:r>
          </w:p>
        </w:tc>
      </w:tr>
      <w:tr w14:paraId="13D6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D760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是否已经意向公开且满足30日（提供意向公开网页截图）</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947D9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drawing>
                <wp:inline distT="0" distB="0" distL="114300" distR="114300">
                  <wp:extent cx="2606675" cy="1490345"/>
                  <wp:effectExtent l="0" t="0" r="3175" b="14605"/>
                  <wp:docPr id="4" name="图片 2" descr="fd71554d8d0964e58c0a090fd92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d71554d8d0964e58c0a090fd924659"/>
                          <pic:cNvPicPr>
                            <a:picLocks noChangeAspect="1"/>
                          </pic:cNvPicPr>
                        </pic:nvPicPr>
                        <pic:blipFill>
                          <a:blip r:embed="rId4"/>
                          <a:srcRect l="13523" t="-76" r="16806"/>
                          <a:stretch>
                            <a:fillRect/>
                          </a:stretch>
                        </pic:blipFill>
                        <pic:spPr>
                          <a:xfrm>
                            <a:off x="0" y="0"/>
                            <a:ext cx="2606675" cy="1490345"/>
                          </a:xfrm>
                          <a:prstGeom prst="rect">
                            <a:avLst/>
                          </a:prstGeom>
                        </pic:spPr>
                      </pic:pic>
                    </a:graphicData>
                  </a:graphic>
                </wp:inline>
              </w:drawing>
            </w:r>
          </w:p>
        </w:tc>
      </w:tr>
      <w:tr w14:paraId="7EBF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nil"/>
              <w:right w:val="single" w:color="000000" w:sz="4" w:space="0"/>
            </w:tcBorders>
            <w:shd w:val="clear" w:color="auto" w:fill="auto"/>
            <w:vAlign w:val="top"/>
          </w:tcPr>
          <w:p w14:paraId="6807B50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采购意向公开时间</w:t>
            </w:r>
          </w:p>
        </w:tc>
        <w:tc>
          <w:tcPr>
            <w:tcW w:w="4348" w:type="dxa"/>
            <w:tcBorders>
              <w:top w:val="single" w:color="000000" w:sz="4" w:space="0"/>
              <w:left w:val="single" w:color="000000" w:sz="4" w:space="0"/>
              <w:bottom w:val="nil"/>
              <w:right w:val="single" w:color="000000" w:sz="8" w:space="0"/>
            </w:tcBorders>
            <w:shd w:val="clear" w:color="auto" w:fill="auto"/>
            <w:vAlign w:val="center"/>
          </w:tcPr>
          <w:p w14:paraId="0B5D7D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月3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日</w:t>
            </w:r>
          </w:p>
        </w:tc>
      </w:tr>
      <w:tr w14:paraId="1EED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95C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1.□本项目不专门面向中小企业预留采购份额。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2.□本项目专门面向□中小、□小微企业采购。即：提供的货物全部由符合政策要求的中小/小微企业制造、服务全部由符合政策要求的中小/小微企业承接。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项目预留部分采购项目预算专门面向中小企业采购。对于预留份额，提供的货物由符合政策要求的中小企业制造、服务由符合政策要求的中小企业承接。预留份额通过以下措施进行：□以联合体形式/□以供应商分包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(填写1或2或3；如选1，无需填写2或3；如选2，填写“中小企业”或“小微企业”；如选3，填写“以联合体形式”或“以供应商分包形式”）</w:t>
            </w:r>
          </w:p>
        </w:tc>
        <w:tc>
          <w:tcPr>
            <w:tcW w:w="434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A55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AE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FB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是否允许联合体响应（如是，明确联合协议中中小企业合同金额应当达到的比例）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BCA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C8D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82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是否允许供应商分包（如是，明确分包意向协议中中小企业合同金额应当达到的比例）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6F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6E3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42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未预留份额专门面向中小企业采购的采购项目，以及预留份额项目中的非预留部分采购包，对小微企业报价给予___%的扣除（10%-20%之间的比例）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DC5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AAE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201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
                <w:rFonts w:hint="eastAsia" w:ascii="宋体" w:hAnsi="宋体" w:eastAsia="宋体" w:cs="宋体"/>
                <w:sz w:val="21"/>
                <w:szCs w:val="21"/>
                <w:lang w:val="en-US" w:eastAsia="zh-CN" w:bidi="ar"/>
              </w:rPr>
              <w:t>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Style w:val="6"/>
                <w:rFonts w:hint="eastAsia" w:ascii="宋体" w:hAnsi="宋体" w:eastAsia="宋体" w:cs="宋体"/>
                <w:sz w:val="21"/>
                <w:szCs w:val="21"/>
                <w:lang w:val="en-US" w:eastAsia="zh-CN" w:bidi="ar"/>
              </w:rPr>
              <w:t xml:space="preserve">  </w:t>
            </w:r>
            <w:r>
              <w:rPr>
                <w:rStyle w:val="5"/>
                <w:rFonts w:hint="eastAsia" w:ascii="宋体" w:hAnsi="宋体" w:eastAsia="宋体" w:cs="宋体"/>
                <w:sz w:val="21"/>
                <w:szCs w:val="21"/>
                <w:lang w:val="en-US" w:eastAsia="zh-CN" w:bidi="ar"/>
              </w:rPr>
              <w:t>%的扣除（4%-6%之间的比例）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38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90A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75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是否允许进口产品响应</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3F5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A6A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AF870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是否安排现场踏勘</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2E7A1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9E1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CCF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是否收取履约保证金</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A9EC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4504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232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收取履约保证金比例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885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本项目采购人收取合同金额5%的履约保证金</w:t>
            </w:r>
          </w:p>
        </w:tc>
      </w:tr>
      <w:tr w14:paraId="78E3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EC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※是否为涉密项目</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EE5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4B2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1F084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核心产品</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BF6D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台式计算机</w:t>
            </w:r>
          </w:p>
        </w:tc>
      </w:tr>
      <w:tr w14:paraId="3DF8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7DAB5C4F">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项目履约时间</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C74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签订合同后15天内完成送货、安装、调试</w:t>
            </w:r>
          </w:p>
        </w:tc>
      </w:tr>
      <w:tr w14:paraId="2F4A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6A7ED3C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项目履约地点</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02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首都师范大学附属良乡大学城学校</w:t>
            </w:r>
          </w:p>
        </w:tc>
      </w:tr>
      <w:tr w14:paraId="4839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0971175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付款方式及对中小企业在资金支付期限、预付款比例等方面的优惠措施</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D56B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合同签订</w:t>
            </w:r>
            <w:r>
              <w:rPr>
                <w:rStyle w:val="7"/>
                <w:rFonts w:hint="eastAsia" w:ascii="宋体" w:hAnsi="宋体" w:eastAsia="宋体" w:cs="宋体"/>
                <w:color w:val="auto"/>
                <w:sz w:val="21"/>
                <w:szCs w:val="21"/>
                <w:lang w:val="en-US" w:eastAsia="zh-CN" w:bidi="ar"/>
              </w:rPr>
              <w:t>后，采购人支付给</w:t>
            </w:r>
            <w:r>
              <w:rPr>
                <w:rStyle w:val="8"/>
                <w:rFonts w:hint="eastAsia" w:ascii="宋体" w:hAnsi="宋体" w:eastAsia="宋体" w:cs="宋体"/>
                <w:color w:val="auto"/>
                <w:sz w:val="21"/>
                <w:szCs w:val="21"/>
                <w:lang w:val="en-US" w:eastAsia="zh-CN" w:bidi="ar"/>
              </w:rPr>
              <w:t>供应商</w:t>
            </w:r>
            <w:r>
              <w:rPr>
                <w:rStyle w:val="7"/>
                <w:rFonts w:hint="eastAsia" w:ascii="宋体" w:hAnsi="宋体" w:eastAsia="宋体" w:cs="宋体"/>
                <w:color w:val="auto"/>
                <w:sz w:val="21"/>
                <w:szCs w:val="21"/>
                <w:lang w:val="en-US" w:eastAsia="zh-CN" w:bidi="ar"/>
              </w:rPr>
              <w:t>合同总价的50%作为预付款；全部货物送达采购人指定地点并完成安装调试，且项目整体验收合格后，支付合同总价50%的余款。</w:t>
            </w:r>
          </w:p>
        </w:tc>
      </w:tr>
      <w:tr w14:paraId="1173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85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验收要求</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2036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1）采购人负责验收，验收</w:t>
            </w:r>
            <w:r>
              <w:rPr>
                <w:rStyle w:val="7"/>
                <w:rFonts w:hint="eastAsia" w:ascii="宋体" w:hAnsi="宋体" w:eastAsia="宋体" w:cs="宋体"/>
                <w:color w:val="auto"/>
                <w:sz w:val="21"/>
                <w:szCs w:val="21"/>
                <w:lang w:val="en-US" w:eastAsia="zh-CN" w:bidi="ar"/>
              </w:rPr>
              <w:t>标准以</w:t>
            </w:r>
            <w:r>
              <w:rPr>
                <w:rStyle w:val="8"/>
                <w:rFonts w:hint="eastAsia" w:ascii="宋体" w:hAnsi="宋体" w:eastAsia="宋体" w:cs="宋体"/>
                <w:color w:val="auto"/>
                <w:sz w:val="21"/>
                <w:szCs w:val="21"/>
                <w:lang w:val="en-US" w:eastAsia="zh-CN" w:bidi="ar"/>
              </w:rPr>
              <w:t>供应商</w:t>
            </w:r>
            <w:r>
              <w:rPr>
                <w:rStyle w:val="7"/>
                <w:rFonts w:hint="eastAsia" w:ascii="宋体" w:hAnsi="宋体" w:eastAsia="宋体" w:cs="宋体"/>
                <w:color w:val="auto"/>
                <w:sz w:val="21"/>
                <w:szCs w:val="21"/>
                <w:lang w:val="en-US" w:eastAsia="zh-CN" w:bidi="ar"/>
              </w:rPr>
              <w:t>的</w:t>
            </w:r>
            <w:r>
              <w:rPr>
                <w:rStyle w:val="8"/>
                <w:rFonts w:hint="eastAsia" w:ascii="宋体" w:hAnsi="宋体" w:eastAsia="宋体" w:cs="宋体"/>
                <w:color w:val="auto"/>
                <w:sz w:val="21"/>
                <w:szCs w:val="21"/>
                <w:lang w:val="en-US" w:eastAsia="zh-CN" w:bidi="ar"/>
              </w:rPr>
              <w:t>响应</w:t>
            </w:r>
            <w:r>
              <w:rPr>
                <w:rStyle w:val="7"/>
                <w:rFonts w:hint="eastAsia" w:ascii="宋体" w:hAnsi="宋体" w:eastAsia="宋体" w:cs="宋体"/>
                <w:color w:val="auto"/>
                <w:sz w:val="21"/>
                <w:szCs w:val="21"/>
                <w:lang w:val="en-US" w:eastAsia="zh-CN" w:bidi="ar"/>
              </w:rPr>
              <w:t>文件中所列的技术及服务响应指标、</w:t>
            </w:r>
            <w:r>
              <w:rPr>
                <w:rStyle w:val="8"/>
                <w:rFonts w:hint="eastAsia" w:ascii="宋体" w:hAnsi="宋体" w:eastAsia="宋体" w:cs="宋体"/>
                <w:color w:val="auto"/>
                <w:sz w:val="21"/>
                <w:szCs w:val="21"/>
                <w:lang w:val="en-US" w:eastAsia="zh-CN" w:bidi="ar"/>
              </w:rPr>
              <w:t>磋商</w:t>
            </w:r>
            <w:r>
              <w:rPr>
                <w:rStyle w:val="7"/>
                <w:rFonts w:hint="eastAsia" w:ascii="宋体" w:hAnsi="宋体" w:eastAsia="宋体" w:cs="宋体"/>
                <w:color w:val="auto"/>
                <w:sz w:val="21"/>
                <w:szCs w:val="21"/>
                <w:lang w:val="en-US" w:eastAsia="zh-CN" w:bidi="ar"/>
              </w:rPr>
              <w:t>文件、合同及国家有关标准为依据，所提供的设备响应指标应不低于或优于上述所列的验收标准。如验收时发现</w:t>
            </w:r>
            <w:r>
              <w:rPr>
                <w:rStyle w:val="8"/>
                <w:rFonts w:hint="eastAsia" w:ascii="宋体" w:hAnsi="宋体" w:eastAsia="宋体" w:cs="宋体"/>
                <w:color w:val="auto"/>
                <w:sz w:val="21"/>
                <w:szCs w:val="21"/>
                <w:lang w:val="en-US" w:eastAsia="zh-CN" w:bidi="ar"/>
              </w:rPr>
              <w:t>供应商</w:t>
            </w:r>
            <w:r>
              <w:rPr>
                <w:rStyle w:val="7"/>
                <w:rFonts w:hint="eastAsia" w:ascii="宋体" w:hAnsi="宋体" w:eastAsia="宋体" w:cs="宋体"/>
                <w:color w:val="auto"/>
                <w:sz w:val="21"/>
                <w:szCs w:val="21"/>
                <w:lang w:val="en-US" w:eastAsia="zh-CN" w:bidi="ar"/>
              </w:rPr>
              <w:t>存在提供虚假指标响应情况，采购人有权取消合同并依法追究</w:t>
            </w:r>
            <w:r>
              <w:rPr>
                <w:rStyle w:val="8"/>
                <w:rFonts w:hint="eastAsia" w:ascii="宋体" w:hAnsi="宋体" w:eastAsia="宋体" w:cs="宋体"/>
                <w:color w:val="auto"/>
                <w:sz w:val="21"/>
                <w:szCs w:val="21"/>
                <w:lang w:val="en-US" w:eastAsia="zh-CN" w:bidi="ar"/>
              </w:rPr>
              <w:t>供应商</w:t>
            </w:r>
            <w:r>
              <w:rPr>
                <w:rStyle w:val="7"/>
                <w:rFonts w:hint="eastAsia" w:ascii="宋体" w:hAnsi="宋体" w:eastAsia="宋体" w:cs="宋体"/>
                <w:color w:val="auto"/>
                <w:sz w:val="21"/>
                <w:szCs w:val="21"/>
                <w:lang w:val="en-US" w:eastAsia="zh-CN" w:bidi="ar"/>
              </w:rPr>
              <w:t>的违约责任，</w:t>
            </w:r>
            <w:r>
              <w:rPr>
                <w:rStyle w:val="8"/>
                <w:rFonts w:hint="eastAsia" w:ascii="宋体" w:hAnsi="宋体" w:eastAsia="宋体" w:cs="宋体"/>
                <w:color w:val="auto"/>
                <w:sz w:val="21"/>
                <w:szCs w:val="21"/>
                <w:lang w:val="en-US" w:eastAsia="zh-CN" w:bidi="ar"/>
              </w:rPr>
              <w:t>供应商</w:t>
            </w:r>
            <w:r>
              <w:rPr>
                <w:rStyle w:val="7"/>
                <w:rFonts w:hint="eastAsia" w:ascii="宋体" w:hAnsi="宋体" w:eastAsia="宋体" w:cs="宋体"/>
                <w:color w:val="auto"/>
                <w:sz w:val="21"/>
                <w:szCs w:val="21"/>
                <w:lang w:val="en-US" w:eastAsia="zh-CN" w:bidi="ar"/>
              </w:rPr>
              <w:t>需承担由此给采购人带来的一切经济损失。</w:t>
            </w:r>
            <w:r>
              <w:rPr>
                <w:rStyle w:val="7"/>
                <w:rFonts w:hint="eastAsia" w:ascii="宋体" w:hAnsi="宋体" w:eastAsia="宋体" w:cs="宋体"/>
                <w:color w:val="auto"/>
                <w:sz w:val="21"/>
                <w:szCs w:val="21"/>
                <w:lang w:val="en-US" w:eastAsia="zh-CN" w:bidi="ar"/>
              </w:rPr>
              <w:br w:type="textWrapping"/>
            </w:r>
            <w:r>
              <w:rPr>
                <w:rStyle w:val="7"/>
                <w:rFonts w:hint="eastAsia" w:ascii="宋体" w:hAnsi="宋体" w:eastAsia="宋体" w:cs="宋体"/>
                <w:color w:val="auto"/>
                <w:sz w:val="21"/>
                <w:szCs w:val="21"/>
                <w:lang w:val="en-US" w:eastAsia="zh-CN" w:bidi="ar"/>
              </w:rPr>
              <w:t>2）验收程序/要求：按照</w:t>
            </w:r>
            <w:r>
              <w:rPr>
                <w:rStyle w:val="7"/>
                <w:rFonts w:hint="eastAsia" w:ascii="宋体" w:hAnsi="宋体" w:eastAsia="宋体" w:cs="宋体"/>
                <w:sz w:val="21"/>
                <w:szCs w:val="21"/>
                <w:lang w:val="en-US" w:eastAsia="zh-CN" w:bidi="ar"/>
              </w:rPr>
              <w:t>采购人验收流程要求进行验收。</w:t>
            </w:r>
          </w:p>
        </w:tc>
      </w:tr>
      <w:tr w14:paraId="0588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nil"/>
              <w:right w:val="single" w:color="000000" w:sz="4" w:space="0"/>
            </w:tcBorders>
            <w:shd w:val="clear" w:color="auto" w:fill="auto"/>
            <w:vAlign w:val="center"/>
          </w:tcPr>
          <w:p w14:paraId="18CC68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其他要求</w:t>
            </w:r>
          </w:p>
        </w:tc>
        <w:tc>
          <w:tcPr>
            <w:tcW w:w="4348" w:type="dxa"/>
            <w:tcBorders>
              <w:top w:val="single" w:color="000000" w:sz="4" w:space="0"/>
              <w:left w:val="single" w:color="000000" w:sz="4" w:space="0"/>
              <w:bottom w:val="nil"/>
              <w:right w:val="single" w:color="000000" w:sz="8" w:space="0"/>
            </w:tcBorders>
            <w:shd w:val="clear" w:color="auto" w:fill="auto"/>
            <w:vAlign w:val="center"/>
          </w:tcPr>
          <w:p w14:paraId="345A3F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自合同签订之日起15日内完成供货、安装、调试等全部工作，达到验收标准。</w:t>
            </w:r>
          </w:p>
        </w:tc>
      </w:tr>
      <w:tr w14:paraId="12C7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8" w:space="0"/>
              <w:right w:val="single" w:color="000000" w:sz="4" w:space="0"/>
            </w:tcBorders>
            <w:shd w:val="clear" w:color="auto" w:fill="auto"/>
            <w:vAlign w:val="top"/>
          </w:tcPr>
          <w:p w14:paraId="2CAD5B00">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拟签订合同文本</w:t>
            </w:r>
          </w:p>
        </w:tc>
        <w:tc>
          <w:tcPr>
            <w:tcW w:w="4348"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2461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详见第五章</w:t>
            </w:r>
          </w:p>
        </w:tc>
      </w:tr>
      <w:tr w14:paraId="2B08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639" w:type="dxa"/>
            <w:gridSpan w:val="2"/>
            <w:tcBorders>
              <w:top w:val="nil"/>
              <w:left w:val="nil"/>
              <w:bottom w:val="nil"/>
              <w:right w:val="nil"/>
            </w:tcBorders>
            <w:shd w:val="clear" w:color="auto" w:fill="auto"/>
            <w:vAlign w:val="center"/>
          </w:tcPr>
          <w:p w14:paraId="4731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项目介绍（本内容用于供应商了解项目，不进行打分）</w:t>
            </w:r>
          </w:p>
        </w:tc>
      </w:tr>
      <w:tr w14:paraId="0243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291"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37BC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项目背景</w:t>
            </w:r>
          </w:p>
        </w:tc>
        <w:tc>
          <w:tcPr>
            <w:tcW w:w="4348"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6BC193B3">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为了满足学校周边基础教育入学需求，提升局部地区教育教学水平，购置教育教学设备一批，以实现优质的教学标准，提升房山区整体教育教学水平。</w:t>
            </w:r>
          </w:p>
        </w:tc>
      </w:tr>
      <w:tr w14:paraId="3804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7B36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执行的标准</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9C747">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设备质量均要符合国家或高于国家相关标准，服务及时，解决学校合理要求，中标后送货、安装、调试等各环节保质保量完成。同时在规定时间内完成。</w:t>
            </w:r>
          </w:p>
        </w:tc>
      </w:tr>
      <w:tr w14:paraId="26D2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AD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项目内容</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DA5CAF">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台式计算机，详见采购需求</w:t>
            </w:r>
          </w:p>
        </w:tc>
      </w:tr>
      <w:tr w14:paraId="6B49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529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B0B7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项目目标</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FE8932">
            <w:pPr>
              <w:keepNext w:val="0"/>
              <w:keepLines w:val="0"/>
              <w:widowControl/>
              <w:suppressLineNumbers w:val="0"/>
              <w:jc w:val="left"/>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满足教育教学活动顺利开展的需求，提升基础教育质量和创新人才培养与信息化提升</w:t>
            </w:r>
          </w:p>
        </w:tc>
      </w:tr>
    </w:tbl>
    <w:p w14:paraId="2092071F">
      <w:pPr>
        <w:spacing w:line="360" w:lineRule="auto"/>
        <w:jc w:val="center"/>
        <w:outlineLvl w:val="0"/>
        <w:rPr>
          <w:rFonts w:eastAsiaTheme="minorEastAsia"/>
          <w:b/>
          <w:sz w:val="36"/>
          <w:szCs w:val="36"/>
        </w:rPr>
      </w:pPr>
    </w:p>
    <w:p w14:paraId="485744A2">
      <w:pPr>
        <w:pStyle w:val="2"/>
        <w:rPr>
          <w:rFonts w:eastAsiaTheme="minorEastAsia"/>
          <w:b/>
          <w:sz w:val="36"/>
          <w:szCs w:val="36"/>
        </w:rPr>
      </w:pPr>
    </w:p>
    <w:p w14:paraId="37C26EDA">
      <w:pPr>
        <w:pStyle w:val="2"/>
        <w:rPr>
          <w:rFonts w:eastAsiaTheme="minorEastAsia"/>
          <w:b/>
          <w:sz w:val="36"/>
          <w:szCs w:val="36"/>
        </w:rPr>
      </w:pPr>
    </w:p>
    <w:p w14:paraId="292F8E03">
      <w:pPr>
        <w:pStyle w:val="2"/>
        <w:rPr>
          <w:rFonts w:eastAsiaTheme="minorEastAsia"/>
          <w:b/>
          <w:sz w:val="36"/>
          <w:szCs w:val="36"/>
        </w:rPr>
      </w:pPr>
    </w:p>
    <w:p w14:paraId="4AF0AB0B">
      <w:pPr>
        <w:pStyle w:val="2"/>
        <w:rPr>
          <w:rFonts w:eastAsiaTheme="minorEastAsia"/>
          <w:b/>
          <w:sz w:val="36"/>
          <w:szCs w:val="36"/>
        </w:rPr>
      </w:pPr>
    </w:p>
    <w:p w14:paraId="65AFA8B9">
      <w:pPr>
        <w:pStyle w:val="2"/>
        <w:rPr>
          <w:rFonts w:eastAsiaTheme="minorEastAsia"/>
          <w:b/>
          <w:sz w:val="36"/>
          <w:szCs w:val="36"/>
        </w:rPr>
      </w:pPr>
    </w:p>
    <w:p w14:paraId="27F02F87">
      <w:pPr>
        <w:pStyle w:val="2"/>
        <w:rPr>
          <w:rFonts w:eastAsiaTheme="minorEastAsia"/>
          <w:b/>
          <w:sz w:val="36"/>
          <w:szCs w:val="36"/>
        </w:rPr>
      </w:pPr>
    </w:p>
    <w:p w14:paraId="15E1E183">
      <w:pPr>
        <w:pStyle w:val="2"/>
        <w:rPr>
          <w:rFonts w:eastAsiaTheme="minorEastAsia"/>
          <w:b/>
          <w:sz w:val="36"/>
          <w:szCs w:val="36"/>
        </w:rPr>
      </w:pPr>
    </w:p>
    <w:p w14:paraId="7FAC9A3A">
      <w:pPr>
        <w:pStyle w:val="2"/>
        <w:rPr>
          <w:rFonts w:eastAsiaTheme="minorEastAsia"/>
          <w:b/>
          <w:sz w:val="36"/>
          <w:szCs w:val="36"/>
        </w:rPr>
      </w:pPr>
    </w:p>
    <w:p w14:paraId="0819755E">
      <w:pPr>
        <w:pStyle w:val="2"/>
        <w:rPr>
          <w:rFonts w:eastAsiaTheme="minorEastAsia"/>
          <w:b/>
          <w:sz w:val="36"/>
          <w:szCs w:val="36"/>
        </w:rPr>
      </w:pPr>
    </w:p>
    <w:p w14:paraId="5708DEAB">
      <w:pPr>
        <w:pStyle w:val="2"/>
        <w:rPr>
          <w:rFonts w:eastAsiaTheme="minorEastAsia"/>
          <w:b/>
          <w:sz w:val="36"/>
          <w:szCs w:val="36"/>
        </w:rPr>
      </w:pPr>
    </w:p>
    <w:p w14:paraId="2B923A34">
      <w:pPr>
        <w:pStyle w:val="2"/>
        <w:rPr>
          <w:rFonts w:eastAsiaTheme="minorEastAsia"/>
          <w:b/>
          <w:sz w:val="36"/>
          <w:szCs w:val="36"/>
        </w:rPr>
      </w:pPr>
    </w:p>
    <w:p w14:paraId="4B992EAC">
      <w:pPr>
        <w:pStyle w:val="2"/>
        <w:rPr>
          <w:rFonts w:eastAsiaTheme="minorEastAsia"/>
          <w:b/>
          <w:sz w:val="36"/>
          <w:szCs w:val="36"/>
        </w:rPr>
      </w:pPr>
    </w:p>
    <w:p w14:paraId="67473FBE">
      <w:pPr>
        <w:pStyle w:val="2"/>
        <w:rPr>
          <w:rFonts w:eastAsiaTheme="minorEastAsia"/>
          <w:b/>
          <w:sz w:val="36"/>
          <w:szCs w:val="36"/>
        </w:rPr>
      </w:pPr>
    </w:p>
    <w:p w14:paraId="10A710B9">
      <w:pPr>
        <w:pStyle w:val="2"/>
        <w:rPr>
          <w:rFonts w:eastAsiaTheme="minorEastAsia"/>
          <w:b/>
          <w:sz w:val="36"/>
          <w:szCs w:val="36"/>
        </w:rPr>
      </w:pPr>
    </w:p>
    <w:p w14:paraId="45D6B299">
      <w:pPr>
        <w:pStyle w:val="2"/>
        <w:rPr>
          <w:rFonts w:eastAsiaTheme="minorEastAsia"/>
          <w:b/>
          <w:sz w:val="36"/>
          <w:szCs w:val="36"/>
        </w:rPr>
      </w:pPr>
    </w:p>
    <w:p w14:paraId="30A2ADC7">
      <w:pPr>
        <w:pStyle w:val="2"/>
        <w:rPr>
          <w:rFonts w:eastAsiaTheme="minorEastAsia"/>
          <w:b/>
          <w:sz w:val="36"/>
          <w:szCs w:val="36"/>
        </w:rPr>
      </w:pPr>
    </w:p>
    <w:p w14:paraId="7754DCF0">
      <w:pPr>
        <w:pStyle w:val="2"/>
        <w:rPr>
          <w:rFonts w:eastAsiaTheme="minorEastAsia"/>
          <w:b/>
          <w:sz w:val="36"/>
          <w:szCs w:val="36"/>
        </w:rPr>
      </w:pPr>
    </w:p>
    <w:p w14:paraId="797916BD">
      <w:pPr>
        <w:pStyle w:val="2"/>
        <w:ind w:left="0" w:leftChars="0" w:firstLine="0" w:firstLineChars="0"/>
        <w:rPr>
          <w:rFonts w:hint="eastAsia" w:ascii="宋体" w:hAnsi="宋体" w:eastAsia="宋体" w:cs="宋体"/>
          <w:b/>
          <w:bCs w:val="0"/>
          <w:sz w:val="24"/>
          <w:szCs w:val="24"/>
        </w:rPr>
      </w:pPr>
      <w:r>
        <w:rPr>
          <w:rFonts w:hint="eastAsia" w:ascii="宋体" w:hAnsi="宋体" w:eastAsia="宋体" w:cs="宋体"/>
          <w:b/>
          <w:bCs w:val="0"/>
          <w:sz w:val="24"/>
          <w:szCs w:val="24"/>
          <w:lang w:eastAsia="zh-CN"/>
        </w:rPr>
        <w:t>一、</w:t>
      </w:r>
      <w:r>
        <w:rPr>
          <w:rFonts w:hint="eastAsia" w:ascii="宋体" w:hAnsi="宋体" w:eastAsia="宋体" w:cs="宋体"/>
          <w:b/>
          <w:bCs w:val="0"/>
          <w:sz w:val="24"/>
          <w:szCs w:val="24"/>
          <w:lang w:val="en-US" w:eastAsia="zh-CN"/>
        </w:rPr>
        <w:t>采购清单及指标参数</w:t>
      </w:r>
    </w:p>
    <w:p w14:paraId="39716379">
      <w:pPr>
        <w:pStyle w:val="2"/>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★台式计算机</w:t>
      </w:r>
      <w:r>
        <w:rPr>
          <w:rFonts w:hint="eastAsia" w:ascii="宋体" w:hAnsi="宋体" w:eastAsia="宋体" w:cs="宋体"/>
          <w:b w:val="0"/>
          <w:bCs/>
          <w:sz w:val="24"/>
          <w:szCs w:val="24"/>
        </w:rPr>
        <w:t>数量：210台</w:t>
      </w:r>
    </w:p>
    <w:tbl>
      <w:tblPr>
        <w:tblStyle w:val="3"/>
        <w:tblW w:w="50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631"/>
        <w:gridCol w:w="1027"/>
        <w:gridCol w:w="1013"/>
        <w:gridCol w:w="602"/>
        <w:gridCol w:w="3297"/>
        <w:gridCol w:w="1563"/>
      </w:tblGrid>
      <w:tr w14:paraId="7B1B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5A8E">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序 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3D53">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指标分类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B2E8">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一级指标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8841">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二级指标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C80F">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重要程度</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6206">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指标需求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BF2A">
            <w:pPr>
              <w:keepNext w:val="0"/>
              <w:keepLines w:val="0"/>
              <w:widowControl/>
              <w:suppressLineNumbers w:val="0"/>
              <w:jc w:val="center"/>
              <w:textAlignment w:val="center"/>
              <w:rPr>
                <w:rStyle w:val="7"/>
                <w:rFonts w:hint="eastAsia" w:ascii="宋体" w:hAnsi="宋体" w:eastAsia="宋体" w:cs="宋体"/>
                <w:b/>
                <w:bCs/>
                <w:sz w:val="21"/>
                <w:szCs w:val="21"/>
                <w:lang w:val="en-US" w:eastAsia="zh-CN" w:bidi="ar"/>
              </w:rPr>
            </w:pPr>
            <w:r>
              <w:rPr>
                <w:rStyle w:val="7"/>
                <w:rFonts w:hint="eastAsia" w:ascii="宋体" w:hAnsi="宋体" w:eastAsia="宋体" w:cs="宋体"/>
                <w:b/>
                <w:bCs/>
                <w:sz w:val="21"/>
                <w:szCs w:val="21"/>
                <w:lang w:val="en-US" w:eastAsia="zh-CN" w:bidi="ar"/>
              </w:rPr>
              <w:t>证明材料</w:t>
            </w:r>
          </w:p>
        </w:tc>
      </w:tr>
      <w:tr w14:paraId="084B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DE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DC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534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81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CPU信息</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B37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AFA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供应商给出CPU信息，包含CPU型号、物理核心数、主频、末级缓存容量、线程数、热设计功耗及内存的最高速率、通道数和位宽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2B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680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01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AE9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9B7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853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内存配置容量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D6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5B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C6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D91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82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CF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A5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05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A0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6D7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DDR4/LPDDR4/LPDDR4X 及以上内存类型</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66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C46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B69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D18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C14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A6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内存条配置数量（板载内存不涉及）</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6C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5C7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22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C5B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0D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C01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E298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B7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主板集成模块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97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7F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集成资源扩展模块、计算处理模块、音频扩展模块等，主板的互联拓扑可通过处理器或交换电路实现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A21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D37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54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23F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41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A2D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主板支持的CPU和内存情况</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C0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130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供应商给出主板支持的 CPU 和内存型</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号和数量</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2A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715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BD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BE0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3E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381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主板内置 PCIe 插槽 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10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1F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PCIe 插槽数量不少于 4个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79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047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80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3F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BD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FC9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特殊孔位及接口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C3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8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55B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15B5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174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C0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86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CC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主板其他内置接口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06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2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M.2接口≥1个，SATA3.0接口≥3个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E98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8A2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A0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51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C94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ED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单内存插槽最大可支持容量（板载内存不涉及）</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48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9B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≥32GB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C2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004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D33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07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05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12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内存插槽满配时提供的最高内存总容量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BAF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EC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≥64GB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6FC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52F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757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CA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93EA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存储设备规格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F61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固态盘数量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1F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46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 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FDD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008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88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24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80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AE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固态存储容量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15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DF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≥512GB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352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A29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43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D1C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F2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C63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85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88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 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DBD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E91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0C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920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342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EAB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机械硬盘总容量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99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24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≥1TB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38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9B2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26F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13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337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144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机械硬盘转速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A6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6D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≥5400rpm</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94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1D1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16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0E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E85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3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机械硬盘接口协议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2F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46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SATA3.0 及以上或 SAS3.0 及以上接口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8D5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DF8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2B8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848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5A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6F1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机械硬盘形态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7A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B7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2.5 英寸或 3.5 英寸等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CA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4A6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86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B70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05D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12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固态存储接口协议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00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997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UFS/SATA/PCIe/NVMe 等类型接口协议</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DC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D9E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884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9C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E8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D7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固态存储形态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3A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45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采用插卡或板载等形态，可选用符合</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M.2 或 2.5 寸 SATA 或 mSATA 等标准的</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插卡形态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96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B40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A0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8A7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14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4F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存储设备扩展盘位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16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3B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D7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19A4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24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47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51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B75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存储设备其他参数要求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CC9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93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a)固态盘应符合 SJ/T 11654 相关规定；</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b)机械硬盘准备时间应不大于 30s；侧面固定螺丝孔数量可为 4 孔或 6 孔；工作状态环境温度应满足 5℃~55℃；其它参数应符合 GB/T 12628 相关规定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410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4F2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0E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B0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3D8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5D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29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14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7C5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83E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91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68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9D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1FF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独立显卡显存类型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2E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133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若配置独立显卡，显存类型应为</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DDR3/DDR4/GDDR5/GDDR6/LPDDR4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7D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E9A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717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91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DA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F8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独立显卡显存位宽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00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4DF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配置独立显卡，显存位宽≥64bit 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F8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CA2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9D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CBD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12C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82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独立显卡显存容量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59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C3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配置独立显卡，显存容量≥2GB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5A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B08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7B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37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06D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BEC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独立显卡接口协议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85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16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PCIe 协议版本大于等于 2.0 或 HT（HyperTransport）协议版本大于等于 3.0 的独立显卡接口协议</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F11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536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8A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D5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6FF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显示设备规格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E8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显示屏屏占比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1A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ED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8C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099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79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F1F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C2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155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显示屏分辨率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9C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E4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≥1920x1080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3E0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FC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E7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B1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C8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6C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显示屏像素密度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A6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30F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≥85 像素/英寸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E6C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335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120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21B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D9D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C54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显示屏可视角度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E4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DF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水平≥178°</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49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31F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057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6B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182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979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显示屏尺寸</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3D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023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≥23.8 英寸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CE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F2F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29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03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CE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0E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显示屏屏幕比例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02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40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16:9/3:2/21:9/16:10 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8A7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90E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B8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6CE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15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9A2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显示器外观颜色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96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EA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黑色/白色/银色等商务色系</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69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9F9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A4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637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A2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8B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显示屏防蓝光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98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4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支持防蓝光模式，蓝光加权辐射亮度</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比应≤0.0012W/(·cd·sr)（瓦每坎</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特拉每球面度）</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67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63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06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FB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36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F7D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显示屏低频闪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D1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E3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显示屏应支持低频闪≤-35dB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8E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DF5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74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E30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883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EF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显示屏防炫目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62D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38F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显示屏镜面反射率≤10%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D2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C07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48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F6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831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外设规格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07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传声器数量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DF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49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2D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219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68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7B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A7A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0B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扬声器数量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D83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767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39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5EB2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F13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8A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7A4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67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BE4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FD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 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EC5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6B5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BF5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232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C5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C2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98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6F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 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A70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639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23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71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8A8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066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摄像头数</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03F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C8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67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10E6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A7D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FE4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22F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2B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光驱数量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602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EDC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6D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330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8C9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6B4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85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13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键盘按键数目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6C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9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61 键/86 键/101 键/104 键等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3E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4DD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DE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F0A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02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B7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摄像头像素</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D9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27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F89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1748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F5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E3C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8F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E42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摄像头分辨率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12B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AA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AA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4181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62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38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509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F5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扬声器功率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A81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0C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A3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410C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E0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68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77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F0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扬声器频率范围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09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C5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F3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3465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BD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93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4E7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048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扬声器总谐波失真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E2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8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40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6F0D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3A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90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CB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0C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扬声器最大声压级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1F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28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25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B43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BE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5D7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4A5F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7B0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键盘连接方式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0A0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085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有线或无线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6B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C4F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FF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E15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4F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C76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键盘键程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324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D9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2.3mm ~ 4.0mm</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7AB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A5A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E9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773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88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52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键盘按键压力</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FC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7F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按键压力应在 0.54 N±0.14N</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F11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67C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4D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E5E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6E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A83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有线键盘连接线</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C6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C9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 米</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DC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473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77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DA4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AA4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20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键盘颜色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02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37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黑色/白色/银色等商务色系</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9B9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E2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287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5F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65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F1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键盘其他 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92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47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2D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57EF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47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DC0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91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0D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鼠标连接方式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1A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FF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有线或无线</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94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2C2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87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9DF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C6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F7C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有线鼠标连接线</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D2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6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 米</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B0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1C0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97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E7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EB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CBE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鼠标DPI分辨率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5B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16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800~1600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F59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53B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76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D0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4B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82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鼠标颜色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9EE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D9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黑色/银色/白色等商务色系</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CAE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634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8D0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A6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E8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1B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鼠标其他要求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075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B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其它参数应符合 GB/T 26245 的相关规</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BD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C18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5C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68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0C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443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内置光驱</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13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959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支持内置光驱</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C9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F4F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B57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809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03F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网络设备规格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F1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有线网卡数量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5B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B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EAD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036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DE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F3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AB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4C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无线网卡及天线数量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3A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2A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27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523E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AE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65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08C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29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单无线网卡天线数量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80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08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17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5FA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5B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19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52B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外部接口规格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EC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USB接口数量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BA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36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前面板原生USB接口≥5个（至少含一个type-c接口）；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7C0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496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93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4C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390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660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USB母座接口要求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45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843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D5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6FB2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8F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69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30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A6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视频接口数量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4D8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62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E9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C9D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F8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69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5C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46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0D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音频接口数量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C7E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C9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5A2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843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3D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C9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A8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0B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存储卡接口数量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89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F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5B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6F2E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39A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738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D7D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整机基础规格</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867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整机外观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89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6FD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 产品表面不应有凹痕、划伤、裂缝、变形和污染等。表面涂层均匀，不应起泡、龟裂、脱落和磨损，金属零部件无锈蚀及其它机械损伤；b) 产品表面说明功能的文字、符号、标志，应清晰、端正、牢固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1C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08C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E73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A02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99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BA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状态指示灯</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37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A4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在产品显著位置提供状态指示功能，如运行状态，并由供应商提供详细参数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DFD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EFA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DB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5A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9D9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731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整机结构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DC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A5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 机箱应符合 GB/T 4208、GB/T 26246的相关规定；</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 产品内部结构应符合通用部件的安装需求；</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c) 所有输入输出接口应符合相关国家或行业标准；</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d) 产品零部件应紧固无松动，可插拔部件应可靠连接，开关、按钮和其它控制部件应灵活可靠，布局应方便使用；</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e) 所有 I/O 连接器及需插接线缆的部位应预留采购人操作空间，方便插拔解锁与插拔线缆；</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f) 可插拔板卡插槽部位应预留安装、拆卸或更换板卡空间；</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g) 拆装可能接触到的金属剪口或金属尖角部位应做防划伤处理，以保证安全；</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h) 整机内部走线应规整，固线结构和位置要合理可靠并做防割线处理，需便于理线和插拔操作，走线应不影响系统各主要部件组装和拆卸；</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i) 如需通过孔走线，过线孔应做防割线处理；</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j) 各插头位置和插拔方向应合理，应做到插拔无障碍设计，具备防呆设计，有效避免误操作；</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k) 各主要部件拆装无障碍，使用常规工具拆装，无特殊拆装工具需求；</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l) 各主要部件拆装步骤要少，各自拆装需避免相互干扰；</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m) 对于整机或零部件外表面为高亮面的，应粘贴保护膜，保护膜需粘贴牢固，运输、组装等过程不易脱落，撕下无残留；</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n) 其它要求应符合 GB/T 9813.1 的相关规定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DA0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D7A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4A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80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F4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3D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机箱防护要求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18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9DA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机箱应符合 GB/T 4208 中 IP20 防护要求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B1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ACC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CA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69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35E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3D5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整机噪音</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298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5F6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产品工作在空闲状态下，产品的声功</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率级应不超过 4.5Bel</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E9D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CCB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DA2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694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8A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AE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整机散热</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A5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14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在环境温度 25℃及处理器满载情况下，产品表面温度应符合如下要求：</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a) 出风口在机箱后面板情况下，出风口温度不高于 55℃；</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 可触及面温度不高于 45℃；</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c) 显示器表面温度：显示屏不高于38℃，显示屏上下灯带位置温度（如涉及）不高于 40℃，出风口温度不高于 45℃</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01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C9F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C67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2B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E11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70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整机能效限定值</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0F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DCE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产品能效限定值应达到 GB 28380-2012标准中能效等级 2 级及以上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8A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A76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07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56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5C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B7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机身材质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D56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4C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塑料/金属等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CE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FFC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E3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8B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DC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A0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机身颜色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BA7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E33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灰色/黑色等商务色系</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AC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8B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0C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F5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产品规格</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F7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4E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机箱尺寸容量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02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A90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机箱体积应不大于 10L</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6A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733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24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CC8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12A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CPU性能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18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CPU物理核数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F1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DB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40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600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06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48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D5B2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84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CPU主频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58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1E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≥2.5GHz</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43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1F9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A10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6C0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B0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DD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CPU末级缓存容量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5C0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9E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≥8MB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D8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0BF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9B1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79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D1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AB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CPU支持的内存最高速率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60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C41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≥3200MT/s</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320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CE7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34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7A4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063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内存性能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CA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内存读写速率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45A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8F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≥3200MT/s</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45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5AA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EF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5E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400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显卡性能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FF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显示分辨率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A6D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D7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≥1920x1080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E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3A8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FB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61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58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BC4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显卡显示芯片核心频率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9B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E5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≥1350MHz</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A37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8BE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95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30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F9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B2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显存等效频率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2A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3AA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≥3733MHz</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8D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367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7F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118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CE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A45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显卡可支持多屏同时显示数量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95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03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显卡应支持 2 块屏幕同时显示，分辨</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率应不低于 1920×1080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C7B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7F2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E3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88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EE1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显示设备性能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C5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显示屏刷新率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A1A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6D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≥100Hz</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0B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5A3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71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44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B2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7F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显示屏位深</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B8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2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≥8 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A9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41F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C6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007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E01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09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显示屏色域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43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C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≥99% sRGB</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7A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655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979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37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F1D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834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显示屏色准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E8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9CB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△E ≤ 4</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FA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4ED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8F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F6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2E98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56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显示屏响应时间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31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29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≤5ms</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4B3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1DB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D0C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4A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54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35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显示屏亮度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2B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37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≥300 尼特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00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555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D0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BE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76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BC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显示屏亮度一致性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2C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C8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≥70%</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00D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DA6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66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EC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AD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09A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显示屏对比度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5F5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C8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≥1000：1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1F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A93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62F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72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425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53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显示屏其他参数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84C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48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其它参数应符合 SJ/T 11292 的相关规</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C41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088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80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99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15B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9725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网络设备性能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57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有线网卡速率</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5F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8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最高速率应不低于 1000Mbps，应支持10Mbps、100Mbps、1000Mbps 速率自适应</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92D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7C5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20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30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69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F9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支持无线网络通信技术协议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0E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A9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BB2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0962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DDF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41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性能要求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C3C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D7C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无线网卡频宽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52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B87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E38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18D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D08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CF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F73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FE7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内存扩展接口(板载内存不涉及)</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21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8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 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44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3BD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6E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6D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6B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5B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存储扩展接口(板载存储不涉及)</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25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489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供应商给出主板支持存储扩展接口类型，如 UFS3.0、SATA3.0、SAS3.0、M.2等类型接口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02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9C8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F6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02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979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EC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主板USB瞬间过流保护</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EE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67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支持有瞬间过流保护功能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B4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F03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66E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68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2C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84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主板防静电保护</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40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1E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支持防静电保护功能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2F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148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D4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2E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67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B7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I/O接口功能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BB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3FD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84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A69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75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74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B301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5C8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显卡外接显示接口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8B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3AD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显卡至少支持 VGA、HDMI、DVI、DP、Type-C 中 1 种显示接口，并与显示器接口相匹配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4BD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8C4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1D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54D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673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9D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独立显卡数量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BD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7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36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8B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A6A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43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76CA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显示设备功能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61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28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041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显示器应与显卡外接显示接口匹配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CB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CE8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F6B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1E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E21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DC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显示器支架</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64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04C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显示器应提供显示器支架，根据采购</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人需求支持屏幕旋转、升降等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64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AEB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12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D7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69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B85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显示器参数调节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05E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12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a)提供 OSD 选单按钮用于调节色彩、模式等；</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b)支持色温、亮度、对比度调节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D0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D32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F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45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3E9B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外设功能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20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摄像头物理隐私保护开关</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DE8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23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A2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BC6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20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C06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67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7E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传声器降噪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7F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03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014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784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B8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2ED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B9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81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键盘背光</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34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183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7E2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DB3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194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47B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23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02D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光驱功能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E1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1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光驱应支持只读、刻录等类型；最大读取速度 CD 不低于 24×150KB/s；最大读取速度DVD不低于8×358KB/s；最大刻录速度CD不低于24×150KB/s；最大刻录速度 DVD 不低于 6×1358KB/s；兼容光盘类型包含只读光盘、可读写光盘、可擦写光盘等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FF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460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D5F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B0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193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E4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68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17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通过 SATA 固态存储/PCIe 固态存储/UFS 固态存储/SATA 硬磁盘等存储部件提供存储功能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74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CF1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EB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A7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DB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8C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内置控制器固态存储加密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3C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5C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B2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537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0B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660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06C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网络设备功能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96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2E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2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a)支持网络连接、网络开启/关闭功</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能；b)支持访问网络和数据交换功能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16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F98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5E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119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A54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3F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277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无线网卡频段</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AB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AE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42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032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1C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07C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08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41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物理开关</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568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C1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10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1D0C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9D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FB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82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BE7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数据传输</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BC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6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支持数据传输能力，并提供数据流量</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和异常日志记录功能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CF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629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E1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07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EB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00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蓝牙协议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225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227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4F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D20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07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5B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B6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C3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有线网卡接口类型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38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92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RJ45 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07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ED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43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2E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C4D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D6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无线网卡标准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41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18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BD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33B6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39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A9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A6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93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网络设备拆装</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C20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F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网络设备支持物理拆装，包括无线网</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卡和蓝牙模块等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1B5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630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EC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388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9D6A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外部接口功能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35C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音频接口类型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7F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12C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3.5mm 孔径 3 段式或 4 段式接口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905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1D2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EFB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52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CF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50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视频接口类型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66F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766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显卡接口支持VGA≥1、HDMI≥1</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7C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3CF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7AD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66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F8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01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HDMI、DP、Type-C 显示接口要求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D4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3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若提供 HDMI 或 DP 或 Type-C 作为显示接口，应支持音频和视频同步输出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77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8C2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0A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129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42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D7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DF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其他接口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F2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B6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35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4593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93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C75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1C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47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存储卡接口类型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76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DF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A3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FFD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AA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7A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95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电源功能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197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电源线适配能力</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ED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203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电源适配器电线组件应符合 GB/T15934 的要求，可拆线的插头和连接器可以不做要求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F4C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641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CD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A15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B19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操作系统及软件功能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998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中文信息处理要求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6A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73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 18030 的相关规定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62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04F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783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AD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F1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AD5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操作系统备份及还原功能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114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D8A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支持操作系统备份及还原功能，系统支持保障安全升级的自动主备双根分区，并且在系统中有RootA和RootB标识符，在系统升级后支持回滚，并保留用户个人数据。需提供功能截图证明材料。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82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2CB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C3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5F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21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D7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固件备份还原能力</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B9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062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支持备份及还原固件的功能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6A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2C3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1E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57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6B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CB0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操作系统及驱动升级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32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A37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支持通过网络、闪存盘等方式对操作</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系统、驱动进行升级，系统支持磁盘健康检测、磁盘分区表错误检测、磁盘坏道修复检测，提供磁盘管理软件软著证明和系统功能截图</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FA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E74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94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95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E0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BC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固件升级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A8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7E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支持通过网络、闪存盘等方式对固件</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进行升级</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6A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4C7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A1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9E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45F1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6ED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BIOS支持关闭通讯接口</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83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4A6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 BIOS 关闭以太网及 USB 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0B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C8D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EA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DE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498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868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固件查看信息</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19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D9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支持查看固件版本、内存信息、主板信息、处理器信息和系统时间信息等功能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3B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386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8D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139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87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E5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B08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固件设置启动顺序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B7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2E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支持设置启动顺序功能，并按照设置</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的启动顺序启动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BD9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C63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67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7D3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F449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ED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固件设置口令</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5E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BA2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支持设置口令、修改口令、验证口令</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125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F03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D9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EF9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A44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CB8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固件设置网络引导</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78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34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支持网络引导启动和关闭功能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07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AC8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B1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47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7550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生物识别功能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FE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指纹识别</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A5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64B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D8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59B9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EF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D27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2B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95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人脸识别</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05A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59F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28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2ABB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6FD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6AF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3F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F9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静脉识别</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1B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5F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92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34E8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10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D7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9EB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硬件加速功能</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FC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NPU/GPU等AI加速模块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5E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72C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0C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6C1C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8E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37A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DCC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C1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视频编解码加速模块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F9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6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2E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FBC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CBE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C23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功能要求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E5A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14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影像处理加速模块</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94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9B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E3E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C64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2C2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EA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F82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存储设备可靠性</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44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固态存储寿命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2E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C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TBW ≥ 80TB（条件：240GB 硬盘容量）</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B7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1B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3B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149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BA9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003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72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机械硬盘寿命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60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9B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通电时间≥5 万小时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79B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947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E98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7F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4E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显示设备可靠性</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9A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显示屏屏幕失效点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38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C24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9813.2 的要求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A2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E560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16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63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40B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外设可靠性</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3A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键盘按键寿命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7C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4C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≥1000 万次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33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8FE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D2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03F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A20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65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鼠标按键寿命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D5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E6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≥500 万次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EE3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DC6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73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24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1F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FF7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键盘鼠标线材寿命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4A8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A0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键盘鼠标所用线材经±60°弯折不低</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于 3000 次，功能、外观完好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1CC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C29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D0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A0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A4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672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风扇寿命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4F8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83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≥4 万小时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48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56E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705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FD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26E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整机可靠性要求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7F4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电磁兼容性要求的抗扰度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B2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E99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9254.2 的规定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3B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DED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76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A17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3F2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2D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环境条件要求的气候环境适应性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71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EDC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11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0D5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B69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981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B0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89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环境条件要求的振动适应性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FA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7AE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8B0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046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04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78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5F5F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C26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环境条件要求的冲击适应性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B2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D6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F4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BE7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02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159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D1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59F7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FE2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环境条件要求的碰撞适应性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F3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189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16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605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D1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387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41A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99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环境条件要求的运输包装件跌落适应性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0BF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57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55F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FE0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35A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93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可靠性要求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93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B5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MTBF测试</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F7F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AC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MTBF(m1)≥50万小时，提供证书</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E85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86E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25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1D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0D7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18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常用软件兼容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EA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C0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支持流式软件、版式软件、浏览器、邮件采购人端、解压软件、多媒体、图形图像处理等常用软件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BA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54F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FF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23C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38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2E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数据库兼容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CE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D7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 3 个及以上厂商的数据库产品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8F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E71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EB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D13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C7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286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中间件兼容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14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D3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 3 个及以上厂商中间件产品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D8D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14F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D0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DAD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DF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7B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平台软件兼容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31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F80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 3 个及以上厂商云计算及大数据</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平台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F35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9E9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00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92E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包装及运输要求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29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包装及运输要求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AB5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标志、包装、运输和贮存</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71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88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9813.1 和商品包装政府采购需求标准的相关规定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77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B32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15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D9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55A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AD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配置检查工具</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16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D8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供应商提供自检测试工具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B8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19C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33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68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F67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94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服务响应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7E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2B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a)供应商提供电话、电子邮件、远程</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连接等多种形式服务；</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b)供应商提供同城 4h、异地 12h 技术响应服务，2 个工作日解决问题，对于未能解决的问题和故障应提供可行的升级方案，并提供周转设备或更换设备；</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c)建立全国技术服务体系和服务团体，符合专业服务体系标准要求，提供原厂中文服务；</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d)服务周期内提供产品的维修、换件和升级服务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7B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25D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95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169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B3D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15B8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F31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服务周期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E81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A9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 设备停产后应继续提供质量保障服务（含备品备件），服务终止时间与最后一批设备交付时间间隔不低于6 年；</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 产品停止服务时间应提前 1 年告知；</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c) 应明确产品发布日期</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145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9C6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1BE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DB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2E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56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预装操作系统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C0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4B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预装符合桌面操作系统政府采购需求</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标准的正版操作系统</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900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9FC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07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1C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36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74F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培训服务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E58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20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供应商提供培训材料、产品手册、培</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训视频等培训相关内容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B2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16A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8D9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0ED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33C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244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典型问题解决手册</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37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7B2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供应商提供典型问题解决说明文档或视频</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9B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EDE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52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1D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3D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1C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厂家升级软件与扩容服务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F88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F5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供应商提供上门升级部件/软件与扩</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容的增值服务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6FA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FCA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7DA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E87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6B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D63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整机质量服务要求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A9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5E4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免费服务周期（含换件和维修）应不小于 3 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00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8D3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EDF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C1B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9C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A3E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合格证书要求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AD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65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供应商提供产品合格证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E2E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266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A4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11A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B1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2F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开箱组装/使用指导要求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A5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E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供应商提供开箱组装/使用指导</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17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FF7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CA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18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023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357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驱动下载服务要求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138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9FD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供应商提供驱动光盘或下载方式</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EE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7C9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6BD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724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BFB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70E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兼容适配软件下载服务要求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8D7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F5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供应商提供兼容适配软件下载渠道</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（光盘、网站）</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65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1DF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C40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179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712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552E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191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跨架构平台应用兼容</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6F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5B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59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7066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3F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D3E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供应保障要求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F0B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供应链合规性</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A3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产品部件保障</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4AB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66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供应商保障产品主要部件，提供 6 年</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的备件服务能力（自购买之日起），</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或提供可兼容原设备的升级换代产品</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B2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57B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FC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181</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418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供应保障要求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62F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供应链质量</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67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抗干扰性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67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CF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当产品部件出现供应风险时，供应商</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应通知采购人并提供风险应对方案确</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保产品的服务保障</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809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F44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4D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182</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E50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供应保障要求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2BF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2A3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供应能力证明</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170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5A0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供应商提供供应链稳定承诺书，确保</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产品的部件在产品服务周期内稳定供</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货</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DE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605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2DE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183</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2C7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8E5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关键部件安全要求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A69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关键部件安全要求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851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E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 和操作系统等关键部件应当符合</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安全可靠测评要求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FE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提供安全可靠测评通过的官网截图并加盖供应商公章</w:t>
            </w:r>
          </w:p>
        </w:tc>
      </w:tr>
      <w:tr w14:paraId="6034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26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184</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61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C97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整机安全性要求</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099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密码算法实现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DE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F10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CPU 芯片应符合 GM/T 0008 的相关规</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定，或芯片密码模块应符合 GB/T 37092</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或 GM/T 0028 的相关规定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67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001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D6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185</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5D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98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46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USB端口管控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E9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84C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288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0850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D7A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186</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725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31A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31B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安全物理锁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79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2E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本项目不涉及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8D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r>
      <w:tr w14:paraId="5796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E1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187</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747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1A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BCB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信息安全基本要求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1C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4A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a) 产品应符合 GB/T 39276 的 5.2 的规定；</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b) 生产厂商应建立漏洞跟踪表，保证产品版本涉及到的漏洞(如驱动程序等)可查看；</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c) 产品不得包含已知的恶意代码或漏洞，不存在未声明的指令、功能、接口</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6DE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E13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C0F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188</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7EA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E2F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416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固件安全启动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E0E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4E1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支持固件安全启动功能，固件启动过</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程中只有通过启动校验才能正常启动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979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C53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DE5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189</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EDA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安全要求</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D94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A9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限用物的限量要求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05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5C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符合 GB/T 26572 中规定</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57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95C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7E3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190</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AB7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2F7D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教学管理软件</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981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共享白板</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B25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05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共享白板：支持主控端通过共享白板与选定的学生端共同完成学习任务，并提供多种工具，包括插入图片、插入时实截图、设置背景颜色、图片等，还可选择画笔、图形、颜色、文本、填充、橡皮擦等功能，主控端和学生端可同时绘画。支持查看历史记录，白板历史内容记录，支持批量导入和导出白板记录文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C83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5214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046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D1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4E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75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多系统兼容支持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39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0BD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多系统兼容支持：全面兼容Windows 10、Windows 11操作系统，以及银河麒麟、统信、中科方德、Loongnix等国产桌面操作系统，支持Windows操作系统和国产桌面操作系统的混合使用。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3B2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6D46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BE5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E04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B3D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5D3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屏幕广播</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2D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8C14">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屏幕广播：学生在接收屏幕广播时可进行拍照保存、自主更改显示模式包括自动对焦、平移、缩放显示三种。支持主控端选定一台学生机来远程控制主控机，代替主控端来完成相关教学操作。支持4K画质的屏幕广播和多种画面质量的调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B6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6C36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58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96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78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39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文件收集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E7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88D1">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文件收集：可预定义多个文件收集任务，预设文件收集类型、收集路径、收集后保存路径，从而实现对学生文件的批量收集，支持收集前清空主控端端文件夹或收集后删除学生端文件。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9D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73B6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376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376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7279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76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多模式互动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9A8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7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多模式互动：支持主控端实时截屏、添加本地图片、手动输入问题三种模式发起互动答题，答题类型支持单选、多选、判断、算数、简答、投票、演示等，答题模式支持全体作答、挑人、抢答。</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C3B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5636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956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BC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EF4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75E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考试</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BB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D6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考试：支持对全体学生发起统一的考试，支持添加ABCD卷对不同组别的学生发送不同试卷。支持主控端实时查看学生答题进度。</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344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792B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8F9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99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C8A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843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主题讨论</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86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729E">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主题讨论：可以进行主控端建立主题，学生选择主题进行讨论。文件收集：可以选择接收和拒绝学生提交的文件，并可限制学生提交文件的数目和大小。</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67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1F8B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56D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1E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33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D85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网页限制</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F2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29B">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网页限制：支持对学生访问网站权限的设定（全部开放、黑名单、白名单、完全阻止四种策略），对学生可以访问的Internet站点进行管理，并支持多浏览器限制。</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16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285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82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D1E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317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05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控制中心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92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4369">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控制中心：支持通过单独的控制中心界面，快速开启或关闭面向学生机的行为控制，包括自动连接、黑屏安静、联网权限、举手权限、发送消息权限、发送文件权限、键鼠权限、U盘权限等。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917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957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16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199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DA2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70B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F87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远程命令</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78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46EB">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远程命令：可远程启动、关闭。重新启动学生电脑；可以远程执行学生电脑上的应用程序；可以远程打开学生电脑上的网页。</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4C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725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F7F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475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D82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889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图标监看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B4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3A21">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图标监看：可以显示学生机桌面的缩图，并可控制缩图的大小。</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75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A22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503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17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A248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B3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其他功能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959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A8B">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另具备屏幕广播、学生演示、网络影院、远程开关机、远程命令、屏幕监看、举手、发言、防杀进程、黑屏肃静、文件分发、文件收集等功能。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95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EA3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712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FAB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2F8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544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大屏广播</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E3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1AD4">
            <w:pPr>
              <w:keepNext w:val="0"/>
              <w:keepLines w:val="0"/>
              <w:widowControl/>
              <w:suppressLineNumbers w:val="0"/>
              <w:jc w:val="center"/>
              <w:textAlignment w:val="center"/>
              <w:rPr>
                <w:rStyle w:val="7"/>
                <w:rFonts w:hint="default"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大屏广播：支持司令官配套终端设置功能，匹配成功后，可通过用户自带安卓、ios、windwos、国产系统等终端进行投屏映射到大屏上，同时通过系统中的大屏广播功能下发学生电脑显示器，还可将任意学生电脑画面和其他自带终端画面同时发送到教室大屏中对比点评。</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CA7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1DC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80D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203</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5613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0002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还原软件</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46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软件架构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EDE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C42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软件需采用B/S架构，基于WEB设计全中文图形化操作界面，支持跨网段、跨路由的网络环境管理，服务器支持端口映射和DMZ访问方式。支持广域网内镜像管理终端的分发。</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CB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6875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867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9B6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E6C6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5FC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管理模式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C74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E0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支持中央服务器管理模式，能在主流国产操作系统（如UOS、kylin等）上稳定运行和部署；</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1A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847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E86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AF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27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3DC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服务端</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E7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A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服务端支持ARM、AMD、X86、LoongArch等多平台部署，一台服务器可以同时管理多种架构的终端（ARM、AMD、X86、LoongArch），支持主流国产操作系统（UOS、kylin）以及windows系列（win10、win11）的下发部署。</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61D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1C9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F9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00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0F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B8C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集中管理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411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A6B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支持镜像集中管理，包括终端所需的系统及软件环境，集中存储在中央服务器；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3E9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4012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E55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2BD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6207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76D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使用同一个镜像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7EE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2F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支持在同类型架构但不同配置的终端上使用同一个镜像，避免由于硬件差异，系统镜像增加，加大维护难度；</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6C4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6A9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A00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3D0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A4C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3C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磁盘使用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A1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599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支持同一个镜像模板被不同的虚拟磁盘使用，避免了镜像的重复制作，减少了镜像的管理和维护时间成本；</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6B6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306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CEA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209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85B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11E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49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导入和导出功能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CCE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CBD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支持镜像模板的导入和导出功能；</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95C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711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E49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CD99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B5B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15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维护管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849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1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支持同时在多个样机上对镜像进行上传和更新的维护管理；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315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3FB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5D9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A4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5104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E24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策略化管理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8C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A4D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支持每个分组的策略化管理，且每个桌面支持单独设置对应的管理策略，如引导顺序、保护还原、引导密码、系统是否隐藏等参数；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10A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63B3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887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6E9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447F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FC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还原策略</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47B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EDE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软件支持对分组中的所有终端统一设置还原策略，也可以单独对某台终端进行还原策略的设置；</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F91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78CC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6F5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240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A2C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731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指定分组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30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CA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支持管理员在控制台对指定分组、终端进行消息推送，客户端接受到消息后展示管理员发送的消息。</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91D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563E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3C3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E7E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0F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4A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不同环境需求需求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0ED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561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支持管理员通过web控制台对终端内的不同操作系统设定不同的IP，满足各种办公、培训、学习和考试的多专属系统及专属网络环境的需求；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9F5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2D1D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C60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917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F95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7C4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任务管理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96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AB7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支持计划任务管理，管理员可在控制台设定按照每天/每周/每月等周期的定时开机、关机和重启等循环排程任务；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D24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1405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66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9B7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979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E0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IP占位功能</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71A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6C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支持IP占位功能，为故障终端预留IP，不会由于单点的故障，而影响整体的计算机名和IP排序管理；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6CA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3FA5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DD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0A3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9CF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5D8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控制在线终端</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55F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4A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无需安装任何插件，管理员可通过web控制台远程控制在线终端。</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C52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46EC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A60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FF4D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CF1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4FC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数据盘空间</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AC9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422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由服务端统一分配数据盘空间，并对数据盘进行数据清除管理，如在不损坏系统盘的前提下，管理员统一格式化终端统信/麒麟系统内的数据盘。</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774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1EF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F6C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219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30B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B98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52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维护系统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D8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A7F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终端支持U盘、光盘、PXE部署维护系统；</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BB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35D4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82E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1D36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656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605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还原策略</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D87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CF7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终端开机后会自动部署所有的镜像到本地，部署完成后，服务器意外出现宕机、断网等情况时，终端可脱离服务器使用，避免引起的教学事故，且每个系统保持离线前的还原或者不还原的还原策略；</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018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2C50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AB6">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76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A7B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BBD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密码设置</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D4E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A3C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软件支持对每个系统单独进行引导密码设置，只有输入正确的密码才能启动指定的系统；</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231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1677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BF3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5B6C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D06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7BC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多个系统</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8E8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30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多个系统时，支持显示和隐藏某个系统、默认进入系统以及等待时长等，满足教学的特殊需求；</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142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3B73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D92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DBE1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23B7">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006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任意系统进入</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1AC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14F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支持用户在系统选单界面主动选择任意系统进入，也可指定其中一个系统为默认系统，终端开机后可自动进入指定的默认系统；</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242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75CC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D39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32F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94E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A9A4">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设置定时任务</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12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867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支持设置定时任务，能够定时对终端执行开启、关闭、重启任务，可按照一次、每天、每周设置周期性任务，具体时间点能够设置到时分秒。</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8AC3">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供应商出具的承诺书及提供功能截图，承诺书格式自拟，偏离表不能作为承诺书，加盖供应商公章</w:t>
            </w:r>
          </w:p>
        </w:tc>
      </w:tr>
      <w:tr w14:paraId="6340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68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D88E">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1E7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2FC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支持WiFi部署</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EA50">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7A4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为保证用户在有线网络不可用需要使用无线网络时，终端支持WiFi部署使用。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8B0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r w14:paraId="0A83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2AB9">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226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A33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F79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6E2A">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更新升级</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994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w:t>
            </w:r>
          </w:p>
        </w:tc>
        <w:tc>
          <w:tcPr>
            <w:tcW w:w="1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86A5">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为减少工作量，要求终端系统支持一键恢复出厂设置以及通过管理机器进行更新升级。</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2528">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供应商出具的承诺书，承诺书格式自拟，偏离表不能作为承诺书，加盖供应商公章</w:t>
            </w:r>
          </w:p>
        </w:tc>
      </w:tr>
    </w:tbl>
    <w:p w14:paraId="609514F6">
      <w:pPr>
        <w:pStyle w:val="2"/>
        <w:rPr>
          <w:rFonts w:eastAsiaTheme="minorEastAsia"/>
          <w:b/>
          <w:sz w:val="36"/>
          <w:szCs w:val="36"/>
        </w:rPr>
      </w:pPr>
    </w:p>
    <w:tbl>
      <w:tblPr>
        <w:tblStyle w:val="3"/>
        <w:tblW w:w="10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7701"/>
        <w:gridCol w:w="1874"/>
      </w:tblGrid>
      <w:tr w14:paraId="0CB5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84FD">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序号</w:t>
            </w:r>
          </w:p>
        </w:tc>
        <w:tc>
          <w:tcPr>
            <w:tcW w:w="7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C361">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服务要求</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15EF">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证明材料</w:t>
            </w:r>
          </w:p>
        </w:tc>
      </w:tr>
      <w:tr w14:paraId="7735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EB5B">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1</w:t>
            </w:r>
          </w:p>
        </w:tc>
        <w:tc>
          <w:tcPr>
            <w:tcW w:w="7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64AC">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供应商提供自2022年7月1日至今（以签订日期为准）相关同类服务经验；同一甲方合同只算为一份业绩。</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7912">
            <w:pPr>
              <w:keepNext w:val="0"/>
              <w:keepLines w:val="0"/>
              <w:widowControl/>
              <w:suppressLineNumbers w:val="0"/>
              <w:jc w:val="center"/>
              <w:textAlignment w:val="center"/>
              <w:rPr>
                <w:rStyle w:val="7"/>
                <w:rFonts w:hint="eastAsia" w:ascii="宋体" w:hAnsi="宋体" w:eastAsia="宋体" w:cs="宋体"/>
                <w:sz w:val="21"/>
                <w:szCs w:val="21"/>
                <w:lang w:val="en-US" w:eastAsia="zh-CN" w:bidi="ar"/>
              </w:rPr>
            </w:pPr>
            <w:r>
              <w:rPr>
                <w:rStyle w:val="7"/>
                <w:rFonts w:hint="eastAsia" w:ascii="宋体" w:hAnsi="宋体" w:eastAsia="宋体" w:cs="宋体"/>
                <w:sz w:val="21"/>
                <w:szCs w:val="21"/>
                <w:lang w:val="en-US" w:eastAsia="zh-CN" w:bidi="ar"/>
              </w:rPr>
              <w:t>提供合同关键页（合同首页、</w:t>
            </w:r>
            <w:r>
              <w:rPr>
                <w:rStyle w:val="7"/>
                <w:rFonts w:hint="eastAsia" w:ascii="宋体" w:hAnsi="宋体" w:cs="宋体"/>
                <w:sz w:val="21"/>
                <w:szCs w:val="21"/>
                <w:lang w:val="en-US" w:eastAsia="zh-CN" w:bidi="ar"/>
              </w:rPr>
              <w:t>合同</w:t>
            </w:r>
            <w:r>
              <w:rPr>
                <w:rStyle w:val="7"/>
                <w:rFonts w:hint="eastAsia" w:ascii="宋体" w:hAnsi="宋体" w:eastAsia="宋体" w:cs="宋体"/>
                <w:sz w:val="21"/>
                <w:szCs w:val="21"/>
                <w:lang w:val="en-US" w:eastAsia="zh-CN" w:bidi="ar"/>
              </w:rPr>
              <w:t>内容页、签署盖章页）电子件，加盖供应商公章</w:t>
            </w:r>
          </w:p>
        </w:tc>
      </w:tr>
    </w:tbl>
    <w:p w14:paraId="5C472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2257"/>
    <w:rsid w:val="19E8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01"/>
    <w:basedOn w:val="4"/>
    <w:qFormat/>
    <w:uiPriority w:val="0"/>
    <w:rPr>
      <w:rFonts w:hint="eastAsia" w:ascii="宋体" w:hAnsi="宋体" w:eastAsia="宋体" w:cs="宋体"/>
      <w:color w:val="000000"/>
      <w:sz w:val="24"/>
      <w:szCs w:val="24"/>
      <w:u w:val="single"/>
    </w:rPr>
  </w:style>
  <w:style w:type="character" w:customStyle="1" w:styleId="7">
    <w:name w:val="font51"/>
    <w:basedOn w:val="4"/>
    <w:qFormat/>
    <w:uiPriority w:val="0"/>
    <w:rPr>
      <w:rFonts w:hint="eastAsia" w:ascii="宋体" w:hAnsi="宋体" w:eastAsia="宋体" w:cs="宋体"/>
      <w:color w:val="000000"/>
      <w:sz w:val="24"/>
      <w:szCs w:val="24"/>
      <w:u w:val="none"/>
    </w:rPr>
  </w:style>
  <w:style w:type="character" w:customStyle="1" w:styleId="8">
    <w:name w:val="font112"/>
    <w:basedOn w:val="4"/>
    <w:qFormat/>
    <w:uiPriority w:val="0"/>
    <w:rPr>
      <w:rFonts w:hint="eastAsia" w:ascii="宋体" w:hAnsi="宋体" w:eastAsia="宋体" w:cs="宋体"/>
      <w:color w:val="00B0F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2025-08-07T08:30:00Z</dcterms:created>
  <dc:creator>凹凸曼</dc:creator>
  <cp:lastModifiedBy>凹凸曼</cp:lastModifiedBy>
  <dcterms:modified xsi:type="dcterms:W3CDTF">2025-08-07T08:31:14Z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56FF16566727453DA28EA6AF85D5EEBD_11</vt:lpwstr>
  </property>
  <property fmtid="{D5CDD505-2E9C-101B-9397-08002B2CF9AE}" pid="4" name="KSOTemplateDocerSaveRecord">
    <vt:lpwstr>eyJoZGlkIjoiYjZmM2UwMDQ5Yjk1NDRlMzk1ZDNmNmEwY2M5YmE5MjAiLCJ1c2VySWQiOiIxNDY5ODExMjIwIn0=</vt:lpwstr>
  </property>
</Properties>
</file>