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592"/>
          <w:tab w:val="center" w:pos="4944"/>
        </w:tabs>
        <w:spacing w:line="360" w:lineRule="auto"/>
        <w:jc w:val="both"/>
        <w:outlineLvl w:val="0"/>
        <w:rPr>
          <w:rFonts w:hint="eastAsia" w:eastAsia="宋体"/>
          <w:b/>
          <w:color w:val="auto"/>
          <w:sz w:val="36"/>
          <w:szCs w:val="36"/>
          <w:highlight w:val="none"/>
          <w:lang w:eastAsia="zh-CN"/>
        </w:rPr>
      </w:pPr>
      <w:bookmarkStart w:id="0" w:name="_Toc99301424"/>
      <w:bookmarkStart w:id="1" w:name="_Toc127151555"/>
      <w:bookmarkStart w:id="2" w:name="_Toc353873935"/>
      <w:bookmarkStart w:id="3" w:name="_Toc265228393"/>
      <w:bookmarkStart w:id="4" w:name="_Toc305158897"/>
      <w:bookmarkStart w:id="5" w:name="_Toc305158823"/>
      <w:bookmarkStart w:id="6" w:name="_Toc353825545"/>
      <w:bookmarkStart w:id="7" w:name="_Toc150774760"/>
      <w:bookmarkStart w:id="8" w:name="_Toc150480793"/>
      <w:bookmarkStart w:id="9" w:name="_Toc226965828"/>
      <w:bookmarkStart w:id="10" w:name="_Toc142311057"/>
      <w:bookmarkStart w:id="11" w:name="_Toc353873665"/>
      <w:bookmarkStart w:id="12" w:name="_Toc264969245"/>
      <w:bookmarkStart w:id="13" w:name="_Toc226337251"/>
      <w:bookmarkStart w:id="14" w:name="_Toc195842920"/>
      <w:r>
        <w:rPr>
          <w:rFonts w:hint="eastAsia"/>
          <w:b/>
          <w:color w:val="auto"/>
          <w:sz w:val="36"/>
          <w:szCs w:val="36"/>
          <w:highlight w:val="none"/>
        </w:rPr>
        <w:t>北京市公安局昌平分局购置机动车项目</w:t>
      </w:r>
      <w:r>
        <w:rPr>
          <w:b/>
          <w:color w:val="auto"/>
          <w:sz w:val="36"/>
          <w:szCs w:val="36"/>
          <w:highlight w:val="none"/>
        </w:rPr>
        <w:t>采购需求</w:t>
      </w:r>
      <w:bookmarkEnd w:id="0"/>
    </w:p>
    <w:p>
      <w:pPr>
        <w:pStyle w:val="2"/>
      </w:pPr>
    </w:p>
    <w:p>
      <w:pPr>
        <w:numPr>
          <w:ilvl w:val="0"/>
          <w:numId w:val="1"/>
        </w:numPr>
        <w:spacing w:line="360" w:lineRule="auto"/>
        <w:ind w:left="2310" w:leftChars="0" w:firstLine="602" w:firstLineChars="200"/>
        <w:rPr>
          <w:rFonts w:hint="eastAsia" w:ascii="宋体" w:hAnsi="宋体"/>
          <w:b/>
          <w:bCs/>
          <w:color w:val="auto"/>
          <w:sz w:val="30"/>
          <w:szCs w:val="30"/>
          <w:lang w:val="en-US" w:eastAsia="zh-CN"/>
        </w:rPr>
      </w:pPr>
      <w:bookmarkStart w:id="15" w:name="OLE_LINK5"/>
      <w:r>
        <w:rPr>
          <w:rFonts w:hint="eastAsia" w:ascii="宋体" w:hAnsi="宋体"/>
          <w:b/>
          <w:bCs/>
          <w:color w:val="auto"/>
          <w:sz w:val="30"/>
          <w:szCs w:val="30"/>
          <w:lang w:val="en-US" w:eastAsia="zh-CN"/>
        </w:rPr>
        <w:t xml:space="preserve"> 采购需求</w:t>
      </w:r>
    </w:p>
    <w:tbl>
      <w:tblPr>
        <w:tblStyle w:val="20"/>
        <w:tblW w:w="9090"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9"/>
        <w:gridCol w:w="2192"/>
        <w:gridCol w:w="1209"/>
        <w:gridCol w:w="192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8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宋体" w:hAnsi="宋体" w:eastAsia="宋体" w:cs="宋体"/>
                <w:b/>
                <w:i w:val="0"/>
                <w:color w:val="auto"/>
                <w:sz w:val="21"/>
                <w:szCs w:val="21"/>
                <w:u w:val="none"/>
                <w:lang w:val="en-US" w:eastAsia="zh-CN"/>
              </w:rPr>
            </w:pPr>
            <w:r>
              <w:rPr>
                <w:rFonts w:hint="eastAsia" w:ascii="宋体" w:hAnsi="宋体" w:cs="宋体"/>
                <w:b/>
                <w:i w:val="0"/>
                <w:color w:val="auto"/>
                <w:sz w:val="21"/>
                <w:szCs w:val="21"/>
                <w:u w:val="none"/>
                <w:lang w:val="en-US" w:eastAsia="zh-CN"/>
              </w:rPr>
              <w:t>包号名称</w:t>
            </w:r>
          </w:p>
        </w:tc>
        <w:tc>
          <w:tcPr>
            <w:tcW w:w="21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宋体" w:hAnsi="宋体" w:eastAsia="宋体" w:cs="宋体"/>
                <w:b/>
                <w:i w:val="0"/>
                <w:color w:val="auto"/>
                <w:kern w:val="2"/>
                <w:sz w:val="21"/>
                <w:szCs w:val="21"/>
                <w:u w:val="none"/>
                <w:lang w:val="en-US" w:eastAsia="zh-CN" w:bidi="ar-SA"/>
              </w:rPr>
            </w:pPr>
            <w:r>
              <w:rPr>
                <w:rFonts w:hint="eastAsia" w:ascii="宋体" w:hAnsi="宋体" w:eastAsia="宋体" w:cs="宋体"/>
                <w:b/>
                <w:i w:val="0"/>
                <w:color w:val="auto"/>
                <w:kern w:val="0"/>
                <w:sz w:val="21"/>
                <w:szCs w:val="21"/>
                <w:u w:val="none"/>
                <w:lang w:val="en-US" w:eastAsia="zh-CN" w:bidi="ar"/>
              </w:rPr>
              <w:t>车型</w:t>
            </w:r>
          </w:p>
        </w:tc>
        <w:tc>
          <w:tcPr>
            <w:tcW w:w="12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after="0"/>
              <w:ind w:firstLine="211" w:firstLineChars="100"/>
              <w:jc w:val="both"/>
              <w:textAlignment w:val="center"/>
              <w:rPr>
                <w:rFonts w:hint="eastAsia" w:ascii="宋体" w:hAnsi="宋体" w:eastAsia="宋体" w:cs="宋体"/>
                <w:b/>
                <w:i w:val="0"/>
                <w:color w:val="auto"/>
                <w:kern w:val="2"/>
                <w:sz w:val="21"/>
                <w:szCs w:val="21"/>
                <w:u w:val="none"/>
                <w:lang w:val="en-US" w:eastAsia="zh-CN" w:bidi="ar-SA"/>
              </w:rPr>
            </w:pPr>
            <w:r>
              <w:rPr>
                <w:rFonts w:hint="eastAsia" w:ascii="宋体" w:hAnsi="宋体" w:cs="宋体"/>
                <w:b/>
                <w:i w:val="0"/>
                <w:color w:val="auto"/>
                <w:kern w:val="0"/>
                <w:sz w:val="21"/>
                <w:szCs w:val="21"/>
                <w:u w:val="none"/>
                <w:lang w:val="en-US" w:eastAsia="zh-CN" w:bidi="ar"/>
              </w:rPr>
              <w:t>合计</w:t>
            </w:r>
            <w:r>
              <w:rPr>
                <w:rFonts w:hint="eastAsia" w:ascii="宋体" w:hAnsi="宋体" w:eastAsia="宋体" w:cs="宋体"/>
                <w:b/>
                <w:i w:val="0"/>
                <w:color w:val="auto"/>
                <w:kern w:val="0"/>
                <w:sz w:val="21"/>
                <w:szCs w:val="21"/>
                <w:u w:val="none"/>
                <w:lang w:val="en-US" w:eastAsia="zh-CN" w:bidi="ar"/>
              </w:rPr>
              <w:t>数量</w:t>
            </w:r>
          </w:p>
        </w:tc>
        <w:tc>
          <w:tcPr>
            <w:tcW w:w="19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一型商务车</w:t>
            </w:r>
          </w:p>
        </w:tc>
        <w:tc>
          <w:tcPr>
            <w:tcW w:w="19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二型商务车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84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default"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sz w:val="21"/>
                <w:szCs w:val="21"/>
                <w:u w:val="none"/>
                <w:lang w:val="en-US" w:eastAsia="zh-CN"/>
              </w:rPr>
              <w:t>燃油</w:t>
            </w:r>
            <w:r>
              <w:rPr>
                <w:rFonts w:hint="eastAsia" w:ascii="宋体" w:hAnsi="宋体" w:cs="宋体"/>
                <w:b w:val="0"/>
                <w:bCs w:val="0"/>
                <w:i w:val="0"/>
                <w:color w:val="auto"/>
                <w:sz w:val="21"/>
                <w:szCs w:val="21"/>
                <w:u w:val="none"/>
                <w:lang w:eastAsia="zh-CN"/>
              </w:rPr>
              <w:t>小型客车</w:t>
            </w:r>
          </w:p>
        </w:tc>
        <w:tc>
          <w:tcPr>
            <w:tcW w:w="219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商务车</w:t>
            </w:r>
          </w:p>
        </w:tc>
        <w:tc>
          <w:tcPr>
            <w:tcW w:w="12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14辆</w:t>
            </w:r>
          </w:p>
        </w:tc>
        <w:tc>
          <w:tcPr>
            <w:tcW w:w="192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12辆</w:t>
            </w:r>
          </w:p>
        </w:tc>
        <w:tc>
          <w:tcPr>
            <w:tcW w:w="192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after="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2辆</w:t>
            </w:r>
          </w:p>
        </w:tc>
      </w:tr>
    </w:tbl>
    <w:p>
      <w:pPr>
        <w:keepNext w:val="0"/>
        <w:keepLines w:val="0"/>
        <w:pageBreakBefore w:val="0"/>
        <w:widowControl w:val="0"/>
        <w:kinsoku/>
        <w:wordWrap/>
        <w:overflowPunct/>
        <w:topLinePunct w:val="0"/>
        <w:autoSpaceDE w:val="0"/>
        <w:autoSpaceDN w:val="0"/>
        <w:bidi w:val="0"/>
        <w:adjustRightInd w:val="0"/>
        <w:snapToGrid/>
        <w:spacing w:after="0" w:line="440" w:lineRule="exac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一、技术要求</w:t>
      </w:r>
    </w:p>
    <w:p>
      <w:pPr>
        <w:keepNext w:val="0"/>
        <w:keepLines w:val="0"/>
        <w:pageBreakBefore w:val="0"/>
        <w:widowControl w:val="0"/>
        <w:kinsoku/>
        <w:wordWrap/>
        <w:overflowPunct/>
        <w:topLinePunct w:val="0"/>
        <w:bidi w:val="0"/>
        <w:snapToGrid/>
        <w:spacing w:after="0" w:line="44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（一）投标人须承诺所投产品和服务符合相关强制性规定。交货时采购人有权要求投标人出具所投产品、服务符合上述规定的证明文件。</w:t>
      </w:r>
    </w:p>
    <w:p>
      <w:pPr>
        <w:keepNext w:val="0"/>
        <w:keepLines w:val="0"/>
        <w:pageBreakBefore w:val="0"/>
        <w:widowControl w:val="0"/>
        <w:kinsoku/>
        <w:wordWrap/>
        <w:overflowPunct/>
        <w:topLinePunct w:val="0"/>
        <w:bidi w:val="0"/>
        <w:snapToGrid/>
        <w:spacing w:after="0" w:line="44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（二）投标文件中对所投产品的名称、品牌、制造商、产地、主要技术性能指标及其在技术、安全、性能、管理、厂家标准、使用年限及售后服务等方面情况提供详细的具有法律效力的技术资料。</w:t>
      </w:r>
    </w:p>
    <w:p>
      <w:pPr>
        <w:keepNext w:val="0"/>
        <w:keepLines w:val="0"/>
        <w:pageBreakBefore w:val="0"/>
        <w:widowControl w:val="0"/>
        <w:kinsoku/>
        <w:wordWrap/>
        <w:overflowPunct/>
        <w:topLinePunct w:val="0"/>
        <w:bidi w:val="0"/>
        <w:snapToGrid/>
        <w:spacing w:after="0" w:line="44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（三）投标文件中提供能够证明所投产品性能质量的证明材料，如检测/检验/试验/测试报告、第三方认证机构出具的认证证书等。</w:t>
      </w:r>
    </w:p>
    <w:p>
      <w:pPr>
        <w:keepNext w:val="0"/>
        <w:keepLines w:val="0"/>
        <w:pageBreakBefore w:val="0"/>
        <w:widowControl w:val="0"/>
        <w:kinsoku/>
        <w:wordWrap/>
        <w:overflowPunct/>
        <w:topLinePunct w:val="0"/>
        <w:bidi w:val="0"/>
        <w:snapToGrid/>
        <w:spacing w:after="0" w:line="44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（四）投标文件中提供能够证明所投产品能力的证明材料，如GB/T19001系列/IS09001系列质量管理体系认证、GB/T24001系列或ISO14001系列环境管理体系认证等。</w:t>
      </w:r>
    </w:p>
    <w:p>
      <w:pPr>
        <w:keepNext w:val="0"/>
        <w:keepLines w:val="0"/>
        <w:pageBreakBefore w:val="0"/>
        <w:widowControl w:val="0"/>
        <w:kinsoku/>
        <w:wordWrap/>
        <w:overflowPunct/>
        <w:topLinePunct w:val="0"/>
        <w:bidi w:val="0"/>
        <w:snapToGrid/>
        <w:spacing w:after="0" w:line="440" w:lineRule="exact"/>
        <w:ind w:firstLine="420" w:firstLineChars="200"/>
        <w:textAlignment w:val="auto"/>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投标文件中提供从所投产品原材料采购、设计、加工制作、存储、流通、回收等产品全生命周期各环节，详细阐述该产品节能、环保及绿色供应链管理情况，提供相关证明文件，形式包括证书、图示、文字说明等。</w:t>
      </w:r>
    </w:p>
    <w:p>
      <w:pPr>
        <w:keepNext w:val="0"/>
        <w:keepLines w:val="0"/>
        <w:pageBreakBefore w:val="0"/>
        <w:widowControl w:val="0"/>
        <w:kinsoku/>
        <w:wordWrap/>
        <w:overflowPunct/>
        <w:topLinePunct w:val="0"/>
        <w:bidi w:val="0"/>
        <w:snapToGrid/>
        <w:spacing w:after="0" w:line="440" w:lineRule="exact"/>
        <w:ind w:firstLine="420" w:firstLineChars="200"/>
        <w:textAlignment w:val="auto"/>
        <w:outlineLvl w:val="0"/>
        <w:rPr>
          <w:rFonts w:hint="eastAsia" w:asciiTheme="minorEastAsia" w:hAnsiTheme="minorEastAsia" w:eastAsiaTheme="minorEastAsia" w:cstheme="minorEastAsia"/>
          <w:b/>
          <w:bCs/>
          <w:i w:val="0"/>
          <w:color w:val="000000"/>
          <w:sz w:val="21"/>
          <w:szCs w:val="21"/>
          <w:u w:val="none"/>
          <w:lang w:val="en-US" w:eastAsia="zh-CN"/>
        </w:rPr>
      </w:pPr>
      <w:r>
        <w:rPr>
          <w:rFonts w:hint="eastAsia" w:asciiTheme="minorEastAsia" w:hAnsiTheme="minorEastAsia" w:eastAsiaTheme="minorEastAsia" w:cstheme="minorEastAsia"/>
          <w:sz w:val="21"/>
          <w:szCs w:val="21"/>
        </w:rPr>
        <w:t>（六）具体技术需求。</w:t>
      </w:r>
    </w:p>
    <w:p>
      <w:pPr>
        <w:pStyle w:val="34"/>
        <w:ind w:firstLine="422" w:firstLineChars="200"/>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1、</w:t>
      </w:r>
      <w:r>
        <w:rPr>
          <w:rFonts w:hint="eastAsia" w:asciiTheme="minorEastAsia" w:hAnsiTheme="minorEastAsia" w:eastAsiaTheme="minorEastAsia" w:cstheme="minorEastAsia"/>
          <w:b/>
          <w:bCs/>
          <w:color w:val="000000"/>
          <w:sz w:val="21"/>
          <w:szCs w:val="21"/>
          <w:lang w:eastAsia="zh-CN"/>
        </w:rPr>
        <w:t>一型</w:t>
      </w:r>
      <w:r>
        <w:rPr>
          <w:rFonts w:hint="eastAsia" w:asciiTheme="minorEastAsia" w:hAnsiTheme="minorEastAsia" w:eastAsiaTheme="minorEastAsia" w:cstheme="minorEastAsia"/>
          <w:b/>
          <w:bCs/>
          <w:color w:val="000000"/>
          <w:sz w:val="21"/>
          <w:szCs w:val="21"/>
        </w:rPr>
        <w:t>商务车（12</w:t>
      </w:r>
      <w:r>
        <w:rPr>
          <w:rFonts w:hint="eastAsia" w:asciiTheme="minorEastAsia" w:hAnsiTheme="minorEastAsia" w:eastAsiaTheme="minorEastAsia" w:cstheme="minorEastAsia"/>
          <w:b/>
          <w:bCs/>
          <w:color w:val="000000"/>
          <w:sz w:val="21"/>
          <w:szCs w:val="21"/>
          <w:lang w:eastAsia="zh-CN"/>
        </w:rPr>
        <w:t>辆</w:t>
      </w:r>
      <w:r>
        <w:rPr>
          <w:rFonts w:hint="eastAsia" w:asciiTheme="minorEastAsia" w:hAnsiTheme="minorEastAsia" w:eastAsiaTheme="minorEastAsia" w:cstheme="minorEastAsia"/>
          <w:b/>
          <w:bCs/>
          <w:color w:val="000000"/>
          <w:sz w:val="21"/>
          <w:szCs w:val="21"/>
        </w:rPr>
        <w:t>）</w:t>
      </w:r>
    </w:p>
    <w:tbl>
      <w:tblPr>
        <w:tblStyle w:val="21"/>
        <w:tblW w:w="89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1"/>
        <w:gridCol w:w="2946"/>
        <w:gridCol w:w="52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741" w:type="dxa"/>
          </w:tcPr>
          <w:p>
            <w:pPr>
              <w:keepNext w:val="0"/>
              <w:keepLines w:val="0"/>
              <w:widowControl/>
              <w:suppressLineNumbers w:val="0"/>
              <w:spacing w:after="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946" w:type="dxa"/>
          </w:tcPr>
          <w:p>
            <w:pPr>
              <w:keepNext w:val="0"/>
              <w:keepLines w:val="0"/>
              <w:widowControl/>
              <w:suppressLineNumbers w:val="0"/>
              <w:spacing w:after="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项目</w:t>
            </w:r>
          </w:p>
        </w:tc>
        <w:tc>
          <w:tcPr>
            <w:tcW w:w="5274" w:type="dxa"/>
          </w:tcPr>
          <w:p>
            <w:pPr>
              <w:keepNext w:val="0"/>
              <w:keepLines w:val="0"/>
              <w:widowControl/>
              <w:suppressLineNumbers w:val="0"/>
              <w:spacing w:after="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技术需求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★车型要求</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车型必须为列入《道路机动车辆生产企业及产品公告》目录中的产品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★发动机</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汽油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★排量</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1800ml≤排量≤2000ml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4</w:t>
            </w:r>
          </w:p>
        </w:tc>
        <w:tc>
          <w:tcPr>
            <w:tcW w:w="2946" w:type="dxa"/>
            <w:vMerge w:val="restart"/>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p>
          <w:p>
            <w:pPr>
              <w:kinsoku/>
              <w:autoSpaceDE/>
              <w:autoSpaceDN/>
              <w:adjustRightInd/>
              <w:snapToGrid/>
              <w:spacing w:after="0"/>
              <w:jc w:val="both"/>
              <w:textAlignment w:val="auto"/>
              <w:rPr>
                <w:rFonts w:hint="eastAsia" w:asciiTheme="minorEastAsia" w:hAnsiTheme="minorEastAsia" w:eastAsiaTheme="minorEastAsia" w:cstheme="minorEastAsia"/>
                <w:snapToGrid/>
                <w:color w:val="auto"/>
                <w:sz w:val="21"/>
                <w:szCs w:val="21"/>
              </w:rPr>
            </w:pPr>
            <w:r>
              <w:rPr>
                <w:rFonts w:hint="eastAsia" w:ascii="宋体" w:hAnsi="宋体" w:cs="宋体"/>
                <w:b/>
                <w:color w:val="auto"/>
                <w:sz w:val="21"/>
                <w:szCs w:val="21"/>
              </w:rPr>
              <w:t>△</w:t>
            </w:r>
            <w:r>
              <w:rPr>
                <w:rFonts w:hint="eastAsia" w:asciiTheme="minorEastAsia" w:hAnsiTheme="minorEastAsia" w:eastAsiaTheme="minorEastAsia" w:cstheme="minorEastAsia"/>
                <w:snapToGrid/>
                <w:color w:val="auto"/>
                <w:sz w:val="21"/>
                <w:szCs w:val="21"/>
              </w:rPr>
              <w:t>外形尺寸</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49</w:t>
            </w:r>
            <w:r>
              <w:rPr>
                <w:rFonts w:hint="eastAsia" w:asciiTheme="minorEastAsia" w:hAnsiTheme="minorEastAsia" w:eastAsiaTheme="minorEastAsia" w:cstheme="minorEastAsia"/>
                <w:snapToGrid/>
                <w:color w:val="auto"/>
                <w:sz w:val="21"/>
                <w:szCs w:val="21"/>
                <w:lang w:val="en-US" w:eastAsia="zh-CN"/>
              </w:rPr>
              <w:t>0</w:t>
            </w:r>
            <w:r>
              <w:rPr>
                <w:rFonts w:hint="eastAsia" w:asciiTheme="minorEastAsia" w:hAnsiTheme="minorEastAsia" w:eastAsiaTheme="minorEastAsia" w:cstheme="minorEastAsia"/>
                <w:snapToGrid/>
                <w:color w:val="auto"/>
                <w:sz w:val="21"/>
                <w:szCs w:val="21"/>
              </w:rPr>
              <w:t>0mm≤长≤5100mm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5</w:t>
            </w:r>
          </w:p>
        </w:tc>
        <w:tc>
          <w:tcPr>
            <w:tcW w:w="2946" w:type="dxa"/>
            <w:vMerge w:val="continue"/>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18</w:t>
            </w:r>
            <w:r>
              <w:rPr>
                <w:rFonts w:hint="eastAsia" w:asciiTheme="minorEastAsia" w:hAnsiTheme="minorEastAsia" w:eastAsiaTheme="minorEastAsia" w:cstheme="minorEastAsia"/>
                <w:snapToGrid/>
                <w:color w:val="auto"/>
                <w:sz w:val="21"/>
                <w:szCs w:val="21"/>
                <w:lang w:val="en-US" w:eastAsia="zh-CN"/>
              </w:rPr>
              <w:t>0</w:t>
            </w:r>
            <w:r>
              <w:rPr>
                <w:rFonts w:hint="eastAsia" w:asciiTheme="minorEastAsia" w:hAnsiTheme="minorEastAsia" w:eastAsiaTheme="minorEastAsia" w:cstheme="minorEastAsia"/>
                <w:snapToGrid/>
                <w:color w:val="auto"/>
                <w:sz w:val="21"/>
                <w:szCs w:val="21"/>
              </w:rPr>
              <w:t>0mm≤宽≤2000mm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6</w:t>
            </w:r>
          </w:p>
        </w:tc>
        <w:tc>
          <w:tcPr>
            <w:tcW w:w="2946" w:type="dxa"/>
            <w:vMerge w:val="continue"/>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17</w:t>
            </w:r>
            <w:r>
              <w:rPr>
                <w:rFonts w:hint="eastAsia" w:asciiTheme="minorEastAsia" w:hAnsiTheme="minorEastAsia" w:eastAsiaTheme="minorEastAsia" w:cstheme="minorEastAsia"/>
                <w:snapToGrid/>
                <w:color w:val="auto"/>
                <w:sz w:val="21"/>
                <w:szCs w:val="21"/>
                <w:lang w:val="en-US" w:eastAsia="zh-CN"/>
              </w:rPr>
              <w:t>0</w:t>
            </w:r>
            <w:r>
              <w:rPr>
                <w:rFonts w:hint="eastAsia" w:asciiTheme="minorEastAsia" w:hAnsiTheme="minorEastAsia" w:eastAsiaTheme="minorEastAsia" w:cstheme="minorEastAsia"/>
                <w:snapToGrid/>
                <w:color w:val="auto"/>
                <w:sz w:val="21"/>
                <w:szCs w:val="21"/>
              </w:rPr>
              <w:t>0mm≤高≤2</w:t>
            </w:r>
            <w:r>
              <w:rPr>
                <w:rFonts w:hint="eastAsia" w:asciiTheme="minorEastAsia" w:hAnsiTheme="minorEastAsia" w:eastAsiaTheme="minorEastAsia" w:cstheme="minorEastAsia"/>
                <w:snapToGrid/>
                <w:color w:val="auto"/>
                <w:sz w:val="21"/>
                <w:szCs w:val="21"/>
                <w:lang w:val="en-US" w:eastAsia="zh-CN"/>
              </w:rPr>
              <w:t>10</w:t>
            </w:r>
            <w:r>
              <w:rPr>
                <w:rFonts w:hint="eastAsia" w:asciiTheme="minorEastAsia" w:hAnsiTheme="minorEastAsia" w:eastAsiaTheme="minorEastAsia" w:cstheme="minorEastAsia"/>
                <w:snapToGrid/>
                <w:color w:val="auto"/>
                <w:sz w:val="21"/>
                <w:szCs w:val="21"/>
              </w:rPr>
              <w:t>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7</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驱动方式</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前置前驱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8</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宋体" w:hAnsi="宋体" w:eastAsia="宋体" w:cs="宋体"/>
                <w:i w:val="0"/>
                <w:iCs w:val="0"/>
                <w:color w:val="000000"/>
                <w:kern w:val="0"/>
                <w:sz w:val="21"/>
                <w:szCs w:val="21"/>
                <w:u w:val="none"/>
                <w:lang w:val="en-US" w:eastAsia="zh-CN" w:bidi="ar"/>
              </w:rPr>
              <w:t>★</w:t>
            </w:r>
            <w:r>
              <w:rPr>
                <w:rFonts w:hint="eastAsia" w:asciiTheme="minorEastAsia" w:hAnsiTheme="minorEastAsia" w:eastAsiaTheme="minorEastAsia" w:cstheme="minorEastAsia"/>
                <w:snapToGrid/>
                <w:color w:val="auto"/>
                <w:sz w:val="21"/>
                <w:szCs w:val="21"/>
              </w:rPr>
              <w:t>警用涂装</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警用涂装，符合《2004式警车汽车类外观制式涂装规范》，配置长排警灯，配置功率不小于100瓦的警报器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9</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投标车型</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多用途乘用车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10</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★排放标准</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符合≥国六</w:t>
            </w:r>
            <w:r>
              <w:rPr>
                <w:rFonts w:hint="eastAsia" w:asciiTheme="minorEastAsia" w:hAnsiTheme="minorEastAsia" w:eastAsiaTheme="minorEastAsia" w:cstheme="minorEastAsia"/>
                <w:i w:val="0"/>
                <w:color w:val="auto"/>
                <w:kern w:val="0"/>
                <w:sz w:val="21"/>
                <w:szCs w:val="21"/>
                <w:u w:val="none"/>
                <w:lang w:val="en-US" w:eastAsia="zh-CN" w:bidi="ar"/>
              </w:rPr>
              <w:t>B</w:t>
            </w:r>
            <w:r>
              <w:rPr>
                <w:rFonts w:hint="eastAsia" w:asciiTheme="minorEastAsia" w:hAnsiTheme="minorEastAsia" w:eastAsiaTheme="minorEastAsia" w:cstheme="minorEastAsia"/>
                <w:b/>
                <w:bCs/>
                <w:i w:val="0"/>
                <w:color w:val="auto"/>
                <w:kern w:val="0"/>
                <w:sz w:val="21"/>
                <w:szCs w:val="21"/>
                <w:u w:val="none"/>
                <w:lang w:val="en-US" w:eastAsia="zh-CN" w:bidi="ar"/>
              </w:rPr>
              <w:t>（须提供机动车环保网查询截图并加盖投标人公章）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11</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总质量</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2.8t≤总质量≤3.3t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12</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发动机进气形式</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涡轮增压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13</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轴距</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2800mm≤轴距≤3000mm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14</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最大功率</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≥160kW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15</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宋体" w:hAnsi="宋体" w:cs="宋体"/>
                <w:b/>
                <w:color w:val="000000"/>
                <w:sz w:val="21"/>
                <w:szCs w:val="21"/>
              </w:rPr>
              <w:t>△</w:t>
            </w:r>
            <w:r>
              <w:rPr>
                <w:rFonts w:hint="eastAsia" w:asciiTheme="minorEastAsia" w:hAnsiTheme="minorEastAsia" w:eastAsiaTheme="minorEastAsia" w:cstheme="minorEastAsia"/>
                <w:snapToGrid/>
                <w:color w:val="auto"/>
                <w:sz w:val="21"/>
                <w:szCs w:val="21"/>
              </w:rPr>
              <w:t>油箱</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≥80L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16</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变速箱</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自动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17</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宋体" w:hAnsi="宋体" w:cs="宋体"/>
                <w:b/>
                <w:color w:val="000000"/>
                <w:sz w:val="21"/>
                <w:szCs w:val="21"/>
              </w:rPr>
              <w:t>△</w:t>
            </w:r>
            <w:r>
              <w:rPr>
                <w:rFonts w:hint="eastAsia" w:asciiTheme="minorEastAsia" w:hAnsiTheme="minorEastAsia" w:eastAsiaTheme="minorEastAsia" w:cstheme="minorEastAsia"/>
                <w:snapToGrid/>
                <w:color w:val="auto"/>
                <w:sz w:val="21"/>
                <w:szCs w:val="21"/>
              </w:rPr>
              <w:t>前进挡</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≥8前进挡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18</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驻车制动</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电子手刹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19</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车身结构</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承载式车身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20</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ABS</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21</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乘员</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人数≥8人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22</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气囊</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主驾驶气囊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23</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LED灯光</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LED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24</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尾门</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对开式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25</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倒车雷达</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26</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lang w:val="en-US" w:eastAsia="zh-CN"/>
              </w:rPr>
              <w:t>倒车</w:t>
            </w:r>
            <w:r>
              <w:rPr>
                <w:rFonts w:hint="eastAsia" w:asciiTheme="minorEastAsia" w:hAnsiTheme="minorEastAsia" w:eastAsiaTheme="minorEastAsia" w:cstheme="minorEastAsia"/>
                <w:snapToGrid/>
                <w:color w:val="auto"/>
                <w:sz w:val="21"/>
                <w:szCs w:val="21"/>
              </w:rPr>
              <w:t>影像</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27</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★车辆排放标准需符合北京政策，能在北京上牌</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蓝牌，C1驾照以上可驾驶</w:t>
            </w:r>
            <w:r>
              <w:rPr>
                <w:rFonts w:hint="eastAsia" w:asciiTheme="minorEastAsia" w:hAnsiTheme="minorEastAsia" w:eastAsiaTheme="minorEastAsia" w:cstheme="minorEastAsia"/>
                <w:b/>
                <w:bCs/>
                <w:color w:val="auto"/>
                <w:w w:val="95"/>
                <w:kern w:val="0"/>
                <w:sz w:val="21"/>
                <w:szCs w:val="21"/>
                <w:lang w:val="en-US" w:eastAsia="zh-CN" w:bidi="ar-SA"/>
              </w:rPr>
              <w:t>(投标人须提供书面承诺，并盖单位公章)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28</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接近角</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29</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离去角</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30</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宋体" w:hAnsi="宋体" w:cs="宋体"/>
                <w:b/>
                <w:color w:val="000000"/>
                <w:sz w:val="21"/>
                <w:szCs w:val="21"/>
              </w:rPr>
              <w:t>△</w:t>
            </w:r>
            <w:r>
              <w:rPr>
                <w:rFonts w:hint="eastAsia" w:asciiTheme="minorEastAsia" w:hAnsiTheme="minorEastAsia" w:eastAsiaTheme="minorEastAsia" w:cstheme="minorEastAsia"/>
                <w:snapToGrid/>
                <w:color w:val="auto"/>
                <w:sz w:val="21"/>
                <w:szCs w:val="21"/>
              </w:rPr>
              <w:t>轮胎数量</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≥5条（含全尺寸备胎）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31</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最高车速</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≥170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32</w:t>
            </w:r>
          </w:p>
        </w:tc>
        <w:tc>
          <w:tcPr>
            <w:tcW w:w="2946"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定速巡航</w:t>
            </w:r>
          </w:p>
        </w:tc>
        <w:tc>
          <w:tcPr>
            <w:tcW w:w="5274" w:type="dxa"/>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33</w:t>
            </w:r>
          </w:p>
        </w:tc>
        <w:tc>
          <w:tcPr>
            <w:tcW w:w="2946"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中门开启方式</w:t>
            </w:r>
          </w:p>
        </w:tc>
        <w:tc>
          <w:tcPr>
            <w:tcW w:w="5274"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平开侧滑门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34</w:t>
            </w:r>
          </w:p>
        </w:tc>
        <w:tc>
          <w:tcPr>
            <w:tcW w:w="2946"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遥控钥匙</w:t>
            </w:r>
          </w:p>
        </w:tc>
        <w:tc>
          <w:tcPr>
            <w:tcW w:w="5274"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35</w:t>
            </w:r>
          </w:p>
        </w:tc>
        <w:tc>
          <w:tcPr>
            <w:tcW w:w="2946"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中控锁</w:t>
            </w:r>
          </w:p>
        </w:tc>
        <w:tc>
          <w:tcPr>
            <w:tcW w:w="5274"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36</w:t>
            </w:r>
          </w:p>
        </w:tc>
        <w:tc>
          <w:tcPr>
            <w:tcW w:w="2946"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空调</w:t>
            </w:r>
          </w:p>
        </w:tc>
        <w:tc>
          <w:tcPr>
            <w:tcW w:w="5274"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冷暖空调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37</w:t>
            </w:r>
          </w:p>
        </w:tc>
        <w:tc>
          <w:tcPr>
            <w:tcW w:w="2946"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胎压监测</w:t>
            </w:r>
          </w:p>
        </w:tc>
        <w:tc>
          <w:tcPr>
            <w:tcW w:w="5274"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41" w:type="dxa"/>
          </w:tcPr>
          <w:p>
            <w:pPr>
              <w:kinsoku/>
              <w:autoSpaceDE/>
              <w:autoSpaceDN/>
              <w:adjustRightInd/>
              <w:snapToGrid/>
              <w:spacing w:after="0"/>
              <w:jc w:val="center"/>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38</w:t>
            </w:r>
          </w:p>
        </w:tc>
        <w:tc>
          <w:tcPr>
            <w:tcW w:w="2946"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制动器类型</w:t>
            </w:r>
          </w:p>
        </w:tc>
        <w:tc>
          <w:tcPr>
            <w:tcW w:w="5274" w:type="dxa"/>
            <w:noWrap/>
          </w:tcPr>
          <w:p>
            <w:pPr>
              <w:kinsoku/>
              <w:autoSpaceDE/>
              <w:autoSpaceDN/>
              <w:adjustRightInd/>
              <w:snapToGrid/>
              <w:spacing w:after="0"/>
              <w:textAlignment w:val="auto"/>
              <w:rPr>
                <w:rFonts w:hint="eastAsia"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前后盘刹</w:t>
            </w:r>
          </w:p>
        </w:tc>
      </w:tr>
    </w:tbl>
    <w:p>
      <w:pPr>
        <w:pStyle w:val="19"/>
        <w:ind w:left="0" w:leftChars="0" w:firstLine="0" w:firstLineChars="0"/>
        <w:rPr>
          <w:rFonts w:ascii="宋体" w:hAnsi="宋体" w:cs="宋体"/>
          <w:b/>
          <w:color w:val="000000"/>
          <w:sz w:val="21"/>
          <w:szCs w:val="21"/>
        </w:rPr>
      </w:pPr>
      <w:r>
        <w:rPr>
          <w:rFonts w:hint="eastAsia" w:asciiTheme="minorEastAsia" w:hAnsiTheme="minorEastAsia" w:eastAsiaTheme="minorEastAsia" w:cstheme="minorEastAsia"/>
          <w:b/>
          <w:bCs/>
          <w:color w:val="000000"/>
          <w:sz w:val="21"/>
          <w:szCs w:val="21"/>
        </w:rPr>
        <w:t>说明：标注★的项目为必须实质满足项，不满足为未实质响应，视为投标无效。</w:t>
      </w:r>
    </w:p>
    <w:p>
      <w:pPr>
        <w:widowControl/>
        <w:spacing w:after="0" w:line="240" w:lineRule="auto"/>
        <w:jc w:val="left"/>
        <w:rPr>
          <w:rFonts w:asciiTheme="minorEastAsia" w:hAnsiTheme="minorEastAsia" w:eastAsiaTheme="minorEastAsia" w:cstheme="minorEastAsia"/>
          <w:b/>
          <w:bCs/>
          <w:color w:val="000000"/>
          <w:kern w:val="0"/>
          <w:szCs w:val="21"/>
        </w:rPr>
      </w:pPr>
      <w:r>
        <w:rPr>
          <w:rFonts w:asciiTheme="minorEastAsia" w:hAnsiTheme="minorEastAsia" w:eastAsiaTheme="minorEastAsia" w:cstheme="minorEastAsia"/>
          <w:b/>
          <w:bCs/>
          <w:color w:val="000000"/>
          <w:szCs w:val="21"/>
        </w:rPr>
        <w:br w:type="page"/>
      </w:r>
    </w:p>
    <w:p>
      <w:pPr>
        <w:pStyle w:val="34"/>
        <w:ind w:firstLine="632" w:firstLineChars="300"/>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w:t>
      </w:r>
      <w:r>
        <w:rPr>
          <w:rFonts w:hint="eastAsia" w:asciiTheme="minorEastAsia" w:hAnsiTheme="minorEastAsia" w:eastAsiaTheme="minorEastAsia" w:cstheme="minorEastAsia"/>
          <w:b/>
          <w:bCs/>
          <w:color w:val="000000"/>
          <w:sz w:val="21"/>
          <w:szCs w:val="21"/>
          <w:lang w:eastAsia="zh-CN"/>
        </w:rPr>
        <w:t>二型</w:t>
      </w:r>
      <w:r>
        <w:rPr>
          <w:rFonts w:hint="eastAsia" w:asciiTheme="minorEastAsia" w:hAnsiTheme="minorEastAsia" w:eastAsiaTheme="minorEastAsia" w:cstheme="minorEastAsia"/>
          <w:b/>
          <w:bCs/>
          <w:color w:val="000000"/>
          <w:sz w:val="21"/>
          <w:szCs w:val="21"/>
        </w:rPr>
        <w:t>商务车（2</w:t>
      </w:r>
      <w:r>
        <w:rPr>
          <w:rFonts w:hint="eastAsia" w:asciiTheme="minorEastAsia" w:hAnsiTheme="minorEastAsia" w:eastAsiaTheme="minorEastAsia" w:cstheme="minorEastAsia"/>
          <w:b/>
          <w:bCs/>
          <w:color w:val="000000"/>
          <w:sz w:val="21"/>
          <w:szCs w:val="21"/>
          <w:lang w:eastAsia="zh-CN"/>
        </w:rPr>
        <w:t>辆</w:t>
      </w:r>
      <w:r>
        <w:rPr>
          <w:rFonts w:hint="eastAsia" w:asciiTheme="minorEastAsia" w:hAnsiTheme="minorEastAsia" w:eastAsiaTheme="minorEastAsia" w:cstheme="minorEastAsia"/>
          <w:b/>
          <w:bCs/>
          <w:color w:val="000000"/>
          <w:sz w:val="21"/>
          <w:szCs w:val="21"/>
        </w:rPr>
        <w:t>）</w:t>
      </w:r>
    </w:p>
    <w:tbl>
      <w:tblPr>
        <w:tblStyle w:val="20"/>
        <w:tblW w:w="885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2331"/>
        <w:gridCol w:w="5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3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57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★车型要求</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车型必须为列入《道路机动车辆生产企业及产品公告》目录中的产品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nil"/>
              <w:left w:val="single" w:color="000000" w:sz="8" w:space="0"/>
              <w:bottom w:val="nil"/>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1" w:type="dxa"/>
            <w:tcBorders>
              <w:top w:val="nil"/>
              <w:left w:val="nil"/>
              <w:bottom w:val="nil"/>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★排量</w:t>
            </w:r>
          </w:p>
        </w:tc>
        <w:tc>
          <w:tcPr>
            <w:tcW w:w="5785" w:type="dxa"/>
            <w:tcBorders>
              <w:top w:val="nil"/>
              <w:left w:val="nil"/>
              <w:bottom w:val="nil"/>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1900ml≤排量≤2000ml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56"/>
                <w:lang w:val="en-US" w:eastAsia="zh-CN" w:bidi="ar"/>
              </w:rPr>
              <w:t>外形尺寸</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5200mm≤长≤5300mm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1800mm≤宽≤1900mm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1800mm≤高≤1</w:t>
            </w: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驱动方式</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★警用涂装</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警用涂装，符合《2004式警车汽车类外观制式涂装规范》，配置长排警灯，配置功率不小于100瓦的警报器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投标车型</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多用途乘用车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★排放标准</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56"/>
                <w:lang w:val="en-US" w:eastAsia="zh-CN" w:bidi="ar"/>
              </w:rPr>
              <w:t>符合≥国六B</w:t>
            </w:r>
            <w:r>
              <w:rPr>
                <w:rFonts w:hint="eastAsia" w:ascii="宋体" w:hAnsi="宋体" w:eastAsia="宋体" w:cs="宋体"/>
                <w:b/>
                <w:bCs/>
                <w:i w:val="0"/>
                <w:iCs w:val="0"/>
                <w:color w:val="000000"/>
                <w:kern w:val="0"/>
                <w:sz w:val="21"/>
                <w:szCs w:val="21"/>
                <w:u w:val="none"/>
                <w:lang w:val="en-US" w:eastAsia="zh-CN" w:bidi="ar"/>
              </w:rPr>
              <w:t>（须提供机动车环保网查询截图并加盖投标人公章）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总质量</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2.5t≤总质量≤2.6t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发动机进气形式</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3050mm≤轴距≤3100mm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最大功率</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△油箱</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△前进挡</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≥9前进挡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驻车制动</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电子手刹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车身结构</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承载式车身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21</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乘员</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人数≥7人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23</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气囊</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主副驾驶气囊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4</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LED灯光</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倒车影像</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6</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★车辆排放标准需符合北京政策，能在北京上牌</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56"/>
                <w:lang w:val="en-US" w:eastAsia="zh-CN" w:bidi="ar"/>
              </w:rPr>
              <w:t>蓝牌，C1驾照以上可驾驶</w:t>
            </w:r>
            <w:r>
              <w:rPr>
                <w:rFonts w:hint="eastAsia" w:ascii="宋体" w:hAnsi="宋体" w:eastAsia="宋体" w:cs="宋体"/>
                <w:b/>
                <w:bCs/>
                <w:i w:val="0"/>
                <w:iCs w:val="0"/>
                <w:color w:val="000000"/>
                <w:kern w:val="0"/>
                <w:sz w:val="21"/>
                <w:szCs w:val="21"/>
                <w:u w:val="none"/>
                <w:lang w:val="en-US" w:eastAsia="zh-CN" w:bidi="ar"/>
              </w:rPr>
              <w:t>(投标人须提供书面承诺，并盖单位公章)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7</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发动机缸体材料</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8</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液晶仪表尺寸</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9</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前悬挂类型</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麦弗逊式独立悬挂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后悬挂类型</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多连杆式独立悬挂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1</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最高车速</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32</w:t>
            </w:r>
          </w:p>
        </w:tc>
        <w:tc>
          <w:tcPr>
            <w:tcW w:w="2331"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定速巡航</w:t>
            </w:r>
          </w:p>
        </w:tc>
        <w:tc>
          <w:tcPr>
            <w:tcW w:w="5785"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电动侧滑门</w:t>
            </w:r>
          </w:p>
        </w:tc>
        <w:tc>
          <w:tcPr>
            <w:tcW w:w="5785" w:type="dxa"/>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右侧电动侧滑门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无钥匙启动</w:t>
            </w:r>
          </w:p>
        </w:tc>
        <w:tc>
          <w:tcPr>
            <w:tcW w:w="5785" w:type="dxa"/>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5785" w:type="dxa"/>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胎压监测</w:t>
            </w:r>
          </w:p>
        </w:tc>
        <w:tc>
          <w:tcPr>
            <w:tcW w:w="5785" w:type="dxa"/>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制动器类型</w:t>
            </w:r>
          </w:p>
        </w:tc>
        <w:tc>
          <w:tcPr>
            <w:tcW w:w="5785" w:type="dxa"/>
            <w:tcBorders>
              <w:top w:val="nil"/>
              <w:left w:val="nil"/>
              <w:bottom w:val="single" w:color="000000" w:sz="8" w:space="0"/>
              <w:right w:val="single" w:color="000000" w:sz="8" w:space="0"/>
            </w:tcBorders>
            <w:shd w:val="clear" w:color="auto" w:fill="FFFFFF"/>
            <w:noWrap/>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前后盘刹</w:t>
            </w:r>
          </w:p>
        </w:tc>
      </w:tr>
    </w:tbl>
    <w:p>
      <w:pPr>
        <w:pStyle w:val="19"/>
        <w:ind w:left="0" w:leftChars="0" w:firstLine="0" w:firstLineChars="0"/>
        <w:rPr>
          <w:rFonts w:ascii="宋体" w:hAnsi="宋体" w:cs="宋体"/>
          <w:b/>
          <w:color w:val="000000"/>
          <w:sz w:val="21"/>
          <w:szCs w:val="21"/>
        </w:rPr>
      </w:pPr>
      <w:r>
        <w:rPr>
          <w:rFonts w:hint="eastAsia" w:asciiTheme="minorEastAsia" w:hAnsiTheme="minorEastAsia" w:eastAsiaTheme="minorEastAsia" w:cstheme="minorEastAsia"/>
          <w:b/>
          <w:bCs/>
          <w:color w:val="000000"/>
          <w:sz w:val="21"/>
          <w:szCs w:val="21"/>
        </w:rPr>
        <w:t>说明：标注★的项目为必须实质满足项，不满足为未实质响应，视为投标无效。</w:t>
      </w:r>
    </w:p>
    <w:p>
      <w:pPr>
        <w:spacing w:after="0"/>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b/>
          <w:bCs/>
        </w:rPr>
      </w:pPr>
      <w:r>
        <w:rPr>
          <w:rFonts w:hint="eastAsia"/>
          <w:b/>
          <w:bCs/>
          <w:lang w:eastAsia="zh-CN"/>
        </w:rPr>
        <w:t>二</w:t>
      </w:r>
      <w:r>
        <w:rPr>
          <w:rFonts w:hint="eastAsia"/>
          <w:b/>
          <w:bCs/>
        </w:rPr>
        <w:t>、车辆改装设计要求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(1)技术方案应包括车辆总体布置图、配置清单，要求与最终改装效果相同，能够清楚表现出车内相应设备的摆放及部署安装位置，体现改装需求中提出的相应要求如尺寸、布局合理性等。</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(2)设计过程中必须考虑到实际使用中的快速、便捷、安全、性能稳定，能够保障车辆随时处理突发事件。</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(3)设计过程中要考虑车辆使用环境为全天候，适应各种天气与气候。</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b/>
          <w:bCs/>
        </w:rPr>
      </w:pPr>
      <w:r>
        <w:rPr>
          <w:rFonts w:hint="eastAsia"/>
          <w:b/>
          <w:bCs/>
          <w:lang w:eastAsia="zh-CN"/>
        </w:rPr>
        <w:t>三</w:t>
      </w:r>
      <w:r>
        <w:rPr>
          <w:rFonts w:hint="eastAsia"/>
          <w:b/>
          <w:bCs/>
        </w:rPr>
        <w:t>、基本技术要求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(1)保证技术及设备的先进性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(2)具备良好的实用性。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(3)保证设备运行的稳定性和可靠性。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(4)保证设计的标准化。</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(5)保证使用的安全性。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(6)保证设备的通用性。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(7)保证有良好的技术支持和售后服务。</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(8)保证车辆改装设计及设备使用的协调性及合理性。</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b/>
          <w:bCs/>
        </w:rPr>
      </w:pPr>
      <w:r>
        <w:rPr>
          <w:rFonts w:hint="eastAsia"/>
          <w:b/>
          <w:bCs/>
          <w:lang w:eastAsia="zh-CN"/>
        </w:rPr>
        <w:t>四</w:t>
      </w:r>
      <w:r>
        <w:rPr>
          <w:rFonts w:hint="eastAsia"/>
          <w:b/>
          <w:bCs/>
        </w:rPr>
        <w:t>、基本功能指标</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(1)自然环境条件适应性、车辆应适合于使用地区的气候环境。</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(2) 适用于城市环境、山区公路环境。要考虑到车辆的运输方式、补给、储存及警示性。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(3)标准化;应使用具有国家标准的零配件。</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(4)可靠性;改装后应保证基础车型及所选装的机电设备原有的可靠性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(5)维修性:改装后应保证基础车型和所选装机电设备原有的维修性。</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(6)安全性:改装后应保证基础车型和所选装机电设备原有的安全性。</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b/>
          <w:bCs/>
        </w:rPr>
      </w:pPr>
      <w:r>
        <w:rPr>
          <w:rFonts w:hint="eastAsia"/>
          <w:b/>
          <w:bCs/>
          <w:lang w:eastAsia="zh-CN"/>
        </w:rPr>
        <w:t>五</w:t>
      </w:r>
      <w:r>
        <w:rPr>
          <w:rFonts w:hint="eastAsia"/>
          <w:b/>
          <w:bCs/>
        </w:rPr>
        <w:t>、设计技术要求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(1)运输机动性要求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①车辆的使用性能不改变基础车型的使用要求。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②纵向通过角符合基础车型的技术要求。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(2) 保障性要求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①具备使用说明书、设计说明书、维修手册等技术性文件。</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②具备必要的备件，备件清单详细、准确，备件包装、存放合理。</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③提供必要的维修工具。</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④确定适合的防护、运输、储存方式及有关约束条件。</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(3) 车辆外观涂装</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符合GA923-2011《公安特警专用车辆外观制式涂装规范》标准GA 524-2004《2004式警车汽车类外观制式涂装规范》标准。</w:t>
      </w:r>
    </w:p>
    <w:p>
      <w:pPr>
        <w:pStyle w:val="2"/>
        <w:ind w:firstLine="420" w:firstLineChars="200"/>
        <w:rPr>
          <w:rFonts w:hint="eastAsia"/>
          <w:lang w:val="en-US" w:eastAsia="zh-CN"/>
        </w:rPr>
      </w:pPr>
      <w:r>
        <w:rPr>
          <w:rFonts w:hint="eastAsia"/>
        </w:rPr>
        <w:t>(</w:t>
      </w:r>
      <w:r>
        <w:rPr>
          <w:rFonts w:hint="eastAsia"/>
          <w:lang w:val="en-US" w:eastAsia="zh-CN"/>
        </w:rPr>
        <w:t>4</w:t>
      </w:r>
      <w:r>
        <w:rPr>
          <w:rFonts w:hint="eastAsia"/>
        </w:rPr>
        <w:t>) 投标车型应严格执行GB7258-2017《机动车运行安全技术条件》及相关标准要求</w:t>
      </w:r>
    </w:p>
    <w:bookmarkEnd w:id="15"/>
    <w:p>
      <w:pPr>
        <w:numPr>
          <w:ilvl w:val="0"/>
          <w:numId w:val="2"/>
        </w:numPr>
        <w:spacing w:line="360" w:lineRule="auto"/>
        <w:ind w:left="2310" w:leftChars="0" w:firstLine="602" w:firstLineChars="200"/>
        <w:rPr>
          <w:rFonts w:hint="eastAsia" w:ascii="宋体" w:hAnsi="宋体"/>
          <w:b/>
          <w:bCs/>
          <w:color w:val="auto"/>
          <w:sz w:val="30"/>
          <w:szCs w:val="30"/>
          <w:lang w:val="en-US" w:eastAsia="zh-CN"/>
        </w:rPr>
      </w:pPr>
      <w:bookmarkStart w:id="16" w:name="OLE_LINK2"/>
      <w:r>
        <w:rPr>
          <w:rFonts w:hint="eastAsia" w:ascii="宋体" w:hAnsi="宋体"/>
          <w:b/>
          <w:bCs/>
          <w:color w:val="auto"/>
          <w:sz w:val="30"/>
          <w:szCs w:val="30"/>
          <w:lang w:val="en-US" w:eastAsia="zh-CN"/>
        </w:rPr>
        <w:t>其他要求</w:t>
      </w:r>
    </w:p>
    <w:bookmarkEnd w:id="16"/>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b/>
          <w:bCs/>
          <w:lang w:eastAsia="zh-CN"/>
        </w:rPr>
      </w:pPr>
      <w:r>
        <w:rPr>
          <w:rFonts w:hint="eastAsia"/>
          <w:b/>
          <w:bCs/>
          <w:lang w:eastAsia="zh-CN"/>
        </w:rPr>
        <w:t>一、商务要求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（一）报价要求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1. 投标报价以人民币填列。</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2" w:firstLineChars="200"/>
        <w:textAlignment w:val="auto"/>
        <w:rPr>
          <w:rFonts w:hint="eastAsia"/>
          <w:b/>
          <w:bCs/>
        </w:rPr>
      </w:pPr>
      <w:r>
        <w:rPr>
          <w:rFonts w:hint="eastAsia"/>
          <w:b/>
          <w:bCs/>
        </w:rPr>
        <w:t>2. 投标人的报价应包括：车辆及附件货款、运输费、运输保险费、装卸费、安装调试费、2004式制式警车喷涂（含上装警灯警报器）、车辆购置税、机动车号牌费用及其他应有的费用。不包含机动车保险费用。投标人所报价格为最终价格。</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3. 验收及相关费用由投标人负责。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所投车辆</w:t>
      </w:r>
      <w:r>
        <w:rPr>
          <w:rFonts w:hint="eastAsia"/>
          <w:lang w:eastAsia="zh-CN"/>
        </w:rPr>
        <w:t>质保</w:t>
      </w:r>
      <w:r>
        <w:rPr>
          <w:rFonts w:hint="eastAsia"/>
        </w:rPr>
        <w:t>期限不低于3年或者行驶里程100,000公里，以先到者为准。</w:t>
      </w:r>
      <w:r>
        <w:rPr>
          <w:rFonts w:hint="eastAsia"/>
          <w:lang w:eastAsia="zh-CN"/>
        </w:rPr>
        <w:t>质保</w:t>
      </w:r>
      <w:r>
        <w:rPr>
          <w:rFonts w:hint="eastAsia"/>
        </w:rPr>
        <w:t>期自供应商开具购车发票之日起计算。</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提供所投产品制造商服务机构情况，包括地址、联系方式及技术人员数量等。</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（三）交货要求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1. 交货期：签订合同之日起</w:t>
      </w:r>
      <w:r>
        <w:rPr>
          <w:rFonts w:hint="eastAsia"/>
          <w:lang w:val="en-US" w:eastAsia="zh-CN"/>
        </w:rPr>
        <w:t>45</w:t>
      </w:r>
      <w:r>
        <w:rPr>
          <w:rFonts w:hint="eastAsia"/>
        </w:rPr>
        <w:t>日内。</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2. 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3. 提供制造商完整的随车资料、随车工具，包括完整的使用和维修手册等。</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（四）付款方式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车辆上完牌照经查验无质量问题，验收合格后采购人向中标人支付合同总额的100%，采购人付款前中标人需提供相应金额的正式发票、购置税票（或缴税证明）。中标人</w:t>
      </w:r>
      <w:r>
        <w:rPr>
          <w:rFonts w:hint="eastAsia"/>
          <w:highlight w:val="none"/>
          <w:lang w:val="en-US" w:eastAsia="zh-CN"/>
        </w:rPr>
        <w:t>提交相应金额的合规发票后，</w:t>
      </w:r>
      <w:r>
        <w:rPr>
          <w:rFonts w:hint="eastAsia"/>
        </w:rPr>
        <w:t>采购人</w:t>
      </w:r>
      <w:r>
        <w:rPr>
          <w:rFonts w:hint="eastAsia"/>
          <w:highlight w:val="none"/>
          <w:lang w:val="en-US" w:eastAsia="zh-CN"/>
        </w:rPr>
        <w:t>应当自收到发票之日起 10 个工作日内将资金支付到合同约定的账户</w:t>
      </w:r>
      <w:r>
        <w:rPr>
          <w:rFonts w:hint="eastAsia"/>
        </w:rPr>
        <w:t>。</w:t>
      </w:r>
    </w:p>
    <w:p>
      <w:pPr>
        <w:numPr>
          <w:ilvl w:val="0"/>
          <w:numId w:val="3"/>
        </w:numPr>
        <w:spacing w:after="0" w:line="480" w:lineRule="exact"/>
        <w:ind w:firstLine="420" w:firstLineChars="200"/>
        <w:rPr>
          <w:rFonts w:hint="eastAsia"/>
          <w:lang w:val="en-US" w:eastAsia="zh-CN"/>
        </w:rPr>
      </w:pPr>
      <w:r>
        <w:rPr>
          <w:rFonts w:hint="eastAsia"/>
          <w:lang w:eastAsia="zh-CN"/>
        </w:rPr>
        <w:t>履约保证金</w:t>
      </w:r>
      <w:r>
        <w:rPr>
          <w:rFonts w:hint="eastAsia"/>
          <w:lang w:val="en-US" w:eastAsia="zh-CN"/>
        </w:rPr>
        <w:t xml:space="preserve"> </w:t>
      </w:r>
    </w:p>
    <w:p>
      <w:pPr>
        <w:numPr>
          <w:ilvl w:val="0"/>
          <w:numId w:val="0"/>
        </w:numPr>
        <w:spacing w:after="0" w:line="480" w:lineRule="exact"/>
        <w:ind w:firstLine="420" w:firstLineChars="200"/>
        <w:rPr>
          <w:rFonts w:hint="eastAsia" w:eastAsia="宋体"/>
          <w:lang w:eastAsia="zh-CN"/>
        </w:rPr>
      </w:pPr>
      <w:r>
        <w:rPr>
          <w:rFonts w:hint="eastAsia" w:ascii="宋体" w:hAnsi="宋体" w:cs="宋体"/>
          <w:szCs w:val="21"/>
          <w:lang w:eastAsia="zh-CN"/>
        </w:rPr>
        <w:t>采购人收取</w:t>
      </w:r>
      <w:r>
        <w:rPr>
          <w:rFonts w:hint="eastAsia" w:ascii="宋体" w:hAnsi="宋体" w:cs="宋体"/>
          <w:szCs w:val="21"/>
        </w:rPr>
        <w:t>合同总价</w:t>
      </w:r>
      <w:r>
        <w:rPr>
          <w:rFonts w:ascii="宋体" w:hAnsi="宋体" w:cs="宋体"/>
          <w:szCs w:val="21"/>
        </w:rPr>
        <w:t>5%</w:t>
      </w:r>
      <w:r>
        <w:rPr>
          <w:rFonts w:hint="eastAsia" w:ascii="宋体" w:hAnsi="宋体" w:cs="宋体"/>
          <w:szCs w:val="21"/>
        </w:rPr>
        <w:t>的履约保证金，以</w:t>
      </w:r>
      <w:r>
        <w:rPr>
          <w:rFonts w:hint="eastAsia" w:ascii="宋体" w:hAnsi="宋体" w:cs="宋体"/>
          <w:szCs w:val="21"/>
          <w:lang w:eastAsia="zh-CN"/>
        </w:rPr>
        <w:t>采购人认可的</w:t>
      </w:r>
      <w:r>
        <w:rPr>
          <w:rFonts w:hint="eastAsia" w:ascii="宋体" w:hAnsi="宋体" w:cs="宋体"/>
          <w:szCs w:val="21"/>
        </w:rPr>
        <w:t>非现金形式缴纳。</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rPr>
      </w:pPr>
      <w:r>
        <w:rPr>
          <w:rFonts w:hint="eastAsia"/>
        </w:rPr>
        <w:t>（</w:t>
      </w:r>
      <w:r>
        <w:rPr>
          <w:rFonts w:hint="eastAsia"/>
          <w:lang w:eastAsia="zh-CN"/>
        </w:rPr>
        <w:t>六</w:t>
      </w:r>
      <w:r>
        <w:rPr>
          <w:rFonts w:hint="eastAsia"/>
        </w:rPr>
        <w:t>）验收方法及标准</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b/>
          <w:bCs/>
          <w:color w:val="auto"/>
          <w:sz w:val="30"/>
          <w:szCs w:val="30"/>
          <w:lang w:val="en-US" w:eastAsia="zh-CN"/>
        </w:rPr>
      </w:pPr>
      <w:r>
        <w:rPr>
          <w:rFonts w:hint="eastAsia"/>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p>
    <w:p>
      <w:pPr>
        <w:numPr>
          <w:ilvl w:val="0"/>
          <w:numId w:val="4"/>
        </w:numPr>
        <w:spacing w:after="0" w:line="360" w:lineRule="auto"/>
        <w:contextualSpacing/>
        <w:rPr>
          <w:rFonts w:hint="eastAsia"/>
          <w:sz w:val="24"/>
          <w:lang w:eastAsia="zh-CN"/>
        </w:rPr>
      </w:pPr>
      <w:r>
        <w:rPr>
          <w:rFonts w:hint="eastAsia"/>
          <w:b/>
          <w:bCs/>
          <w:lang w:eastAsia="zh-CN"/>
        </w:rPr>
        <w:t>包装和运输（如适用</w:t>
      </w:r>
      <w:r>
        <w:rPr>
          <w:rFonts w:hint="eastAsia"/>
          <w:sz w:val="24"/>
          <w:lang w:eastAsia="zh-CN"/>
        </w:rPr>
        <w:t>）</w:t>
      </w:r>
    </w:p>
    <w:p>
      <w:pPr>
        <w:numPr>
          <w:ilvl w:val="0"/>
          <w:numId w:val="0"/>
        </w:numPr>
        <w:spacing w:after="0" w:line="360" w:lineRule="auto"/>
        <w:ind w:firstLine="420" w:firstLineChars="200"/>
        <w:contextualSpacing/>
        <w:rPr>
          <w:rFonts w:hint="eastAsia"/>
          <w:sz w:val="24"/>
          <w:lang w:eastAsia="zh-CN"/>
        </w:rPr>
      </w:pPr>
      <w:r>
        <w:rPr>
          <w:rFonts w:hint="eastAsia"/>
        </w:rPr>
        <w:t>须满足《关于印发〈商品包装政府采购需求标准（试行）〉、〈快递包装政府采购需求标准（试行）〉的通知》（财办库﹝2020﹞123号）</w:t>
      </w:r>
      <w:r>
        <w:rPr>
          <w:rFonts w:hint="eastAsia"/>
          <w:sz w:val="24"/>
          <w:lang w:eastAsia="zh-CN"/>
        </w:rPr>
        <w:t>。</w:t>
      </w:r>
    </w:p>
    <w:p>
      <w:pPr>
        <w:numPr>
          <w:ilvl w:val="0"/>
          <w:numId w:val="4"/>
        </w:numPr>
        <w:spacing w:after="0" w:line="360" w:lineRule="auto"/>
        <w:ind w:left="0" w:leftChars="0" w:firstLine="0" w:firstLineChars="0"/>
        <w:contextualSpacing/>
        <w:rPr>
          <w:rFonts w:hint="eastAsia"/>
          <w:b/>
          <w:bCs/>
          <w:lang w:eastAsia="zh-CN"/>
        </w:rPr>
      </w:pPr>
      <w:r>
        <w:rPr>
          <w:rFonts w:hint="eastAsia"/>
          <w:b/>
          <w:bCs/>
          <w:lang w:eastAsia="zh-CN"/>
        </w:rPr>
        <w:t>保险（如适用）</w:t>
      </w:r>
    </w:p>
    <w:p>
      <w:pPr>
        <w:numPr>
          <w:ilvl w:val="0"/>
          <w:numId w:val="0"/>
        </w:numPr>
        <w:spacing w:after="0" w:line="360" w:lineRule="auto"/>
        <w:ind w:firstLine="420" w:firstLineChars="200"/>
        <w:contextualSpacing/>
        <w:rPr>
          <w:rFonts w:hint="eastAsia"/>
          <w:lang w:eastAsia="zh-CN"/>
        </w:rPr>
      </w:pPr>
      <w:r>
        <w:rPr>
          <w:rFonts w:hint="eastAsia"/>
          <w:lang w:eastAsia="zh-CN"/>
        </w:rPr>
        <w:t>本项目涉及的货物运输、施工和人员的一切保险费用和责任均由投标方承担。</w:t>
      </w:r>
    </w:p>
    <w:p>
      <w:pPr>
        <w:pStyle w:val="2"/>
        <w:rPr>
          <w:rFonts w:hint="eastAsia"/>
          <w:lang w:eastAsia="zh-CN"/>
        </w:rPr>
      </w:pPr>
    </w:p>
    <w:p>
      <w:pPr>
        <w:pStyle w:val="2"/>
        <w:rPr>
          <w:rFonts w:hint="eastAsia"/>
          <w:lang w:eastAsia="zh-CN"/>
        </w:rPr>
      </w:pPr>
    </w:p>
    <w:p>
      <w:pPr>
        <w:rPr>
          <w:rFonts w:hint="default" w:eastAsia="宋体"/>
          <w:lang w:val="en-US" w:eastAsia="zh-CN"/>
        </w:rPr>
      </w:pPr>
      <w:bookmarkStart w:id="17" w:name="_Toc99301425"/>
      <w:r>
        <w:rPr>
          <w:b/>
          <w:color w:val="auto"/>
          <w:sz w:val="36"/>
          <w:szCs w:val="36"/>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7"/>
      <w:r>
        <w:rPr>
          <w:rFonts w:hint="eastAsia"/>
          <w:b/>
          <w:color w:val="auto"/>
          <w:sz w:val="36"/>
          <w:szCs w:val="36"/>
          <w:lang w:val="en-US" w:eastAsia="zh-CN"/>
        </w:rPr>
        <w:t xml:space="preserve">                            </w:t>
      </w:r>
      <w:bookmarkStart w:id="18" w:name="_GoBack"/>
      <w:bookmarkEnd w:id="18"/>
    </w:p>
    <w:sectPr>
      <w:headerReference r:id="rId3" w:type="default"/>
      <w:footerReference r:id="rId4"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4"/>
      <w:jc w:val="center"/>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-16510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pt;height:144pt;width:144pt;mso-position-horizontal:center;mso-position-horizontal-relative:margin;mso-wrap-style:none;z-index:251659264;mso-width-relative:page;mso-height-relative:page;" filled="f" stroked="f" coordsize="21600,21600" o:gfxdata="UEsDBAoAAAAAAIdO4kAAAAAAAAAAAAAAAAAEAAAAZHJzL1BLAwQUAAAACACHTuJAk0DSR9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GxDsplnGi+NteF6D&#10;LAv5n7/8BV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QNJH1QAAAAcBAAAPAAAAAAAA&#10;AAEAIAAAACIAAABkcnMvZG93bnJldi54bWxQSwECFAAUAAAACACHTuJA1NWzYBUCAAATBAAADgAA&#10;AAAAAAABACAAAAAkAQAAZHJzL2Uyb0RvYy54bWxQSwUGAAAAAAYABgBZAQAAqwUAAAAA&#10;">
              <v:fill on="f" focussize="0,0"/>
              <v:stroke on="f" weight="0.5pt"/>
              <v:imagedata o:title=""/>
              <o:lock v:ext="edit" aspectratio="f"/>
              <v:textbox inset="0mm,0mm,0mm,0mm" style="mso-fit-shape-to-text:t;">
                <w:txbxContent>
                  <w:p>
                    <w:pPr>
                      <w:pStyle w:val="14"/>
                      <w:jc w:val="both"/>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BFC21"/>
    <w:multiLevelType w:val="singleLevel"/>
    <w:tmpl w:val="D29BFC21"/>
    <w:lvl w:ilvl="0" w:tentative="0">
      <w:start w:val="2"/>
      <w:numFmt w:val="chineseCounting"/>
      <w:suff w:val="nothing"/>
      <w:lvlText w:val="%1、"/>
      <w:lvlJc w:val="left"/>
      <w:rPr>
        <w:rFonts w:hint="eastAsia"/>
        <w:b/>
        <w:bCs/>
      </w:rPr>
    </w:lvl>
  </w:abstractNum>
  <w:abstractNum w:abstractNumId="1">
    <w:nsid w:val="1C7B8258"/>
    <w:multiLevelType w:val="singleLevel"/>
    <w:tmpl w:val="1C7B8258"/>
    <w:lvl w:ilvl="0" w:tentative="0">
      <w:start w:val="1"/>
      <w:numFmt w:val="chineseCounting"/>
      <w:suff w:val="space"/>
      <w:lvlText w:val="第%1部分"/>
      <w:lvlJc w:val="left"/>
      <w:rPr>
        <w:rFonts w:hint="eastAsia"/>
      </w:rPr>
    </w:lvl>
  </w:abstractNum>
  <w:abstractNum w:abstractNumId="2">
    <w:nsid w:val="2D60AEF4"/>
    <w:multiLevelType w:val="singleLevel"/>
    <w:tmpl w:val="2D60AEF4"/>
    <w:lvl w:ilvl="0" w:tentative="0">
      <w:start w:val="2"/>
      <w:numFmt w:val="chineseCounting"/>
      <w:suff w:val="space"/>
      <w:lvlText w:val="第%1部分"/>
      <w:lvlJc w:val="left"/>
      <w:rPr>
        <w:rFonts w:hint="eastAsia"/>
      </w:rPr>
    </w:lvl>
  </w:abstractNum>
  <w:abstractNum w:abstractNumId="3">
    <w:nsid w:val="748AEB88"/>
    <w:multiLevelType w:val="singleLevel"/>
    <w:tmpl w:val="748AEB88"/>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172A27"/>
    <w:rsid w:val="00182366"/>
    <w:rsid w:val="001833F8"/>
    <w:rsid w:val="00672DB6"/>
    <w:rsid w:val="008A079A"/>
    <w:rsid w:val="00D856F2"/>
    <w:rsid w:val="00FB2CC5"/>
    <w:rsid w:val="011B6AB8"/>
    <w:rsid w:val="01350113"/>
    <w:rsid w:val="01351777"/>
    <w:rsid w:val="013C0150"/>
    <w:rsid w:val="01ED65BB"/>
    <w:rsid w:val="020972B2"/>
    <w:rsid w:val="02123107"/>
    <w:rsid w:val="026B6BF7"/>
    <w:rsid w:val="02811267"/>
    <w:rsid w:val="02827CA1"/>
    <w:rsid w:val="02D365D0"/>
    <w:rsid w:val="02EF1337"/>
    <w:rsid w:val="0300493F"/>
    <w:rsid w:val="030228D6"/>
    <w:rsid w:val="030F0A94"/>
    <w:rsid w:val="03766107"/>
    <w:rsid w:val="039A260E"/>
    <w:rsid w:val="03CE70FD"/>
    <w:rsid w:val="03DB1BEE"/>
    <w:rsid w:val="03DE53E4"/>
    <w:rsid w:val="03E81F18"/>
    <w:rsid w:val="042135CE"/>
    <w:rsid w:val="04882B19"/>
    <w:rsid w:val="04CA4DDB"/>
    <w:rsid w:val="04F375D8"/>
    <w:rsid w:val="05002D07"/>
    <w:rsid w:val="05C85BEC"/>
    <w:rsid w:val="064B2507"/>
    <w:rsid w:val="064C3D6B"/>
    <w:rsid w:val="065B6251"/>
    <w:rsid w:val="06A31C76"/>
    <w:rsid w:val="06A7190D"/>
    <w:rsid w:val="06E66DC6"/>
    <w:rsid w:val="06F9358E"/>
    <w:rsid w:val="073678C6"/>
    <w:rsid w:val="074D576B"/>
    <w:rsid w:val="075E5A60"/>
    <w:rsid w:val="07A5696B"/>
    <w:rsid w:val="07B61DB7"/>
    <w:rsid w:val="07BF24DD"/>
    <w:rsid w:val="07CE606E"/>
    <w:rsid w:val="081C4CF5"/>
    <w:rsid w:val="086B60BF"/>
    <w:rsid w:val="087A51BB"/>
    <w:rsid w:val="09983162"/>
    <w:rsid w:val="0A2831C7"/>
    <w:rsid w:val="0A802237"/>
    <w:rsid w:val="0AF568EF"/>
    <w:rsid w:val="0B1D41C3"/>
    <w:rsid w:val="0B2277D1"/>
    <w:rsid w:val="0B476168"/>
    <w:rsid w:val="0B6B28C4"/>
    <w:rsid w:val="0B896484"/>
    <w:rsid w:val="0B9F1ED2"/>
    <w:rsid w:val="0B9F392F"/>
    <w:rsid w:val="0BCF716D"/>
    <w:rsid w:val="0BD3346C"/>
    <w:rsid w:val="0BF22EDE"/>
    <w:rsid w:val="0BF6341E"/>
    <w:rsid w:val="0C5573C1"/>
    <w:rsid w:val="0CD049AA"/>
    <w:rsid w:val="0CD61BD2"/>
    <w:rsid w:val="0D697519"/>
    <w:rsid w:val="0D786E94"/>
    <w:rsid w:val="0D831A66"/>
    <w:rsid w:val="0D841978"/>
    <w:rsid w:val="0D9B1925"/>
    <w:rsid w:val="0DE275F0"/>
    <w:rsid w:val="0E255AF8"/>
    <w:rsid w:val="0F0A25F4"/>
    <w:rsid w:val="0F5C1E89"/>
    <w:rsid w:val="0F684EEB"/>
    <w:rsid w:val="0F6C31F7"/>
    <w:rsid w:val="0F7A408A"/>
    <w:rsid w:val="0FA75CA0"/>
    <w:rsid w:val="0FBB72C1"/>
    <w:rsid w:val="107F5A25"/>
    <w:rsid w:val="10946E46"/>
    <w:rsid w:val="10B9362C"/>
    <w:rsid w:val="10FC5EF2"/>
    <w:rsid w:val="110E527E"/>
    <w:rsid w:val="11AB1672"/>
    <w:rsid w:val="12232D98"/>
    <w:rsid w:val="123D4BFC"/>
    <w:rsid w:val="12421FD4"/>
    <w:rsid w:val="124F2378"/>
    <w:rsid w:val="12696AC3"/>
    <w:rsid w:val="127408B9"/>
    <w:rsid w:val="12AC3250"/>
    <w:rsid w:val="136D220A"/>
    <w:rsid w:val="137E7F6D"/>
    <w:rsid w:val="13A354A0"/>
    <w:rsid w:val="140D4F8B"/>
    <w:rsid w:val="1420438F"/>
    <w:rsid w:val="142D71DC"/>
    <w:rsid w:val="14453C90"/>
    <w:rsid w:val="147209EF"/>
    <w:rsid w:val="14EF10EE"/>
    <w:rsid w:val="151A266A"/>
    <w:rsid w:val="152D2E30"/>
    <w:rsid w:val="15304F83"/>
    <w:rsid w:val="15486DAD"/>
    <w:rsid w:val="159D4FEC"/>
    <w:rsid w:val="15DB7EF5"/>
    <w:rsid w:val="15F75D82"/>
    <w:rsid w:val="16577539"/>
    <w:rsid w:val="165F6799"/>
    <w:rsid w:val="16634616"/>
    <w:rsid w:val="1666543C"/>
    <w:rsid w:val="166C6B95"/>
    <w:rsid w:val="1671241E"/>
    <w:rsid w:val="168449AC"/>
    <w:rsid w:val="16B27FEA"/>
    <w:rsid w:val="16B850A5"/>
    <w:rsid w:val="17792900"/>
    <w:rsid w:val="17934516"/>
    <w:rsid w:val="17C85D88"/>
    <w:rsid w:val="17FC48B5"/>
    <w:rsid w:val="17FE11EC"/>
    <w:rsid w:val="1819755B"/>
    <w:rsid w:val="185861F3"/>
    <w:rsid w:val="186B15C0"/>
    <w:rsid w:val="1892153F"/>
    <w:rsid w:val="18B17034"/>
    <w:rsid w:val="18C14FC0"/>
    <w:rsid w:val="19510A92"/>
    <w:rsid w:val="197F1FF6"/>
    <w:rsid w:val="19BF47A5"/>
    <w:rsid w:val="19E54D24"/>
    <w:rsid w:val="1A522650"/>
    <w:rsid w:val="1ADD51C9"/>
    <w:rsid w:val="1B2E1787"/>
    <w:rsid w:val="1B5456E1"/>
    <w:rsid w:val="1B640991"/>
    <w:rsid w:val="1B663F42"/>
    <w:rsid w:val="1B8060DB"/>
    <w:rsid w:val="1BBC5521"/>
    <w:rsid w:val="1BCC25D0"/>
    <w:rsid w:val="1BFC58F5"/>
    <w:rsid w:val="1C1D41A9"/>
    <w:rsid w:val="1C82588B"/>
    <w:rsid w:val="1C885BC0"/>
    <w:rsid w:val="1CA40E26"/>
    <w:rsid w:val="1D830DD5"/>
    <w:rsid w:val="1D8A1C34"/>
    <w:rsid w:val="1DED0E3A"/>
    <w:rsid w:val="1E4B763C"/>
    <w:rsid w:val="1E6C34CF"/>
    <w:rsid w:val="1EA71413"/>
    <w:rsid w:val="1EC034BB"/>
    <w:rsid w:val="1ECC774C"/>
    <w:rsid w:val="1F11217F"/>
    <w:rsid w:val="1F3E669A"/>
    <w:rsid w:val="1F9F1F7C"/>
    <w:rsid w:val="1FB86C1D"/>
    <w:rsid w:val="1FEA0F01"/>
    <w:rsid w:val="20052731"/>
    <w:rsid w:val="201D4B8D"/>
    <w:rsid w:val="20337150"/>
    <w:rsid w:val="206A7604"/>
    <w:rsid w:val="209223DF"/>
    <w:rsid w:val="20E57242"/>
    <w:rsid w:val="20FF46A1"/>
    <w:rsid w:val="21066967"/>
    <w:rsid w:val="21896C32"/>
    <w:rsid w:val="21CB28E5"/>
    <w:rsid w:val="21CD7326"/>
    <w:rsid w:val="21D16162"/>
    <w:rsid w:val="21DC3175"/>
    <w:rsid w:val="22233DEA"/>
    <w:rsid w:val="22B221B0"/>
    <w:rsid w:val="22B61B85"/>
    <w:rsid w:val="22D657D8"/>
    <w:rsid w:val="230B1785"/>
    <w:rsid w:val="23180315"/>
    <w:rsid w:val="2387085B"/>
    <w:rsid w:val="238F165A"/>
    <w:rsid w:val="23D54107"/>
    <w:rsid w:val="23EF1F51"/>
    <w:rsid w:val="23F04E68"/>
    <w:rsid w:val="240053C6"/>
    <w:rsid w:val="245049CD"/>
    <w:rsid w:val="248D27A5"/>
    <w:rsid w:val="24A53CEF"/>
    <w:rsid w:val="24AE721E"/>
    <w:rsid w:val="25025254"/>
    <w:rsid w:val="25130C3E"/>
    <w:rsid w:val="25305506"/>
    <w:rsid w:val="25983E89"/>
    <w:rsid w:val="25C354D9"/>
    <w:rsid w:val="25E23C8E"/>
    <w:rsid w:val="275A6940"/>
    <w:rsid w:val="2782759B"/>
    <w:rsid w:val="27B92C34"/>
    <w:rsid w:val="27E54EDE"/>
    <w:rsid w:val="280A6706"/>
    <w:rsid w:val="28382ECA"/>
    <w:rsid w:val="285719DB"/>
    <w:rsid w:val="2863691C"/>
    <w:rsid w:val="286612BB"/>
    <w:rsid w:val="287413F5"/>
    <w:rsid w:val="28904A8D"/>
    <w:rsid w:val="289273DA"/>
    <w:rsid w:val="28A63BEC"/>
    <w:rsid w:val="28E40E95"/>
    <w:rsid w:val="29375261"/>
    <w:rsid w:val="294C6E37"/>
    <w:rsid w:val="29900ED0"/>
    <w:rsid w:val="299F41DF"/>
    <w:rsid w:val="29AE6696"/>
    <w:rsid w:val="29F17E7B"/>
    <w:rsid w:val="2A2D4E51"/>
    <w:rsid w:val="2A6C46CB"/>
    <w:rsid w:val="2AE139FF"/>
    <w:rsid w:val="2B1A01BB"/>
    <w:rsid w:val="2B4B74AB"/>
    <w:rsid w:val="2B720FEC"/>
    <w:rsid w:val="2B77607F"/>
    <w:rsid w:val="2BFF41BB"/>
    <w:rsid w:val="2C7411DC"/>
    <w:rsid w:val="2C8C37A5"/>
    <w:rsid w:val="2CF82AE8"/>
    <w:rsid w:val="2CFB6636"/>
    <w:rsid w:val="2D4A3592"/>
    <w:rsid w:val="2D534D9A"/>
    <w:rsid w:val="2D840469"/>
    <w:rsid w:val="2DA61575"/>
    <w:rsid w:val="2DC92A3B"/>
    <w:rsid w:val="2DDB2C48"/>
    <w:rsid w:val="2E82032D"/>
    <w:rsid w:val="2EC311F5"/>
    <w:rsid w:val="2ED677BE"/>
    <w:rsid w:val="2F3F436C"/>
    <w:rsid w:val="2F451B53"/>
    <w:rsid w:val="2F4A475A"/>
    <w:rsid w:val="2F6C7C01"/>
    <w:rsid w:val="2F9432ED"/>
    <w:rsid w:val="2F9C244C"/>
    <w:rsid w:val="2FB9580A"/>
    <w:rsid w:val="2FD262FA"/>
    <w:rsid w:val="2FD53E2A"/>
    <w:rsid w:val="30005CA4"/>
    <w:rsid w:val="300D78AA"/>
    <w:rsid w:val="311F783F"/>
    <w:rsid w:val="31484A12"/>
    <w:rsid w:val="31514F55"/>
    <w:rsid w:val="3182601A"/>
    <w:rsid w:val="31943DAC"/>
    <w:rsid w:val="31D2648B"/>
    <w:rsid w:val="31E8345D"/>
    <w:rsid w:val="321346A0"/>
    <w:rsid w:val="321F3B9D"/>
    <w:rsid w:val="32CE46F9"/>
    <w:rsid w:val="334B1FA1"/>
    <w:rsid w:val="335F7F8F"/>
    <w:rsid w:val="34563267"/>
    <w:rsid w:val="34674B6B"/>
    <w:rsid w:val="34AD54FA"/>
    <w:rsid w:val="34D170DB"/>
    <w:rsid w:val="35676896"/>
    <w:rsid w:val="35825618"/>
    <w:rsid w:val="35A73C58"/>
    <w:rsid w:val="3617546D"/>
    <w:rsid w:val="365228B9"/>
    <w:rsid w:val="368E6B6F"/>
    <w:rsid w:val="36A54DC9"/>
    <w:rsid w:val="36C74DA5"/>
    <w:rsid w:val="36DA1AE2"/>
    <w:rsid w:val="374B4BD9"/>
    <w:rsid w:val="37A0788C"/>
    <w:rsid w:val="37AC6DEB"/>
    <w:rsid w:val="37B90566"/>
    <w:rsid w:val="37E40ACC"/>
    <w:rsid w:val="37F01991"/>
    <w:rsid w:val="38C852D2"/>
    <w:rsid w:val="38DE7D09"/>
    <w:rsid w:val="38E979E8"/>
    <w:rsid w:val="394F5A21"/>
    <w:rsid w:val="3A5A318D"/>
    <w:rsid w:val="3A7D4D79"/>
    <w:rsid w:val="3A9B419D"/>
    <w:rsid w:val="3AC92DEF"/>
    <w:rsid w:val="3AEE759E"/>
    <w:rsid w:val="3B273B50"/>
    <w:rsid w:val="3B2B2B4B"/>
    <w:rsid w:val="3B346604"/>
    <w:rsid w:val="3B3D53D6"/>
    <w:rsid w:val="3B7F3B5C"/>
    <w:rsid w:val="3B8405AE"/>
    <w:rsid w:val="3B951C95"/>
    <w:rsid w:val="3BDD2481"/>
    <w:rsid w:val="3C3D4893"/>
    <w:rsid w:val="3C682411"/>
    <w:rsid w:val="3C8D3A3D"/>
    <w:rsid w:val="3CC8615B"/>
    <w:rsid w:val="3CEA556A"/>
    <w:rsid w:val="3D1B0F42"/>
    <w:rsid w:val="3D5A0713"/>
    <w:rsid w:val="3D907320"/>
    <w:rsid w:val="3DC849FE"/>
    <w:rsid w:val="3E046108"/>
    <w:rsid w:val="3E6A045F"/>
    <w:rsid w:val="3EB96E1E"/>
    <w:rsid w:val="3ED8218F"/>
    <w:rsid w:val="3EFC2440"/>
    <w:rsid w:val="3F3D49DF"/>
    <w:rsid w:val="3F502B43"/>
    <w:rsid w:val="3FAE614B"/>
    <w:rsid w:val="3FF852A0"/>
    <w:rsid w:val="40CF47D4"/>
    <w:rsid w:val="40FC3C9F"/>
    <w:rsid w:val="41186B87"/>
    <w:rsid w:val="413C7FFC"/>
    <w:rsid w:val="41901A2C"/>
    <w:rsid w:val="41942C79"/>
    <w:rsid w:val="41BB4060"/>
    <w:rsid w:val="41F51640"/>
    <w:rsid w:val="42123454"/>
    <w:rsid w:val="422E7F43"/>
    <w:rsid w:val="4230679F"/>
    <w:rsid w:val="423D09FF"/>
    <w:rsid w:val="42A93F00"/>
    <w:rsid w:val="430A54B9"/>
    <w:rsid w:val="432F3DB4"/>
    <w:rsid w:val="432F6D6A"/>
    <w:rsid w:val="43605151"/>
    <w:rsid w:val="43622EBB"/>
    <w:rsid w:val="43803C54"/>
    <w:rsid w:val="438050B7"/>
    <w:rsid w:val="44290B83"/>
    <w:rsid w:val="4468162B"/>
    <w:rsid w:val="446F42D3"/>
    <w:rsid w:val="45220EE9"/>
    <w:rsid w:val="4523616E"/>
    <w:rsid w:val="4577281B"/>
    <w:rsid w:val="45A94060"/>
    <w:rsid w:val="45EF5267"/>
    <w:rsid w:val="45F11809"/>
    <w:rsid w:val="463866E7"/>
    <w:rsid w:val="465F55A8"/>
    <w:rsid w:val="4667281E"/>
    <w:rsid w:val="46AD21E9"/>
    <w:rsid w:val="46AD69EC"/>
    <w:rsid w:val="46CC12C5"/>
    <w:rsid w:val="46D8086B"/>
    <w:rsid w:val="470F2706"/>
    <w:rsid w:val="4728397B"/>
    <w:rsid w:val="47CE14DD"/>
    <w:rsid w:val="47D82769"/>
    <w:rsid w:val="47E30849"/>
    <w:rsid w:val="48095BCB"/>
    <w:rsid w:val="48160576"/>
    <w:rsid w:val="4828457C"/>
    <w:rsid w:val="485201EC"/>
    <w:rsid w:val="48E022D8"/>
    <w:rsid w:val="49307703"/>
    <w:rsid w:val="49650BB4"/>
    <w:rsid w:val="49915489"/>
    <w:rsid w:val="49A3022A"/>
    <w:rsid w:val="49A63B7C"/>
    <w:rsid w:val="49DE797D"/>
    <w:rsid w:val="49F83894"/>
    <w:rsid w:val="4A653DAC"/>
    <w:rsid w:val="4B59798C"/>
    <w:rsid w:val="4B6771CC"/>
    <w:rsid w:val="4BB13DED"/>
    <w:rsid w:val="4C1A3882"/>
    <w:rsid w:val="4C46357F"/>
    <w:rsid w:val="4C5E28A3"/>
    <w:rsid w:val="4C913D4F"/>
    <w:rsid w:val="4CE93365"/>
    <w:rsid w:val="4D007D94"/>
    <w:rsid w:val="4D662BF6"/>
    <w:rsid w:val="4DA41A4D"/>
    <w:rsid w:val="4DB33393"/>
    <w:rsid w:val="4DEB259B"/>
    <w:rsid w:val="4E09369C"/>
    <w:rsid w:val="4E172B60"/>
    <w:rsid w:val="4E2B6338"/>
    <w:rsid w:val="4E3C5B07"/>
    <w:rsid w:val="4E815B5A"/>
    <w:rsid w:val="4EA07CDC"/>
    <w:rsid w:val="4F0816A7"/>
    <w:rsid w:val="4F166CAA"/>
    <w:rsid w:val="4F537250"/>
    <w:rsid w:val="4F5920E1"/>
    <w:rsid w:val="4F5A1F2F"/>
    <w:rsid w:val="4F5E26FA"/>
    <w:rsid w:val="4FB66F57"/>
    <w:rsid w:val="4FD91E9E"/>
    <w:rsid w:val="501D51E2"/>
    <w:rsid w:val="50266403"/>
    <w:rsid w:val="50381CEC"/>
    <w:rsid w:val="50657286"/>
    <w:rsid w:val="50966381"/>
    <w:rsid w:val="50A21D1B"/>
    <w:rsid w:val="50DA2080"/>
    <w:rsid w:val="51023EEF"/>
    <w:rsid w:val="51562339"/>
    <w:rsid w:val="518E0A93"/>
    <w:rsid w:val="523E1464"/>
    <w:rsid w:val="52701965"/>
    <w:rsid w:val="537F777F"/>
    <w:rsid w:val="538042E5"/>
    <w:rsid w:val="53C15ED5"/>
    <w:rsid w:val="540A1895"/>
    <w:rsid w:val="54190912"/>
    <w:rsid w:val="546859E3"/>
    <w:rsid w:val="547B385E"/>
    <w:rsid w:val="54C63A82"/>
    <w:rsid w:val="54ED6EDB"/>
    <w:rsid w:val="54FB3042"/>
    <w:rsid w:val="554651BC"/>
    <w:rsid w:val="55C75F4D"/>
    <w:rsid w:val="563206D9"/>
    <w:rsid w:val="56645477"/>
    <w:rsid w:val="566A2E50"/>
    <w:rsid w:val="56C620E4"/>
    <w:rsid w:val="57607534"/>
    <w:rsid w:val="578E4608"/>
    <w:rsid w:val="579E614C"/>
    <w:rsid w:val="57CE7633"/>
    <w:rsid w:val="58047176"/>
    <w:rsid w:val="581058F3"/>
    <w:rsid w:val="58535B1B"/>
    <w:rsid w:val="58A26437"/>
    <w:rsid w:val="58AD790D"/>
    <w:rsid w:val="58E2636C"/>
    <w:rsid w:val="59A76270"/>
    <w:rsid w:val="59D23BCF"/>
    <w:rsid w:val="5A215BC9"/>
    <w:rsid w:val="5A782A92"/>
    <w:rsid w:val="5A84369F"/>
    <w:rsid w:val="5AD763A0"/>
    <w:rsid w:val="5AFC602C"/>
    <w:rsid w:val="5B530DF8"/>
    <w:rsid w:val="5B5A2F49"/>
    <w:rsid w:val="5B8C28FE"/>
    <w:rsid w:val="5C9347A9"/>
    <w:rsid w:val="5CE84EE1"/>
    <w:rsid w:val="5D610F48"/>
    <w:rsid w:val="5D6F515D"/>
    <w:rsid w:val="5DA5144D"/>
    <w:rsid w:val="5DC21B32"/>
    <w:rsid w:val="5DC50182"/>
    <w:rsid w:val="5E2062CA"/>
    <w:rsid w:val="5E353499"/>
    <w:rsid w:val="5E4C4A76"/>
    <w:rsid w:val="5E63233A"/>
    <w:rsid w:val="5EBE3575"/>
    <w:rsid w:val="5F0A5DF4"/>
    <w:rsid w:val="5F663430"/>
    <w:rsid w:val="60023FF8"/>
    <w:rsid w:val="60032C60"/>
    <w:rsid w:val="601C6DD4"/>
    <w:rsid w:val="602510A2"/>
    <w:rsid w:val="60505B43"/>
    <w:rsid w:val="60780CDF"/>
    <w:rsid w:val="6089052E"/>
    <w:rsid w:val="60953B23"/>
    <w:rsid w:val="60B80B19"/>
    <w:rsid w:val="60DB6E06"/>
    <w:rsid w:val="61405825"/>
    <w:rsid w:val="61526CBA"/>
    <w:rsid w:val="61E1400B"/>
    <w:rsid w:val="61EC55E0"/>
    <w:rsid w:val="620C4C34"/>
    <w:rsid w:val="625642DC"/>
    <w:rsid w:val="626F4C46"/>
    <w:rsid w:val="62B74D8A"/>
    <w:rsid w:val="62DC59A6"/>
    <w:rsid w:val="62E724E1"/>
    <w:rsid w:val="63161BED"/>
    <w:rsid w:val="634F35C1"/>
    <w:rsid w:val="639143A5"/>
    <w:rsid w:val="639D1457"/>
    <w:rsid w:val="63B00F7A"/>
    <w:rsid w:val="63B61805"/>
    <w:rsid w:val="63BF34D9"/>
    <w:rsid w:val="63C52979"/>
    <w:rsid w:val="640A1078"/>
    <w:rsid w:val="64456CB7"/>
    <w:rsid w:val="64672EA5"/>
    <w:rsid w:val="64B56DF7"/>
    <w:rsid w:val="64C8064F"/>
    <w:rsid w:val="65161452"/>
    <w:rsid w:val="657956F2"/>
    <w:rsid w:val="657B588A"/>
    <w:rsid w:val="65B94ED4"/>
    <w:rsid w:val="65BA05BF"/>
    <w:rsid w:val="65CA4371"/>
    <w:rsid w:val="65D47836"/>
    <w:rsid w:val="65DD680A"/>
    <w:rsid w:val="6640602B"/>
    <w:rsid w:val="66925997"/>
    <w:rsid w:val="66B25EF6"/>
    <w:rsid w:val="66C41FB5"/>
    <w:rsid w:val="670859A4"/>
    <w:rsid w:val="670A6778"/>
    <w:rsid w:val="673D6800"/>
    <w:rsid w:val="673D6DA5"/>
    <w:rsid w:val="67580542"/>
    <w:rsid w:val="679807C0"/>
    <w:rsid w:val="6799704A"/>
    <w:rsid w:val="67A63587"/>
    <w:rsid w:val="67C44AEB"/>
    <w:rsid w:val="67FF539D"/>
    <w:rsid w:val="6801624E"/>
    <w:rsid w:val="68675723"/>
    <w:rsid w:val="68755BB2"/>
    <w:rsid w:val="68A34E96"/>
    <w:rsid w:val="68C13306"/>
    <w:rsid w:val="691B0194"/>
    <w:rsid w:val="69491E1C"/>
    <w:rsid w:val="69795ABB"/>
    <w:rsid w:val="69C51B11"/>
    <w:rsid w:val="6A977B61"/>
    <w:rsid w:val="6B4F26EF"/>
    <w:rsid w:val="6B753EEF"/>
    <w:rsid w:val="6B817F25"/>
    <w:rsid w:val="6B9E01ED"/>
    <w:rsid w:val="6BD77DEC"/>
    <w:rsid w:val="6BF82C3C"/>
    <w:rsid w:val="6C1B05F0"/>
    <w:rsid w:val="6C86177E"/>
    <w:rsid w:val="6D580613"/>
    <w:rsid w:val="6D5F64CF"/>
    <w:rsid w:val="6D803628"/>
    <w:rsid w:val="6D8B4857"/>
    <w:rsid w:val="6D9A00DD"/>
    <w:rsid w:val="6DFF7BC4"/>
    <w:rsid w:val="6E0179B3"/>
    <w:rsid w:val="6E032C05"/>
    <w:rsid w:val="6E8F4377"/>
    <w:rsid w:val="6ED74BAA"/>
    <w:rsid w:val="6F8B5D51"/>
    <w:rsid w:val="6F8E3263"/>
    <w:rsid w:val="6FB22D12"/>
    <w:rsid w:val="6FBB4B00"/>
    <w:rsid w:val="70052F7A"/>
    <w:rsid w:val="700E0004"/>
    <w:rsid w:val="705534BD"/>
    <w:rsid w:val="71200480"/>
    <w:rsid w:val="713C0DD3"/>
    <w:rsid w:val="715A2B8F"/>
    <w:rsid w:val="7161478E"/>
    <w:rsid w:val="71657DB8"/>
    <w:rsid w:val="716D7B2E"/>
    <w:rsid w:val="719D7F21"/>
    <w:rsid w:val="71B4726D"/>
    <w:rsid w:val="72073BAF"/>
    <w:rsid w:val="72165B5B"/>
    <w:rsid w:val="722B6021"/>
    <w:rsid w:val="723B701D"/>
    <w:rsid w:val="72665DB0"/>
    <w:rsid w:val="727D08CB"/>
    <w:rsid w:val="73367407"/>
    <w:rsid w:val="73475CB3"/>
    <w:rsid w:val="73635054"/>
    <w:rsid w:val="73722F12"/>
    <w:rsid w:val="73F47688"/>
    <w:rsid w:val="74F93F7F"/>
    <w:rsid w:val="755C0389"/>
    <w:rsid w:val="756F4B01"/>
    <w:rsid w:val="757A10E2"/>
    <w:rsid w:val="75811B67"/>
    <w:rsid w:val="75A05B0A"/>
    <w:rsid w:val="76196986"/>
    <w:rsid w:val="76293100"/>
    <w:rsid w:val="763B3222"/>
    <w:rsid w:val="767C5576"/>
    <w:rsid w:val="76AE00A7"/>
    <w:rsid w:val="76C61105"/>
    <w:rsid w:val="77501642"/>
    <w:rsid w:val="77914715"/>
    <w:rsid w:val="77E016E2"/>
    <w:rsid w:val="77FD0767"/>
    <w:rsid w:val="77FD2F92"/>
    <w:rsid w:val="783318B2"/>
    <w:rsid w:val="78385A6F"/>
    <w:rsid w:val="78E110D3"/>
    <w:rsid w:val="79744FA4"/>
    <w:rsid w:val="7A196C64"/>
    <w:rsid w:val="7A3E1F55"/>
    <w:rsid w:val="7A3F67A6"/>
    <w:rsid w:val="7A6219DD"/>
    <w:rsid w:val="7AAE0E91"/>
    <w:rsid w:val="7B270EF0"/>
    <w:rsid w:val="7B4E76FB"/>
    <w:rsid w:val="7BDB4DBC"/>
    <w:rsid w:val="7BFC7EC6"/>
    <w:rsid w:val="7C023CBF"/>
    <w:rsid w:val="7C15418E"/>
    <w:rsid w:val="7C9C3600"/>
    <w:rsid w:val="7CD91F23"/>
    <w:rsid w:val="7CE01C8E"/>
    <w:rsid w:val="7CED3AC8"/>
    <w:rsid w:val="7D324841"/>
    <w:rsid w:val="7D61705D"/>
    <w:rsid w:val="7E2B7DF3"/>
    <w:rsid w:val="7E517ADB"/>
    <w:rsid w:val="7E607E47"/>
    <w:rsid w:val="7EAF59BB"/>
    <w:rsid w:val="7ECB0A53"/>
    <w:rsid w:val="7F2D5577"/>
    <w:rsid w:val="7F392981"/>
    <w:rsid w:val="7F4D213E"/>
    <w:rsid w:val="7F52480C"/>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8"/>
    <w:basedOn w:val="1"/>
    <w:next w:val="1"/>
    <w:qFormat/>
    <w:uiPriority w:val="1"/>
    <w:pPr>
      <w:ind w:left="764"/>
      <w:outlineLvl w:val="7"/>
    </w:pPr>
    <w:rPr>
      <w:b/>
      <w:bCs/>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0"/>
    <w:pPr>
      <w:spacing w:after="120"/>
      <w:ind w:left="200" w:leftChars="200"/>
    </w:pPr>
    <w:rPr>
      <w:kern w:val="0"/>
      <w:sz w:val="20"/>
      <w:szCs w:val="20"/>
    </w:rPr>
  </w:style>
  <w:style w:type="paragraph" w:styleId="11">
    <w:name w:val="envelope return"/>
    <w:basedOn w:val="1"/>
    <w:qFormat/>
    <w:uiPriority w:val="0"/>
    <w:pPr>
      <w:snapToGrid w:val="0"/>
    </w:pPr>
    <w:rPr>
      <w:rFonts w:ascii="Arial" w:hAnsi="Arial" w:cs="Arial"/>
    </w:rPr>
  </w:style>
  <w:style w:type="paragraph" w:styleId="12">
    <w:name w:val="Plain Text"/>
    <w:basedOn w:val="1"/>
    <w:qFormat/>
    <w:uiPriority w:val="0"/>
    <w:rPr>
      <w:rFonts w:hint="eastAsia" w:ascii="宋体" w:hAnsi="Courier New"/>
      <w:szCs w:val="20"/>
    </w:rPr>
  </w:style>
  <w:style w:type="paragraph" w:styleId="13">
    <w:name w:val="Body Text Indent 2"/>
    <w:basedOn w:val="1"/>
    <w:qFormat/>
    <w:uiPriority w:val="0"/>
    <w:pPr>
      <w:ind w:firstLine="480" w:firstLineChars="200"/>
    </w:pPr>
    <w:rPr>
      <w:rFonts w:ascii="仿宋_GB2312" w:eastAsia="仿宋_GB2312"/>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qFormat/>
    <w:uiPriority w:val="0"/>
    <w:pPr>
      <w:ind w:firstLine="420" w:firstLineChars="100"/>
    </w:pPr>
  </w:style>
  <w:style w:type="paragraph" w:styleId="19">
    <w:name w:val="Body Text First Indent 2"/>
    <w:basedOn w:val="10"/>
    <w:qFormat/>
    <w:uiPriority w:val="0"/>
    <w:pPr>
      <w:ind w:firstLine="200" w:firstLineChars="200"/>
    </w:pPr>
  </w:style>
  <w:style w:type="table" w:styleId="21">
    <w:name w:val="Table Grid"/>
    <w:basedOn w:val="20"/>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qFormat/>
    <w:uiPriority w:val="99"/>
    <w:rPr>
      <w:color w:val="0000FF"/>
      <w:u w:val="single"/>
    </w:rPr>
  </w:style>
  <w:style w:type="character" w:styleId="30">
    <w:name w:val="HTML Code"/>
    <w:basedOn w:val="22"/>
    <w:qFormat/>
    <w:uiPriority w:val="0"/>
    <w:rPr>
      <w:rFonts w:ascii="Courier New" w:hAnsi="Courier New"/>
      <w:sz w:val="20"/>
    </w:rPr>
  </w:style>
  <w:style w:type="character" w:styleId="31">
    <w:name w:val="annotation reference"/>
    <w:basedOn w:val="22"/>
    <w:qFormat/>
    <w:uiPriority w:val="0"/>
    <w:rPr>
      <w:sz w:val="21"/>
      <w:szCs w:val="21"/>
    </w:rPr>
  </w:style>
  <w:style w:type="character" w:styleId="32">
    <w:name w:val="HTML Cite"/>
    <w:basedOn w:val="22"/>
    <w:qFormat/>
    <w:uiPriority w:val="0"/>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样式 首行缩进:  2 字符"/>
    <w:basedOn w:val="1"/>
    <w:qFormat/>
    <w:uiPriority w:val="0"/>
    <w:pPr>
      <w:spacing w:line="480" w:lineRule="exact"/>
      <w:ind w:firstLine="200" w:firstLineChars="200"/>
      <w:jc w:val="left"/>
    </w:pPr>
    <w:rPr>
      <w:color w:val="7030A0"/>
      <w:kern w:val="0"/>
      <w:sz w:val="24"/>
      <w:szCs w:val="20"/>
    </w:rPr>
  </w:style>
  <w:style w:type="paragraph" w:customStyle="1" w:styleId="35">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Table Paragraph"/>
    <w:basedOn w:val="1"/>
    <w:qFormat/>
    <w:uiPriority w:val="0"/>
    <w:pPr>
      <w:autoSpaceDE w:val="0"/>
      <w:autoSpaceDN w:val="0"/>
      <w:jc w:val="left"/>
    </w:pPr>
    <w:rPr>
      <w:rFonts w:ascii="宋体" w:cs="宋体"/>
      <w:kern w:val="0"/>
      <w:sz w:val="22"/>
      <w:szCs w:val="22"/>
      <w:lang w:eastAsia="en-US"/>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微软雅黑" w:hAnsi="微软雅黑" w:eastAsia="微软雅黑" w:cs="微软雅黑"/>
      <w:sz w:val="18"/>
      <w:szCs w:val="18"/>
    </w:rPr>
  </w:style>
  <w:style w:type="character" w:customStyle="1" w:styleId="40">
    <w:name w:val="font261"/>
    <w:basedOn w:val="22"/>
    <w:qFormat/>
    <w:uiPriority w:val="0"/>
    <w:rPr>
      <w:rFonts w:hint="eastAsia" w:ascii="宋体" w:hAnsi="宋体" w:eastAsia="宋体" w:cs="宋体"/>
      <w:color w:val="FF0000"/>
      <w:sz w:val="24"/>
      <w:szCs w:val="24"/>
      <w:u w:val="none"/>
    </w:rPr>
  </w:style>
  <w:style w:type="character" w:customStyle="1" w:styleId="41">
    <w:name w:val="font251"/>
    <w:basedOn w:val="22"/>
    <w:qFormat/>
    <w:uiPriority w:val="0"/>
    <w:rPr>
      <w:rFonts w:hint="eastAsia" w:ascii="宋体" w:hAnsi="宋体" w:eastAsia="宋体" w:cs="宋体"/>
      <w:color w:val="FF0000"/>
      <w:sz w:val="24"/>
      <w:szCs w:val="24"/>
      <w:u w:val="none"/>
      <w:vertAlign w:val="subscript"/>
    </w:rPr>
  </w:style>
  <w:style w:type="character" w:customStyle="1" w:styleId="42">
    <w:name w:val="font241"/>
    <w:basedOn w:val="22"/>
    <w:qFormat/>
    <w:uiPriority w:val="0"/>
    <w:rPr>
      <w:rFonts w:hint="eastAsia" w:ascii="宋体" w:hAnsi="宋体" w:eastAsia="宋体" w:cs="宋体"/>
      <w:color w:val="00CCFF"/>
      <w:sz w:val="24"/>
      <w:szCs w:val="24"/>
      <w:u w:val="none"/>
    </w:rPr>
  </w:style>
  <w:style w:type="character" w:customStyle="1" w:styleId="43">
    <w:name w:val="font91"/>
    <w:basedOn w:val="22"/>
    <w:qFormat/>
    <w:uiPriority w:val="0"/>
    <w:rPr>
      <w:rFonts w:hint="eastAsia" w:ascii="宋体" w:hAnsi="宋体" w:eastAsia="宋体" w:cs="宋体"/>
      <w:color w:val="FF0000"/>
      <w:sz w:val="24"/>
      <w:szCs w:val="24"/>
      <w:u w:val="none"/>
    </w:rPr>
  </w:style>
  <w:style w:type="character" w:customStyle="1" w:styleId="44">
    <w:name w:val="font181"/>
    <w:basedOn w:val="22"/>
    <w:qFormat/>
    <w:uiPriority w:val="0"/>
    <w:rPr>
      <w:rFonts w:hint="eastAsia" w:ascii="宋体" w:hAnsi="宋体" w:eastAsia="宋体" w:cs="宋体"/>
      <w:color w:val="FF0000"/>
      <w:sz w:val="24"/>
      <w:szCs w:val="24"/>
      <w:u w:val="none"/>
      <w:vertAlign w:val="subscript"/>
    </w:rPr>
  </w:style>
  <w:style w:type="character" w:customStyle="1" w:styleId="45">
    <w:name w:val="font22"/>
    <w:basedOn w:val="22"/>
    <w:qFormat/>
    <w:uiPriority w:val="0"/>
    <w:rPr>
      <w:rFonts w:hint="eastAsia" w:ascii="宋体" w:hAnsi="宋体" w:eastAsia="宋体" w:cs="宋体"/>
      <w:color w:val="000000"/>
      <w:sz w:val="24"/>
      <w:szCs w:val="24"/>
      <w:u w:val="none"/>
    </w:rPr>
  </w:style>
  <w:style w:type="character" w:customStyle="1" w:styleId="46">
    <w:name w:val="font171"/>
    <w:basedOn w:val="22"/>
    <w:qFormat/>
    <w:uiPriority w:val="0"/>
    <w:rPr>
      <w:rFonts w:hint="eastAsia" w:ascii="宋体" w:hAnsi="宋体" w:eastAsia="宋体" w:cs="宋体"/>
      <w:color w:val="00CCFF"/>
      <w:sz w:val="24"/>
      <w:szCs w:val="24"/>
      <w:u w:val="none"/>
    </w:rPr>
  </w:style>
  <w:style w:type="character" w:customStyle="1" w:styleId="47">
    <w:name w:val="font201"/>
    <w:basedOn w:val="22"/>
    <w:qFormat/>
    <w:uiPriority w:val="0"/>
    <w:rPr>
      <w:rFonts w:hint="eastAsia" w:ascii="宋体" w:hAnsi="宋体" w:eastAsia="宋体" w:cs="宋体"/>
      <w:color w:val="333333"/>
      <w:sz w:val="24"/>
      <w:szCs w:val="24"/>
      <w:u w:val="none"/>
    </w:rPr>
  </w:style>
  <w:style w:type="character" w:customStyle="1" w:styleId="48">
    <w:name w:val="font71"/>
    <w:basedOn w:val="22"/>
    <w:qFormat/>
    <w:uiPriority w:val="0"/>
    <w:rPr>
      <w:rFonts w:hint="eastAsia" w:ascii="宋体" w:hAnsi="宋体" w:eastAsia="宋体" w:cs="宋体"/>
      <w:color w:val="008000"/>
      <w:sz w:val="24"/>
      <w:szCs w:val="24"/>
      <w:u w:val="none"/>
    </w:rPr>
  </w:style>
  <w:style w:type="character" w:customStyle="1" w:styleId="49">
    <w:name w:val="font151"/>
    <w:basedOn w:val="22"/>
    <w:qFormat/>
    <w:uiPriority w:val="0"/>
    <w:rPr>
      <w:rFonts w:hint="eastAsia" w:ascii="宋体" w:hAnsi="宋体" w:eastAsia="宋体" w:cs="宋体"/>
      <w:color w:val="FF0000"/>
      <w:sz w:val="24"/>
      <w:szCs w:val="24"/>
      <w:u w:val="none"/>
      <w:vertAlign w:val="superscript"/>
    </w:rPr>
  </w:style>
  <w:style w:type="character" w:customStyle="1" w:styleId="50">
    <w:name w:val="font141"/>
    <w:basedOn w:val="22"/>
    <w:qFormat/>
    <w:uiPriority w:val="0"/>
    <w:rPr>
      <w:rFonts w:hint="eastAsia" w:ascii="宋体" w:hAnsi="宋体" w:eastAsia="宋体" w:cs="宋体"/>
      <w:color w:val="FF0000"/>
      <w:sz w:val="22"/>
      <w:szCs w:val="22"/>
      <w:u w:val="none"/>
    </w:rPr>
  </w:style>
  <w:style w:type="character" w:customStyle="1" w:styleId="51">
    <w:name w:val="font51"/>
    <w:basedOn w:val="22"/>
    <w:qFormat/>
    <w:uiPriority w:val="0"/>
    <w:rPr>
      <w:rFonts w:hint="eastAsia" w:ascii="宋体" w:hAnsi="宋体" w:eastAsia="宋体" w:cs="宋体"/>
      <w:color w:val="FF0000"/>
      <w:sz w:val="22"/>
      <w:szCs w:val="22"/>
      <w:u w:val="none"/>
      <w:vertAlign w:val="subscript"/>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41"/>
    <w:basedOn w:val="22"/>
    <w:qFormat/>
    <w:uiPriority w:val="0"/>
    <w:rPr>
      <w:rFonts w:hint="eastAsia" w:ascii="宋体" w:hAnsi="宋体" w:eastAsia="宋体" w:cs="宋体"/>
      <w:color w:val="00CCFF"/>
      <w:sz w:val="22"/>
      <w:szCs w:val="22"/>
      <w:u w:val="none"/>
    </w:rPr>
  </w:style>
  <w:style w:type="paragraph" w:customStyle="1" w:styleId="54">
    <w:name w:val="text"/>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55">
    <w:name w:val="列出段落1"/>
    <w:basedOn w:val="1"/>
    <w:qFormat/>
    <w:uiPriority w:val="0"/>
    <w:pPr>
      <w:ind w:firstLine="420" w:firstLineChars="200"/>
    </w:pPr>
    <w:rPr>
      <w:szCs w:val="21"/>
    </w:rPr>
  </w:style>
  <w:style w:type="character" w:customStyle="1" w:styleId="56">
    <w:name w:val="font1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2023-08-24T01:38:00Z</dcterms:created>
  <dc:creator>Administrator</dc:creator>
  <cp:lastModifiedBy>Administrator</cp:lastModifiedBy>
  <cp:lastPrinted>2025-01-15T06:05:00Z</cp:lastPrinted>
  <dcterms:modified xsi:type="dcterms:W3CDTF">2025-08-21T08:14:20Z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71BCD18DA6C249DC94F8CC981C336095_12</vt:lpwstr>
  </property>
</Properties>
</file>