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31B807">
      <w:pPr>
        <w:overflowPunct/>
        <w:bidi w:val="0"/>
        <w:spacing w:line="240" w:lineRule="auto"/>
        <w:rPr>
          <w:rFonts w:hint="eastAsia" w:asciiTheme="minorEastAsia" w:hAnsiTheme="minorEastAsia" w:eastAsiaTheme="minorEastAsia" w:cstheme="minorEastAsia"/>
          <w:b/>
          <w:bCs/>
          <w:color w:val="auto"/>
          <w:spacing w:val="0"/>
          <w:w w:val="100"/>
          <w:position w:val="0"/>
          <w:sz w:val="35"/>
          <w:szCs w:val="35"/>
          <w:highlight w:val="none"/>
        </w:rPr>
      </w:pPr>
      <w:bookmarkStart w:id="0" w:name="bookmark9"/>
      <w:bookmarkEnd w:id="0"/>
    </w:p>
    <w:p w14:paraId="264A32BA">
      <w:pPr>
        <w:pStyle w:val="5"/>
        <w:keepNext w:val="0"/>
        <w:keepLines w:val="0"/>
        <w:pageBreakBefore w:val="0"/>
        <w:widowControl/>
        <w:kinsoku w:val="0"/>
        <w:wordWrap/>
        <w:overflowPunct/>
        <w:topLinePunct w:val="0"/>
        <w:autoSpaceDE w:val="0"/>
        <w:autoSpaceDN w:val="0"/>
        <w:bidi w:val="0"/>
        <w:adjustRightInd w:val="0"/>
        <w:snapToGrid w:val="0"/>
        <w:spacing w:before="329" w:line="240" w:lineRule="auto"/>
        <w:jc w:val="center"/>
        <w:textAlignment w:val="baseline"/>
        <w:outlineLvl w:val="0"/>
        <w:rPr>
          <w:rFonts w:hint="eastAsia" w:asciiTheme="minorEastAsia" w:hAnsiTheme="minorEastAsia" w:eastAsiaTheme="minorEastAsia" w:cstheme="minorEastAsia"/>
          <w:color w:val="auto"/>
          <w:spacing w:val="0"/>
          <w:w w:val="100"/>
          <w:position w:val="0"/>
          <w:sz w:val="21"/>
          <w:highlight w:val="none"/>
        </w:rPr>
      </w:pPr>
      <w:bookmarkStart w:id="1" w:name="_Toc10468"/>
      <w:r>
        <w:rPr>
          <w:rFonts w:hint="eastAsia" w:asciiTheme="minorEastAsia" w:hAnsiTheme="minorEastAsia" w:eastAsiaTheme="minorEastAsia" w:cstheme="minorEastAsia"/>
          <w:b/>
          <w:bCs/>
          <w:color w:val="auto"/>
          <w:spacing w:val="0"/>
          <w:w w:val="100"/>
          <w:position w:val="0"/>
          <w:sz w:val="35"/>
          <w:szCs w:val="35"/>
          <w:highlight w:val="none"/>
        </w:rPr>
        <w:t>第五章</w:t>
      </w:r>
      <w:r>
        <w:rPr>
          <w:rFonts w:hint="eastAsia" w:asciiTheme="minorEastAsia" w:hAnsiTheme="minorEastAsia" w:eastAsiaTheme="minorEastAsia" w:cstheme="minorEastAsia"/>
          <w:b/>
          <w:bCs/>
          <w:color w:val="auto"/>
          <w:spacing w:val="0"/>
          <w:w w:val="100"/>
          <w:position w:val="0"/>
          <w:sz w:val="35"/>
          <w:szCs w:val="35"/>
          <w:highlight w:val="none"/>
          <w:lang w:val="en-US" w:eastAsia="zh-CN"/>
        </w:rPr>
        <w:t xml:space="preserve"> </w:t>
      </w:r>
      <w:r>
        <w:rPr>
          <w:rFonts w:hint="eastAsia" w:asciiTheme="minorEastAsia" w:hAnsiTheme="minorEastAsia" w:eastAsiaTheme="minorEastAsia" w:cstheme="minorEastAsia"/>
          <w:b/>
          <w:bCs/>
          <w:color w:val="auto"/>
          <w:spacing w:val="0"/>
          <w:w w:val="100"/>
          <w:position w:val="0"/>
          <w:sz w:val="35"/>
          <w:szCs w:val="35"/>
          <w:highlight w:val="none"/>
        </w:rPr>
        <w:t>采购需求</w:t>
      </w:r>
      <w:bookmarkEnd w:id="1"/>
    </w:p>
    <w:p w14:paraId="6F8359DA">
      <w:pPr>
        <w:overflowPunct/>
        <w:bidi w:val="0"/>
        <w:spacing w:line="240" w:lineRule="auto"/>
        <w:rPr>
          <w:rFonts w:hint="eastAsia" w:asciiTheme="minorEastAsia" w:hAnsiTheme="minorEastAsia" w:eastAsiaTheme="minorEastAsia" w:cstheme="minorEastAsia"/>
          <w:snapToGrid/>
          <w:color w:val="auto"/>
          <w:kern w:val="2"/>
          <w:sz w:val="24"/>
          <w:szCs w:val="24"/>
          <w:highlight w:val="none"/>
          <w:lang w:eastAsia="zh-CN"/>
        </w:rPr>
      </w:pPr>
    </w:p>
    <w:p w14:paraId="772406FF">
      <w:pPr>
        <w:overflowPunct/>
        <w:bidi w:val="0"/>
        <w:spacing w:line="240" w:lineRule="auto"/>
        <w:rPr>
          <w:rFonts w:hint="eastAsia" w:asciiTheme="minorEastAsia" w:hAnsiTheme="minorEastAsia" w:eastAsiaTheme="minorEastAsia" w:cstheme="minorEastAsia"/>
          <w:snapToGrid/>
          <w:color w:val="auto"/>
          <w:kern w:val="0"/>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1.项目编号：</w:t>
      </w:r>
      <w:r>
        <w:rPr>
          <w:rFonts w:hint="eastAsia" w:asciiTheme="minorEastAsia" w:hAnsiTheme="minorEastAsia" w:eastAsiaTheme="minorEastAsia" w:cstheme="minorEastAsia"/>
          <w:snapToGrid/>
          <w:color w:val="auto"/>
          <w:kern w:val="2"/>
          <w:sz w:val="24"/>
          <w:szCs w:val="24"/>
          <w:highlight w:val="none"/>
          <w:lang w:val="en-US" w:eastAsia="zh-CN"/>
        </w:rPr>
        <w:t>11011825210200010184-XM001</w:t>
      </w:r>
    </w:p>
    <w:p w14:paraId="480B69C6">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2.项目名称：密云区电子政务外网IPv6升级改造项目</w:t>
      </w:r>
    </w:p>
    <w:p w14:paraId="4DAC259F">
      <w:pPr>
        <w:pStyle w:val="2"/>
        <w:ind w:left="0" w:leftChars="0" w:firstLine="0" w:firstLineChars="0"/>
        <w:rPr>
          <w:rFonts w:hint="default"/>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3.项目的七部分</w:t>
      </w:r>
    </w:p>
    <w:tbl>
      <w:tblPr>
        <w:tblStyle w:val="20"/>
        <w:tblW w:w="6927"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76"/>
        <w:gridCol w:w="5151"/>
      </w:tblGrid>
      <w:tr w14:paraId="5CD8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E7C82">
            <w:pPr>
              <w:pStyle w:val="2"/>
              <w:ind w:left="0" w:leftChars="0" w:firstLine="0" w:firstLineChars="0"/>
              <w:jc w:val="center"/>
              <w:rPr>
                <w:rFonts w:hint="eastAsia"/>
                <w:highlight w:val="none"/>
                <w:lang w:eastAsia="zh-CN"/>
              </w:rPr>
            </w:pPr>
            <w:r>
              <w:rPr>
                <w:rFonts w:hint="eastAsia"/>
                <w:highlight w:val="none"/>
                <w:lang w:val="en-US" w:eastAsia="zh-CN"/>
              </w:rPr>
              <w:t>序号</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FBCE6">
            <w:pPr>
              <w:pStyle w:val="2"/>
              <w:ind w:left="0" w:leftChars="0" w:firstLine="0" w:firstLineChars="0"/>
              <w:jc w:val="left"/>
              <w:rPr>
                <w:rFonts w:hint="eastAsia"/>
                <w:highlight w:val="none"/>
                <w:lang w:eastAsia="zh-CN"/>
              </w:rPr>
            </w:pPr>
            <w:r>
              <w:rPr>
                <w:rFonts w:hint="eastAsia"/>
                <w:highlight w:val="none"/>
                <w:lang w:val="en-US" w:eastAsia="zh-CN"/>
              </w:rPr>
              <w:t>项目名称</w:t>
            </w:r>
          </w:p>
        </w:tc>
      </w:tr>
      <w:tr w14:paraId="03BC1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76092">
            <w:pPr>
              <w:pStyle w:val="2"/>
              <w:ind w:left="0" w:leftChars="0" w:firstLine="0" w:firstLineChars="0"/>
              <w:jc w:val="center"/>
              <w:rPr>
                <w:rFonts w:hint="eastAsia"/>
                <w:highlight w:val="none"/>
                <w:lang w:eastAsia="zh-CN"/>
              </w:rPr>
            </w:pPr>
            <w:r>
              <w:rPr>
                <w:rFonts w:hint="eastAsia"/>
                <w:highlight w:val="none"/>
                <w:lang w:val="en-US" w:eastAsia="zh-CN"/>
              </w:rPr>
              <w:t>一</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A0FAD">
            <w:pPr>
              <w:pStyle w:val="2"/>
              <w:ind w:left="0" w:leftChars="0" w:firstLine="0" w:firstLineChars="0"/>
              <w:jc w:val="left"/>
              <w:rPr>
                <w:rFonts w:hint="eastAsia"/>
                <w:highlight w:val="none"/>
                <w:lang w:eastAsia="zh-CN"/>
              </w:rPr>
            </w:pPr>
            <w:r>
              <w:rPr>
                <w:rFonts w:hint="eastAsia"/>
                <w:highlight w:val="none"/>
                <w:lang w:val="en-US" w:eastAsia="zh-CN"/>
              </w:rPr>
              <w:t>出口链路</w:t>
            </w:r>
          </w:p>
        </w:tc>
      </w:tr>
      <w:tr w14:paraId="488F5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45DC1">
            <w:pPr>
              <w:pStyle w:val="2"/>
              <w:ind w:left="0" w:leftChars="0" w:firstLine="0" w:firstLineChars="0"/>
              <w:jc w:val="center"/>
              <w:rPr>
                <w:rFonts w:hint="eastAsia"/>
                <w:highlight w:val="none"/>
                <w:lang w:eastAsia="zh-CN"/>
              </w:rPr>
            </w:pPr>
            <w:r>
              <w:rPr>
                <w:rFonts w:hint="eastAsia"/>
                <w:highlight w:val="none"/>
                <w:lang w:val="en-US" w:eastAsia="zh-CN"/>
              </w:rPr>
              <w:t>（一）</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5550C">
            <w:pPr>
              <w:pStyle w:val="2"/>
              <w:ind w:left="0" w:leftChars="0" w:firstLine="0" w:firstLineChars="0"/>
              <w:jc w:val="left"/>
              <w:rPr>
                <w:rFonts w:hint="eastAsia"/>
                <w:highlight w:val="none"/>
                <w:lang w:eastAsia="zh-CN"/>
              </w:rPr>
            </w:pPr>
            <w:r>
              <w:rPr>
                <w:rFonts w:hint="eastAsia"/>
                <w:highlight w:val="none"/>
                <w:lang w:val="en-US" w:eastAsia="zh-CN"/>
              </w:rPr>
              <w:t>互联网IPv6出口链路</w:t>
            </w:r>
          </w:p>
        </w:tc>
      </w:tr>
      <w:tr w14:paraId="25E60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32CA8">
            <w:pPr>
              <w:pStyle w:val="2"/>
              <w:ind w:left="0" w:leftChars="0" w:firstLine="0" w:firstLineChars="0"/>
              <w:jc w:val="center"/>
              <w:rPr>
                <w:rFonts w:hint="eastAsia"/>
                <w:highlight w:val="none"/>
                <w:lang w:eastAsia="zh-CN"/>
              </w:rPr>
            </w:pPr>
            <w:r>
              <w:rPr>
                <w:rFonts w:hint="eastAsia"/>
                <w:highlight w:val="none"/>
                <w:lang w:val="en-US" w:eastAsia="zh-CN"/>
              </w:rPr>
              <w:t>（二）</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83AA">
            <w:pPr>
              <w:pStyle w:val="2"/>
              <w:ind w:left="0" w:leftChars="0" w:firstLine="0" w:firstLineChars="0"/>
              <w:jc w:val="left"/>
              <w:rPr>
                <w:rFonts w:hint="eastAsia"/>
                <w:highlight w:val="none"/>
                <w:lang w:eastAsia="zh-CN"/>
              </w:rPr>
            </w:pPr>
            <w:r>
              <w:rPr>
                <w:rFonts w:hint="eastAsia"/>
                <w:highlight w:val="none"/>
                <w:lang w:val="en-US" w:eastAsia="zh-CN"/>
              </w:rPr>
              <w:t>北京市电子政务外网出口链路</w:t>
            </w:r>
          </w:p>
        </w:tc>
      </w:tr>
      <w:tr w14:paraId="4E4D0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D4DD">
            <w:pPr>
              <w:pStyle w:val="2"/>
              <w:ind w:left="0" w:leftChars="0" w:firstLine="0" w:firstLineChars="0"/>
              <w:jc w:val="center"/>
              <w:rPr>
                <w:rFonts w:hint="eastAsia"/>
                <w:highlight w:val="none"/>
                <w:lang w:eastAsia="zh-CN"/>
              </w:rPr>
            </w:pPr>
            <w:r>
              <w:rPr>
                <w:rFonts w:hint="eastAsia"/>
                <w:highlight w:val="none"/>
                <w:lang w:val="en-US" w:eastAsia="zh-CN"/>
              </w:rPr>
              <w:t>二</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9D456">
            <w:pPr>
              <w:pStyle w:val="2"/>
              <w:ind w:left="0" w:leftChars="0" w:firstLine="0" w:firstLineChars="0"/>
              <w:jc w:val="left"/>
              <w:rPr>
                <w:rFonts w:hint="eastAsia"/>
                <w:highlight w:val="none"/>
                <w:lang w:eastAsia="zh-CN"/>
              </w:rPr>
            </w:pPr>
            <w:r>
              <w:rPr>
                <w:rFonts w:hint="eastAsia"/>
                <w:highlight w:val="none"/>
                <w:lang w:val="en-US" w:eastAsia="zh-CN"/>
              </w:rPr>
              <w:t>内网安全设备</w:t>
            </w:r>
          </w:p>
        </w:tc>
      </w:tr>
      <w:tr w14:paraId="2D20A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6CC97">
            <w:pPr>
              <w:pStyle w:val="2"/>
              <w:ind w:left="0" w:leftChars="0" w:firstLine="0" w:firstLineChars="0"/>
              <w:jc w:val="center"/>
              <w:rPr>
                <w:rFonts w:hint="eastAsia"/>
                <w:highlight w:val="none"/>
                <w:lang w:eastAsia="zh-CN"/>
              </w:rPr>
            </w:pPr>
            <w:r>
              <w:rPr>
                <w:rFonts w:hint="eastAsia"/>
                <w:highlight w:val="none"/>
                <w:lang w:val="en-US" w:eastAsia="zh-CN"/>
              </w:rPr>
              <w:t>三</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6131">
            <w:pPr>
              <w:pStyle w:val="2"/>
              <w:ind w:left="0" w:leftChars="0" w:firstLine="0" w:firstLineChars="0"/>
              <w:jc w:val="left"/>
              <w:rPr>
                <w:rFonts w:hint="eastAsia"/>
                <w:highlight w:val="none"/>
                <w:lang w:eastAsia="zh-CN"/>
              </w:rPr>
            </w:pPr>
            <w:r>
              <w:rPr>
                <w:rFonts w:hint="eastAsia"/>
                <w:highlight w:val="none"/>
                <w:lang w:val="en-US" w:eastAsia="zh-CN"/>
              </w:rPr>
              <w:t>IPv6协议转换平台</w:t>
            </w:r>
          </w:p>
        </w:tc>
      </w:tr>
      <w:tr w14:paraId="47EB6C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3EFF7">
            <w:pPr>
              <w:pStyle w:val="2"/>
              <w:ind w:left="0" w:leftChars="0" w:firstLine="0" w:firstLineChars="0"/>
              <w:jc w:val="center"/>
              <w:rPr>
                <w:rFonts w:hint="eastAsia"/>
                <w:highlight w:val="none"/>
                <w:lang w:eastAsia="zh-CN"/>
              </w:rPr>
            </w:pPr>
            <w:r>
              <w:rPr>
                <w:rFonts w:hint="eastAsia"/>
                <w:highlight w:val="none"/>
                <w:lang w:val="en-US" w:eastAsia="zh-CN"/>
              </w:rPr>
              <w:t>四</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D1C62">
            <w:pPr>
              <w:pStyle w:val="2"/>
              <w:ind w:left="0" w:leftChars="0" w:firstLine="0" w:firstLineChars="0"/>
              <w:jc w:val="left"/>
              <w:rPr>
                <w:rFonts w:hint="eastAsia"/>
                <w:highlight w:val="none"/>
                <w:lang w:eastAsia="zh-CN"/>
              </w:rPr>
            </w:pPr>
            <w:r>
              <w:rPr>
                <w:rFonts w:hint="eastAsia"/>
                <w:highlight w:val="none"/>
                <w:lang w:val="en-US" w:eastAsia="zh-CN"/>
              </w:rPr>
              <w:t>域名及地址管理分配部分</w:t>
            </w:r>
          </w:p>
        </w:tc>
      </w:tr>
      <w:tr w14:paraId="679D4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3A9C">
            <w:pPr>
              <w:pStyle w:val="2"/>
              <w:ind w:left="0" w:leftChars="0" w:firstLine="0" w:firstLineChars="0"/>
              <w:jc w:val="center"/>
              <w:rPr>
                <w:rFonts w:hint="eastAsia"/>
                <w:highlight w:val="none"/>
                <w:lang w:eastAsia="zh-CN"/>
              </w:rPr>
            </w:pPr>
            <w:r>
              <w:rPr>
                <w:rFonts w:hint="eastAsia"/>
                <w:highlight w:val="none"/>
                <w:lang w:val="en-US" w:eastAsia="zh-CN"/>
              </w:rPr>
              <w:t>五</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CCA80">
            <w:pPr>
              <w:pStyle w:val="2"/>
              <w:ind w:left="0" w:leftChars="0" w:firstLine="0" w:firstLineChars="0"/>
              <w:jc w:val="left"/>
              <w:rPr>
                <w:rFonts w:hint="eastAsia"/>
                <w:highlight w:val="none"/>
                <w:lang w:eastAsia="zh-CN"/>
              </w:rPr>
            </w:pPr>
            <w:r>
              <w:rPr>
                <w:rFonts w:hint="eastAsia"/>
                <w:highlight w:val="none"/>
                <w:lang w:val="en-US" w:eastAsia="zh-CN"/>
              </w:rPr>
              <w:t>集中办公区网络设备升级改造部分</w:t>
            </w:r>
          </w:p>
        </w:tc>
      </w:tr>
      <w:tr w14:paraId="46ADF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D1628">
            <w:pPr>
              <w:pStyle w:val="2"/>
              <w:ind w:left="0" w:leftChars="0" w:firstLine="0" w:firstLineChars="0"/>
              <w:jc w:val="center"/>
              <w:rPr>
                <w:rFonts w:hint="eastAsia"/>
                <w:highlight w:val="none"/>
                <w:lang w:eastAsia="zh-CN"/>
              </w:rPr>
            </w:pPr>
            <w:r>
              <w:rPr>
                <w:rFonts w:hint="eastAsia"/>
                <w:highlight w:val="none"/>
                <w:lang w:val="en-US" w:eastAsia="zh-CN"/>
              </w:rPr>
              <w:t>六</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A55EB">
            <w:pPr>
              <w:pStyle w:val="2"/>
              <w:ind w:left="0" w:leftChars="0" w:firstLine="0" w:firstLineChars="0"/>
              <w:jc w:val="left"/>
              <w:rPr>
                <w:rFonts w:hint="eastAsia"/>
                <w:highlight w:val="none"/>
                <w:lang w:eastAsia="zh-CN"/>
              </w:rPr>
            </w:pPr>
            <w:r>
              <w:rPr>
                <w:rFonts w:hint="eastAsia"/>
                <w:highlight w:val="none"/>
                <w:lang w:val="en-US" w:eastAsia="zh-CN"/>
              </w:rPr>
              <w:t>集中办公区网络升级辅助施工部分</w:t>
            </w:r>
          </w:p>
        </w:tc>
      </w:tr>
      <w:tr w14:paraId="148B2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0CDC4">
            <w:pPr>
              <w:pStyle w:val="2"/>
              <w:ind w:left="0" w:leftChars="0" w:firstLine="0" w:firstLineChars="0"/>
              <w:jc w:val="center"/>
              <w:rPr>
                <w:rFonts w:hint="eastAsia"/>
                <w:highlight w:val="none"/>
                <w:lang w:eastAsia="zh-CN"/>
              </w:rPr>
            </w:pPr>
            <w:r>
              <w:rPr>
                <w:rFonts w:hint="eastAsia"/>
                <w:highlight w:val="none"/>
                <w:lang w:val="en-US" w:eastAsia="zh-CN"/>
              </w:rPr>
              <w:t>七</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4B946">
            <w:pPr>
              <w:pStyle w:val="2"/>
              <w:ind w:left="0" w:leftChars="0" w:firstLine="0" w:firstLineChars="0"/>
              <w:jc w:val="left"/>
              <w:rPr>
                <w:rFonts w:hint="eastAsia"/>
                <w:highlight w:val="none"/>
                <w:lang w:eastAsia="zh-CN"/>
              </w:rPr>
            </w:pPr>
            <w:r>
              <w:rPr>
                <w:rFonts w:hint="eastAsia"/>
                <w:highlight w:val="none"/>
                <w:lang w:val="en-US" w:eastAsia="zh-CN"/>
              </w:rPr>
              <w:t>网络核心、集中办公区双栈调试费部分</w:t>
            </w:r>
          </w:p>
        </w:tc>
      </w:tr>
    </w:tbl>
    <w:p w14:paraId="59AF73F8">
      <w:pPr>
        <w:pStyle w:val="2"/>
        <w:rPr>
          <w:rFonts w:hint="eastAsia"/>
          <w:highlight w:val="none"/>
          <w:lang w:eastAsia="zh-CN"/>
        </w:rPr>
      </w:pPr>
    </w:p>
    <w:p w14:paraId="78121EBA">
      <w:pPr>
        <w:keepNext w:val="0"/>
        <w:keepLines w:val="0"/>
        <w:pageBreakBefore w:val="0"/>
        <w:widowControl w:val="0"/>
        <w:kinsoku/>
        <w:wordWrap/>
        <w:overflowPunct/>
        <w:topLinePunct w:val="0"/>
        <w:autoSpaceDE/>
        <w:autoSpaceDN/>
        <w:bidi w:val="0"/>
        <w:adjustRightInd/>
        <w:snapToGrid/>
        <w:spacing w:before="120" w:line="240" w:lineRule="auto"/>
        <w:ind w:left="240" w:hanging="240" w:hangingChars="10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4</w:t>
      </w:r>
      <w:r>
        <w:rPr>
          <w:rFonts w:hint="eastAsia" w:asciiTheme="minorEastAsia" w:hAnsiTheme="minorEastAsia" w:eastAsiaTheme="minorEastAsia" w:cstheme="minorEastAsia"/>
          <w:snapToGrid/>
          <w:color w:val="auto"/>
          <w:kern w:val="2"/>
          <w:sz w:val="24"/>
          <w:szCs w:val="24"/>
          <w:highlight w:val="none"/>
          <w:lang w:eastAsia="zh-CN"/>
        </w:rPr>
        <w:t>.采购需求：</w:t>
      </w:r>
    </w:p>
    <w:p w14:paraId="6AA4B9D2">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（一）采购标的需实现的功能或者目标，以及为落实政府采购政策需满足的要求；</w:t>
      </w:r>
    </w:p>
    <w:p w14:paraId="12327C78">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为贯彻落实党中央、国务院关于建设网络强国和数字中国的战略部署，国务院办公厅于2017年印发《推进互联网协议第六版（IPv6）规模部署行动计划》，明确要求政务外网在 2025 年底前具备IPv6支撑能力，构建“高速、移动、安全、泛在” 的新一代信息基础设施。2023 年，工业和信息化部等八部门进一步发布《关于推进IPv6技术演进和应用创新发展的实施意见》，强调在政务网络中推广“IPv6+”技术（如分段路由、随流检测等），以提升网络安全隔离、快速开通恢复和故障定位能力，支撑政府治理水平全面提升。</w:t>
      </w:r>
    </w:p>
    <w:p w14:paraId="7D316612">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本项目范围：</w:t>
      </w:r>
    </w:p>
    <w:p w14:paraId="29D1F77A">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为了在2025年年底前完成政务外网具备IPv6支撑能力的目标，开展此项招标活动，本项目涉及的范围包括密云区电子政务外网核心区、区政府集中办公区、政务服务和数据管理局集中办公区的IPv6升级改造，其他各委办局、乡镇、行政村、企业等不在本项目范围内。</w:t>
      </w:r>
    </w:p>
    <w:p w14:paraId="0D8E8998">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具体工作内容如下：</w:t>
      </w:r>
    </w:p>
    <w:p w14:paraId="06AC22BE">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替换老旧交换机，使网络平台支持双栈运行模式。</w:t>
      </w:r>
    </w:p>
    <w:p w14:paraId="70D0B028">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替换老旧安全设备，保证双栈模式下的网络安全。</w:t>
      </w:r>
    </w:p>
    <w:p w14:paraId="65B0BBE9">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增加具备双栈支撑能力的域名解析、地址管理与分配系统。</w:t>
      </w:r>
    </w:p>
    <w:p w14:paraId="3E8A992B">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保证现有业务系统在双栈模式下稳定运行。</w:t>
      </w:r>
    </w:p>
    <w:p w14:paraId="193667D9">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全网IPv6地址规划。</w:t>
      </w:r>
    </w:p>
    <w:p w14:paraId="486A603A">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双栈模式下网络拓扑设计。</w:t>
      </w:r>
    </w:p>
    <w:p w14:paraId="4F72246F">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双栈模式下的集成服务。</w:t>
      </w:r>
    </w:p>
    <w:p w14:paraId="1781F87E">
      <w:pPr>
        <w:keepNext w:val="0"/>
        <w:keepLines w:val="0"/>
        <w:pageBreakBefore w:val="0"/>
        <w:widowControl w:val="0"/>
        <w:numPr>
          <w:ilvl w:val="0"/>
          <w:numId w:val="2"/>
        </w:numPr>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val="0"/>
          <w:snapToGrid/>
          <w:color w:val="auto"/>
          <w:kern w:val="2"/>
          <w:sz w:val="24"/>
          <w:szCs w:val="24"/>
          <w:highlight w:val="none"/>
          <w:lang w:val="en-US" w:eastAsia="zh-CN"/>
        </w:rPr>
      </w:pPr>
      <w:r>
        <w:rPr>
          <w:rFonts w:hint="eastAsia" w:asciiTheme="minorEastAsia" w:hAnsiTheme="minorEastAsia" w:eastAsiaTheme="minorEastAsia" w:cstheme="minorEastAsia"/>
          <w:b w:val="0"/>
          <w:bCs w:val="0"/>
          <w:snapToGrid/>
          <w:color w:val="auto"/>
          <w:kern w:val="2"/>
          <w:sz w:val="24"/>
          <w:szCs w:val="24"/>
          <w:highlight w:val="none"/>
          <w:lang w:val="en-US" w:eastAsia="zh-CN"/>
        </w:rPr>
        <w:t>售后及培训等。</w:t>
      </w:r>
    </w:p>
    <w:p w14:paraId="6BD777A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（二）采购标的需执行的国家相关标准、行业标准、地方标准或者其他标准、规范；</w:t>
      </w:r>
    </w:p>
    <w:p w14:paraId="0A40BCA3">
      <w:pPr>
        <w:keepNext w:val="0"/>
        <w:keepLines w:val="0"/>
        <w:pageBreakBefore w:val="0"/>
        <w:widowControl w:val="0"/>
        <w:numPr>
          <w:ilvl w:val="0"/>
          <w:numId w:val="3"/>
        </w:numPr>
        <w:kinsoku/>
        <w:wordWrap/>
        <w:overflowPunct/>
        <w:topLinePunct w:val="0"/>
        <w:autoSpaceDE/>
        <w:autoSpaceDN/>
        <w:bidi w:val="0"/>
        <w:adjustRightInd/>
        <w:snapToGrid/>
        <w:spacing w:after="0" w:afterLines="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中共中央办公厅、国务院办公厅印发的《推进互联网协议第六版（IPv6）规模部署行动计划》</w:t>
      </w:r>
    </w:p>
    <w:p w14:paraId="30E20F7F">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b w:val="0"/>
          <w:bCs w:val="0"/>
          <w:color w:val="auto"/>
          <w:kern w:val="2"/>
          <w:sz w:val="24"/>
          <w:szCs w:val="24"/>
          <w:highlight w:val="none"/>
          <w:lang w:val="en-US" w:eastAsia="zh-CN" w:bidi="ar-SA"/>
        </w:rPr>
      </w:pPr>
      <w:r>
        <w:rPr>
          <w:rFonts w:hint="eastAsia" w:asciiTheme="minorEastAsia" w:hAnsiTheme="minorEastAsia" w:eastAsiaTheme="minorEastAsia" w:cstheme="minorEastAsia"/>
          <w:b w:val="0"/>
          <w:bCs w:val="0"/>
          <w:color w:val="auto"/>
          <w:kern w:val="2"/>
          <w:sz w:val="24"/>
          <w:szCs w:val="24"/>
          <w:highlight w:val="none"/>
          <w:lang w:val="en-US" w:eastAsia="zh-CN" w:bidi="ar-SA"/>
        </w:rPr>
        <w:t>工业和信息化部等八部门进一步发布《关于推进 IPv6 技术演进和应用创新发展的实施意见》</w:t>
      </w:r>
    </w:p>
    <w:p w14:paraId="32303647">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《北京市经济和信息化局关于加快推进区级政务外网IPv6升级改造工作的通知》（京经信发[2024]57号文）文件。</w:t>
      </w:r>
    </w:p>
    <w:p w14:paraId="0F779AD6">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《公共区域名系统（DNS）技术规范》GW0201-2024</w:t>
      </w:r>
    </w:p>
    <w:p w14:paraId="6D41E22A">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国家电子政务外网管理中心办公室印发的IPv6演进路线图和实施技术指南—政务外网</w:t>
      </w:r>
    </w:p>
    <w:p w14:paraId="577F38C3">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国家电子政务外网管理中心办公室关于政务外网IPv6演进技术白皮书（2021）</w:t>
      </w:r>
    </w:p>
    <w:p w14:paraId="12720B30">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国家电子政务外网IPv6地址规划征求意见稿</w:t>
      </w:r>
    </w:p>
    <w:p w14:paraId="65962735">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GB/T22239-2019信息安全技术网络安全等级保护基本要求</w:t>
      </w:r>
    </w:p>
    <w:p w14:paraId="5DA2C977">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GB/T25058-2019信息安全技术信息系统安全等级保护实施指南</w:t>
      </w:r>
    </w:p>
    <w:p w14:paraId="2A5844DE">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 25070-2019信息安全技术网络安全等级保护安全设计技术要求</w:t>
      </w:r>
    </w:p>
    <w:p w14:paraId="57709C07">
      <w:pPr>
        <w:keepNext w:val="0"/>
        <w:keepLines w:val="0"/>
        <w:pageBreakBefore w:val="0"/>
        <w:widowControl w:val="0"/>
        <w:numPr>
          <w:ilvl w:val="0"/>
          <w:numId w:val="3"/>
        </w:numPr>
        <w:kinsoku/>
        <w:wordWrap/>
        <w:overflowPunct/>
        <w:topLinePunct w:val="0"/>
        <w:autoSpaceDE/>
        <w:autoSpaceDN/>
        <w:bidi w:val="0"/>
        <w:adjustRightInd/>
        <w:snapToGrid/>
        <w:spacing w:before="0" w:after="120" w:line="240" w:lineRule="auto"/>
        <w:ind w:left="425" w:leftChars="0" w:right="0" w:rightChars="0" w:hanging="425" w:firstLineChars="0"/>
        <w:jc w:val="both"/>
        <w:textAlignment w:val="auto"/>
        <w:outlineLvl w:val="9"/>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GB/T 20270-2006信息安全技术网络基础安全技术要求</w:t>
      </w:r>
    </w:p>
    <w:p w14:paraId="20932A4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p>
    <w:p w14:paraId="2FFC2DF8">
      <w:pPr>
        <w:keepNext w:val="0"/>
        <w:keepLines w:val="0"/>
        <w:pageBreakBefore w:val="0"/>
        <w:widowControl w:val="0"/>
        <w:numPr>
          <w:ilvl w:val="0"/>
          <w:numId w:val="4"/>
        </w:numPr>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采购标的需求；</w:t>
      </w:r>
    </w:p>
    <w:p w14:paraId="7A2FF1E8">
      <w:pPr>
        <w:pStyle w:val="2"/>
        <w:numPr>
          <w:ilvl w:val="0"/>
          <w:numId w:val="0"/>
        </w:numPr>
        <w:rPr>
          <w:rFonts w:hint="default"/>
          <w:highlight w:val="none"/>
          <w:lang w:val="en-US" w:eastAsia="zh-CN"/>
        </w:rPr>
      </w:pPr>
      <w:r>
        <w:rPr>
          <w:rFonts w:hint="eastAsia"/>
          <w:highlight w:val="none"/>
          <w:lang w:val="en-US" w:eastAsia="zh-CN"/>
        </w:rPr>
        <w:t>1.需求详细表</w:t>
      </w:r>
    </w:p>
    <w:tbl>
      <w:tblPr>
        <w:tblStyle w:val="20"/>
        <w:tblW w:w="920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12"/>
        <w:gridCol w:w="444"/>
        <w:gridCol w:w="844"/>
        <w:gridCol w:w="414"/>
        <w:gridCol w:w="268"/>
        <w:gridCol w:w="3339"/>
        <w:gridCol w:w="1156"/>
        <w:gridCol w:w="74"/>
        <w:gridCol w:w="1305"/>
        <w:gridCol w:w="751"/>
      </w:tblGrid>
      <w:tr w14:paraId="1D2E6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86ACC">
            <w:pPr>
              <w:keepNext w:val="0"/>
              <w:keepLines w:val="0"/>
              <w:widowControl/>
              <w:suppressLineNumbers w:val="0"/>
              <w:jc w:val="center"/>
              <w:textAlignment w:val="center"/>
              <w:rPr>
                <w:rFonts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序号</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13967F">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设备名称</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AC9269">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参数</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7B6958">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单位</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104009">
            <w:pPr>
              <w:keepNext w:val="0"/>
              <w:keepLines w:val="0"/>
              <w:widowControl/>
              <w:suppressLineNumbers w:val="0"/>
              <w:jc w:val="center"/>
              <w:textAlignment w:val="center"/>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数量</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59A8D2">
            <w:pPr>
              <w:keepNext w:val="0"/>
              <w:keepLines w:val="0"/>
              <w:widowControl/>
              <w:suppressLineNumbers w:val="0"/>
              <w:jc w:val="center"/>
              <w:textAlignment w:val="center"/>
              <w:rPr>
                <w:rFonts w:hint="default"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备注</w:t>
            </w:r>
          </w:p>
        </w:tc>
      </w:tr>
      <w:tr w14:paraId="09D32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2DC96">
            <w:pPr>
              <w:keepNext w:val="0"/>
              <w:keepLines w:val="0"/>
              <w:widowControl/>
              <w:suppressLineNumbers w:val="0"/>
              <w:jc w:val="left"/>
              <w:textAlignment w:val="center"/>
              <w:rPr>
                <w:rFonts w:hint="eastAsia"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一、出口链路</w:t>
            </w:r>
          </w:p>
        </w:tc>
      </w:tr>
      <w:tr w14:paraId="7BBEA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0F29F7">
            <w:pPr>
              <w:jc w:val="left"/>
              <w:rPr>
                <w:rFonts w:hint="eastAsia" w:ascii="仿宋" w:hAnsi="仿宋" w:eastAsia="仿宋" w:cs="仿宋"/>
                <w:b/>
                <w:i w:val="0"/>
                <w:color w:val="auto"/>
                <w:sz w:val="24"/>
                <w:szCs w:val="24"/>
                <w:highlight w:val="none"/>
                <w:u w:val="none"/>
              </w:rPr>
            </w:pPr>
            <w:r>
              <w:rPr>
                <w:rFonts w:hint="eastAsia" w:ascii="仿宋" w:hAnsi="仿宋" w:eastAsia="仿宋" w:cs="仿宋"/>
                <w:b/>
                <w:i w:val="0"/>
                <w:color w:val="auto"/>
                <w:kern w:val="0"/>
                <w:sz w:val="24"/>
                <w:szCs w:val="24"/>
                <w:highlight w:val="none"/>
                <w:u w:val="none"/>
                <w:lang w:val="en-US" w:eastAsia="zh-CN" w:bidi="ar"/>
              </w:rPr>
              <w:t>（一）、互联网IPv6出口链路</w:t>
            </w:r>
          </w:p>
        </w:tc>
      </w:tr>
      <w:tr w14:paraId="668E9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21"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56F65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CE916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防火墙</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85B855">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2U标准机架式,内存≥32G，1个MGMT口，1个HA口,冗余电源,至少4个万兆光口，4个扩展槽位,防火墙吞吐量≥50G，并发连接≥1200万，每秒新建连接≥36万，应用层吞吐量≥40G，IPSEC VPN隧道数≥2000，SSL VPN吞吐≥2.5G，SSL VPN并发用户数≥5000 。包含应用识别功能，含1年应用特征库升级许可。防病毒库3年升级服务许可；三年硬件免费保修服务。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D7C94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A0808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DD72F4">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8F66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4"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5C4DB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4BD22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上网行为管理系统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C766B">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至少6个千兆电接口，4个千兆光接口，4个万兆光口，1个扩展槽位。双电源，存储容量≥4T。网络层吞吐量≥27G，最大并发连接≥4000万，每秒新建连接≥40万，适用于6G带宽接入网络。提供三年免费特征库升级服务及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D4AFC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BF9D3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B578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8EBC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60"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0C62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2AA2D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负载均衡</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CF889F">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32G，至少标配6个千兆电口（含1个管理口，1个HA口）；4个千兆光口插槽；6个万兆光口插槽（含模块）,双电源,2个扩展槽位,负载均衡吞吐≥40G，并发连接≥2000万，四层新建≥60W，七层新建≥64W，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856E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DD711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7FC68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3D97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8F193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CA00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网络入侵防护系统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B2184">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标准机架式,内存≥64G,至少2个千兆电口（含1个HA口和1个管理口），至少2个万兆SFP+插槽+光模块，支持Bypass，1个CONSOLE口,冗余电源,5个扩展槽位,整机吞吐率≥40Gbps，最大并发连接数≥2000万，IPS吞吐率≥20Gbps。3年攻击检测规则库、应用识别库、地理信息库升级许可； 1年僵尸主机规则库免费升级许可；三年硬件免费质保服务。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3207C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D476F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B2D8A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927C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4FAF9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3ADA2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出口链路汇聚交换机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0C1A32">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至少24个万兆SFP+，6个40/100GE QSFP28，包转发率≥1620Mpps，交换容量≥4.8/25.6Tbps，带4个万兆单模模块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67DB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513E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9EF03B">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E536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745AEB">
            <w:pPr>
              <w:keepNext w:val="0"/>
              <w:keepLines w:val="0"/>
              <w:widowControl/>
              <w:suppressLineNumbers w:val="0"/>
              <w:jc w:val="left"/>
              <w:textAlignment w:val="center"/>
              <w:rPr>
                <w:rFonts w:hint="eastAsia" w:ascii="仿宋" w:hAnsi="仿宋" w:eastAsia="仿宋" w:cs="仿宋"/>
                <w:b/>
                <w:i w:val="0"/>
                <w:color w:val="auto"/>
                <w:kern w:val="0"/>
                <w:sz w:val="24"/>
                <w:szCs w:val="24"/>
                <w:highlight w:val="none"/>
                <w:u w:val="none"/>
                <w:lang w:val="en-US" w:eastAsia="zh-CN" w:bidi="ar"/>
              </w:rPr>
            </w:pPr>
            <w:r>
              <w:rPr>
                <w:rFonts w:hint="eastAsia" w:ascii="仿宋" w:hAnsi="仿宋" w:eastAsia="仿宋" w:cs="仿宋"/>
                <w:b/>
                <w:i w:val="0"/>
                <w:color w:val="auto"/>
                <w:kern w:val="0"/>
                <w:sz w:val="24"/>
                <w:szCs w:val="24"/>
                <w:highlight w:val="none"/>
                <w:u w:val="none"/>
                <w:lang w:val="en-US" w:eastAsia="zh-CN" w:bidi="ar"/>
              </w:rPr>
              <w:t>（二)、北京市电子政务外网出口链路</w:t>
            </w:r>
          </w:p>
        </w:tc>
      </w:tr>
      <w:tr w14:paraId="5DEC4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96" w:hRule="atLeast"/>
        </w:trPr>
        <w:tc>
          <w:tcPr>
            <w:tcW w:w="1056"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4C08770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4DA2B03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防火墙（含防病毒网关）</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701E6CEB">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2U机架式设备,内存≥16G。至少6个千兆电口，4个千兆光插槽,2个万兆光插槽。冗余电源,2个扩展槽位,防火墙吞吐≥20G，并发连接≥500万，每秒新建连接≥16万，应用层吞吐量≥16G，IPSEC VPN隧道数≥2000，SSL VPN吞吐量≥2.5G，SSL VPN并发用户数≥5000 。包含应用识别功能，含1年应用特征库升级许可。专业版快速扫描查杀病毒库3年免费升级服务许可；三年硬件免费质保服务。</w:t>
            </w:r>
          </w:p>
        </w:tc>
        <w:tc>
          <w:tcPr>
            <w:tcW w:w="1230"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397874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200E5CF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1DBB693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6D32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7F5AC9E">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二、内网安全设备</w:t>
            </w:r>
          </w:p>
        </w:tc>
      </w:tr>
      <w:tr w14:paraId="418F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42"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FC424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0C014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堡垒机</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7A02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U机架式设备。至少6个千兆电口，4个千兆光口，1个Console管理口。存储容量≥8TB，双电源，带液晶面板，3个扩展槽。字符并发≥1500，图形并发≥400。被管资源数量无限制，至少包含200个被管资源数授权。提供三年硬件免费质保服务。</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999B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C7E82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AB584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18A01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43"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186CC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84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9E8C5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双因素认证</w:t>
            </w: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2B392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动态密码认证模块</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C9A41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CKEY动态认证系统支持多种终端令牌模式认证，适应于VPN/Citrix/VMWare View、Vcenter/堡垒机/KVM/云主机/交换机/业务系统/操作系统/安全设备等。实现网络资产用户在帐号+静态密码认证基础上多增加一层保护。整体提升安全防护、满足三级等保。内置认证服务、资源管理、策略管理、账号管理、日志审计、集成动态令牌认证引擎、生物识别认证引擎和RADIUS、TACACS+、LDAP协议服务。支持500资产规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93F91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B550C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385CBA">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140E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7"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180F21">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90B35">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63D5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资产接入授权</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BC3CF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资产授权license：实现多个业务系统对接，例如OA、ERP、CRM等；多个网络设备对接，交换机、vpn、堡垒机、防护墙、网闸、IDS等；多个云主机、云桌面、操作系统等接入授权。（每接入一个资产IP会占用一个资产授权许可）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12EDD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授权</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0CA09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100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AAAA2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B4D8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F9BB4C">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71ACD5">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D557E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软件令牌</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5E5B27">
            <w:pPr>
              <w:pStyle w:val="9"/>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软件令牌形式，每隔60秒变化一个密码，支持Ios/</w:t>
            </w:r>
            <w:r>
              <w:rPr>
                <w:highlight w:val="none"/>
              </w:rPr>
              <w:t>android</w:t>
            </w:r>
            <w:r>
              <w:rPr>
                <w:rFonts w:hint="eastAsia" w:ascii="仿宋" w:hAnsi="仿宋" w:eastAsia="仿宋" w:cs="仿宋"/>
                <w:i w:val="0"/>
                <w:color w:val="auto"/>
                <w:kern w:val="0"/>
                <w:sz w:val="24"/>
                <w:szCs w:val="24"/>
                <w:highlight w:val="none"/>
                <w:u w:val="none"/>
                <w:lang w:val="en-US" w:eastAsia="zh-CN" w:bidi="ar"/>
              </w:rPr>
              <w:t>安装。包含3年license许可。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A9DE3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个</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D624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1EF7B">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F581D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8E4D3B">
            <w:pPr>
              <w:jc w:val="center"/>
              <w:rPr>
                <w:rFonts w:hint="eastAsia" w:ascii="仿宋" w:hAnsi="仿宋" w:eastAsia="仿宋" w:cs="仿宋"/>
                <w:i w:val="0"/>
                <w:color w:val="auto"/>
                <w:sz w:val="24"/>
                <w:szCs w:val="24"/>
                <w:highlight w:val="none"/>
                <w:u w:val="none"/>
              </w:rPr>
            </w:pPr>
          </w:p>
        </w:tc>
        <w:tc>
          <w:tcPr>
            <w:tcW w:w="8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A7B30">
            <w:pPr>
              <w:jc w:val="left"/>
              <w:rPr>
                <w:rFonts w:hint="eastAsia" w:ascii="仿宋" w:hAnsi="仿宋" w:eastAsia="仿宋" w:cs="仿宋"/>
                <w:i w:val="0"/>
                <w:color w:val="auto"/>
                <w:sz w:val="24"/>
                <w:szCs w:val="24"/>
                <w:highlight w:val="none"/>
                <w:u w:val="none"/>
              </w:rPr>
            </w:pPr>
          </w:p>
        </w:tc>
        <w:tc>
          <w:tcPr>
            <w:tcW w:w="682"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C38B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用户账号许可</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A4F08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员工账号用户授权许可。包含3年license许可。</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60F04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个</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BAA3A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7997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B362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98"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284FE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EA3BF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VPN</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8B23D9">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标准2U机架式设备，1个RJ-45 Console口。至少8个10/100/1000M自适应电口，4个千兆SFP插槽，2个网络接口扩展槽位。2个USB口，交流冗余电源；整机吞吐率≥30Gbps，IPSec/SSL国密加解密吞吐率≥1Gbps，提供1000个SSL VPN并发用户授权，支持PC端和移动端同时接入。标配硬件加密卡，支持国家商用密码算法SM1、SM2、SM3、SM4，具备国家密码管理局发布的商用密码产品认证证书。提供三年产品硬件免费质保服务。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5CBF2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5BF1F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DE3B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3415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07"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64AD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0E918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网络审计</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BFBE6">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2U机架式设备,内存≥32G，机械硬盘≥4T。至少2个千兆电口(1个管理，1个HA)，2个万兆光口含模块,冗余电源,2个扩展槽位。吞吐率≥8Gbps。包含数据库审计功能模块。包含应用识别功能，含1个云审计代理/Agent授权。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3B4A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E6F09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2B97F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7DC4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9" w:hRule="atLeast"/>
        </w:trPr>
        <w:tc>
          <w:tcPr>
            <w:tcW w:w="1056" w:type="dxa"/>
            <w:gridSpan w:val="2"/>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187BA7C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126CA7">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网络安全漏洞扫描系统</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439D48">
            <w:pPr>
              <w:keepNext w:val="0"/>
              <w:keepLines w:val="0"/>
              <w:widowControl/>
              <w:suppressLineNumbers w:val="0"/>
              <w:jc w:val="left"/>
              <w:textAlignment w:val="center"/>
              <w:rPr>
                <w:rFonts w:hint="eastAsia"/>
                <w:highlight w:val="none"/>
              </w:rPr>
            </w:pPr>
            <w:r>
              <w:rPr>
                <w:rFonts w:hint="eastAsia" w:ascii="仿宋" w:hAnsi="仿宋" w:eastAsia="仿宋" w:cs="仿宋"/>
                <w:i w:val="0"/>
                <w:color w:val="auto"/>
                <w:kern w:val="0"/>
                <w:sz w:val="24"/>
                <w:szCs w:val="24"/>
                <w:highlight w:val="none"/>
                <w:u w:val="none"/>
                <w:lang w:val="en-US" w:eastAsia="zh-CN" w:bidi="ar"/>
              </w:rPr>
              <w:t>标准1U机架式设备。至少6个10/100/1000M Base-TX接口、4个千兆SFP接口，1个RJ45 Console口，2个USB接口，另具备2个接口扩展插槽，自带液晶屏，冗余电源。主机漏扫、配置核查、Web漏扫功能开通，主机漏扫和基线核查可扫描IP地址总数无限制，单任务最大可扫描≥300IP地址；主机漏扫并发扫描≥200IP地址；基线核查可核查Windows系列设备类型；Web漏扫可扫描子域名或IP总数量≥5个，Web漏扫并发≥5个子域名或IP。提供三年漏洞库免费升级服务及三年硬件免费质保服务。</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19B1A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9D5B6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E2D81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FF36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EA4248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1526" w:type="dxa"/>
            <w:gridSpan w:val="3"/>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D37243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态势感知平台流量探针</w:t>
            </w:r>
          </w:p>
        </w:tc>
        <w:tc>
          <w:tcPr>
            <w:tcW w:w="3339" w:type="dxa"/>
            <w:tcBorders>
              <w:top w:val="nil"/>
              <w:left w:val="nil"/>
              <w:bottom w:val="nil"/>
              <w:right w:val="nil"/>
            </w:tcBorders>
            <w:shd w:val="clear" w:color="auto" w:fill="auto"/>
            <w:tcMar>
              <w:top w:w="12" w:type="dxa"/>
              <w:left w:w="12" w:type="dxa"/>
              <w:right w:w="12" w:type="dxa"/>
            </w:tcMar>
            <w:vAlign w:val="center"/>
          </w:tcPr>
          <w:p w14:paraId="7FBE3C4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产品规格：标准2U机架式设备，冗余电源，1个RJ-45 Console口，1个10/100/1000 Base-Tx带外管理口。至少4个千兆电口，4个千兆光口，2万兆光口，6个扩展槽。硬盘≥8T，内存≥32G。</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4E056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B55B57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14:paraId="2601D3BE">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p>
          <w:p w14:paraId="4456D04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0882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9"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7D0EEB6">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8635F03">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5B5BD4D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功能：产品内置双向检测引擎、威胁情报引擎、AV检测引擎、yara检测引擎和机器学习检测引擎，搭载2W+检测规则，支持60+应用层协议解析，能对流量中的威胁进行检测、文件中的威胁进行检测；支持检测已知威胁、未知威胁；能对实时发生的网络威胁进行检测，也能基于通信特征对部署前已感染的网络威胁进行检测，覆盖威胁的全生命周期。</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FB9BA">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71E54FD">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auto" w:sz="4" w:space="0"/>
            </w:tcBorders>
            <w:shd w:val="clear" w:color="auto" w:fill="auto"/>
            <w:tcMar>
              <w:top w:w="12" w:type="dxa"/>
              <w:left w:w="12" w:type="dxa"/>
              <w:right w:w="12" w:type="dxa"/>
            </w:tcMar>
            <w:vAlign w:val="center"/>
          </w:tcPr>
          <w:p w14:paraId="1D1B1DA7">
            <w:pPr>
              <w:jc w:val="center"/>
              <w:rPr>
                <w:rFonts w:hint="eastAsia" w:ascii="仿宋" w:hAnsi="仿宋" w:eastAsia="仿宋" w:cs="仿宋"/>
                <w:i w:val="0"/>
                <w:color w:val="auto"/>
                <w:sz w:val="24"/>
                <w:szCs w:val="24"/>
                <w:highlight w:val="none"/>
                <w:u w:val="none"/>
              </w:rPr>
            </w:pPr>
          </w:p>
        </w:tc>
      </w:tr>
      <w:tr w14:paraId="1EEB8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91"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7D47A6F">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857E5AB">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6447522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产品性能：实际网络处理能力≥6Gbps，最大并发连接≥700万，每秒新建连接数≥5万。</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97E67">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0AC73B5A">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auto" w:sz="4" w:space="0"/>
            </w:tcBorders>
            <w:shd w:val="clear" w:color="auto" w:fill="auto"/>
            <w:tcMar>
              <w:top w:w="12" w:type="dxa"/>
              <w:left w:w="12" w:type="dxa"/>
              <w:right w:w="12" w:type="dxa"/>
            </w:tcMar>
            <w:vAlign w:val="center"/>
          </w:tcPr>
          <w:p w14:paraId="0AD00BD4">
            <w:pPr>
              <w:jc w:val="center"/>
              <w:rPr>
                <w:rFonts w:hint="eastAsia" w:ascii="仿宋" w:hAnsi="仿宋" w:eastAsia="仿宋" w:cs="仿宋"/>
                <w:i w:val="0"/>
                <w:color w:val="auto"/>
                <w:sz w:val="24"/>
                <w:szCs w:val="24"/>
                <w:highlight w:val="none"/>
                <w:u w:val="none"/>
              </w:rPr>
            </w:pPr>
          </w:p>
        </w:tc>
      </w:tr>
      <w:tr w14:paraId="0777D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1"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D16DAFB">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14:paraId="0C0F3B17">
            <w:pPr>
              <w:jc w:val="left"/>
              <w:rPr>
                <w:rFonts w:hint="eastAsia" w:ascii="仿宋" w:hAnsi="仿宋" w:eastAsia="仿宋" w:cs="仿宋"/>
                <w:i w:val="0"/>
                <w:color w:val="auto"/>
                <w:sz w:val="24"/>
                <w:szCs w:val="24"/>
                <w:highlight w:val="none"/>
                <w:u w:val="none"/>
              </w:rPr>
            </w:pPr>
          </w:p>
        </w:tc>
        <w:tc>
          <w:tcPr>
            <w:tcW w:w="3339" w:type="dxa"/>
            <w:tcBorders>
              <w:top w:val="nil"/>
              <w:left w:val="nil"/>
              <w:bottom w:val="single" w:color="auto" w:sz="4" w:space="0"/>
              <w:right w:val="nil"/>
            </w:tcBorders>
            <w:shd w:val="clear" w:color="auto" w:fill="auto"/>
            <w:tcMar>
              <w:top w:w="12" w:type="dxa"/>
              <w:left w:w="12" w:type="dxa"/>
              <w:right w:w="12" w:type="dxa"/>
            </w:tcMar>
            <w:vAlign w:val="center"/>
          </w:tcPr>
          <w:p w14:paraId="01165C66">
            <w:pPr>
              <w:pStyle w:val="2"/>
              <w:spacing w:line="240" w:lineRule="auto"/>
              <w:ind w:left="0" w:leftChars="0" w:firstLine="0" w:firstLineChars="0"/>
              <w:rPr>
                <w:rFonts w:hint="eastAsia"/>
                <w:highlight w:val="none"/>
              </w:rPr>
            </w:pPr>
            <w:r>
              <w:rPr>
                <w:rFonts w:hint="eastAsia" w:ascii="仿宋" w:hAnsi="仿宋" w:eastAsia="仿宋" w:cs="仿宋"/>
                <w:i w:val="0"/>
                <w:color w:val="auto"/>
                <w:kern w:val="0"/>
                <w:sz w:val="24"/>
                <w:szCs w:val="24"/>
                <w:highlight w:val="none"/>
                <w:u w:val="none"/>
                <w:lang w:val="en-US" w:eastAsia="zh-CN" w:bidi="ar"/>
              </w:rPr>
              <w:t>产品服务：三年免费威胁检测规则库、威胁情报库升级服务；三年产品免费保修服务升级服务，包含：硬件质保服务、技术支持服务、版本升级服务</w:t>
            </w:r>
          </w:p>
        </w:tc>
        <w:tc>
          <w:tcPr>
            <w:tcW w:w="1230" w:type="dxa"/>
            <w:gridSpan w:val="2"/>
            <w:vMerge w:val="continue"/>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07D60B9D">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19E1D132">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7DC54028">
            <w:pPr>
              <w:jc w:val="center"/>
              <w:rPr>
                <w:rFonts w:hint="eastAsia" w:ascii="仿宋" w:hAnsi="仿宋" w:eastAsia="仿宋" w:cs="仿宋"/>
                <w:i w:val="0"/>
                <w:color w:val="auto"/>
                <w:sz w:val="24"/>
                <w:szCs w:val="24"/>
                <w:highlight w:val="none"/>
                <w:u w:val="none"/>
              </w:rPr>
            </w:pPr>
          </w:p>
        </w:tc>
      </w:tr>
      <w:tr w14:paraId="5EB04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0AA81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C7A48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安全域接入交换机</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CBBC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E78C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5F58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258A1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191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3BD80C">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三、IPv6协议转换平台</w:t>
            </w:r>
          </w:p>
        </w:tc>
      </w:tr>
      <w:tr w14:paraId="54915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345"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C3041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5E041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IPv6协议转换平台</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B374E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一、服务器</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配置参数 国产CPU≥16核,DDR4 3200 内存≥64G,存储≥2T；千兆端口：4个；设备吞吐率≥2 Gbps；最大并发连接数≥200万，最大新建连接数2万个/秒；</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二、IPv6智能升级系统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三、IPv6WAF安全防护系统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四、IPv6防DDos攻击服务系统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五、三年免费运维服务 </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 xml:space="preserve">六、网站IPv6支持度检测服务 </w:t>
            </w:r>
          </w:p>
        </w:tc>
        <w:tc>
          <w:tcPr>
            <w:tcW w:w="1230" w:type="dxa"/>
            <w:gridSpan w:val="2"/>
            <w:tcBorders>
              <w:top w:val="single" w:color="000000" w:sz="4" w:space="0"/>
              <w:left w:val="nil"/>
              <w:bottom w:val="single" w:color="000000" w:sz="4" w:space="0"/>
              <w:right w:val="single" w:color="000000" w:sz="4" w:space="0"/>
            </w:tcBorders>
            <w:shd w:val="clear" w:color="auto" w:fill="auto"/>
            <w:tcMar>
              <w:top w:w="12" w:type="dxa"/>
              <w:left w:w="12" w:type="dxa"/>
              <w:right w:w="12" w:type="dxa"/>
            </w:tcMar>
            <w:vAlign w:val="center"/>
          </w:tcPr>
          <w:p w14:paraId="7494B40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13326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E37737">
            <w:pPr>
              <w:keepNext w:val="0"/>
              <w:keepLines w:val="0"/>
              <w:widowControl/>
              <w:suppressLineNumbers w:val="0"/>
              <w:jc w:val="center"/>
              <w:textAlignment w:val="center"/>
              <w:rPr>
                <w:rFonts w:hint="default" w:ascii="仿宋" w:hAnsi="仿宋" w:eastAsia="仿宋" w:cs="仿宋"/>
                <w:i w:val="0"/>
                <w:color w:val="auto"/>
                <w:kern w:val="0"/>
                <w:sz w:val="24"/>
                <w:szCs w:val="24"/>
                <w:highlight w:val="none"/>
                <w:u w:val="none"/>
                <w:lang w:val="en-US" w:eastAsia="zh-CN" w:bidi="ar"/>
              </w:rPr>
            </w:pPr>
          </w:p>
        </w:tc>
      </w:tr>
      <w:tr w14:paraId="279B4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5F486A">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四、域名及地址管理分配部分</w:t>
            </w:r>
          </w:p>
        </w:tc>
      </w:tr>
      <w:tr w14:paraId="110A3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AB46B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9EDE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统一管理节点</w:t>
            </w:r>
          </w:p>
        </w:tc>
        <w:tc>
          <w:tcPr>
            <w:tcW w:w="3339" w:type="dxa"/>
            <w:tcBorders>
              <w:top w:val="nil"/>
              <w:left w:val="nil"/>
              <w:bottom w:val="nil"/>
              <w:right w:val="nil"/>
            </w:tcBorders>
            <w:shd w:val="clear" w:color="auto" w:fill="auto"/>
            <w:tcMar>
              <w:top w:w="12" w:type="dxa"/>
              <w:left w:w="12" w:type="dxa"/>
              <w:right w:w="12" w:type="dxa"/>
            </w:tcMar>
            <w:vAlign w:val="center"/>
          </w:tcPr>
          <w:p w14:paraId="73F3931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3126B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113C5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132D071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93C0C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C699F">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EFD671">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0BE3ABE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千兆电口≥10，支持扩展至（4口千兆光板卡*1、2口万兆光板卡*2），内存容量≥16G，硬盘≥2T，支持Raid1，可管理DNS和DHCP/IPAM服务节点，三年免费保修服务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475F2">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15386C">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0D7A6">
            <w:pPr>
              <w:jc w:val="center"/>
              <w:rPr>
                <w:rFonts w:hint="eastAsia" w:ascii="仿宋" w:hAnsi="仿宋" w:eastAsia="仿宋" w:cs="仿宋"/>
                <w:i w:val="0"/>
                <w:color w:val="auto"/>
                <w:sz w:val="24"/>
                <w:szCs w:val="24"/>
                <w:highlight w:val="none"/>
                <w:u w:val="none"/>
              </w:rPr>
            </w:pPr>
          </w:p>
        </w:tc>
      </w:tr>
      <w:tr w14:paraId="18CB9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F586AA">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34CCC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DNS服务节点</w:t>
            </w:r>
          </w:p>
        </w:tc>
        <w:tc>
          <w:tcPr>
            <w:tcW w:w="3339" w:type="dxa"/>
            <w:tcBorders>
              <w:top w:val="single" w:color="000000" w:sz="4" w:space="0"/>
              <w:left w:val="single" w:color="000000" w:sz="4" w:space="0"/>
              <w:bottom w:val="nil"/>
              <w:right w:val="single" w:color="000000" w:sz="4" w:space="0"/>
            </w:tcBorders>
            <w:shd w:val="clear" w:color="auto" w:fill="auto"/>
            <w:tcMar>
              <w:top w:w="12" w:type="dxa"/>
              <w:left w:w="12" w:type="dxa"/>
              <w:right w:w="12" w:type="dxa"/>
            </w:tcMar>
            <w:vAlign w:val="center"/>
          </w:tcPr>
          <w:p w14:paraId="007C1807">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505C9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9D440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356077C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9AA9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05C7D02E">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0A613">
            <w:pPr>
              <w:jc w:val="left"/>
              <w:rPr>
                <w:rFonts w:hint="eastAsia" w:ascii="仿宋" w:hAnsi="仿宋" w:eastAsia="仿宋" w:cs="仿宋"/>
                <w:i w:val="0"/>
                <w:color w:val="auto"/>
                <w:sz w:val="24"/>
                <w:szCs w:val="24"/>
                <w:highlight w:val="none"/>
                <w:u w:val="none"/>
              </w:rPr>
            </w:pPr>
          </w:p>
        </w:tc>
        <w:tc>
          <w:tcPr>
            <w:tcW w:w="3339" w:type="dxa"/>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FF6B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千兆电口≥10，支持扩展至（4口千兆光板卡*1、2口万兆光板卡*2），内存容量≥16G，硬盘≥2T，支持Raid1，≥8万QPS，三年免费保修服务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D48FC">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96D025">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09471D">
            <w:pPr>
              <w:jc w:val="center"/>
              <w:rPr>
                <w:rFonts w:hint="eastAsia" w:ascii="仿宋" w:hAnsi="仿宋" w:eastAsia="仿宋" w:cs="仿宋"/>
                <w:i w:val="0"/>
                <w:color w:val="auto"/>
                <w:sz w:val="24"/>
                <w:szCs w:val="24"/>
                <w:highlight w:val="none"/>
                <w:u w:val="none"/>
              </w:rPr>
            </w:pPr>
          </w:p>
        </w:tc>
      </w:tr>
      <w:tr w14:paraId="2FB77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7" w:hRule="atLeast"/>
        </w:trPr>
        <w:tc>
          <w:tcPr>
            <w:tcW w:w="1056"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513785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w:t>
            </w:r>
          </w:p>
        </w:tc>
        <w:tc>
          <w:tcPr>
            <w:tcW w:w="1526" w:type="dxa"/>
            <w:gridSpan w:val="3"/>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79D3D4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DHCP/IPAM服务节点</w:t>
            </w:r>
          </w:p>
        </w:tc>
        <w:tc>
          <w:tcPr>
            <w:tcW w:w="3339" w:type="dxa"/>
            <w:tcBorders>
              <w:top w:val="nil"/>
              <w:left w:val="nil"/>
              <w:bottom w:val="nil"/>
              <w:right w:val="nil"/>
            </w:tcBorders>
            <w:shd w:val="clear" w:color="auto" w:fill="auto"/>
            <w:tcMar>
              <w:top w:w="12" w:type="dxa"/>
              <w:left w:w="12" w:type="dxa"/>
              <w:right w:w="12" w:type="dxa"/>
            </w:tcMar>
            <w:vAlign w:val="center"/>
          </w:tcPr>
          <w:p w14:paraId="1AF77E7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配置冗余交流电源，支持热插拔</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0526F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AB28F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1DFCC67">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BBA26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F9968B7">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584013E0">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32CB5F3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千兆电口≥10，支持扩展至（4口千兆光板卡*1、2口万兆光板卡*2），内存容量≥16G，硬盘≥2T，支持Raid1，LPS≥500，DHCP 容量：≥8万，三年免费保修服务</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3C0DBA">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408C4">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FF8C82">
            <w:pPr>
              <w:jc w:val="center"/>
              <w:rPr>
                <w:rFonts w:hint="eastAsia" w:ascii="仿宋" w:hAnsi="仿宋" w:eastAsia="仿宋" w:cs="仿宋"/>
                <w:i w:val="0"/>
                <w:color w:val="auto"/>
                <w:sz w:val="24"/>
                <w:szCs w:val="24"/>
                <w:highlight w:val="none"/>
                <w:u w:val="none"/>
              </w:rPr>
            </w:pPr>
          </w:p>
        </w:tc>
      </w:tr>
      <w:tr w14:paraId="02FC7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4A2371">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五、集中办公区网络设备升级改造部分</w:t>
            </w:r>
          </w:p>
        </w:tc>
      </w:tr>
      <w:tr w14:paraId="5FD6B6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1931E02B">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1、区政府集中办公区一号楼升级内容</w:t>
            </w:r>
          </w:p>
        </w:tc>
      </w:tr>
      <w:tr w14:paraId="54EEB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E163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30B579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DC9AECC">
            <w:pPr>
              <w:keepNext w:val="0"/>
              <w:keepLines w:val="0"/>
              <w:widowControl/>
              <w:suppressLineNumbers w:val="0"/>
              <w:jc w:val="left"/>
              <w:textAlignment w:val="center"/>
              <w:rPr>
                <w:rFonts w:hint="default" w:ascii="仿宋" w:hAnsi="仿宋" w:eastAsia="仿宋" w:cs="仿宋"/>
                <w:i w:val="0"/>
                <w:color w:val="auto"/>
                <w:sz w:val="24"/>
                <w:szCs w:val="24"/>
                <w:highlight w:val="none"/>
                <w:u w:val="none"/>
                <w:lang w:val="en-US"/>
              </w:rPr>
            </w:pPr>
            <w:r>
              <w:rPr>
                <w:rFonts w:hint="eastAsia" w:ascii="仿宋" w:hAnsi="仿宋" w:eastAsia="仿宋" w:cs="仿宋"/>
                <w:i w:val="0"/>
                <w:color w:val="auto"/>
                <w:kern w:val="0"/>
                <w:sz w:val="24"/>
                <w:szCs w:val="24"/>
                <w:highlight w:val="none"/>
                <w:u w:val="none"/>
                <w:lang w:val="en-US" w:eastAsia="zh-CN" w:bidi="ar"/>
              </w:rPr>
              <w:t>交换容量≥102.4/403.2Tbps</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4C721A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8F840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57938BD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7027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179674">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50E2198B">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F206CB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包转发率≥57600MppS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7E8EEB75">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1682AD">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AD142E2">
            <w:pPr>
              <w:jc w:val="center"/>
              <w:rPr>
                <w:rFonts w:hint="eastAsia" w:ascii="仿宋" w:hAnsi="仿宋" w:eastAsia="仿宋" w:cs="仿宋"/>
                <w:i w:val="0"/>
                <w:color w:val="auto"/>
                <w:sz w:val="24"/>
                <w:szCs w:val="24"/>
                <w:highlight w:val="none"/>
                <w:u w:val="none"/>
              </w:rPr>
            </w:pPr>
          </w:p>
        </w:tc>
      </w:tr>
      <w:tr w14:paraId="70E81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56D2E">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13FA00C">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D04CFA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槽位数≥6</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F7F89FE">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10901">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7C1C354">
            <w:pPr>
              <w:jc w:val="center"/>
              <w:rPr>
                <w:rFonts w:hint="eastAsia" w:ascii="仿宋" w:hAnsi="仿宋" w:eastAsia="仿宋" w:cs="仿宋"/>
                <w:i w:val="0"/>
                <w:color w:val="auto"/>
                <w:sz w:val="24"/>
                <w:szCs w:val="24"/>
                <w:highlight w:val="none"/>
                <w:u w:val="none"/>
              </w:rPr>
            </w:pPr>
          </w:p>
        </w:tc>
      </w:tr>
      <w:tr w14:paraId="7A079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0171C">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39289037">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64F385C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双电源\双主控\48千兆电口卡*2，24千兆光口卡+24万光光口卡*2  </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2BB257D">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B65FBE">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CF527">
            <w:pPr>
              <w:jc w:val="center"/>
              <w:rPr>
                <w:rFonts w:hint="eastAsia" w:ascii="仿宋" w:hAnsi="仿宋" w:eastAsia="仿宋" w:cs="仿宋"/>
                <w:i w:val="0"/>
                <w:color w:val="auto"/>
                <w:sz w:val="24"/>
                <w:szCs w:val="24"/>
                <w:highlight w:val="none"/>
                <w:u w:val="none"/>
              </w:rPr>
            </w:pPr>
          </w:p>
        </w:tc>
      </w:tr>
      <w:tr w14:paraId="52C27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4579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4170AF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91EB56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3233E24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FD3ED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751"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3374972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0159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144245">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1C7874F">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4A711B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945B1F9">
            <w:pPr>
              <w:jc w:val="center"/>
              <w:rPr>
                <w:rFonts w:hint="eastAsia" w:ascii="仿宋" w:hAnsi="仿宋" w:eastAsia="仿宋" w:cs="仿宋"/>
                <w:i w:val="0"/>
                <w:color w:val="auto"/>
                <w:sz w:val="24"/>
                <w:szCs w:val="24"/>
                <w:highlight w:val="none"/>
                <w:u w:val="none"/>
              </w:rPr>
            </w:pPr>
          </w:p>
        </w:tc>
        <w:tc>
          <w:tcPr>
            <w:tcW w:w="130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5EBC6527">
            <w:pPr>
              <w:jc w:val="center"/>
              <w:rPr>
                <w:rFonts w:hint="eastAsia" w:ascii="仿宋" w:hAnsi="仿宋" w:eastAsia="仿宋" w:cs="仿宋"/>
                <w:i w:val="0"/>
                <w:color w:val="auto"/>
                <w:sz w:val="24"/>
                <w:szCs w:val="24"/>
                <w:highlight w:val="none"/>
                <w:u w:val="none"/>
              </w:rPr>
            </w:pPr>
          </w:p>
        </w:tc>
        <w:tc>
          <w:tcPr>
            <w:tcW w:w="751" w:type="dxa"/>
            <w:vMerge w:val="restart"/>
            <w:tcBorders>
              <w:left w:val="single" w:color="000000" w:sz="4" w:space="0"/>
              <w:right w:val="single" w:color="000000" w:sz="4" w:space="0"/>
            </w:tcBorders>
            <w:shd w:val="clear" w:color="auto" w:fill="auto"/>
            <w:tcMar>
              <w:top w:w="12" w:type="dxa"/>
              <w:left w:w="12" w:type="dxa"/>
              <w:right w:w="12" w:type="dxa"/>
            </w:tcMar>
            <w:vAlign w:val="center"/>
          </w:tcPr>
          <w:p w14:paraId="6F4DD0ED">
            <w:pPr>
              <w:jc w:val="center"/>
              <w:rPr>
                <w:rFonts w:hint="eastAsia" w:ascii="仿宋" w:hAnsi="仿宋" w:eastAsia="仿宋" w:cs="仿宋"/>
                <w:i w:val="0"/>
                <w:color w:val="auto"/>
                <w:sz w:val="24"/>
                <w:szCs w:val="24"/>
                <w:highlight w:val="none"/>
                <w:u w:val="none"/>
              </w:rPr>
            </w:pPr>
          </w:p>
        </w:tc>
      </w:tr>
      <w:tr w14:paraId="3D91F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7ECF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162D78AD">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912EB0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20AFFDE">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0DBF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9297FB">
            <w:pPr>
              <w:jc w:val="center"/>
              <w:rPr>
                <w:rFonts w:hint="eastAsia" w:ascii="仿宋" w:hAnsi="仿宋" w:eastAsia="仿宋" w:cs="仿宋"/>
                <w:i w:val="0"/>
                <w:color w:val="auto"/>
                <w:sz w:val="24"/>
                <w:szCs w:val="24"/>
                <w:highlight w:val="none"/>
                <w:u w:val="none"/>
              </w:rPr>
            </w:pPr>
          </w:p>
        </w:tc>
      </w:tr>
      <w:tr w14:paraId="70833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7CA2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1.3</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48610D7">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D39F02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21126A8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238E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0698DE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608E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04DA95">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0F4C92F7">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A047C2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7C81A8C3">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845086">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4D904EE">
            <w:pPr>
              <w:jc w:val="center"/>
              <w:rPr>
                <w:rFonts w:hint="eastAsia" w:ascii="仿宋" w:hAnsi="仿宋" w:eastAsia="仿宋" w:cs="仿宋"/>
                <w:i w:val="0"/>
                <w:color w:val="auto"/>
                <w:sz w:val="24"/>
                <w:szCs w:val="24"/>
                <w:highlight w:val="none"/>
                <w:u w:val="none"/>
              </w:rPr>
            </w:pPr>
          </w:p>
        </w:tc>
      </w:tr>
      <w:tr w14:paraId="2DFE79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44DA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138511">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nil"/>
              <w:bottom w:val="nil"/>
              <w:right w:val="nil"/>
            </w:tcBorders>
            <w:shd w:val="clear" w:color="auto" w:fill="auto"/>
            <w:tcMar>
              <w:top w:w="12" w:type="dxa"/>
              <w:left w:w="12" w:type="dxa"/>
              <w:right w:w="12" w:type="dxa"/>
            </w:tcMar>
            <w:vAlign w:val="center"/>
          </w:tcPr>
          <w:p w14:paraId="77CD2B8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7BC88">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24E913">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423AA8">
            <w:pPr>
              <w:jc w:val="center"/>
              <w:rPr>
                <w:rFonts w:hint="eastAsia" w:ascii="仿宋" w:hAnsi="仿宋" w:eastAsia="仿宋" w:cs="仿宋"/>
                <w:i w:val="0"/>
                <w:color w:val="auto"/>
                <w:sz w:val="24"/>
                <w:szCs w:val="24"/>
                <w:highlight w:val="none"/>
                <w:u w:val="none"/>
              </w:rPr>
            </w:pPr>
          </w:p>
        </w:tc>
      </w:tr>
      <w:tr w14:paraId="297A1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DC39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1.4</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FEC7A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08D3D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75712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D0831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1642E075">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19E2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2ECB9D">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727099">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68013CC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包转发率≥126Mpps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FE54E2">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7238EB">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56C5D70">
            <w:pPr>
              <w:jc w:val="center"/>
              <w:rPr>
                <w:rFonts w:hint="eastAsia" w:ascii="仿宋" w:hAnsi="仿宋" w:eastAsia="仿宋" w:cs="仿宋"/>
                <w:i w:val="0"/>
                <w:color w:val="auto"/>
                <w:sz w:val="24"/>
                <w:szCs w:val="24"/>
                <w:highlight w:val="none"/>
                <w:u w:val="none"/>
              </w:rPr>
            </w:pPr>
          </w:p>
        </w:tc>
      </w:tr>
      <w:tr w14:paraId="1C1DE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A4422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510B0">
            <w:pPr>
              <w:jc w:val="left"/>
              <w:rPr>
                <w:rFonts w:hint="eastAsia" w:ascii="仿宋" w:hAnsi="仿宋" w:eastAsia="仿宋" w:cs="仿宋"/>
                <w:i w:val="0"/>
                <w:color w:val="auto"/>
                <w:sz w:val="24"/>
                <w:szCs w:val="24"/>
                <w:highlight w:val="none"/>
                <w:u w:val="none"/>
              </w:rPr>
            </w:pPr>
          </w:p>
        </w:tc>
        <w:tc>
          <w:tcPr>
            <w:tcW w:w="3339" w:type="dxa"/>
            <w:tcBorders>
              <w:top w:val="nil"/>
              <w:left w:val="nil"/>
              <w:bottom w:val="nil"/>
              <w:right w:val="nil"/>
            </w:tcBorders>
            <w:shd w:val="clear" w:color="auto" w:fill="auto"/>
            <w:tcMar>
              <w:top w:w="12" w:type="dxa"/>
              <w:left w:w="12" w:type="dxa"/>
              <w:right w:w="12" w:type="dxa"/>
            </w:tcMar>
            <w:vAlign w:val="center"/>
          </w:tcPr>
          <w:p w14:paraId="2988F7C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C19AE6">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26544E">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515C4">
            <w:pPr>
              <w:jc w:val="center"/>
              <w:rPr>
                <w:rFonts w:hint="eastAsia" w:ascii="仿宋" w:hAnsi="仿宋" w:eastAsia="仿宋" w:cs="仿宋"/>
                <w:i w:val="0"/>
                <w:color w:val="auto"/>
                <w:sz w:val="24"/>
                <w:szCs w:val="24"/>
                <w:highlight w:val="none"/>
                <w:u w:val="none"/>
              </w:rPr>
            </w:pPr>
          </w:p>
        </w:tc>
      </w:tr>
      <w:tr w14:paraId="527A8B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0C58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1.5</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73A29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C2B4C">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千兆单模10KM 1310   </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5FF74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055A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A9D7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146E3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nil"/>
            </w:tcBorders>
            <w:shd w:val="clear" w:color="auto" w:fill="auto"/>
            <w:tcMar>
              <w:top w:w="12" w:type="dxa"/>
              <w:left w:w="12" w:type="dxa"/>
              <w:right w:w="12" w:type="dxa"/>
            </w:tcMar>
            <w:vAlign w:val="center"/>
          </w:tcPr>
          <w:p w14:paraId="157783E9">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2、区政府集中办公区二号楼升级内容</w:t>
            </w:r>
          </w:p>
        </w:tc>
      </w:tr>
      <w:tr w14:paraId="5E5BF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650D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1AF47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02E5A0B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5F689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C09E8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1B8EDD">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4EFC2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DE690C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w:t>
            </w:r>
          </w:p>
        </w:tc>
        <w:tc>
          <w:tcPr>
            <w:tcW w:w="1526" w:type="dxa"/>
            <w:gridSpan w:val="3"/>
            <w:vMerge w:val="restart"/>
            <w:tcBorders>
              <w:top w:val="single" w:color="000000" w:sz="4" w:space="0"/>
              <w:left w:val="single" w:color="000000" w:sz="4" w:space="0"/>
              <w:right w:val="single" w:color="auto" w:sz="4" w:space="0"/>
            </w:tcBorders>
            <w:shd w:val="clear" w:color="auto" w:fill="auto"/>
            <w:tcMar>
              <w:top w:w="12" w:type="dxa"/>
              <w:left w:w="12" w:type="dxa"/>
              <w:right w:w="12" w:type="dxa"/>
            </w:tcMar>
            <w:vAlign w:val="center"/>
          </w:tcPr>
          <w:p w14:paraId="17EAFE17">
            <w:pPr>
              <w:keepNext w:val="0"/>
              <w:keepLines w:val="0"/>
              <w:widowControl/>
              <w:suppressLineNumbers w:val="0"/>
              <w:jc w:val="both"/>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91944C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right w:val="single" w:color="000000" w:sz="4" w:space="0"/>
            </w:tcBorders>
            <w:shd w:val="clear" w:color="auto" w:fill="auto"/>
            <w:tcMar>
              <w:top w:w="12" w:type="dxa"/>
              <w:left w:w="12" w:type="dxa"/>
              <w:right w:w="12" w:type="dxa"/>
            </w:tcMar>
            <w:vAlign w:val="center"/>
          </w:tcPr>
          <w:p w14:paraId="048D941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16A8E7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6</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DFA727A">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217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left w:val="single" w:color="000000" w:sz="4" w:space="0"/>
              <w:right w:val="single" w:color="000000" w:sz="4" w:space="0"/>
            </w:tcBorders>
            <w:shd w:val="clear" w:color="auto" w:fill="auto"/>
            <w:tcMar>
              <w:top w:w="12" w:type="dxa"/>
              <w:left w:w="12" w:type="dxa"/>
              <w:right w:w="12" w:type="dxa"/>
            </w:tcMar>
            <w:vAlign w:val="center"/>
          </w:tcPr>
          <w:p w14:paraId="6966337D">
            <w:pPr>
              <w:jc w:val="center"/>
              <w:rPr>
                <w:rFonts w:hint="eastAsia" w:ascii="仿宋" w:hAnsi="仿宋" w:eastAsia="仿宋" w:cs="仿宋"/>
                <w:i w:val="0"/>
                <w:color w:val="auto"/>
                <w:sz w:val="24"/>
                <w:szCs w:val="24"/>
                <w:highlight w:val="none"/>
                <w:u w:val="none"/>
              </w:rPr>
            </w:pPr>
          </w:p>
        </w:tc>
        <w:tc>
          <w:tcPr>
            <w:tcW w:w="1526" w:type="dxa"/>
            <w:gridSpan w:val="3"/>
            <w:vMerge w:val="continue"/>
            <w:tcBorders>
              <w:left w:val="single" w:color="000000" w:sz="4" w:space="0"/>
              <w:right w:val="single" w:color="auto" w:sz="4" w:space="0"/>
            </w:tcBorders>
            <w:shd w:val="clear" w:color="auto" w:fill="auto"/>
            <w:tcMar>
              <w:top w:w="12" w:type="dxa"/>
              <w:left w:w="12" w:type="dxa"/>
              <w:right w:w="12" w:type="dxa"/>
            </w:tcMar>
            <w:vAlign w:val="center"/>
          </w:tcPr>
          <w:p w14:paraId="7D52EDCB">
            <w:pPr>
              <w:jc w:val="center"/>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4C8AEAE">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left w:val="single" w:color="auto" w:sz="4" w:space="0"/>
              <w:right w:val="single" w:color="000000" w:sz="4" w:space="0"/>
            </w:tcBorders>
            <w:shd w:val="clear" w:color="auto" w:fill="auto"/>
            <w:tcMar>
              <w:top w:w="12" w:type="dxa"/>
              <w:left w:w="12" w:type="dxa"/>
              <w:right w:w="12" w:type="dxa"/>
            </w:tcMar>
            <w:vAlign w:val="center"/>
          </w:tcPr>
          <w:p w14:paraId="764B5F14">
            <w:pPr>
              <w:jc w:val="center"/>
              <w:rPr>
                <w:rFonts w:hint="eastAsia" w:ascii="仿宋" w:hAnsi="仿宋" w:eastAsia="仿宋" w:cs="仿宋"/>
                <w:i w:val="0"/>
                <w:color w:val="auto"/>
                <w:sz w:val="24"/>
                <w:szCs w:val="24"/>
                <w:highlight w:val="none"/>
                <w:u w:val="none"/>
              </w:rPr>
            </w:pPr>
          </w:p>
        </w:tc>
        <w:tc>
          <w:tcPr>
            <w:tcW w:w="1305"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29BE2B1">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CE60084">
            <w:pPr>
              <w:jc w:val="center"/>
              <w:rPr>
                <w:rFonts w:hint="eastAsia" w:ascii="仿宋" w:hAnsi="仿宋" w:eastAsia="仿宋" w:cs="仿宋"/>
                <w:i w:val="0"/>
                <w:color w:val="auto"/>
                <w:sz w:val="24"/>
                <w:szCs w:val="24"/>
                <w:highlight w:val="none"/>
                <w:u w:val="none"/>
              </w:rPr>
            </w:pPr>
          </w:p>
        </w:tc>
      </w:tr>
      <w:tr w14:paraId="11443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595B0">
            <w:pPr>
              <w:jc w:val="center"/>
              <w:rPr>
                <w:rFonts w:hint="eastAsia" w:ascii="仿宋" w:hAnsi="仿宋" w:eastAsia="仿宋" w:cs="仿宋"/>
                <w:i w:val="0"/>
                <w:color w:val="auto"/>
                <w:sz w:val="24"/>
                <w:szCs w:val="24"/>
                <w:highlight w:val="none"/>
                <w:u w:val="none"/>
              </w:rPr>
            </w:pPr>
          </w:p>
        </w:tc>
        <w:tc>
          <w:tcPr>
            <w:tcW w:w="1526" w:type="dxa"/>
            <w:gridSpan w:val="3"/>
            <w:vMerge w:val="continue"/>
            <w:tcBorders>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3F9368C5">
            <w:pPr>
              <w:jc w:val="center"/>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CFAC4EA">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65EED27">
            <w:pPr>
              <w:jc w:val="center"/>
              <w:rPr>
                <w:rFonts w:hint="eastAsia" w:ascii="仿宋" w:hAnsi="仿宋" w:eastAsia="仿宋" w:cs="仿宋"/>
                <w:i w:val="0"/>
                <w:color w:val="auto"/>
                <w:sz w:val="24"/>
                <w:szCs w:val="24"/>
                <w:highlight w:val="none"/>
                <w:u w:val="none"/>
              </w:rPr>
            </w:pPr>
          </w:p>
        </w:tc>
        <w:tc>
          <w:tcPr>
            <w:tcW w:w="1305"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56136">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4B9B4">
            <w:pPr>
              <w:jc w:val="center"/>
              <w:rPr>
                <w:rFonts w:hint="eastAsia" w:ascii="仿宋" w:hAnsi="仿宋" w:eastAsia="仿宋" w:cs="仿宋"/>
                <w:i w:val="0"/>
                <w:color w:val="auto"/>
                <w:sz w:val="24"/>
                <w:szCs w:val="24"/>
                <w:highlight w:val="none"/>
                <w:u w:val="none"/>
              </w:rPr>
            </w:pPr>
          </w:p>
        </w:tc>
      </w:tr>
      <w:tr w14:paraId="3E714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9708A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1DD97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nil"/>
              <w:bottom w:val="single" w:color="000000" w:sz="4" w:space="0"/>
              <w:right w:val="single" w:color="000000" w:sz="4" w:space="0"/>
            </w:tcBorders>
            <w:shd w:val="clear" w:color="auto" w:fill="auto"/>
            <w:tcMar>
              <w:top w:w="12" w:type="dxa"/>
              <w:left w:w="12" w:type="dxa"/>
              <w:right w:w="12" w:type="dxa"/>
            </w:tcMar>
            <w:vAlign w:val="center"/>
          </w:tcPr>
          <w:p w14:paraId="67853D26">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千兆单模10KM 1310   </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D69EC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D0646C">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12</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F1530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04C67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213DE5">
            <w:pPr>
              <w:keepNext w:val="0"/>
              <w:keepLines w:val="0"/>
              <w:widowControl/>
              <w:suppressLineNumbers w:val="0"/>
              <w:jc w:val="left"/>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3、区政府集中办公区三号楼升级内容</w:t>
            </w:r>
          </w:p>
        </w:tc>
      </w:tr>
      <w:tr w14:paraId="0B576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7C189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3.1</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3EFF8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3B36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EE5CE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0D602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79EB4">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9BA2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DC24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3.2</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4E7E4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7C397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3CB6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E6FA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13</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993210E">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0960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85C2A">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837FE">
            <w:pPr>
              <w:jc w:val="left"/>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1DD38">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019358">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CC209D">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74BE720">
            <w:pPr>
              <w:jc w:val="center"/>
              <w:rPr>
                <w:rFonts w:hint="eastAsia" w:ascii="仿宋" w:hAnsi="仿宋" w:eastAsia="仿宋" w:cs="仿宋"/>
                <w:i w:val="0"/>
                <w:color w:val="auto"/>
                <w:sz w:val="24"/>
                <w:szCs w:val="24"/>
                <w:highlight w:val="none"/>
                <w:u w:val="none"/>
              </w:rPr>
            </w:pPr>
          </w:p>
        </w:tc>
      </w:tr>
      <w:tr w14:paraId="5A419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9B81E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BB81FD">
            <w:pPr>
              <w:jc w:val="left"/>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FECA0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C43A67">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FE7B50">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FBE8ED">
            <w:pPr>
              <w:jc w:val="center"/>
              <w:rPr>
                <w:rFonts w:hint="eastAsia" w:ascii="仿宋" w:hAnsi="仿宋" w:eastAsia="仿宋" w:cs="仿宋"/>
                <w:i w:val="0"/>
                <w:color w:val="auto"/>
                <w:sz w:val="24"/>
                <w:szCs w:val="24"/>
                <w:highlight w:val="none"/>
                <w:u w:val="none"/>
              </w:rPr>
            </w:pPr>
          </w:p>
        </w:tc>
      </w:tr>
      <w:tr w14:paraId="3890E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98"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F9778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3.3</w:t>
            </w:r>
          </w:p>
        </w:tc>
        <w:tc>
          <w:tcPr>
            <w:tcW w:w="1526" w:type="dxa"/>
            <w:gridSpan w:val="3"/>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DBF6D1D">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接入交换机</w:t>
            </w:r>
          </w:p>
        </w:tc>
        <w:tc>
          <w:tcPr>
            <w:tcW w:w="3339"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0A8C370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24个10/100/1000BASE-T以太网端口,4个万兆SFP+，包转发率≥126Mpps ，交换容量≥672Gbps/6.72Tbps</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6CDBE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AD731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C6603">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42CB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F39C70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3.4</w:t>
            </w:r>
          </w:p>
        </w:tc>
        <w:tc>
          <w:tcPr>
            <w:tcW w:w="1526"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5023DA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290472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6A3EAF8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C315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F25A8E9">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1B48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634DC50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FF8D92C">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33AAA7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397CDC5B">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0F9D9F">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DD9F1B5">
            <w:pPr>
              <w:jc w:val="center"/>
              <w:rPr>
                <w:rFonts w:hint="eastAsia" w:ascii="仿宋" w:hAnsi="仿宋" w:eastAsia="仿宋" w:cs="仿宋"/>
                <w:i w:val="0"/>
                <w:color w:val="auto"/>
                <w:sz w:val="24"/>
                <w:szCs w:val="24"/>
                <w:highlight w:val="none"/>
                <w:u w:val="none"/>
              </w:rPr>
            </w:pPr>
          </w:p>
        </w:tc>
      </w:tr>
      <w:tr w14:paraId="4721F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20B78835">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AE8BDD2">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4F6768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39CCAABF">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3E7996">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546BF">
            <w:pPr>
              <w:jc w:val="center"/>
              <w:rPr>
                <w:rFonts w:hint="eastAsia" w:ascii="仿宋" w:hAnsi="仿宋" w:eastAsia="仿宋" w:cs="仿宋"/>
                <w:i w:val="0"/>
                <w:color w:val="auto"/>
                <w:sz w:val="24"/>
                <w:szCs w:val="24"/>
                <w:highlight w:val="none"/>
                <w:u w:val="none"/>
              </w:rPr>
            </w:pPr>
          </w:p>
        </w:tc>
      </w:tr>
      <w:tr w14:paraId="683C8F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5B95CEF9">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3.5</w:t>
            </w:r>
          </w:p>
        </w:tc>
        <w:tc>
          <w:tcPr>
            <w:tcW w:w="1526" w:type="dxa"/>
            <w:gridSpan w:val="3"/>
            <w:vMerge w:val="restart"/>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87BB61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服务器区交换机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2074F95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24个10/100/1000BASE-T以太网端口,4个万兆SFP+</w:t>
            </w:r>
          </w:p>
        </w:tc>
        <w:tc>
          <w:tcPr>
            <w:tcW w:w="1230" w:type="dxa"/>
            <w:gridSpan w:val="2"/>
            <w:vMerge w:val="restart"/>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0B4E0E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DBDC4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7</w:t>
            </w:r>
          </w:p>
        </w:tc>
        <w:tc>
          <w:tcPr>
            <w:tcW w:w="751" w:type="dxa"/>
            <w:vMerge w:val="restart"/>
            <w:tcBorders>
              <w:top w:val="nil"/>
              <w:left w:val="single" w:color="000000" w:sz="4" w:space="0"/>
              <w:right w:val="single" w:color="000000" w:sz="4" w:space="0"/>
            </w:tcBorders>
            <w:shd w:val="clear" w:color="auto" w:fill="auto"/>
            <w:tcMar>
              <w:top w:w="12" w:type="dxa"/>
              <w:left w:w="12" w:type="dxa"/>
              <w:right w:w="12" w:type="dxa"/>
            </w:tcMar>
            <w:vAlign w:val="center"/>
          </w:tcPr>
          <w:p w14:paraId="5C71DCC6">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268F4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E18E1A3">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E644DAB">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79A1AD6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包转发率≥126Mpps</w:t>
            </w:r>
          </w:p>
        </w:tc>
        <w:tc>
          <w:tcPr>
            <w:tcW w:w="1230" w:type="dxa"/>
            <w:gridSpan w:val="2"/>
            <w:vMerge w:val="continue"/>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7EB8AC0F">
            <w:pPr>
              <w:jc w:val="center"/>
              <w:rPr>
                <w:rFonts w:hint="eastAsia" w:ascii="仿宋" w:hAnsi="仿宋" w:eastAsia="仿宋" w:cs="仿宋"/>
                <w:i w:val="0"/>
                <w:color w:val="auto"/>
                <w:sz w:val="24"/>
                <w:szCs w:val="24"/>
                <w:highlight w:val="none"/>
                <w:u w:val="none"/>
              </w:rPr>
            </w:pPr>
          </w:p>
        </w:tc>
        <w:tc>
          <w:tcPr>
            <w:tcW w:w="1305"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48C02C">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0479EDF">
            <w:pPr>
              <w:jc w:val="center"/>
              <w:rPr>
                <w:rFonts w:hint="eastAsia" w:ascii="仿宋" w:hAnsi="仿宋" w:eastAsia="仿宋" w:cs="仿宋"/>
                <w:i w:val="0"/>
                <w:color w:val="auto"/>
                <w:sz w:val="24"/>
                <w:szCs w:val="24"/>
                <w:highlight w:val="none"/>
                <w:u w:val="none"/>
              </w:rPr>
            </w:pPr>
          </w:p>
        </w:tc>
      </w:tr>
      <w:tr w14:paraId="1F08C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nil"/>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40D89811">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4A06DEE">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96345D4">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nil"/>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1593AE32">
            <w:pPr>
              <w:jc w:val="center"/>
              <w:rPr>
                <w:rFonts w:hint="eastAsia" w:ascii="仿宋" w:hAnsi="仿宋" w:eastAsia="仿宋" w:cs="仿宋"/>
                <w:i w:val="0"/>
                <w:color w:val="auto"/>
                <w:sz w:val="24"/>
                <w:szCs w:val="24"/>
                <w:highlight w:val="none"/>
                <w:u w:val="none"/>
              </w:rPr>
            </w:pPr>
          </w:p>
        </w:tc>
        <w:tc>
          <w:tcPr>
            <w:tcW w:w="1305" w:type="dxa"/>
            <w:vMerge w:val="continue"/>
            <w:tcBorders>
              <w:top w:val="nil"/>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EE7FF">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3D690">
            <w:pPr>
              <w:jc w:val="center"/>
              <w:rPr>
                <w:rFonts w:hint="eastAsia" w:ascii="仿宋" w:hAnsi="仿宋" w:eastAsia="仿宋" w:cs="仿宋"/>
                <w:i w:val="0"/>
                <w:color w:val="auto"/>
                <w:sz w:val="24"/>
                <w:szCs w:val="24"/>
                <w:highlight w:val="none"/>
                <w:u w:val="none"/>
              </w:rPr>
            </w:pPr>
          </w:p>
        </w:tc>
      </w:tr>
      <w:tr w14:paraId="4564F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auto" w:sz="4" w:space="0"/>
              <w:right w:val="single" w:color="auto" w:sz="4" w:space="0"/>
            </w:tcBorders>
            <w:shd w:val="clear" w:color="auto" w:fill="auto"/>
            <w:tcMar>
              <w:top w:w="12" w:type="dxa"/>
              <w:left w:w="12" w:type="dxa"/>
              <w:right w:w="12" w:type="dxa"/>
            </w:tcMar>
            <w:vAlign w:val="center"/>
          </w:tcPr>
          <w:p w14:paraId="4798DC7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3.6</w:t>
            </w:r>
          </w:p>
        </w:tc>
        <w:tc>
          <w:tcPr>
            <w:tcW w:w="1526" w:type="dxa"/>
            <w:gridSpan w:val="3"/>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4EAC33C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113422A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千兆单模10KM 1310</w:t>
            </w:r>
          </w:p>
        </w:tc>
        <w:tc>
          <w:tcPr>
            <w:tcW w:w="1230" w:type="dxa"/>
            <w:gridSpan w:val="2"/>
            <w:tcBorders>
              <w:top w:val="single" w:color="000000" w:sz="4" w:space="0"/>
              <w:left w:val="single" w:color="auto" w:sz="4" w:space="0"/>
              <w:bottom w:val="single" w:color="auto" w:sz="4" w:space="0"/>
              <w:right w:val="single" w:color="000000" w:sz="4" w:space="0"/>
            </w:tcBorders>
            <w:shd w:val="clear" w:color="auto" w:fill="auto"/>
            <w:tcMar>
              <w:top w:w="12" w:type="dxa"/>
              <w:left w:w="12" w:type="dxa"/>
              <w:right w:w="12" w:type="dxa"/>
            </w:tcMar>
            <w:vAlign w:val="center"/>
          </w:tcPr>
          <w:p w14:paraId="7C095F6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1F1299F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44</w:t>
            </w:r>
          </w:p>
        </w:tc>
        <w:tc>
          <w:tcPr>
            <w:tcW w:w="751" w:type="dxa"/>
            <w:tcBorders>
              <w:top w:val="single" w:color="000000" w:sz="4" w:space="0"/>
              <w:left w:val="single" w:color="000000" w:sz="4" w:space="0"/>
              <w:bottom w:val="single" w:color="auto" w:sz="4" w:space="0"/>
              <w:right w:val="single" w:color="000000" w:sz="4" w:space="0"/>
            </w:tcBorders>
            <w:shd w:val="clear" w:color="auto" w:fill="auto"/>
            <w:tcMar>
              <w:top w:w="12" w:type="dxa"/>
              <w:left w:w="12" w:type="dxa"/>
              <w:right w:w="12" w:type="dxa"/>
            </w:tcMar>
            <w:vAlign w:val="center"/>
          </w:tcPr>
          <w:p w14:paraId="3EF26C22">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80928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0B724B1">
            <w:pPr>
              <w:keepNext w:val="0"/>
              <w:keepLines w:val="0"/>
              <w:widowControl/>
              <w:suppressLineNumbers w:val="0"/>
              <w:jc w:val="both"/>
              <w:textAlignment w:val="center"/>
              <w:rPr>
                <w:rFonts w:hint="eastAsia" w:ascii="仿宋" w:hAnsi="仿宋" w:eastAsia="仿宋" w:cs="仿宋"/>
                <w:i w:val="0"/>
                <w:color w:val="auto"/>
                <w:kern w:val="0"/>
                <w:sz w:val="24"/>
                <w:szCs w:val="24"/>
                <w:highlight w:val="none"/>
                <w:u w:val="none"/>
                <w:lang w:val="en-US" w:eastAsia="zh-CN" w:bidi="ar"/>
              </w:rPr>
            </w:pPr>
            <w:r>
              <w:rPr>
                <w:rFonts w:hint="eastAsia" w:ascii="仿宋" w:hAnsi="仿宋" w:eastAsia="仿宋" w:cs="仿宋"/>
                <w:i w:val="0"/>
                <w:color w:val="auto"/>
                <w:kern w:val="0"/>
                <w:sz w:val="24"/>
                <w:szCs w:val="24"/>
                <w:highlight w:val="none"/>
                <w:u w:val="none"/>
                <w:lang w:val="en-US" w:eastAsia="zh-CN" w:bidi="ar"/>
              </w:rPr>
              <w:t>4、政务服务和数据管理局集中办公区网络设备升级改造部分</w:t>
            </w:r>
          </w:p>
        </w:tc>
      </w:tr>
      <w:tr w14:paraId="518CF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6" w:hRule="atLeast"/>
        </w:trPr>
        <w:tc>
          <w:tcPr>
            <w:tcW w:w="1056"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0E521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4.1</w:t>
            </w:r>
          </w:p>
        </w:tc>
        <w:tc>
          <w:tcPr>
            <w:tcW w:w="1526" w:type="dxa"/>
            <w:gridSpan w:val="3"/>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77A2D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汇聚交换机</w:t>
            </w:r>
          </w:p>
        </w:tc>
        <w:tc>
          <w:tcPr>
            <w:tcW w:w="3339" w:type="dxa"/>
            <w:tcBorders>
              <w:top w:val="single" w:color="auto" w:sz="4" w:space="0"/>
              <w:left w:val="single" w:color="000000" w:sz="4" w:space="0"/>
              <w:bottom w:val="single" w:color="auto" w:sz="4" w:space="0"/>
              <w:right w:val="nil"/>
            </w:tcBorders>
            <w:shd w:val="clear" w:color="auto" w:fill="auto"/>
            <w:tcMar>
              <w:top w:w="12" w:type="dxa"/>
              <w:left w:w="12" w:type="dxa"/>
              <w:right w:w="12" w:type="dxa"/>
            </w:tcMar>
            <w:vAlign w:val="center"/>
          </w:tcPr>
          <w:p w14:paraId="53E6363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24个万兆SFP+，6个40/100GE QSFP28，包转发率≥1620Mpps，交换容量≥4.8/25.6Tbps，4个万兆单模模块</w:t>
            </w:r>
          </w:p>
        </w:tc>
        <w:tc>
          <w:tcPr>
            <w:tcW w:w="1230" w:type="dxa"/>
            <w:gridSpan w:val="2"/>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A7F38B">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C837C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w:t>
            </w:r>
          </w:p>
        </w:tc>
        <w:tc>
          <w:tcPr>
            <w:tcW w:w="751"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7B8C5C">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66B30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0C092">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4.2</w:t>
            </w:r>
          </w:p>
        </w:tc>
        <w:tc>
          <w:tcPr>
            <w:tcW w:w="1526" w:type="dxa"/>
            <w:gridSpan w:val="3"/>
            <w:vMerge w:val="restart"/>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0EF69BF3">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交换机</w:t>
            </w: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302891B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48个10/100/1000BASE-T以太网端口,4个万兆SFP+</w:t>
            </w:r>
          </w:p>
        </w:tc>
        <w:tc>
          <w:tcPr>
            <w:tcW w:w="1230" w:type="dxa"/>
            <w:gridSpan w:val="2"/>
            <w:vMerge w:val="restart"/>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349BF6B0">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台</w:t>
            </w:r>
          </w:p>
        </w:tc>
        <w:tc>
          <w:tcPr>
            <w:tcW w:w="1305"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067011">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11</w:t>
            </w:r>
          </w:p>
        </w:tc>
        <w:tc>
          <w:tcPr>
            <w:tcW w:w="751"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A75EAD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FB58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DB605B">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73B21526">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5226CE4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包转发率≥166Mpps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44E5C6F7">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8F1462">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A1AAB26">
            <w:pPr>
              <w:jc w:val="center"/>
              <w:rPr>
                <w:rFonts w:hint="eastAsia" w:ascii="仿宋" w:hAnsi="仿宋" w:eastAsia="仿宋" w:cs="仿宋"/>
                <w:i w:val="0"/>
                <w:color w:val="auto"/>
                <w:sz w:val="24"/>
                <w:szCs w:val="24"/>
                <w:highlight w:val="none"/>
                <w:u w:val="none"/>
              </w:rPr>
            </w:pPr>
          </w:p>
        </w:tc>
      </w:tr>
      <w:tr w14:paraId="2696E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94B767">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auto" w:sz="4" w:space="0"/>
            </w:tcBorders>
            <w:shd w:val="clear" w:color="auto" w:fill="auto"/>
            <w:tcMar>
              <w:top w:w="12" w:type="dxa"/>
              <w:left w:w="12" w:type="dxa"/>
              <w:right w:w="12" w:type="dxa"/>
            </w:tcMar>
            <w:vAlign w:val="center"/>
          </w:tcPr>
          <w:p w14:paraId="1FFECABC">
            <w:pPr>
              <w:jc w:val="left"/>
              <w:rPr>
                <w:rFonts w:hint="eastAsia" w:ascii="仿宋" w:hAnsi="仿宋" w:eastAsia="仿宋" w:cs="仿宋"/>
                <w:i w:val="0"/>
                <w:color w:val="auto"/>
                <w:sz w:val="24"/>
                <w:szCs w:val="24"/>
                <w:highlight w:val="none"/>
                <w:u w:val="none"/>
              </w:rPr>
            </w:pPr>
          </w:p>
        </w:tc>
        <w:tc>
          <w:tcPr>
            <w:tcW w:w="3339"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14:paraId="00DF6E29">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交换容量≥672Gbps/6.72Tbps</w:t>
            </w:r>
          </w:p>
        </w:tc>
        <w:tc>
          <w:tcPr>
            <w:tcW w:w="1230" w:type="dxa"/>
            <w:gridSpan w:val="2"/>
            <w:vMerge w:val="continue"/>
            <w:tcBorders>
              <w:top w:val="single" w:color="000000" w:sz="4" w:space="0"/>
              <w:left w:val="single" w:color="auto" w:sz="4" w:space="0"/>
              <w:bottom w:val="single" w:color="000000" w:sz="4" w:space="0"/>
              <w:right w:val="single" w:color="000000" w:sz="4" w:space="0"/>
            </w:tcBorders>
            <w:shd w:val="clear" w:color="auto" w:fill="auto"/>
            <w:tcMar>
              <w:top w:w="12" w:type="dxa"/>
              <w:left w:w="12" w:type="dxa"/>
              <w:right w:w="12" w:type="dxa"/>
            </w:tcMar>
            <w:vAlign w:val="center"/>
          </w:tcPr>
          <w:p w14:paraId="07ADB8F0">
            <w:pPr>
              <w:jc w:val="center"/>
              <w:rPr>
                <w:rFonts w:hint="eastAsia" w:ascii="仿宋" w:hAnsi="仿宋" w:eastAsia="仿宋" w:cs="仿宋"/>
                <w:i w:val="0"/>
                <w:color w:val="auto"/>
                <w:sz w:val="24"/>
                <w:szCs w:val="24"/>
                <w:highlight w:val="none"/>
                <w:u w:val="none"/>
              </w:rPr>
            </w:pPr>
          </w:p>
        </w:tc>
        <w:tc>
          <w:tcPr>
            <w:tcW w:w="1305"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22BC1">
            <w:pPr>
              <w:jc w:val="center"/>
              <w:rPr>
                <w:rFonts w:hint="eastAsia" w:ascii="仿宋" w:hAnsi="仿宋" w:eastAsia="仿宋" w:cs="仿宋"/>
                <w:i w:val="0"/>
                <w:color w:val="auto"/>
                <w:sz w:val="24"/>
                <w:szCs w:val="24"/>
                <w:highlight w:val="none"/>
                <w:u w:val="none"/>
              </w:rPr>
            </w:pPr>
          </w:p>
        </w:tc>
        <w:tc>
          <w:tcPr>
            <w:tcW w:w="751"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2ED55">
            <w:pPr>
              <w:jc w:val="center"/>
              <w:rPr>
                <w:rFonts w:hint="eastAsia" w:ascii="仿宋" w:hAnsi="仿宋" w:eastAsia="仿宋" w:cs="仿宋"/>
                <w:i w:val="0"/>
                <w:color w:val="auto"/>
                <w:sz w:val="24"/>
                <w:szCs w:val="24"/>
                <w:highlight w:val="none"/>
                <w:u w:val="none"/>
              </w:rPr>
            </w:pPr>
          </w:p>
        </w:tc>
      </w:tr>
      <w:tr w14:paraId="4BB7D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105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FC16CF">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4.3</w:t>
            </w:r>
          </w:p>
        </w:tc>
        <w:tc>
          <w:tcPr>
            <w:tcW w:w="1526"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3839D0">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光模块</w:t>
            </w:r>
          </w:p>
        </w:tc>
        <w:tc>
          <w:tcPr>
            <w:tcW w:w="3339" w:type="dxa"/>
            <w:tcBorders>
              <w:top w:val="single" w:color="auto"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B01C7B">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千兆单模10KM 1310</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B98ED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5CEB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22</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F3AAD1">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70E1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105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ACAD57">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4.5</w:t>
            </w: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E4AC5E">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 xml:space="preserve"> 叫号系统硬件部分</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9A3AD1">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为了适应新主板安装，需要对机箱背板做钣金定制</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008E78">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37A21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A3E504">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44BD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97567">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8B9EDD">
            <w:pPr>
              <w:jc w:val="center"/>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C1D9F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包含主板（支持IPv6升级版），CPU：参数 主频≥2.7Ghz，核数≥2，线程数≥4，内存≥4G，固态硬盘≥256G</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E1968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3E5B6">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E0EC0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EE2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36"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BF9806">
            <w:pPr>
              <w:jc w:val="center"/>
              <w:rPr>
                <w:rFonts w:hint="eastAsia" w:ascii="仿宋" w:hAnsi="仿宋" w:eastAsia="仿宋" w:cs="仿宋"/>
                <w:i w:val="0"/>
                <w:color w:val="auto"/>
                <w:sz w:val="24"/>
                <w:szCs w:val="24"/>
                <w:highlight w:val="none"/>
                <w:u w:val="none"/>
              </w:rPr>
            </w:pPr>
          </w:p>
        </w:tc>
        <w:tc>
          <w:tcPr>
            <w:tcW w:w="1526" w:type="dxa"/>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62962D">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叫号系统软件开发</w:t>
            </w: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42455F">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基于Windows系统做定制软件开发</w:t>
            </w:r>
            <w:r>
              <w:rPr>
                <w:rFonts w:hint="eastAsia" w:ascii="仿宋" w:hAnsi="仿宋" w:eastAsia="仿宋" w:cs="仿宋"/>
                <w:i w:val="0"/>
                <w:color w:val="auto"/>
                <w:kern w:val="0"/>
                <w:sz w:val="24"/>
                <w:szCs w:val="24"/>
                <w:highlight w:val="none"/>
                <w:u w:val="none"/>
                <w:lang w:val="en-US" w:eastAsia="zh-CN" w:bidi="ar"/>
              </w:rPr>
              <w:br w:type="textWrapping"/>
            </w:r>
            <w:r>
              <w:rPr>
                <w:rFonts w:hint="eastAsia" w:ascii="仿宋" w:hAnsi="仿宋" w:eastAsia="仿宋" w:cs="仿宋"/>
                <w:i w:val="0"/>
                <w:color w:val="auto"/>
                <w:kern w:val="0"/>
                <w:sz w:val="24"/>
                <w:szCs w:val="24"/>
                <w:highlight w:val="none"/>
                <w:u w:val="none"/>
                <w:lang w:val="en-US" w:eastAsia="zh-CN" w:bidi="ar"/>
              </w:rPr>
              <w:t>1、 UI设计、2、叫号信息展示页面开发 3、队列竖屏展示页面开发</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28E03">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45369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44</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44BC0">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3F7B4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105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511A0A">
            <w:pPr>
              <w:jc w:val="center"/>
              <w:rPr>
                <w:rFonts w:hint="eastAsia" w:ascii="仿宋" w:hAnsi="仿宋" w:eastAsia="仿宋" w:cs="仿宋"/>
                <w:i w:val="0"/>
                <w:color w:val="auto"/>
                <w:sz w:val="24"/>
                <w:szCs w:val="24"/>
                <w:highlight w:val="none"/>
                <w:u w:val="none"/>
              </w:rPr>
            </w:pPr>
          </w:p>
        </w:tc>
        <w:tc>
          <w:tcPr>
            <w:tcW w:w="1526"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098329">
            <w:pPr>
              <w:jc w:val="center"/>
              <w:rPr>
                <w:rFonts w:hint="eastAsia" w:ascii="仿宋" w:hAnsi="仿宋" w:eastAsia="仿宋" w:cs="仿宋"/>
                <w:i w:val="0"/>
                <w:color w:val="auto"/>
                <w:sz w:val="24"/>
                <w:szCs w:val="24"/>
                <w:highlight w:val="none"/>
                <w:u w:val="none"/>
              </w:rPr>
            </w:pPr>
          </w:p>
        </w:tc>
        <w:tc>
          <w:tcPr>
            <w:tcW w:w="333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6AD85">
            <w:pPr>
              <w:keepNext w:val="0"/>
              <w:keepLines w:val="0"/>
              <w:widowControl/>
              <w:suppressLineNumbers w:val="0"/>
              <w:jc w:val="left"/>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1.设备绑定及相关接口软件开发 2. 队列推送及相关接口软件开发 3.叫号推送及相关接口软件开发</w:t>
            </w:r>
          </w:p>
        </w:tc>
        <w:tc>
          <w:tcPr>
            <w:tcW w:w="1230"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2530D4">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人套</w:t>
            </w:r>
          </w:p>
        </w:tc>
        <w:tc>
          <w:tcPr>
            <w:tcW w:w="13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3E9F5">
            <w:pPr>
              <w:keepNext w:val="0"/>
              <w:keepLines w:val="0"/>
              <w:widowControl/>
              <w:suppressLineNumbers w:val="0"/>
              <w:jc w:val="center"/>
              <w:textAlignment w:val="center"/>
              <w:rPr>
                <w:rFonts w:hint="eastAsia" w:ascii="仿宋" w:hAnsi="仿宋" w:eastAsia="仿宋" w:cs="仿宋"/>
                <w:i w:val="0"/>
                <w:color w:val="auto"/>
                <w:sz w:val="24"/>
                <w:szCs w:val="24"/>
                <w:highlight w:val="none"/>
                <w:u w:val="none"/>
              </w:rPr>
            </w:pPr>
            <w:r>
              <w:rPr>
                <w:rFonts w:hint="eastAsia" w:ascii="仿宋" w:hAnsi="仿宋" w:eastAsia="仿宋" w:cs="仿宋"/>
                <w:i w:val="0"/>
                <w:color w:val="auto"/>
                <w:kern w:val="0"/>
                <w:sz w:val="24"/>
                <w:szCs w:val="24"/>
                <w:highlight w:val="none"/>
                <w:u w:val="none"/>
                <w:lang w:val="en-US" w:eastAsia="zh-CN" w:bidi="ar"/>
              </w:rPr>
              <w:t>40</w:t>
            </w:r>
          </w:p>
        </w:tc>
        <w:tc>
          <w:tcPr>
            <w:tcW w:w="751"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5A4DF">
            <w:pPr>
              <w:keepNext w:val="0"/>
              <w:keepLines w:val="0"/>
              <w:widowControl/>
              <w:suppressLineNumbers w:val="0"/>
              <w:jc w:val="center"/>
              <w:textAlignment w:val="center"/>
              <w:rPr>
                <w:rFonts w:hint="eastAsia" w:ascii="仿宋" w:hAnsi="仿宋" w:eastAsia="仿宋" w:cs="仿宋"/>
                <w:i w:val="0"/>
                <w:color w:val="auto"/>
                <w:kern w:val="0"/>
                <w:sz w:val="24"/>
                <w:szCs w:val="24"/>
                <w:highlight w:val="none"/>
                <w:u w:val="none"/>
                <w:lang w:val="en-US" w:eastAsia="zh-CN" w:bidi="ar"/>
              </w:rPr>
            </w:pPr>
          </w:p>
        </w:tc>
      </w:tr>
      <w:tr w14:paraId="5B50C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FB1F4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 xml:space="preserve">六、集中办公区网络升级辅助施工部分 </w:t>
            </w:r>
          </w:p>
          <w:p w14:paraId="097508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（详见《密云区电子政务外网IPv6升级改造项目-集中办公区网络升级辅助施工部分-工程量清单》）</w:t>
            </w:r>
          </w:p>
        </w:tc>
      </w:tr>
      <w:tr w14:paraId="4B3E2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9207" w:type="dxa"/>
            <w:gridSpan w:val="10"/>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7AB3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七、网络核心、集中办公区双栈调试</w:t>
            </w:r>
          </w:p>
        </w:tc>
      </w:tr>
      <w:tr w14:paraId="78E14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2"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35F9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序号</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D047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服务项目</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D45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工作内容</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C6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bCs/>
                <w:i w:val="0"/>
                <w:snapToGrid/>
                <w:color w:val="auto"/>
                <w:kern w:val="2"/>
                <w:sz w:val="24"/>
                <w:szCs w:val="24"/>
                <w:highlight w:val="none"/>
                <w:u w:val="none"/>
                <w:lang w:val="en-US"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人/天</w:t>
            </w:r>
          </w:p>
        </w:tc>
      </w:tr>
      <w:tr w14:paraId="289D6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A88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FBD6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IPv6地址规划</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E5CCC">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详细描述全网的IPv6地址规划方案，具体到设备管理IPv6地址规划、网间路由地址规划、按业务地址规划、按部门地址规划，部门规划到村级。指明应答文件所在章节页号。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DB1D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95</w:t>
            </w:r>
          </w:p>
        </w:tc>
      </w:tr>
      <w:tr w14:paraId="6739A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3DC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989D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网络核心双栈配置改造（10508*2台）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5939C9">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依据核心交换机的功能，做出相应的配置策略及内容。指明应答文件所在章节页号。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46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40</w:t>
            </w:r>
          </w:p>
        </w:tc>
      </w:tr>
      <w:tr w14:paraId="0F5CD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DF3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7BBA9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3号楼汇聚交换机（10504*1台）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38A81">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97F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20</w:t>
            </w:r>
          </w:p>
        </w:tc>
      </w:tr>
      <w:tr w14:paraId="4A0CE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1"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E947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0694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出口链路双栈配置改造（10台）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886ECD">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FD7F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100</w:t>
            </w:r>
          </w:p>
        </w:tc>
      </w:tr>
      <w:tr w14:paraId="4EACF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7494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76B4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移动接入平台双栈配置改造（3台）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6A91E">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FDD5F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60</w:t>
            </w:r>
          </w:p>
        </w:tc>
      </w:tr>
      <w:tr w14:paraId="7144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100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6335C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北京市政务网防火墙双栈配置改造</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CF03A">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FC60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0F743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7A5A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D969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集中办公区双栈配置改造（60台）</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F56EE3">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依据各个设备的功能，做出相应的配置策略及内容。指明应答文件所在章节页号。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6B04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60</w:t>
            </w:r>
          </w:p>
        </w:tc>
      </w:tr>
      <w:tr w14:paraId="3B75D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3E8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DAE6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委办局汇聚双栈配置改造</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F14E30">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773E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06F71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02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55C3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F59B9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镇街汇聚双栈配置改造（9306）</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172F48">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61A9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7E4A4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6"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B9DC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9F66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村村通汇聚双栈配置改造（9306）</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6962BD">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依据该设备的功能，做出相应的配置策略及内容。指明应答文件所在章节页号。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33C6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20</w:t>
            </w:r>
          </w:p>
        </w:tc>
      </w:tr>
      <w:tr w14:paraId="1E319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2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45A8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FA68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全网性能优化（1项）</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8DFD4A">
            <w:pPr>
              <w:keepNext w:val="0"/>
              <w:keepLines w:val="0"/>
              <w:widowControl/>
              <w:suppressLineNumbers w:val="0"/>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新宋体" w:hAnsi="新宋体" w:eastAsia="新宋体" w:cs="新宋体"/>
                <w:i w:val="0"/>
                <w:color w:val="auto"/>
                <w:kern w:val="0"/>
                <w:sz w:val="20"/>
                <w:szCs w:val="20"/>
                <w:highlight w:val="none"/>
                <w:u w:val="none"/>
                <w:lang w:val="en-US" w:eastAsia="zh-CN" w:bidi="ar"/>
              </w:rPr>
              <w:t>详细描述全网性能优化的的内容及预期效果。指明应答文件所在章节页号。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75ED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100</w:t>
            </w:r>
          </w:p>
        </w:tc>
      </w:tr>
      <w:tr w14:paraId="47508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29"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5ED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w:t>
            </w:r>
          </w:p>
        </w:tc>
        <w:tc>
          <w:tcPr>
            <w:tcW w:w="1702"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AAD21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PC机IPv6升级</w:t>
            </w:r>
          </w:p>
        </w:tc>
        <w:tc>
          <w:tcPr>
            <w:tcW w:w="4763"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B062FD">
            <w:pPr>
              <w:keepNext w:val="0"/>
              <w:keepLines w:val="0"/>
              <w:widowControl/>
              <w:suppressLineNumbers w:val="0"/>
              <w:jc w:val="left"/>
              <w:textAlignment w:val="center"/>
              <w:rPr>
                <w:rFonts w:hint="eastAsia" w:ascii="新宋体" w:hAnsi="新宋体" w:eastAsia="新宋体" w:cs="新宋体"/>
                <w:i w:val="0"/>
                <w:color w:val="auto"/>
                <w:kern w:val="0"/>
                <w:sz w:val="20"/>
                <w:szCs w:val="20"/>
                <w:highlight w:val="none"/>
                <w:u w:val="none"/>
                <w:lang w:val="en-US" w:eastAsia="zh-CN" w:bidi="ar"/>
              </w:rPr>
            </w:pPr>
            <w:r>
              <w:rPr>
                <w:rFonts w:hint="eastAsia" w:ascii="新宋体" w:hAnsi="新宋体" w:eastAsia="新宋体" w:cs="新宋体"/>
                <w:i w:val="0"/>
                <w:color w:val="auto"/>
                <w:kern w:val="0"/>
                <w:sz w:val="20"/>
                <w:szCs w:val="20"/>
                <w:highlight w:val="none"/>
                <w:u w:val="none"/>
                <w:lang w:val="en-US" w:eastAsia="zh-CN" w:bidi="ar"/>
              </w:rPr>
              <w:t>详细描述全网性能优化的的内容及预期效果。指明应答文件所在章节页号。</w:t>
            </w:r>
          </w:p>
        </w:tc>
        <w:tc>
          <w:tcPr>
            <w:tcW w:w="2130" w:type="dxa"/>
            <w:gridSpan w:val="3"/>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D9F4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2"/>
                <w:sz w:val="24"/>
                <w:szCs w:val="24"/>
                <w:highlight w:val="none"/>
                <w:u w:val="none"/>
                <w:lang w:val="en-US" w:eastAsia="zh-CN" w:bidi="ar-SA"/>
              </w:rPr>
              <w:t>65</w:t>
            </w:r>
          </w:p>
        </w:tc>
      </w:tr>
    </w:tbl>
    <w:p w14:paraId="12B41E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p>
    <w:p w14:paraId="253EEDB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i w:val="0"/>
          <w:snapToGrid/>
          <w:color w:val="auto"/>
          <w:kern w:val="2"/>
          <w:sz w:val="24"/>
          <w:szCs w:val="24"/>
          <w:highlight w:val="none"/>
          <w:u w:val="none"/>
          <w:lang w:val="en-US" w:eastAsia="zh-CN"/>
        </w:rPr>
        <w:t>注：每个项目的集成费由各投标单位自行报价，并计入本项目各项报价总和。</w:t>
      </w:r>
    </w:p>
    <w:p w14:paraId="050CF48F">
      <w:pPr>
        <w:keepNext w:val="0"/>
        <w:keepLines w:val="0"/>
        <w:pageBreakBefore w:val="0"/>
        <w:widowControl w:val="0"/>
        <w:numPr>
          <w:ilvl w:val="0"/>
          <w:numId w:val="0"/>
        </w:numPr>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color w:val="auto"/>
          <w:kern w:val="2"/>
          <w:sz w:val="24"/>
          <w:szCs w:val="24"/>
          <w:highlight w:val="none"/>
          <w:u w:val="none"/>
          <w:lang w:val="en-US" w:eastAsia="zh-CN" w:bidi="ar-SA"/>
        </w:rPr>
      </w:pPr>
    </w:p>
    <w:p w14:paraId="786C8ECF">
      <w:pPr>
        <w:pStyle w:val="2"/>
        <w:rPr>
          <w:rFonts w:hint="eastAsia" w:asciiTheme="minorEastAsia" w:hAnsiTheme="minorEastAsia" w:eastAsiaTheme="minorEastAsia" w:cstheme="minorEastAsia"/>
          <w:color w:val="auto"/>
          <w:kern w:val="2"/>
          <w:sz w:val="24"/>
          <w:szCs w:val="24"/>
          <w:highlight w:val="none"/>
          <w:u w:val="none"/>
          <w:lang w:val="en-US" w:eastAsia="zh-CN" w:bidi="ar-SA"/>
        </w:rPr>
      </w:pPr>
    </w:p>
    <w:p w14:paraId="6E3FD6D6">
      <w:pPr>
        <w:pStyle w:val="4"/>
        <w:rPr>
          <w:rFonts w:hint="eastAsia"/>
          <w:highlight w:val="none"/>
          <w:lang w:val="en-US" w:eastAsia="zh-CN"/>
        </w:rPr>
      </w:pPr>
    </w:p>
    <w:p w14:paraId="7A1B218B">
      <w:pPr>
        <w:keepNext w:val="0"/>
        <w:keepLines w:val="0"/>
        <w:pageBreakBefore w:val="0"/>
        <w:widowControl w:val="0"/>
        <w:numPr>
          <w:ilvl w:val="0"/>
          <w:numId w:val="0"/>
        </w:numPr>
        <w:kinsoku/>
        <w:wordWrap/>
        <w:overflowPunct/>
        <w:topLinePunct w:val="0"/>
        <w:autoSpaceDE/>
        <w:autoSpaceDN/>
        <w:bidi w:val="0"/>
        <w:adjustRightInd/>
        <w:snapToGrid/>
        <w:spacing w:before="120" w:line="240" w:lineRule="auto"/>
        <w:jc w:val="both"/>
        <w:textAlignment w:val="auto"/>
        <w:rPr>
          <w:rFonts w:hint="default" w:asciiTheme="minorEastAsia" w:hAnsiTheme="minorEastAsia" w:eastAsiaTheme="minorEastAsia" w:cstheme="minorEastAsia"/>
          <w:color w:val="auto"/>
          <w:kern w:val="2"/>
          <w:sz w:val="24"/>
          <w:szCs w:val="24"/>
          <w:highlight w:val="none"/>
          <w:u w:val="none"/>
          <w:lang w:val="en-US" w:eastAsia="zh-CN" w:bidi="ar-SA"/>
        </w:rPr>
      </w:pPr>
      <w:r>
        <w:rPr>
          <w:rFonts w:hint="eastAsia" w:asciiTheme="minorEastAsia" w:hAnsiTheme="minorEastAsia" w:eastAsiaTheme="minorEastAsia" w:cstheme="minorEastAsia"/>
          <w:color w:val="auto"/>
          <w:kern w:val="2"/>
          <w:sz w:val="24"/>
          <w:szCs w:val="24"/>
          <w:highlight w:val="none"/>
          <w:u w:val="none"/>
          <w:lang w:val="en-US" w:eastAsia="zh-CN" w:bidi="ar-SA"/>
        </w:rPr>
        <w:t>2、第六部分需求</w:t>
      </w:r>
    </w:p>
    <w:p w14:paraId="13794860">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2-1、工程概况</w:t>
      </w:r>
    </w:p>
    <w:p w14:paraId="5257CA7C">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工程名称：密云区电子政务外网IPv6升级改造项目-集中办公区网络升级辅助施工部分</w:t>
      </w:r>
    </w:p>
    <w:p w14:paraId="71AF6141">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工程地址：北京市密云区鼓楼西大街3号</w:t>
      </w:r>
    </w:p>
    <w:p w14:paraId="1AA8591A">
      <w:pPr>
        <w:keepNext w:val="0"/>
        <w:keepLines w:val="0"/>
        <w:pageBreakBefore w:val="0"/>
        <w:widowControl w:val="0"/>
        <w:kinsoku/>
        <w:wordWrap/>
        <w:overflowPunct/>
        <w:topLinePunct w:val="0"/>
        <w:autoSpaceDE/>
        <w:autoSpaceDN/>
        <w:bidi w:val="0"/>
        <w:adjustRightInd/>
        <w:snapToGrid/>
        <w:spacing w:before="120" w:line="240" w:lineRule="auto"/>
        <w:ind w:firstLine="480" w:firstLineChars="200"/>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建设单位：北京市密云区数据中心（本级）</w:t>
      </w:r>
    </w:p>
    <w:p w14:paraId="5794BAB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2-2、编制范围</w:t>
      </w:r>
    </w:p>
    <w:p w14:paraId="70E1E220">
      <w:pPr>
        <w:keepNext w:val="0"/>
        <w:keepLines w:val="0"/>
        <w:pageBreakBefore w:val="0"/>
        <w:widowControl w:val="0"/>
        <w:kinsoku/>
        <w:wordWrap/>
        <w:overflowPunct/>
        <w:topLinePunct w:val="0"/>
        <w:autoSpaceDE/>
        <w:autoSpaceDN/>
        <w:bidi w:val="0"/>
        <w:adjustRightInd/>
        <w:snapToGrid/>
        <w:spacing w:before="55" w:line="240" w:lineRule="auto"/>
        <w:ind w:firstLine="472" w:firstLineChars="200"/>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1号楼辅助施工部分：老旧设备拆除、老旧防雷组件拆除、数据跳线安装、 </w:t>
      </w:r>
    </w:p>
    <w:p w14:paraId="3A81CBD4">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线缆整理。 </w:t>
      </w:r>
    </w:p>
    <w:p w14:paraId="75071358">
      <w:pPr>
        <w:keepNext w:val="0"/>
        <w:keepLines w:val="0"/>
        <w:pageBreakBefore w:val="0"/>
        <w:widowControl w:val="0"/>
        <w:kinsoku/>
        <w:wordWrap/>
        <w:overflowPunct/>
        <w:topLinePunct w:val="0"/>
        <w:autoSpaceDE/>
        <w:autoSpaceDN/>
        <w:bidi w:val="0"/>
        <w:adjustRightInd/>
        <w:snapToGrid/>
        <w:spacing w:before="55" w:line="240" w:lineRule="auto"/>
        <w:ind w:firstLine="472" w:firstLineChars="200"/>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2号楼辅助施工部分：老旧设备拆除，壁挂机柜、电源电缆、配线架、理线 </w:t>
      </w:r>
    </w:p>
    <w:p w14:paraId="24BC4976">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架、数据跳线安装，线缆整理，室内光缆铺设等。 </w:t>
      </w:r>
    </w:p>
    <w:p w14:paraId="0E0E5E06">
      <w:pPr>
        <w:keepNext w:val="0"/>
        <w:keepLines w:val="0"/>
        <w:pageBreakBefore w:val="0"/>
        <w:widowControl w:val="0"/>
        <w:kinsoku/>
        <w:wordWrap/>
        <w:overflowPunct/>
        <w:topLinePunct w:val="0"/>
        <w:autoSpaceDE/>
        <w:autoSpaceDN/>
        <w:bidi w:val="0"/>
        <w:adjustRightInd/>
        <w:snapToGrid/>
        <w:spacing w:before="55" w:line="240" w:lineRule="auto"/>
        <w:ind w:firstLine="472" w:firstLineChars="200"/>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3号楼辅助施工部分：老旧设备拆除，壁挂机柜、数据跳线安装，线缆整理 </w:t>
      </w:r>
    </w:p>
    <w:p w14:paraId="4DEEE189">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室内光缆铺设等。 </w:t>
      </w:r>
    </w:p>
    <w:p w14:paraId="04D9B4A4">
      <w:pPr>
        <w:keepNext w:val="0"/>
        <w:keepLines w:val="0"/>
        <w:pageBreakBefore w:val="0"/>
        <w:widowControl w:val="0"/>
        <w:kinsoku/>
        <w:wordWrap/>
        <w:overflowPunct/>
        <w:topLinePunct w:val="0"/>
        <w:autoSpaceDE/>
        <w:autoSpaceDN/>
        <w:bidi w:val="0"/>
        <w:adjustRightInd/>
        <w:snapToGrid/>
        <w:spacing w:before="55" w:line="240" w:lineRule="auto"/>
        <w:ind w:firstLine="472" w:firstLineChars="200"/>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 xml:space="preserve">政务服务和数据管理局集中办公区网络设备升级改造辅助施工部分：老旧 </w:t>
      </w:r>
    </w:p>
    <w:p w14:paraId="389E085C">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spacing w:val="-2"/>
          <w:kern w:val="2"/>
          <w:sz w:val="24"/>
          <w:szCs w:val="24"/>
          <w:highlight w:val="none"/>
          <w:lang w:val="en-US"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设备拆除、数据跳线安装、线缆整理。</w:t>
      </w:r>
    </w:p>
    <w:p w14:paraId="50F9F6C2">
      <w:pPr>
        <w:keepNext w:val="0"/>
        <w:keepLines w:val="0"/>
        <w:widowControl/>
        <w:suppressLineNumbers w:val="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val="0"/>
          <w:bCs/>
          <w:snapToGrid/>
          <w:color w:val="auto"/>
          <w:kern w:val="2"/>
          <w:sz w:val="24"/>
          <w:szCs w:val="24"/>
          <w:highlight w:val="none"/>
          <w:lang w:val="en-US" w:eastAsia="zh-CN"/>
        </w:rPr>
        <w:t>2-3、</w:t>
      </w:r>
      <w:r>
        <w:rPr>
          <w:rFonts w:hint="eastAsia" w:asciiTheme="minorEastAsia" w:hAnsiTheme="minorEastAsia" w:eastAsiaTheme="minorEastAsia" w:cstheme="minorEastAsia"/>
          <w:snapToGrid w:val="0"/>
          <w:color w:val="000000"/>
          <w:kern w:val="0"/>
          <w:sz w:val="24"/>
          <w:szCs w:val="24"/>
          <w:highlight w:val="none"/>
          <w:lang w:val="en-US" w:eastAsia="zh-CN" w:bidi="ar"/>
        </w:rPr>
        <w:t xml:space="preserve">编制依据 </w:t>
      </w:r>
    </w:p>
    <w:p w14:paraId="2455EFF9">
      <w:pPr>
        <w:keepNext w:val="0"/>
        <w:keepLines w:val="0"/>
        <w:widowControl/>
        <w:suppressLineNumbers w:val="0"/>
        <w:ind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napToGrid w:val="0"/>
          <w:color w:val="000000"/>
          <w:kern w:val="0"/>
          <w:sz w:val="24"/>
          <w:szCs w:val="24"/>
          <w:highlight w:val="none"/>
          <w:lang w:val="en-US" w:eastAsia="zh-CN" w:bidi="ar"/>
        </w:rPr>
        <w:t xml:space="preserve">建设单位要求。 </w:t>
      </w:r>
    </w:p>
    <w:p w14:paraId="4DAAD73D">
      <w:pPr>
        <w:keepNext w:val="0"/>
        <w:keepLines w:val="0"/>
        <w:widowControl/>
        <w:suppressLineNumbers w:val="0"/>
        <w:ind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napToGrid w:val="0"/>
          <w:color w:val="000000"/>
          <w:kern w:val="0"/>
          <w:sz w:val="24"/>
          <w:szCs w:val="24"/>
          <w:highlight w:val="none"/>
          <w:lang w:val="en-US" w:eastAsia="zh-CN" w:bidi="ar"/>
        </w:rPr>
        <w:t xml:space="preserve">与项目相关的国家及地方规范、技术标准。 </w:t>
      </w:r>
    </w:p>
    <w:p w14:paraId="0BF9C96F">
      <w:pPr>
        <w:keepNext w:val="0"/>
        <w:keepLines w:val="0"/>
        <w:widowControl/>
        <w:suppressLineNumbers w:val="0"/>
        <w:ind w:firstLine="480"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napToGrid w:val="0"/>
          <w:color w:val="000000"/>
          <w:kern w:val="0"/>
          <w:sz w:val="24"/>
          <w:szCs w:val="24"/>
          <w:highlight w:val="none"/>
          <w:lang w:val="en-US" w:eastAsia="zh-CN" w:bidi="ar"/>
        </w:rPr>
        <w:t xml:space="preserve">北京市建设工程工程量清单计算标准(2021-北京)、北京市房屋修缮工程量清 </w:t>
      </w:r>
    </w:p>
    <w:p w14:paraId="5620A62F">
      <w:pPr>
        <w:keepNext w:val="0"/>
        <w:keepLines w:val="0"/>
        <w:widowControl/>
        <w:suppressLineNumbers w:val="0"/>
        <w:ind w:firstLine="480" w:firstLineChars="200"/>
        <w:jc w:val="left"/>
        <w:rPr>
          <w:rFonts w:hint="eastAsia"/>
          <w:highlight w:val="none"/>
          <w:lang w:val="en-US" w:eastAsia="zh-CN"/>
        </w:rPr>
      </w:pPr>
      <w:r>
        <w:rPr>
          <w:rFonts w:hint="eastAsia" w:asciiTheme="minorEastAsia" w:hAnsiTheme="minorEastAsia" w:eastAsiaTheme="minorEastAsia" w:cstheme="minorEastAsia"/>
          <w:snapToGrid w:val="0"/>
          <w:color w:val="000000"/>
          <w:kern w:val="0"/>
          <w:sz w:val="24"/>
          <w:szCs w:val="24"/>
          <w:highlight w:val="none"/>
          <w:lang w:val="en-US" w:eastAsia="zh-CN" w:bidi="ar"/>
        </w:rPr>
        <w:t>单计算标准(2023-北京) 及配套计量规范。</w:t>
      </w:r>
    </w:p>
    <w:p w14:paraId="4B2F3989">
      <w:pPr>
        <w:keepNext w:val="0"/>
        <w:keepLines w:val="0"/>
        <w:pageBreakBefore w:val="0"/>
        <w:widowControl w:val="0"/>
        <w:kinsoku/>
        <w:wordWrap/>
        <w:overflowPunct/>
        <w:topLinePunct w:val="0"/>
        <w:autoSpaceDE/>
        <w:autoSpaceDN/>
        <w:bidi w:val="0"/>
        <w:adjustRightInd/>
        <w:snapToGrid/>
        <w:spacing w:before="55"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val="en-US" w:eastAsia="zh-CN"/>
        </w:rPr>
        <w:t>2-4、</w:t>
      </w:r>
      <w:r>
        <w:rPr>
          <w:rFonts w:hint="eastAsia" w:asciiTheme="minorEastAsia" w:hAnsiTheme="minorEastAsia" w:eastAsiaTheme="minorEastAsia" w:cstheme="minorEastAsia"/>
          <w:snapToGrid/>
          <w:color w:val="auto"/>
          <w:spacing w:val="-2"/>
          <w:kern w:val="2"/>
          <w:sz w:val="24"/>
          <w:szCs w:val="24"/>
          <w:highlight w:val="none"/>
          <w:lang w:eastAsia="zh-CN"/>
        </w:rPr>
        <w:t>费用说明：</w:t>
      </w:r>
    </w:p>
    <w:p w14:paraId="7FBB3C2E">
      <w:pPr>
        <w:keepNext w:val="0"/>
        <w:keepLines w:val="0"/>
        <w:pageBreakBefore w:val="0"/>
        <w:widowControl w:val="0"/>
        <w:kinsoku/>
        <w:wordWrap/>
        <w:overflowPunct/>
        <w:topLinePunct w:val="0"/>
        <w:autoSpaceDE/>
        <w:autoSpaceDN/>
        <w:bidi w:val="0"/>
        <w:adjustRightInd/>
        <w:snapToGrid/>
        <w:spacing w:before="51"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招标控制价合计：</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 xml:space="preserve"> 135541.96</w:t>
      </w:r>
      <w:r>
        <w:rPr>
          <w:rFonts w:hint="eastAsia" w:asciiTheme="minorEastAsia" w:hAnsiTheme="minorEastAsia" w:eastAsiaTheme="minorEastAsia" w:cstheme="minorEastAsia"/>
          <w:snapToGrid/>
          <w:color w:val="auto"/>
          <w:spacing w:val="-34"/>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1280AB1E">
      <w:pPr>
        <w:keepNext w:val="0"/>
        <w:keepLines w:val="0"/>
        <w:pageBreakBefore w:val="0"/>
        <w:widowControl w:val="0"/>
        <w:kinsoku/>
        <w:wordWrap/>
        <w:overflowPunct/>
        <w:topLinePunct w:val="0"/>
        <w:autoSpaceDE/>
        <w:autoSpaceDN/>
        <w:bidi w:val="0"/>
        <w:adjustRightInd/>
        <w:snapToGrid/>
        <w:spacing w:before="29"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4"/>
          <w:kern w:val="2"/>
          <w:sz w:val="24"/>
          <w:szCs w:val="24"/>
          <w:highlight w:val="none"/>
          <w:lang w:eastAsia="zh-CN"/>
        </w:rPr>
        <w:t>其中：</w:t>
      </w:r>
    </w:p>
    <w:p w14:paraId="3925C156">
      <w:pPr>
        <w:keepNext w:val="0"/>
        <w:keepLines w:val="0"/>
        <w:pageBreakBefore w:val="0"/>
        <w:widowControl w:val="0"/>
        <w:kinsoku/>
        <w:wordWrap/>
        <w:overflowPunct/>
        <w:topLinePunct w:val="0"/>
        <w:autoSpaceDE/>
        <w:autoSpaceDN/>
        <w:bidi w:val="0"/>
        <w:adjustRightInd/>
        <w:snapToGrid/>
        <w:spacing w:before="25" w:line="240" w:lineRule="auto"/>
        <w:ind w:left="732"/>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分部分项工程合价为：</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121389.91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6F74A098">
      <w:pPr>
        <w:keepNext w:val="0"/>
        <w:keepLines w:val="0"/>
        <w:pageBreakBefore w:val="0"/>
        <w:widowControl w:val="0"/>
        <w:kinsoku/>
        <w:wordWrap/>
        <w:overflowPunct/>
        <w:topLinePunct w:val="0"/>
        <w:autoSpaceDE/>
        <w:autoSpaceDN/>
        <w:bidi w:val="0"/>
        <w:adjustRightInd/>
        <w:snapToGrid/>
        <w:spacing w:before="29" w:line="240" w:lineRule="auto"/>
        <w:ind w:left="729"/>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措施项目：</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2960.51</w:t>
      </w:r>
      <w:r>
        <w:rPr>
          <w:rFonts w:hint="eastAsia" w:asciiTheme="minorEastAsia" w:hAnsiTheme="minorEastAsia" w:eastAsiaTheme="minorEastAsia" w:cstheme="minorEastAsia"/>
          <w:snapToGrid/>
          <w:color w:val="auto"/>
          <w:spacing w:val="2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4645C45D">
      <w:pPr>
        <w:keepNext w:val="0"/>
        <w:keepLines w:val="0"/>
        <w:pageBreakBefore w:val="0"/>
        <w:widowControl w:val="0"/>
        <w:kinsoku/>
        <w:wordWrap/>
        <w:overflowPunct/>
        <w:topLinePunct w:val="0"/>
        <w:autoSpaceDE/>
        <w:autoSpaceDN/>
        <w:bidi w:val="0"/>
        <w:adjustRightInd/>
        <w:snapToGrid/>
        <w:spacing w:before="24"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其他项目合价为：</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90"/>
          <w:kern w:val="2"/>
          <w:sz w:val="24"/>
          <w:szCs w:val="24"/>
          <w:highlight w:val="none"/>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238F8EB3">
      <w:pPr>
        <w:keepNext w:val="0"/>
        <w:keepLines w:val="0"/>
        <w:pageBreakBefore w:val="0"/>
        <w:widowControl w:val="0"/>
        <w:kinsoku/>
        <w:wordWrap/>
        <w:overflowPunct/>
        <w:topLinePunct w:val="0"/>
        <w:autoSpaceDE/>
        <w:autoSpaceDN/>
        <w:bidi w:val="0"/>
        <w:adjustRightInd/>
        <w:snapToGrid/>
        <w:spacing w:before="28" w:line="240" w:lineRule="auto"/>
        <w:ind w:left="728"/>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2"/>
          <w:kern w:val="2"/>
          <w:sz w:val="24"/>
          <w:szCs w:val="24"/>
          <w:highlight w:val="none"/>
          <w:lang w:eastAsia="zh-CN"/>
        </w:rPr>
        <w:t>税金合价为：</w:t>
      </w:r>
      <w:r>
        <w:rPr>
          <w:rFonts w:hint="eastAsia" w:asciiTheme="minorEastAsia" w:hAnsiTheme="minorEastAsia" w:eastAsiaTheme="minorEastAsia" w:cstheme="minorEastAsia"/>
          <w:snapToGrid/>
          <w:color w:val="auto"/>
          <w:spacing w:val="-2"/>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u w:val="single" w:color="auto"/>
          <w:lang w:val="en-US" w:eastAsia="zh-CN"/>
        </w:rPr>
        <w:t>11191.54</w:t>
      </w:r>
      <w:r>
        <w:rPr>
          <w:rFonts w:hint="eastAsia" w:asciiTheme="minorEastAsia" w:hAnsiTheme="minorEastAsia" w:eastAsiaTheme="minorEastAsia" w:cstheme="minorEastAsia"/>
          <w:snapToGrid/>
          <w:color w:val="auto"/>
          <w:spacing w:val="26"/>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2"/>
          <w:kern w:val="2"/>
          <w:sz w:val="24"/>
          <w:szCs w:val="24"/>
          <w:highlight w:val="none"/>
          <w:lang w:eastAsia="zh-CN"/>
        </w:rPr>
        <w:t>元；</w:t>
      </w:r>
    </w:p>
    <w:p w14:paraId="72706338">
      <w:pPr>
        <w:keepNext w:val="0"/>
        <w:keepLines w:val="0"/>
        <w:pageBreakBefore w:val="0"/>
        <w:widowControl w:val="0"/>
        <w:kinsoku/>
        <w:wordWrap/>
        <w:overflowPunct/>
        <w:topLinePunct w:val="0"/>
        <w:autoSpaceDE/>
        <w:autoSpaceDN/>
        <w:bidi w:val="0"/>
        <w:adjustRightInd/>
        <w:snapToGrid/>
        <w:spacing w:before="29"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3"/>
          <w:kern w:val="2"/>
          <w:sz w:val="24"/>
          <w:szCs w:val="24"/>
          <w:highlight w:val="none"/>
          <w:lang w:eastAsia="zh-CN"/>
        </w:rPr>
        <w:t>其他说明：</w:t>
      </w:r>
    </w:p>
    <w:p w14:paraId="3F7229F2">
      <w:pPr>
        <w:keepNext w:val="0"/>
        <w:keepLines w:val="0"/>
        <w:pageBreakBefore w:val="0"/>
        <w:widowControl w:val="0"/>
        <w:kinsoku/>
        <w:wordWrap/>
        <w:overflowPunct/>
        <w:topLinePunct w:val="0"/>
        <w:autoSpaceDE/>
        <w:autoSpaceDN/>
        <w:bidi w:val="0"/>
        <w:adjustRightInd/>
        <w:snapToGrid/>
        <w:spacing w:before="25"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规费(不含税)合计金额：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5056.81</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7"/>
          <w:kern w:val="2"/>
          <w:sz w:val="24"/>
          <w:szCs w:val="24"/>
          <w:highlight w:val="none"/>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0ADF6D08">
      <w:pPr>
        <w:keepNext w:val="0"/>
        <w:keepLines w:val="0"/>
        <w:pageBreakBefore w:val="0"/>
        <w:widowControl w:val="0"/>
        <w:kinsoku/>
        <w:wordWrap/>
        <w:overflowPunct/>
        <w:topLinePunct w:val="0"/>
        <w:autoSpaceDE/>
        <w:autoSpaceDN/>
        <w:bidi w:val="0"/>
        <w:adjustRightInd/>
        <w:snapToGrid/>
        <w:spacing w:before="27" w:line="240" w:lineRule="auto"/>
        <w:ind w:left="73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专业工程暂估价（含税）合计金额：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58A3A02C">
      <w:pPr>
        <w:keepNext w:val="0"/>
        <w:keepLines w:val="0"/>
        <w:pageBreakBefore w:val="0"/>
        <w:widowControl w:val="0"/>
        <w:kinsoku/>
        <w:wordWrap/>
        <w:overflowPunct/>
        <w:topLinePunct w:val="0"/>
        <w:autoSpaceDE/>
        <w:autoSpaceDN/>
        <w:bidi w:val="0"/>
        <w:adjustRightInd/>
        <w:snapToGrid/>
        <w:spacing w:before="29" w:line="240" w:lineRule="auto"/>
        <w:ind w:left="729"/>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材料和工程设备暂估价（含税）合计金额：</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val="en-US" w:eastAsia="zh-CN"/>
        </w:rPr>
        <w:t xml:space="preserve">  /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1109FF31">
      <w:pPr>
        <w:keepNext w:val="0"/>
        <w:keepLines w:val="0"/>
        <w:pageBreakBefore w:val="0"/>
        <w:widowControl w:val="0"/>
        <w:kinsoku/>
        <w:wordWrap/>
        <w:overflowPunct/>
        <w:topLinePunct w:val="0"/>
        <w:autoSpaceDE/>
        <w:autoSpaceDN/>
        <w:bidi w:val="0"/>
        <w:adjustRightInd/>
        <w:snapToGrid/>
        <w:spacing w:before="29" w:line="240" w:lineRule="auto"/>
        <w:ind w:left="737"/>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暂列金（不含计日工</w:t>
      </w:r>
      <w:r>
        <w:rPr>
          <w:rFonts w:hint="eastAsia" w:asciiTheme="minorEastAsia" w:hAnsiTheme="minorEastAsia" w:eastAsiaTheme="minorEastAsia" w:cstheme="minorEastAsia"/>
          <w:snapToGrid/>
          <w:color w:val="auto"/>
          <w:spacing w:val="-15"/>
          <w:kern w:val="2"/>
          <w:sz w:val="24"/>
          <w:szCs w:val="24"/>
          <w:highlight w:val="none"/>
          <w:lang w:eastAsia="zh-CN"/>
        </w:rPr>
        <w:t>）（</w:t>
      </w:r>
      <w:r>
        <w:rPr>
          <w:rFonts w:hint="eastAsia" w:asciiTheme="minorEastAsia" w:hAnsiTheme="minorEastAsia" w:eastAsiaTheme="minorEastAsia" w:cstheme="minorEastAsia"/>
          <w:snapToGrid/>
          <w:color w:val="auto"/>
          <w:kern w:val="2"/>
          <w:sz w:val="24"/>
          <w:szCs w:val="24"/>
          <w:highlight w:val="none"/>
          <w:lang w:eastAsia="zh-CN"/>
        </w:rPr>
        <w:t>含税）合计金额：</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val="en-US" w:eastAsia="zh-CN"/>
        </w:rPr>
        <w:t xml:space="preserve">/ </w:t>
      </w:r>
      <w:r>
        <w:rPr>
          <w:rFonts w:hint="eastAsia" w:asciiTheme="minorEastAsia" w:hAnsiTheme="minorEastAsia" w:eastAsiaTheme="minorEastAsia" w:cstheme="minorEastAsia"/>
          <w:snapToGrid/>
          <w:color w:val="auto"/>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8"/>
          <w:kern w:val="2"/>
          <w:sz w:val="24"/>
          <w:szCs w:val="24"/>
          <w:highlight w:val="none"/>
          <w:lang w:eastAsia="zh-CN"/>
        </w:rPr>
        <w:t xml:space="preserve"> </w:t>
      </w:r>
      <w:r>
        <w:rPr>
          <w:rFonts w:hint="eastAsia" w:asciiTheme="minorEastAsia" w:hAnsiTheme="minorEastAsia" w:eastAsiaTheme="minorEastAsia" w:cstheme="minorEastAsia"/>
          <w:snapToGrid/>
          <w:color w:val="auto"/>
          <w:kern w:val="2"/>
          <w:sz w:val="24"/>
          <w:szCs w:val="24"/>
          <w:highlight w:val="none"/>
          <w:lang w:eastAsia="zh-CN"/>
        </w:rPr>
        <w:t>元；</w:t>
      </w:r>
    </w:p>
    <w:p w14:paraId="7F9441CE">
      <w:pPr>
        <w:keepNext w:val="0"/>
        <w:keepLines w:val="0"/>
        <w:pageBreakBefore w:val="0"/>
        <w:widowControl w:val="0"/>
        <w:kinsoku/>
        <w:wordWrap/>
        <w:overflowPunct/>
        <w:topLinePunct w:val="0"/>
        <w:autoSpaceDE/>
        <w:autoSpaceDN/>
        <w:bidi w:val="0"/>
        <w:adjustRightInd/>
        <w:snapToGrid/>
        <w:spacing w:before="25" w:line="240" w:lineRule="auto"/>
        <w:ind w:left="734"/>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安全文明施工费（含税）合计金额：</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3001.1</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28D7A4DB">
      <w:pPr>
        <w:keepNext w:val="0"/>
        <w:keepLines w:val="0"/>
        <w:pageBreakBefore w:val="0"/>
        <w:widowControl w:val="0"/>
        <w:kinsoku/>
        <w:wordWrap/>
        <w:overflowPunct/>
        <w:topLinePunct w:val="0"/>
        <w:autoSpaceDE/>
        <w:autoSpaceDN/>
        <w:bidi w:val="0"/>
        <w:adjustRightInd/>
        <w:snapToGrid/>
        <w:spacing w:before="27" w:line="240" w:lineRule="auto"/>
        <w:ind w:left="728"/>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spacing w:val="-1"/>
          <w:kern w:val="2"/>
          <w:sz w:val="24"/>
          <w:szCs w:val="24"/>
          <w:highlight w:val="none"/>
          <w:lang w:eastAsia="zh-CN"/>
        </w:rPr>
        <w:t>赶工费增加（含税）合计金额（如有</w:t>
      </w:r>
      <w:r>
        <w:rPr>
          <w:rFonts w:hint="eastAsia" w:asciiTheme="minorEastAsia" w:hAnsiTheme="minorEastAsia" w:eastAsiaTheme="minorEastAsia" w:cstheme="minorEastAsia"/>
          <w:snapToGrid/>
          <w:color w:val="auto"/>
          <w:spacing w:val="3"/>
          <w:kern w:val="2"/>
          <w:sz w:val="24"/>
          <w:szCs w:val="24"/>
          <w:highlight w:val="none"/>
          <w:lang w:eastAsia="zh-CN"/>
        </w:rPr>
        <w:t>）：</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val="en-US" w:eastAsia="zh-CN"/>
        </w:rPr>
        <w:t xml:space="preserve"> /</w:t>
      </w:r>
      <w:r>
        <w:rPr>
          <w:rFonts w:hint="eastAsia" w:asciiTheme="minorEastAsia" w:hAnsiTheme="minorEastAsia" w:eastAsiaTheme="minorEastAsia" w:cstheme="minorEastAsia"/>
          <w:snapToGrid/>
          <w:color w:val="auto"/>
          <w:spacing w:val="-1"/>
          <w:kern w:val="2"/>
          <w:sz w:val="24"/>
          <w:szCs w:val="24"/>
          <w:highlight w:val="none"/>
          <w:u w:val="single" w:color="auto"/>
          <w:lang w:eastAsia="zh-CN"/>
        </w:rPr>
        <w:t xml:space="preserve">    </w:t>
      </w:r>
      <w:r>
        <w:rPr>
          <w:rFonts w:hint="eastAsia" w:asciiTheme="minorEastAsia" w:hAnsiTheme="minorEastAsia" w:eastAsiaTheme="minorEastAsia" w:cstheme="minorEastAsia"/>
          <w:snapToGrid/>
          <w:color w:val="auto"/>
          <w:spacing w:val="-104"/>
          <w:kern w:val="2"/>
          <w:sz w:val="24"/>
          <w:szCs w:val="24"/>
          <w:highlight w:val="none"/>
          <w:lang w:eastAsia="zh-CN"/>
        </w:rPr>
        <w:t xml:space="preserve"> </w:t>
      </w:r>
      <w:r>
        <w:rPr>
          <w:rFonts w:hint="eastAsia" w:asciiTheme="minorEastAsia" w:hAnsiTheme="minorEastAsia" w:eastAsiaTheme="minorEastAsia" w:cstheme="minorEastAsia"/>
          <w:snapToGrid/>
          <w:color w:val="auto"/>
          <w:spacing w:val="-1"/>
          <w:kern w:val="2"/>
          <w:sz w:val="24"/>
          <w:szCs w:val="24"/>
          <w:highlight w:val="none"/>
          <w:lang w:eastAsia="zh-CN"/>
        </w:rPr>
        <w:t>元。</w:t>
      </w:r>
    </w:p>
    <w:p w14:paraId="3DD29DED">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val="0"/>
          <w:bCs/>
          <w:snapToGrid/>
          <w:color w:val="auto"/>
          <w:kern w:val="2"/>
          <w:sz w:val="24"/>
          <w:szCs w:val="24"/>
          <w:highlight w:val="none"/>
          <w:lang w:val="en-US" w:eastAsia="zh-CN"/>
        </w:rPr>
      </w:pPr>
      <w:r>
        <w:rPr>
          <w:rFonts w:hint="eastAsia" w:asciiTheme="minorEastAsia" w:hAnsiTheme="minorEastAsia" w:eastAsiaTheme="minorEastAsia" w:cstheme="minorEastAsia"/>
          <w:b w:val="0"/>
          <w:bCs/>
          <w:snapToGrid/>
          <w:color w:val="auto"/>
          <w:kern w:val="2"/>
          <w:sz w:val="24"/>
          <w:szCs w:val="24"/>
          <w:highlight w:val="none"/>
          <w:lang w:val="en-US" w:eastAsia="zh-CN"/>
        </w:rPr>
        <w:t>2-5、其它说明：工程量清单需要加盖造价工程师专用章、单位公章、法人或授权人签字或盖章。</w:t>
      </w:r>
    </w:p>
    <w:p w14:paraId="2C96EA73">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val="en-US" w:eastAsia="zh-CN"/>
        </w:rPr>
        <w:t>2-6</w:t>
      </w:r>
      <w:r>
        <w:rPr>
          <w:rFonts w:hint="eastAsia" w:asciiTheme="minorEastAsia" w:hAnsiTheme="minorEastAsia" w:eastAsiaTheme="minorEastAsia" w:cstheme="minorEastAsia"/>
          <w:b/>
          <w:snapToGrid/>
          <w:color w:val="auto"/>
          <w:kern w:val="2"/>
          <w:sz w:val="24"/>
          <w:szCs w:val="24"/>
          <w:highlight w:val="none"/>
          <w:lang w:eastAsia="zh-CN"/>
        </w:rPr>
        <w:t>、项目实施</w:t>
      </w:r>
      <w:r>
        <w:rPr>
          <w:rFonts w:hint="eastAsia" w:asciiTheme="minorEastAsia" w:hAnsiTheme="minorEastAsia" w:eastAsiaTheme="minorEastAsia" w:cstheme="minorEastAsia"/>
          <w:b/>
          <w:snapToGrid/>
          <w:color w:val="auto"/>
          <w:kern w:val="2"/>
          <w:sz w:val="24"/>
          <w:szCs w:val="24"/>
          <w:highlight w:val="none"/>
          <w:lang w:val="en-US" w:eastAsia="zh-CN"/>
        </w:rPr>
        <w:t>概况</w:t>
      </w:r>
    </w:p>
    <w:tbl>
      <w:tblPr>
        <w:tblStyle w:val="20"/>
        <w:tblW w:w="9158" w:type="dxa"/>
        <w:tblInd w:w="0" w:type="dxa"/>
        <w:tblLayout w:type="fixed"/>
        <w:tblCellMar>
          <w:top w:w="0" w:type="dxa"/>
          <w:left w:w="108" w:type="dxa"/>
          <w:bottom w:w="0" w:type="dxa"/>
          <w:right w:w="108" w:type="dxa"/>
        </w:tblCellMar>
      </w:tblPr>
      <w:tblGrid>
        <w:gridCol w:w="806"/>
        <w:gridCol w:w="3535"/>
        <w:gridCol w:w="4817"/>
      </w:tblGrid>
      <w:tr w14:paraId="2A0F08AB">
        <w:tblPrEx>
          <w:tblCellMar>
            <w:top w:w="0" w:type="dxa"/>
            <w:left w:w="108" w:type="dxa"/>
            <w:bottom w:w="0" w:type="dxa"/>
            <w:right w:w="108" w:type="dxa"/>
          </w:tblCellMar>
        </w:tblPrEx>
        <w:trPr>
          <w:trHeight w:val="571" w:hRule="atLeast"/>
        </w:trPr>
        <w:tc>
          <w:tcPr>
            <w:tcW w:w="806" w:type="dxa"/>
            <w:tcBorders>
              <w:top w:val="single" w:color="auto" w:sz="4" w:space="0"/>
              <w:left w:val="single" w:color="auto" w:sz="4" w:space="0"/>
              <w:bottom w:val="single" w:color="auto" w:sz="4" w:space="0"/>
              <w:right w:val="single" w:color="auto" w:sz="4" w:space="0"/>
            </w:tcBorders>
            <w:vAlign w:val="center"/>
          </w:tcPr>
          <w:p w14:paraId="1D754A89">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序号</w:t>
            </w:r>
          </w:p>
        </w:tc>
        <w:tc>
          <w:tcPr>
            <w:tcW w:w="3535" w:type="dxa"/>
            <w:tcBorders>
              <w:top w:val="single" w:color="auto" w:sz="4" w:space="0"/>
              <w:left w:val="single" w:color="auto" w:sz="4" w:space="0"/>
              <w:bottom w:val="single" w:color="auto" w:sz="4" w:space="0"/>
              <w:right w:val="single" w:color="auto" w:sz="4" w:space="0"/>
            </w:tcBorders>
            <w:vAlign w:val="center"/>
          </w:tcPr>
          <w:p w14:paraId="6C59D8E6">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单位名称</w:t>
            </w:r>
          </w:p>
        </w:tc>
        <w:tc>
          <w:tcPr>
            <w:tcW w:w="4817" w:type="dxa"/>
            <w:tcBorders>
              <w:top w:val="single" w:color="auto" w:sz="4" w:space="0"/>
              <w:left w:val="single" w:color="auto" w:sz="4" w:space="0"/>
              <w:bottom w:val="single" w:color="auto" w:sz="4" w:space="0"/>
              <w:right w:val="single" w:color="auto" w:sz="4" w:space="0"/>
            </w:tcBorders>
          </w:tcPr>
          <w:p w14:paraId="21CF04C8">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b/>
                <w:bCs/>
                <w:snapToGrid/>
                <w:color w:val="auto"/>
                <w:kern w:val="2"/>
                <w:sz w:val="24"/>
                <w:szCs w:val="24"/>
                <w:highlight w:val="none"/>
                <w:lang w:eastAsia="zh-CN"/>
              </w:rPr>
            </w:pPr>
            <w:r>
              <w:rPr>
                <w:rFonts w:hint="eastAsia" w:asciiTheme="minorEastAsia" w:hAnsiTheme="minorEastAsia" w:eastAsiaTheme="minorEastAsia" w:cstheme="minorEastAsia"/>
                <w:b/>
                <w:bCs/>
                <w:snapToGrid/>
                <w:color w:val="auto"/>
                <w:kern w:val="2"/>
                <w:sz w:val="24"/>
                <w:szCs w:val="24"/>
                <w:highlight w:val="none"/>
                <w:lang w:eastAsia="zh-CN"/>
              </w:rPr>
              <w:t>要求完成时间</w:t>
            </w:r>
          </w:p>
        </w:tc>
      </w:tr>
      <w:tr w14:paraId="66A129E2">
        <w:tblPrEx>
          <w:tblCellMar>
            <w:top w:w="0" w:type="dxa"/>
            <w:left w:w="108" w:type="dxa"/>
            <w:bottom w:w="0" w:type="dxa"/>
            <w:right w:w="108" w:type="dxa"/>
          </w:tblCellMar>
        </w:tblPrEx>
        <w:trPr>
          <w:trHeight w:val="391" w:hRule="atLeast"/>
        </w:trPr>
        <w:tc>
          <w:tcPr>
            <w:tcW w:w="806" w:type="dxa"/>
            <w:tcBorders>
              <w:top w:val="nil"/>
              <w:left w:val="single" w:color="auto" w:sz="4" w:space="0"/>
              <w:bottom w:val="single" w:color="auto" w:sz="4" w:space="0"/>
              <w:right w:val="single" w:color="auto" w:sz="4" w:space="0"/>
            </w:tcBorders>
            <w:vAlign w:val="center"/>
          </w:tcPr>
          <w:p w14:paraId="2BF558C0">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w:t>
            </w:r>
          </w:p>
        </w:tc>
        <w:tc>
          <w:tcPr>
            <w:tcW w:w="3535" w:type="dxa"/>
            <w:tcBorders>
              <w:top w:val="nil"/>
              <w:left w:val="single" w:color="auto" w:sz="4" w:space="0"/>
              <w:bottom w:val="single" w:color="auto" w:sz="4" w:space="0"/>
              <w:right w:val="single" w:color="auto" w:sz="4" w:space="0"/>
            </w:tcBorders>
            <w:vAlign w:val="center"/>
          </w:tcPr>
          <w:p w14:paraId="600A874F">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密云区</w:t>
            </w:r>
            <w:r>
              <w:rPr>
                <w:rFonts w:hint="eastAsia" w:asciiTheme="minorEastAsia" w:hAnsiTheme="minorEastAsia" w:eastAsiaTheme="minorEastAsia" w:cstheme="minorEastAsia"/>
                <w:b w:val="0"/>
                <w:bCs w:val="0"/>
                <w:snapToGrid/>
                <w:color w:val="auto"/>
                <w:kern w:val="2"/>
                <w:sz w:val="24"/>
                <w:szCs w:val="24"/>
                <w:highlight w:val="none"/>
                <w:lang w:val="en-US" w:eastAsia="zh-CN"/>
              </w:rPr>
              <w:t>政府</w:t>
            </w:r>
            <w:r>
              <w:rPr>
                <w:rFonts w:hint="eastAsia" w:asciiTheme="minorEastAsia" w:hAnsiTheme="minorEastAsia" w:eastAsiaTheme="minorEastAsia" w:cstheme="minorEastAsia"/>
                <w:bCs/>
                <w:color w:val="auto"/>
                <w:sz w:val="24"/>
                <w:szCs w:val="24"/>
                <w:highlight w:val="none"/>
                <w:lang w:val="en-US" w:eastAsia="zh-CN"/>
              </w:rPr>
              <w:t>集中办公区</w:t>
            </w:r>
          </w:p>
        </w:tc>
        <w:tc>
          <w:tcPr>
            <w:tcW w:w="4817" w:type="dxa"/>
            <w:tcBorders>
              <w:top w:val="single" w:color="auto" w:sz="4" w:space="0"/>
              <w:left w:val="single" w:color="auto" w:sz="4" w:space="0"/>
              <w:bottom w:val="single" w:color="auto" w:sz="4" w:space="0"/>
              <w:right w:val="single" w:color="auto" w:sz="4" w:space="0"/>
            </w:tcBorders>
          </w:tcPr>
          <w:p w14:paraId="175A509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自</w:t>
            </w:r>
            <w:r>
              <w:rPr>
                <w:rFonts w:hint="eastAsia" w:asciiTheme="minorEastAsia" w:hAnsiTheme="minorEastAsia" w:eastAsiaTheme="minorEastAsia" w:cstheme="minorEastAsia"/>
                <w:snapToGrid/>
                <w:color w:val="auto"/>
                <w:kern w:val="2"/>
                <w:sz w:val="24"/>
                <w:szCs w:val="24"/>
                <w:highlight w:val="none"/>
                <w:lang w:eastAsia="zh-CN"/>
              </w:rPr>
              <w:t>签定合同</w:t>
            </w:r>
            <w:r>
              <w:rPr>
                <w:rFonts w:hint="eastAsia" w:asciiTheme="minorEastAsia" w:hAnsiTheme="minorEastAsia" w:eastAsiaTheme="minorEastAsia" w:cstheme="minorEastAsia"/>
                <w:snapToGrid/>
                <w:color w:val="auto"/>
                <w:kern w:val="2"/>
                <w:sz w:val="24"/>
                <w:szCs w:val="24"/>
                <w:highlight w:val="none"/>
                <w:lang w:val="en-US" w:eastAsia="zh-CN"/>
              </w:rPr>
              <w:t>之日起90天内完成</w:t>
            </w:r>
          </w:p>
        </w:tc>
      </w:tr>
      <w:tr w14:paraId="69D70448">
        <w:tblPrEx>
          <w:tblCellMar>
            <w:top w:w="0" w:type="dxa"/>
            <w:left w:w="108" w:type="dxa"/>
            <w:bottom w:w="0" w:type="dxa"/>
            <w:right w:w="108" w:type="dxa"/>
          </w:tblCellMar>
        </w:tblPrEx>
        <w:trPr>
          <w:trHeight w:val="579" w:hRule="atLeast"/>
        </w:trPr>
        <w:tc>
          <w:tcPr>
            <w:tcW w:w="806" w:type="dxa"/>
            <w:tcBorders>
              <w:top w:val="single" w:color="auto" w:sz="4" w:space="0"/>
              <w:left w:val="single" w:color="auto" w:sz="4" w:space="0"/>
              <w:bottom w:val="single" w:color="auto" w:sz="4" w:space="0"/>
              <w:right w:val="single" w:color="auto" w:sz="4" w:space="0"/>
            </w:tcBorders>
            <w:vAlign w:val="center"/>
          </w:tcPr>
          <w:p w14:paraId="1D9DFB70">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t>
            </w:r>
          </w:p>
        </w:tc>
        <w:tc>
          <w:tcPr>
            <w:tcW w:w="3535" w:type="dxa"/>
            <w:tcBorders>
              <w:top w:val="single" w:color="auto" w:sz="4" w:space="0"/>
              <w:left w:val="single" w:color="auto" w:sz="4" w:space="0"/>
              <w:bottom w:val="single" w:color="auto" w:sz="4" w:space="0"/>
              <w:right w:val="single" w:color="auto" w:sz="4" w:space="0"/>
            </w:tcBorders>
            <w:vAlign w:val="center"/>
          </w:tcPr>
          <w:p w14:paraId="1BF6771D">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r>
              <w:rPr>
                <w:rFonts w:hint="eastAsia" w:asciiTheme="minorEastAsia" w:hAnsiTheme="minorEastAsia" w:eastAsiaTheme="minorEastAsia" w:cstheme="minorEastAsia"/>
                <w:snapToGrid/>
                <w:color w:val="auto"/>
                <w:kern w:val="2"/>
                <w:sz w:val="24"/>
                <w:szCs w:val="24"/>
                <w:highlight w:val="none"/>
                <w:lang w:val="en-US" w:eastAsia="zh-CN"/>
              </w:rPr>
              <w:t>密云区政务服务和数据管理局</w:t>
            </w:r>
          </w:p>
        </w:tc>
        <w:tc>
          <w:tcPr>
            <w:tcW w:w="4817" w:type="dxa"/>
            <w:tcBorders>
              <w:top w:val="single" w:color="auto" w:sz="4" w:space="0"/>
              <w:left w:val="single" w:color="auto" w:sz="4" w:space="0"/>
              <w:bottom w:val="single" w:color="auto" w:sz="4" w:space="0"/>
              <w:right w:val="single" w:color="auto" w:sz="4" w:space="0"/>
            </w:tcBorders>
          </w:tcPr>
          <w:p w14:paraId="4996E7AB">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自</w:t>
            </w:r>
            <w:r>
              <w:rPr>
                <w:rFonts w:hint="eastAsia" w:asciiTheme="minorEastAsia" w:hAnsiTheme="minorEastAsia" w:eastAsiaTheme="minorEastAsia" w:cstheme="minorEastAsia"/>
                <w:snapToGrid/>
                <w:color w:val="auto"/>
                <w:kern w:val="2"/>
                <w:sz w:val="24"/>
                <w:szCs w:val="24"/>
                <w:highlight w:val="none"/>
                <w:lang w:eastAsia="zh-CN"/>
              </w:rPr>
              <w:t>签定合同</w:t>
            </w:r>
            <w:r>
              <w:rPr>
                <w:rFonts w:hint="eastAsia" w:asciiTheme="minorEastAsia" w:hAnsiTheme="minorEastAsia" w:eastAsiaTheme="minorEastAsia" w:cstheme="minorEastAsia"/>
                <w:snapToGrid/>
                <w:color w:val="auto"/>
                <w:kern w:val="2"/>
                <w:sz w:val="24"/>
                <w:szCs w:val="24"/>
                <w:highlight w:val="none"/>
                <w:lang w:val="en-US" w:eastAsia="zh-CN"/>
              </w:rPr>
              <w:t>之日起90天内完成</w:t>
            </w:r>
          </w:p>
        </w:tc>
      </w:tr>
    </w:tbl>
    <w:p w14:paraId="7D8094F0">
      <w:pPr>
        <w:pStyle w:val="2"/>
        <w:rPr>
          <w:rFonts w:hint="eastAsia"/>
          <w:highlight w:val="none"/>
          <w:lang w:val="en-US" w:eastAsia="zh-CN"/>
        </w:rPr>
      </w:pPr>
    </w:p>
    <w:p w14:paraId="6EE492E5">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highlight w:val="none"/>
          <w:lang w:val="en-US" w:eastAsia="zh-CN"/>
        </w:rPr>
        <w:t>2-7、</w:t>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《密云区电子政务外网IPv6升级改造项目-集中办公区网络升级辅助施工部分-工程量清单》</w:t>
      </w:r>
    </w:p>
    <w:p w14:paraId="6AAC8332">
      <w:pPr>
        <w:pStyle w:val="2"/>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16A6C049">
      <w:pPr>
        <w:pStyle w:val="4"/>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7C0B4C8E">
      <w:pP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31CC8705">
      <w:pPr>
        <w:pStyle w:val="2"/>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p>
    <w:p w14:paraId="431CC34D">
      <w:pPr>
        <w:pStyle w:val="4"/>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8815" cy="8138160"/>
            <wp:effectExtent l="0" t="0" r="13335" b="15240"/>
            <wp:docPr id="3" name="图片 3" descr="MX-M2608N_20250909_10180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X-M2608N_20250909_101802_01"/>
                    <pic:cNvPicPr>
                      <a:picLocks noChangeAspect="1"/>
                    </pic:cNvPicPr>
                  </pic:nvPicPr>
                  <pic:blipFill>
                    <a:blip r:embed="rId8"/>
                    <a:stretch>
                      <a:fillRect/>
                    </a:stretch>
                  </pic:blipFill>
                  <pic:spPr>
                    <a:xfrm>
                      <a:off x="0" y="0"/>
                      <a:ext cx="5758815" cy="813816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8815" cy="8138160"/>
            <wp:effectExtent l="0" t="0" r="13335" b="15240"/>
            <wp:docPr id="4" name="图片 4" descr="MX-M2608N_20250909_10180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X-M2608N_20250909_101802_02"/>
                    <pic:cNvPicPr>
                      <a:picLocks noChangeAspect="1"/>
                    </pic:cNvPicPr>
                  </pic:nvPicPr>
                  <pic:blipFill>
                    <a:blip r:embed="rId9"/>
                    <a:stretch>
                      <a:fillRect/>
                    </a:stretch>
                  </pic:blipFill>
                  <pic:spPr>
                    <a:xfrm>
                      <a:off x="0" y="0"/>
                      <a:ext cx="5758815" cy="8138160"/>
                    </a:xfrm>
                    <a:prstGeom prst="rect">
                      <a:avLst/>
                    </a:prstGeom>
                  </pic:spPr>
                </pic:pic>
              </a:graphicData>
            </a:graphic>
          </wp:inline>
        </w:drawing>
      </w:r>
    </w:p>
    <w:p w14:paraId="73115355">
      <w:pP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0" name="图片 20" descr="集中办公区网络升级辅助施工部分-工程量清单PDF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集中办公区网络升级辅助施工部分-工程量清单PDF_03"/>
                    <pic:cNvPicPr>
                      <a:picLocks noChangeAspect="1"/>
                    </pic:cNvPicPr>
                  </pic:nvPicPr>
                  <pic:blipFill>
                    <a:blip r:embed="rId10"/>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1" name="图片 21" descr="集中办公区网络升级辅助施工部分-工程量清单PDF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集中办公区网络升级辅助施工部分-工程量清单PDF_04"/>
                    <pic:cNvPicPr>
                      <a:picLocks noChangeAspect="1"/>
                    </pic:cNvPicPr>
                  </pic:nvPicPr>
                  <pic:blipFill>
                    <a:blip r:embed="rId11"/>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087995" cy="5730875"/>
            <wp:effectExtent l="0" t="0" r="3175" b="8255"/>
            <wp:docPr id="22" name="图片 22" descr="集中办公区网络升级辅助施工部分-工程量清单PDF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集中办公区网络升级辅助施工部分-工程量清单PDF_05"/>
                    <pic:cNvPicPr>
                      <a:picLocks noChangeAspect="1"/>
                    </pic:cNvPicPr>
                  </pic:nvPicPr>
                  <pic:blipFill>
                    <a:blip r:embed="rId12"/>
                    <a:stretch>
                      <a:fillRect/>
                    </a:stretch>
                  </pic:blipFill>
                  <pic:spPr>
                    <a:xfrm rot="16200000">
                      <a:off x="0" y="0"/>
                      <a:ext cx="8087995" cy="573087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3" name="图片 23" descr="集中办公区网络升级辅助施工部分-工程量清单PDF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集中办公区网络升级辅助施工部分-工程量清单PDF_06"/>
                    <pic:cNvPicPr>
                      <a:picLocks noChangeAspect="1"/>
                    </pic:cNvPicPr>
                  </pic:nvPicPr>
                  <pic:blipFill>
                    <a:blip r:embed="rId13"/>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4" name="图片 24" descr="集中办公区网络升级辅助施工部分-工程量清单PDF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集中办公区网络升级辅助施工部分-工程量清单PDF_07"/>
                    <pic:cNvPicPr>
                      <a:picLocks noChangeAspect="1"/>
                    </pic:cNvPicPr>
                  </pic:nvPicPr>
                  <pic:blipFill>
                    <a:blip r:embed="rId14"/>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5" name="图片 25" descr="集中办公区网络升级辅助施工部分-工程量清单PDF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集中办公区网络升级辅助施工部分-工程量清单PDF_08"/>
                    <pic:cNvPicPr>
                      <a:picLocks noChangeAspect="1"/>
                    </pic:cNvPicPr>
                  </pic:nvPicPr>
                  <pic:blipFill>
                    <a:blip r:embed="rId15"/>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6" name="图片 26" descr="集中办公区网络升级辅助施工部分-工程量清单PDF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集中办公区网络升级辅助施工部分-工程量清单PDF_09"/>
                    <pic:cNvPicPr>
                      <a:picLocks noChangeAspect="1"/>
                    </pic:cNvPicPr>
                  </pic:nvPicPr>
                  <pic:blipFill>
                    <a:blip r:embed="rId16"/>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7" name="图片 27" descr="集中办公区网络升级辅助施工部分-工程量清单PDF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集中办公区网络升级辅助施工部分-工程量清单PDF_10"/>
                    <pic:cNvPicPr>
                      <a:picLocks noChangeAspect="1"/>
                    </pic:cNvPicPr>
                  </pic:nvPicPr>
                  <pic:blipFill>
                    <a:blip r:embed="rId17"/>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8" name="图片 28" descr="集中办公区网络升级辅助施工部分-工程量清单PDF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集中办公区网络升级辅助施工部分-工程量清单PDF_11"/>
                    <pic:cNvPicPr>
                      <a:picLocks noChangeAspect="1"/>
                    </pic:cNvPicPr>
                  </pic:nvPicPr>
                  <pic:blipFill>
                    <a:blip r:embed="rId18"/>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29" name="图片 29" descr="集中办公区网络升级辅助施工部分-工程量清单PDF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集中办公区网络升级辅助施工部分-工程量清单PDF_12"/>
                    <pic:cNvPicPr>
                      <a:picLocks noChangeAspect="1"/>
                    </pic:cNvPicPr>
                  </pic:nvPicPr>
                  <pic:blipFill>
                    <a:blip r:embed="rId19"/>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0" name="图片 30" descr="集中办公区网络升级辅助施工部分-工程量清单PDF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集中办公区网络升级辅助施工部分-工程量清单PDF_13"/>
                    <pic:cNvPicPr>
                      <a:picLocks noChangeAspect="1"/>
                    </pic:cNvPicPr>
                  </pic:nvPicPr>
                  <pic:blipFill>
                    <a:blip r:embed="rId20"/>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17230" cy="5893435"/>
            <wp:effectExtent l="0" t="0" r="12065" b="7620"/>
            <wp:docPr id="31" name="图片 31" descr="集中办公区网络升级辅助施工部分-工程量清单PDF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集中办公区网络升级辅助施工部分-工程量清单PDF_14"/>
                    <pic:cNvPicPr>
                      <a:picLocks noChangeAspect="1"/>
                    </pic:cNvPicPr>
                  </pic:nvPicPr>
                  <pic:blipFill>
                    <a:blip r:embed="rId21"/>
                    <a:stretch>
                      <a:fillRect/>
                    </a:stretch>
                  </pic:blipFill>
                  <pic:spPr>
                    <a:xfrm rot="16200000">
                      <a:off x="0" y="0"/>
                      <a:ext cx="8317230" cy="589343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36280" cy="5906770"/>
            <wp:effectExtent l="0" t="0" r="17780" b="7620"/>
            <wp:docPr id="35" name="图片 35" descr="集中办公区网络升级辅助施工部分-工程量清单PDF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集中办公区网络升级辅助施工部分-工程量清单PDF_15"/>
                    <pic:cNvPicPr>
                      <a:picLocks noChangeAspect="1"/>
                    </pic:cNvPicPr>
                  </pic:nvPicPr>
                  <pic:blipFill>
                    <a:blip r:embed="rId22"/>
                    <a:stretch>
                      <a:fillRect/>
                    </a:stretch>
                  </pic:blipFill>
                  <pic:spPr>
                    <a:xfrm rot="16200000">
                      <a:off x="0" y="0"/>
                      <a:ext cx="8336280" cy="590677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8317865" cy="5894070"/>
            <wp:effectExtent l="0" t="0" r="11430" b="6985"/>
            <wp:docPr id="36" name="图片 36" descr="集中办公区网络升级辅助施工部分-工程量清单PDF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集中办公区网络升级辅助施工部分-工程量清单PDF_16"/>
                    <pic:cNvPicPr>
                      <a:picLocks noChangeAspect="1"/>
                    </pic:cNvPicPr>
                  </pic:nvPicPr>
                  <pic:blipFill>
                    <a:blip r:embed="rId23"/>
                    <a:stretch>
                      <a:fillRect/>
                    </a:stretch>
                  </pic:blipFill>
                  <pic:spPr>
                    <a:xfrm rot="16200000">
                      <a:off x="0" y="0"/>
                      <a:ext cx="8317865" cy="5894070"/>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7" name="图片 37" descr="集中办公区网络升级辅助施工部分-工程量清单PDF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集中办公区网络升级辅助施工部分-工程量清单PDF_17"/>
                    <pic:cNvPicPr>
                      <a:picLocks noChangeAspect="1"/>
                    </pic:cNvPicPr>
                  </pic:nvPicPr>
                  <pic:blipFill>
                    <a:blip r:embed="rId24"/>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8" name="图片 38" descr="集中办公区网络升级辅助施工部分-工程量清单PDF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集中办公区网络升级辅助施工部分-工程量清单PDF_18"/>
                    <pic:cNvPicPr>
                      <a:picLocks noChangeAspect="1"/>
                    </pic:cNvPicPr>
                  </pic:nvPicPr>
                  <pic:blipFill>
                    <a:blip r:embed="rId25"/>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39" name="图片 39" descr="集中办公区网络升级辅助施工部分-工程量清单PDF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集中办公区网络升级辅助施工部分-工程量清单PDF_19"/>
                    <pic:cNvPicPr>
                      <a:picLocks noChangeAspect="1"/>
                    </pic:cNvPicPr>
                  </pic:nvPicPr>
                  <pic:blipFill>
                    <a:blip r:embed="rId26"/>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40" name="图片 40" descr="集中办公区网络升级辅助施工部分-工程量清单PDF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集中办公区网络升级辅助施工部分-工程量清单PDF_20"/>
                    <pic:cNvPicPr>
                      <a:picLocks noChangeAspect="1"/>
                    </pic:cNvPicPr>
                  </pic:nvPicPr>
                  <pic:blipFill>
                    <a:blip r:embed="rId27"/>
                    <a:stretch>
                      <a:fillRect/>
                    </a:stretch>
                  </pic:blipFill>
                  <pic:spPr>
                    <a:xfrm>
                      <a:off x="0" y="0"/>
                      <a:ext cx="5756275" cy="8123555"/>
                    </a:xfrm>
                    <a:prstGeom prst="rect">
                      <a:avLst/>
                    </a:prstGeom>
                  </pic:spPr>
                </pic:pic>
              </a:graphicData>
            </a:graphic>
          </wp:inline>
        </w:drawing>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drawing>
          <wp:inline distT="0" distB="0" distL="114300" distR="114300">
            <wp:extent cx="5756275" cy="8123555"/>
            <wp:effectExtent l="0" t="0" r="15875" b="10795"/>
            <wp:docPr id="41" name="图片 41" descr="集中办公区网络升级辅助施工部分-工程量清单PDF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集中办公区网络升级辅助施工部分-工程量清单PDF_21"/>
                    <pic:cNvPicPr>
                      <a:picLocks noChangeAspect="1"/>
                    </pic:cNvPicPr>
                  </pic:nvPicPr>
                  <pic:blipFill>
                    <a:blip r:embed="rId28"/>
                    <a:stretch>
                      <a:fillRect/>
                    </a:stretch>
                  </pic:blipFill>
                  <pic:spPr>
                    <a:xfrm>
                      <a:off x="0" y="0"/>
                      <a:ext cx="5756275" cy="8123555"/>
                    </a:xfrm>
                    <a:prstGeom prst="rect">
                      <a:avLst/>
                    </a:prstGeom>
                  </pic:spPr>
                </pic:pic>
              </a:graphicData>
            </a:graphic>
          </wp:inline>
        </w:drawing>
      </w:r>
    </w:p>
    <w:p w14:paraId="297459E9">
      <w:pPr>
        <w:pStyle w:val="2"/>
        <w:ind w:left="0" w:leftChars="0" w:firstLine="0" w:firstLineChars="0"/>
        <w:rPr>
          <w:rFonts w:hint="eastAsia"/>
          <w:highlight w:val="none"/>
          <w:lang w:val="en-US" w:eastAsia="zh-CN"/>
        </w:rPr>
      </w:pPr>
      <w:r>
        <w:rPr>
          <w:rFonts w:hint="eastAsia"/>
          <w:highlight w:val="none"/>
          <w:lang w:val="en-US" w:eastAsia="zh-CN"/>
        </w:rPr>
        <w:drawing>
          <wp:inline distT="0" distB="0" distL="114300" distR="114300">
            <wp:extent cx="5756275" cy="8123555"/>
            <wp:effectExtent l="0" t="0" r="15875" b="10795"/>
            <wp:docPr id="17" name="图片 17" descr="集中办公区网络升级辅助施工部分-工程量清单PDF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集中办公区网络升级辅助施工部分-工程量清单PDF_01"/>
                    <pic:cNvPicPr>
                      <a:picLocks noChangeAspect="1"/>
                    </pic:cNvPicPr>
                  </pic:nvPicPr>
                  <pic:blipFill>
                    <a:blip r:embed="rId29"/>
                    <a:stretch>
                      <a:fillRect/>
                    </a:stretch>
                  </pic:blipFill>
                  <pic:spPr>
                    <a:xfrm>
                      <a:off x="0" y="0"/>
                      <a:ext cx="5756275" cy="8123555"/>
                    </a:xfrm>
                    <a:prstGeom prst="rect">
                      <a:avLst/>
                    </a:prstGeom>
                  </pic:spPr>
                </pic:pic>
              </a:graphicData>
            </a:graphic>
          </wp:inline>
        </w:drawing>
      </w:r>
    </w:p>
    <w:p w14:paraId="6EB906E0">
      <w:pPr>
        <w:pStyle w:val="2"/>
        <w:rPr>
          <w:rFonts w:hint="eastAsia" w:asciiTheme="minorEastAsia" w:hAnsiTheme="minorEastAsia" w:eastAsiaTheme="minorEastAsia" w:cstheme="minorEastAsia"/>
          <w:b w:val="0"/>
          <w:bCs/>
          <w:snapToGrid/>
          <w:color w:val="auto"/>
          <w:kern w:val="2"/>
          <w:sz w:val="24"/>
          <w:szCs w:val="24"/>
          <w:highlight w:val="none"/>
          <w:lang w:val="en-US" w:eastAsia="zh-CN"/>
        </w:rPr>
      </w:pPr>
    </w:p>
    <w:p w14:paraId="37DC486A">
      <w:pPr>
        <w:pStyle w:val="2"/>
        <w:ind w:left="0" w:leftChars="0" w:firstLine="0" w:firstLineChars="0"/>
        <w:rPr>
          <w:rFonts w:hint="eastAsia"/>
          <w:color w:val="auto"/>
          <w:highlight w:val="none"/>
          <w:lang w:val="en-US" w:eastAsia="zh-CN"/>
        </w:rPr>
      </w:pPr>
    </w:p>
    <w:p w14:paraId="6F0D8003">
      <w:pPr>
        <w:pStyle w:val="4"/>
        <w:rPr>
          <w:rFonts w:hint="eastAsia"/>
          <w:highlight w:val="none"/>
          <w:lang w:val="en-US" w:eastAsia="zh-CN"/>
        </w:rPr>
      </w:pPr>
    </w:p>
    <w:p w14:paraId="03952D88">
      <w:pPr>
        <w:keepNext w:val="0"/>
        <w:keepLines w:val="0"/>
        <w:pageBreakBefore w:val="0"/>
        <w:widowControl w:val="0"/>
        <w:kinsoku/>
        <w:wordWrap/>
        <w:overflowPunct/>
        <w:topLinePunct w:val="0"/>
        <w:autoSpaceDE/>
        <w:autoSpaceDN/>
        <w:bidi w:val="0"/>
        <w:adjustRightInd/>
        <w:snapToGrid/>
        <w:spacing w:before="120" w:line="240" w:lineRule="auto"/>
        <w:ind w:left="0" w:leftChars="0" w:firstLine="0" w:firstLineChars="0"/>
        <w:jc w:val="both"/>
        <w:textAlignment w:val="auto"/>
        <w:rPr>
          <w:rFonts w:hint="eastAsia" w:asciiTheme="minorEastAsia" w:hAnsiTheme="minorEastAsia" w:eastAsiaTheme="minorEastAsia" w:cstheme="minorEastAsia"/>
          <w:b/>
          <w:bCs w:val="0"/>
          <w:snapToGrid/>
          <w:color w:val="auto"/>
          <w:kern w:val="2"/>
          <w:sz w:val="24"/>
          <w:szCs w:val="24"/>
          <w:highlight w:val="none"/>
          <w:lang w:val="en-US" w:eastAsia="zh-CN"/>
        </w:rPr>
      </w:pPr>
      <w:r>
        <w:rPr>
          <w:rFonts w:hint="eastAsia" w:asciiTheme="minorEastAsia" w:hAnsiTheme="minorEastAsia" w:eastAsiaTheme="minorEastAsia" w:cstheme="minorEastAsia"/>
          <w:b/>
          <w:bCs w:val="0"/>
          <w:snapToGrid/>
          <w:color w:val="auto"/>
          <w:kern w:val="2"/>
          <w:sz w:val="24"/>
          <w:szCs w:val="24"/>
          <w:highlight w:val="none"/>
          <w:lang w:val="en-US" w:eastAsia="zh-CN"/>
        </w:rPr>
        <w:t>（四）、产品功能要求（1-4部分）</w:t>
      </w:r>
    </w:p>
    <w:tbl>
      <w:tblPr>
        <w:tblStyle w:val="20"/>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94"/>
        <w:gridCol w:w="1126"/>
        <w:gridCol w:w="880"/>
        <w:gridCol w:w="616"/>
        <w:gridCol w:w="2450"/>
        <w:gridCol w:w="2646"/>
      </w:tblGrid>
      <w:tr w14:paraId="313FF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708B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序号</w:t>
            </w:r>
          </w:p>
        </w:tc>
        <w:tc>
          <w:tcPr>
            <w:tcW w:w="112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AF6B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设备名称</w:t>
            </w:r>
          </w:p>
        </w:tc>
        <w:tc>
          <w:tcPr>
            <w:tcW w:w="3946" w:type="dxa"/>
            <w:gridSpan w:val="3"/>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2A36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val="en-US"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功能要求</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360D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备注</w:t>
            </w:r>
          </w:p>
        </w:tc>
      </w:tr>
      <w:tr w14:paraId="759F20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36DCA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一、出口链路</w:t>
            </w:r>
          </w:p>
        </w:tc>
      </w:tr>
      <w:tr w14:paraId="07891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144D1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（一）、互联网出口链路</w:t>
            </w:r>
          </w:p>
        </w:tc>
      </w:tr>
      <w:tr w14:paraId="57FAE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69"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32FD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8B71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互联网出口防火墙</w:t>
            </w:r>
          </w:p>
        </w:tc>
        <w:tc>
          <w:tcPr>
            <w:tcW w:w="1496" w:type="dxa"/>
            <w:gridSpan w:val="2"/>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01A1D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路由交换</w:t>
            </w:r>
          </w:p>
        </w:tc>
        <w:tc>
          <w:tcPr>
            <w:tcW w:w="245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81B820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▲支持RIP、OSPF、BGP4、QinQ（VLAN VPN）、PIM-SM、PIM-DM；支持策略路由，支持根据入接口、源/目的IP地址、协议、用户、应用、选路算法、探测等多种条件设置策略路由。</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EB61C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F5516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9C0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63826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3D73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IP/MAC绑定</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8B9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支持IP/MAC绑定，支持跨三层绑定，支持IP/MAC绑定表导入导出，以便对IP/MAC绑定关系进行批量操作。</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5E602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55AD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0D1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CE4C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DD5E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地址转换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C855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支持多种地址转换，支持源/目的NAT、双向NAT、NoNAT转换方式；支持源IP转换同一性；支持端口块地址转换和EIM地址转换。</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59A2A7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EBF9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4B0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36CB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34BA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链路负载均衡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841D3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支持链路负载均衡功能，支持轮询、加权轮询、就近选路、优先级、带宽比率等多种链路负载均衡算法，支持备用选路算法，支持链路过载保护。</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04D66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1318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DD7A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332B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D9B1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双向智能转换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015CA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color w:val="auto"/>
                <w:highlight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防火墙作为 DNS 服务器可依据访问地址来源将服务器域名解析为内部地址或外部地址，同时支持通过配置多条转换策略，实现内网资源服务器的负载均衡。</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1D5A8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EBD6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7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18C7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90B4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0613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访问控制</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D0003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一体化安全策略配置，可以通过一条策略实现五元组、源MAC、源地区、目的地区、域名、应用、服务、时间、长连接、并发会话、WEB认证、IPS、AV、URL过滤、高级威胁防护、WAF、邮件安全、数据过滤、文件过滤、僵木蠕防御、审计、数据库防护、防代理、APT等功能配置,简化用户管理；访问控制策略执行动作支持放行、阻断、认证、收集，对需要认证的流量进行Web认证，策略中可设置用户 Web 认证的门户地址或收集策略流量访问记录，生成更细粒的策略；提供策略分析功能，支持策略命中分析、策略冗余分析、策略冲突检查、策略包含分析、宽泛策略分析，可在WEB界面显示检测结果。</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AB6924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4A85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E10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A5B5A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A292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网络接入</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BFAC7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支持RADVD、ND、RIPng、OSPFv3、BGP4+，支持IPv6静态、动态组播路由；支持NAT64、NAT46、NAT66地址转换，支持6to4隧道、ISATAP隧道。</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C2F2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CFDF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69EF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95BF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4E2A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IPv6访问控制</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20C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支持IPv6安全控制策略设置，能针对IPv6的目的/源地址、目的/源服务端口、区域、服务、时间、扩展头属性等条件进行安全访问规则的设置；支持IPv6域名控制，支持对多级域名进行控制，域名对象支持通配符。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EE192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0C1A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AC1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051DB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2339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E9265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 HTTP DDOS 防护，采用阀值检查、源/目的限流、源认证、会话限制等方式综合进行 HTTP FLOOD、HTTP URI CC 攻击、HTTP 连接耗尽等攻击防护；支持NTP DDOS防护，采用阀值检查、源/目的限流、源认证等方式综合进行 NTP QUERY FLOOD、NTPREPLY FLOOD 攻击防护。</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03FFF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F090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4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306A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1A7E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F579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资源虚拟化</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BA0E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支持在一台物理设备上划分出128个相互独立的虚拟系统，可根据连接配额及连接新建速率为每个虚拟系统分配资源，实配不少于24个虚拟防火墙授权。</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2A817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62F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CE4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6EF3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C833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功能虚拟化</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D3B1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配置文件、系统服务、路由、链路聚合、安全策略、NAT策略、带宽管理、认证策略、IPV6功能、URL过滤、病毒过滤、WAF、僵木蠕、高级威胁防护、内容过滤、邮件安全、审计、报表、防代理等安全功能虚拟化。</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DC3D5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E902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5FDB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ECADB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7AC0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5AB12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管理员手动添加、批量导入、设备主动扫描、EDR资产上报、漏扫资产上报等多种资产信息获取方式，支持基于访问流量自动识别发现资产；支持对被控制端为内网资产的telnet、ssh、rdp等常用的远程控制协议进行跟踪，支持对内网资产提供socks5代理的情况进行跟踪。</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58601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8BE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AB2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462AE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821E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系统诊断</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196B8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支持在WEB界面进行网络诊断，支持PING、TRACEROUTE、TCP、HTTP、DNS诊断方式。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63B70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ABDD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B5EF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2A4E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0570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A77D4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支持独立审计策略，支持审计白名单；支持访问网站URL 地址、网页标题和网页内容审计；提供完善的审计数据查询功能，方便管理员对用户的上网行为进行审查和分析。支持对用户上网行为进行完整的审计数据查询，包括访问网站、邮件收发、FTP；同时支持对用户上网流量时长进行完整的审计数据查询，包括服务端IP、用户名、协议、上行流量、下行流量、总流量、时间等；支持基于应用、网站类型、用户对用户上网行为进行统计和排序；支持进行违规应用分析、违规网站分析、用户违规访问公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4158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56BD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FCD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4731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2953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03585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支持日志外发至多个SYSLOG服务器，可设置日志传输协议、外发时间类型、日志语言、合并传输、加密传输等参数；日志存储模式支持空间模式和时间模式，时间模式下日志能够保存180天。</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681757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13FE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91"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2ED8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2323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80B6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联动功能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6AD5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支持与漏扫、EDR、DLP、WAF、防病毒网关、数据库审计设备联动，并提供有关部门的相关证书或测试报告。</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4B50C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出具相关证书或报告，</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加盖制造商公章。未提供有效证明材料或证明材料中内容与所填报指标不一致的，该指标按不满足处理。</w:t>
            </w:r>
          </w:p>
        </w:tc>
      </w:tr>
      <w:tr w14:paraId="23EFDF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B214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BD6B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5055BE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3DD2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产品需具备信息安全产品自主原创证明。</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60B8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出具相关证明，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加盖制造商公章。未提供有效证明材料或证明材料中内容与所填报指标不一致的，该指标按不满足处理。</w:t>
            </w:r>
          </w:p>
        </w:tc>
      </w:tr>
      <w:tr w14:paraId="0DD83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C317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DA6A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980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14C40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产品需具备网络关键设备和网络安全专用产品安全认证证书、网络安全专用产品安全检测证书。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E1994C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 xml:space="preserve"> 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DE8B4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47"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7B1C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A084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上网行为管理系统</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653409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技术要求</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683FE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1.支持路由模式、透明（网桥）模式、混合模式，支持镜像接口，部署模式切换无需重启设备。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62C6F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6BC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D8FF0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9A829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A25C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70A84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▲2.内置应用识别规则库，应用规则数≥33500条，支持应用≥15000种，支持海外应用≥8500种的，移动应用≥2000种，URL库≥4000万，规则库应保证两周一更新。</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AA04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7181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1126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43CB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A27AA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4C560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3.支持针对防盗链、CSRF攻击、CC等攻击行为进行防护；支持端口扫描功能；支持弱密码扫描功能，内置弱口令库，支持自定义字典库。</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95E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F323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A839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760E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EFD1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E5FD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4.支持全网威胁情报的搜索查询，可供攻击溯源，预知风险；支持不少于20种威胁分类，包括C&amp;C、僵木蠕、勒索、钓鱼、垃圾邮件等。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6F9D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F412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4F8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73EB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525D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36878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5.支持策略分析功能，支持策略命中分析、策略冗余分析、策略冲突检查，可在WEB界面显示检测结果；支持实时和周期性对所有安全策略进行分析。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4715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B5AF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F94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2A7C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70D65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CDF44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6.支持对HTTP、FTP、POP3、SMTP、IMAP协议的病毒进行查杀；支持多种压缩文件的病毒查杀。压缩默认支持5层，最大20层；支持查杀邮件正文/附件、网页及下载文件中包含的病毒。</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2FC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121B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4342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05E9D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A7FE8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AA943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7.内网资产监控，可对终端风险级别、操作系统、浏览器类型、应用、杀毒软件等方面进行监控。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5E80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FC13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742F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A39C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AAC7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61E6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8.支持健康检测，支持在某一时间段内逐级深入，并纂取任一时间内的详细信息，并可导出系统日志。</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B18B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0214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C4DC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C89C7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E8CD6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05B45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9.支持威胁防御功能，支持基于源、目的、规则集的入侵检测；支持针对WEB服务器防护，包括网页防爬虫、网页防篡改、DDOS攻击防护、WEB攻击过滤等。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F38C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7E1F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5E20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D4EFB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21FCA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41F85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10.支持120+种翻墙代理软件的审计控制，可独立展示翻墙行为代理服务器所属地域、用户、用户组、应用等排行。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FD5F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1EE4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BFB7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335B8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231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7F480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11.产品需符合《信息安全技术网络安全专用产品安全技术要求》和终端接入控制产品相关标准规范要求。（提供证书复印件，</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加盖制造商公章</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379B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A7E4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66D6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D078E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负载均衡</w:t>
            </w: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F7FD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双栈接入</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EB422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▲支持IPV6/IPV4双栈，支持NAT66、NAT64、NAT46、DNS64可对过渡型网络进行负载均衡。</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3DB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2167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2460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9ED2F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6C10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链路入站负载均衡算法</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9209F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支持轮询算法、比率算法、拓扑算法、备用地址算法、丢包算法、最小连接数算法、最小往返延时算法、最小连接速率算法、最小跳数算法、最小包速率算法、最大带宽利用率算法。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747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C66B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1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355C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05CB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B24B6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链路出站负载均衡算法</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6A486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轮询算法、比率算法、带宽比率算法、首个有效算法、随机算法、加权随机算法、丢包算法、最小连接数算法、加权最小连接数算法、最小流量算法、加权最小流量算法、观察者算法、最小包速率算法、最小带宽算法、最小连接速率算法、静态就近算法、动态就近算法、静态就近（HA）算法、源地址算法、目的地址算法、源地址和源端口算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87C3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2506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B0AB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78AA8F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C40D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Server</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5A7C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支持主域名服务器、从域名服务器和转发域名服务器。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09B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AC62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F56A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27AE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F259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地址库</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575B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地址库包含国内ISP地址库、全国地址库和全球地址库，支持地址库手动导入，支持地址库查询。</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CCD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4C82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7287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0B7D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F80A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域名库</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5E9F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域名地址库，内置国外域名地址库，可将访问国外域名的请求分发至指定线路，实现对国外域名访问的优化，支持自定义域名信息。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3A72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7889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DB34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EA63F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5EE2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服务器健康检查</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03644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支持主动健康检查和被动健康检查相结合的方式；健康检查类型包括ICMP、TCP、TCP_ECV、UDP、TCP被动、HTTP、HTTPS、FIX、SSL、SOAP、HTTP被动、RADIUS、LDAP、WAP、DNS、IMAP、POP3、SMTP、FTP、EXTERNAL、数据库等。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74EA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111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F1FD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8BA4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2B43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X-forward-for</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883B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支持X-forward-for，将客户端IP添加地址到 HTTP 请求报文的X-forward-for扩展头中，便于后期溯源。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1B8EA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7F07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8F6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97520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10F2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数据库读写分离</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23A5D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利用读写分离技术实现数据库负载且无需在服务器上安装任何插件或软件。通过对数据库操作请求做内容解析，将其中的写操作调度到指定服务器，减少服务器压力，提高数据库资源利用率，提升业务响应速度。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7586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96AC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7FD9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3066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21BA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SSL 卸载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EE422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内置SSL 卸载模块，SSL工作减轻服务器负担。支持服务器CA证书导入，提供证书单向和双向认证，双向认证支持透传客户端证书给后台服务器。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3CCA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D967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4D37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63CB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021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页面加速</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84175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支持CSS加速功能，支持内嵌CSS,合并CSS,最小化CSS；支持JavaScript加速功能，支持内嵌JS，合并JS，最小化JS；支持HTML加速功能，支持去除空白，去除注释；支持图片加速功能，支持内嵌图片，转换图片格式。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2C5D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3B60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2DD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5DE4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B979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安全防护</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F4E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网络防火墙功能，支持基于源地址、源区域、源端口、目的地址、目的区域、服务、时间进行访问控制；支持Web应用防火墙功能，支持跨站脚本攻击(XSS)、扫描器防护(Scanner)、SQL注入攻击(SQLi)、系统命令注入攻击(OSI)、远程文件包含攻击(RFI)、路径遍历(Path Traversal)、信息泄露攻击(Info Leak)、LDAP 注入攻击(LDAPInjection)、XPath 注入攻击(XPathInjection)、SSI 注入攻击(SSI Injection)、Web 服务器漏洞攻击、Webshell 检测；支持数据库安全功能，检查访问数据库的权限，杜绝非授权用户访问数据，保证数据库的安全。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55E5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580F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A31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A91B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AC8B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防护</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9C41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支持四到七层抗DDoS攻击功能。支持IP、ICMP、TCP、UDP、DNS、HTTP、HTTPS、NTP、SIP。</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0058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4DB0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7C8B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12C05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B130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漏洞扫描</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F711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提供漏洞扫描功能。设备内置漏洞特征库，可针对应用服务器或者整个IP网段进行定向扫描分析，发现服务器操作系统漏洞并生成漏洞分析报告。</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616D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0775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1845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112E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F514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HTTP2.0</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11C20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支持HTTP2网关部署，在不改变web服务器的情况下将对外服务协议从HTTP1.1/1.0升级至HTTP/2，提升终端用户使用体验和业务安全性。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84B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2A2A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BF65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A231E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C70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00FA7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支持标准的 RESTful 等形式的 API 接口，可与主流的自动化运维工具对接。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161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B730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F3EA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ED555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0937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VPN 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31A59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 SSL VPN 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B0D4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301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54DB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D11B5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AE97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54CD0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▲产品需提供《IPv6 Ready Logo认证》证书。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5DA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（提供证书复印件，</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加盖制造商公章</w:t>
            </w: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w:t>
            </w:r>
          </w:p>
        </w:tc>
      </w:tr>
      <w:tr w14:paraId="1AD40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E666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3EFCF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E7DB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28E87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产品需提供相关部门颁发的《网络安全专用产品安全检测证书》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1A4F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CB73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3139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CE384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网络入侵防护系统</w:t>
            </w: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5BB8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受害者视角分析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0080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支持受害者视角分析，按照时间范围、受害主机、事件类型、处置状态、攻击结果、应用协议等条件综合分析受害者信息。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B92B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E598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35BC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BA877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024F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002C2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支持DDoS 攻击事件分析，按照时间范围综合分析DDoS攻击类型分布、被攻击IP Top10、被攻击IP排名、被攻击IP流量排名等信息。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D05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4A5C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1398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6AD2A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7455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流量分析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6133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支持流量视角分析，支持按照应用、接口、连接进行流量统计分析。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059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F2B0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B6B1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BA6E4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8C65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攻击检测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489B5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独立的攻击检测引擎，涵盖10000种以上的攻击检测规则库。规则库支持按照攻击类型、操作系统、风险等级、应用类型、流行程度、ATT&amp;CK、攻击阶段等方式进行分类；支持对攻击逃逸报文进行深度智能检测，包括：IP分片、TCP分段、RPC分片分段、SMB分片分段、HTTP-Header折叠、HTTP-Body UTF-7编码、HTTP-Body UTF-16（LE/BE）编码、HTTP-Body UTF-32（LE/BE）编码、HTTP-Body压缩、HTTP-Post数据编码、邮件体编码、URL多重编码、URL斜线分隔符、URI相对目录欺骗、HTTP-Javascript编码、邮件头折叠等类型。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431C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EBA6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0C4A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6393E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A0CCC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ARP攻击检测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8CAB0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支持ARP攻击检测，支持基于ARP请求的源IP不合法、响应的源IP不合法、响应的目的 IP不合法、请求的源MAC与以太网源MAC不同、响应的源MAC与以太网源MAC不同、响应的目的MAC与以太网目的MAC不同进行检测。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11D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DD2D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19D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B3185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2CAF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僵尸主机检测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19730B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独立的僵尸主机检测引擎，涵盖11000种以上的僵尸主机规则库。规则库支持按照攻击类型、操作系统、风险等级、ATT&amp;CK、攻击阶段等方式进行分类；支持能够检测包括：僵尸网络、木马控制、蠕虫、挖矿、勒索、移动端木马控制、APT等多类型的僵尸主机行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101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9BB0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C04B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A499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FDFB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异常流量检测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BF73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支持DGA恶意域名检测，采用DGA恶意域名检测智慧引擎检测；支持HTTP隧道检测，采用HTTP隧道智慧引擎检测。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ED45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0B6C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44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794B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5923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A409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E2DC3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支持独立的DDoS检测引擎，支持对IP扫描攻击、端口扫描攻击等多种扫描攻击行为检测；支持IP FLOOD 攻击检测、IP FRAG FLOOD 攻击检测、DOS 攻击检测、ICMPFLOOD 攻击检测、TCP FLOOD 攻击检测、SYN FLOOD 攻击检测、ACK FLOOD 攻击检测、SYNACK FLOOD 攻击检测、FIN FLOOD 攻击检测、RST FLOOD 攻击检测、TCPFRAG FLOOD 攻击检测、UDP FLOOD 攻击检测、UDPFRAG FLOOD 攻击检测、DNS REQUEST FLOOD 攻击检测、DNS REPLY FLOOD 攻击检测、DNS 格式检查、HTTPFLOOD 攻击检测、HTTP 新建连接 FLOOD 攻击检测、HTTP 并发连接 FLOOD 攻击检测、HTTP URI CC 攻击检测、HTTP 自定义端口、HTTPS FLOOD 攻击检测、HTTPS 新建连接 FLOOD 攻击检测、HTTPS 并发连接FLOOD 攻击检测、HTTPS 自定义端口等多种 FLOOD 攻击检测。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22F1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A525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6CA7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12EAB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0E1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CAFF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支持DDoS自学习模式检测，可设定学习时长，根据周期内流量状态自动学习，设置检测流量阈值，流量异常触发阈值系统自动进行告警。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3C94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2EE7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6602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C1CB6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0641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WEB防护</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96CE0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注入和WEBSHELL攻击检测，包括：SQL语法分析引擎检测、SQL注入智慧引擎检测、XSS攻击智慧引擎检测、命令注入智慧引擎检测、WEBSHELL上传智慧引擎检测、WEBSHELL行为检测；支持爬虫检测，涵盖超过1900种爬虫类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DAF0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9AFE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716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CDA4D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15DD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规则库升级</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9B879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支持规则库升级无缝加载技术，整个升级过程检测引擎工作不间断。</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8B44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6F8BF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49A5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FAAB3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E9FF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加密流量检测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B00B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支持卸载SSL，实现对HTTPS、IMAPS、SMTPS、POP3S、FTPS、RDP、MQTT、SIP等加密流量的分析检测；支持恶意加密流量检测，采用恶意TLS流量智慧引擎、异常握手、非法证书和内网流量检测恶意加密流量。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74F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67F60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C0AE0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3A423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F261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多维联动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3B813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支持与本次项目采购防火墙联动处置，发现威胁事件联动防火墙阻断。</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A14A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6674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F510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1E93A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0599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自定义检测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E960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支持自定义检测，能够按照特征（五元组、应用协议、域名、URL、文件哈希、邮箱地址、证书、特征串、正则等）、Snort规则、MTX规则、YARA规则类型自定义。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B2BB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DE2E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0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1768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30CFA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7915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应用识别</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31E98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应用识别功能，包括：HTTP应用、IM文件传输、P2P下载、P2P音频、P2P视频、标准协议、财经软件、电子商务、工控物联网、即时通讯、加密隧道、软件更新、社交网络、数据库、网上银行、网络游戏、网页视频、网页音频、网络硬盘、网页邮箱、语音电话、远程控制、移动应用、其他应用等24种类型超过5000种应用识别。</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905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8E03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E32B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5749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9D39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0772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安全事件告警日志记录，告警类型包括：攻击检测、僵尸主机、WEB防护、异常流量、DDoS检测、加密流量检测、黑名单等。根据不同安全事件检测结果记录关键字段信息，包括但不限于：时间、五元组、级别、事件描述、响应码、攻击结果、源地址归属地、攻击主机国家、XFF、X-Real-IP、目的地址归属地、受害主机国家、动作、应用协议、应用、攻击类型、攻击阶段、攻击特征、研判特征、次数、请求头、响应头、响应体、VNI、MPLS标签、处置状态等信息；支持对全部或按条件搜索的安全事件进行二次聚合，包括事件描述、攻击主机、受害主机一种或多种聚合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6253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E63D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F12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A13F8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7BF88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7ECEF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▲产品具有相关部门颁发的《国家信息安全测评信息技术产品安全测评证书》。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7291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7CA4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96DA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7AED3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592B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9D2C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▲产品具有IPV6 Ready Phase-2金牌认证。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32C1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B7FF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680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E550F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CEE2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E4F4C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产品具备《网络关键设备和网络安全专用产品安全认证证书》。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A4CE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8382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EF9C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386A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出口链路汇聚交换机</w:t>
            </w: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4380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端口数</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39F34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≥24个万兆SFP+，≥6个40/100GE QSFP28</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511B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98A8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32852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F0C3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C18A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包转发速率</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A36D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≥1620Mpps</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6C8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434F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E277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9B22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A452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交换容量</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05D5B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≥4.8/25.6Tbps</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FAC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8160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4EB1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1C875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5EBF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模块数量</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3A39B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≥4个万兆单模模块</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D30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4094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F568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（二)、北京市电子政务外网出口链路</w:t>
            </w:r>
          </w:p>
        </w:tc>
      </w:tr>
      <w:tr w14:paraId="1B57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1E5C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5C1E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政务网出口防火墙</w:t>
            </w: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48FA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路由交换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8BAE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▲支持RIP、OSPF、BGP4、QinQ（VLAN VPN）、PIM-SM、PIM-DM；支持策略路由，支持根据入接口、源/目的IP地址、协议、用户、应用、选路算法、探测等多种条件设置策略路由。</w:t>
            </w:r>
          </w:p>
        </w:tc>
        <w:tc>
          <w:tcPr>
            <w:tcW w:w="2646" w:type="dxa"/>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38F87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1812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CB59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7DC90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81DD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IP/MAC绑定</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1BEB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支持IP/MAC绑定，支持跨三层绑定，支持IP/MAC绑定表导入导出，以便对IP/MAC绑定关系进行批量操作。</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3B4F2B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2A74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7CB4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7570C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07D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地址转换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25EB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支持多种地址转换，支持源/目的NAT、双向NAT、NoNAT转换方式；支持源IP转换同一性；支持端口块地址转换和EIM地址转换。</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56EABD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9BE1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F8B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BE95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39FB3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链路负载均衡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00C5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支持链路负载均衡功能，支持轮询、加权轮询、就近选路、优先级、带宽比率等多种链路负载均衡算法，支持备用选路算法，支持链路过载保护。</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20C92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7BD9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81"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FCB9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B3778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83A63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 双向智能转换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37332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防火墙作为 DNS 服务器可依据访问地址来源将服务器域名解析为内部地址或外部地址，同时支持通过配置多条转换策略，实现内网资源服务器的负载均衡。</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23068B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3DB0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15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8CE8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992B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2FD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访问控制</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9F202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一体化安全策略配置，可以通过一条策略实现五元组、源MAC、源地区、目的地区、域名、应用、服务、时间、长连接、并发会话、WEB认证、IPS、AV、URL过滤、高级威胁防护、WAF、邮件安全、数据过滤、文件过滤、僵木蠕防御、审计、数据库防护、防代理、APT等功能配置,简化用户管理；访问控制策略执行动作支持放行、阻断、认证、收集，对需要认证的流量进行Web认证，策略中可设置用户 Web 认证的门户地址或收集策略流量访问记录，生成更细粒的策略；提供策略分析功能，支持策略命中分析、策略冗余分析、策略冲突检查、策略包含分析、宽泛策略分析，可在WEB界面显示检测结果。</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0E05B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55C0C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410B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4FF18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DADE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网络接入</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ACA67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支持RADVD、ND、RIPng、OSPFv3、BGP4+，支持IPv6静态、动态组播路由；支持NAT64、NAT46、NAT66地址转换，支持6to4隧道、ISATAP隧道。</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44CA12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27F3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323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58E0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5895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IPv6访问控制</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BBDE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支持IPv6安全控制策略设置，能针对IPv6的目的/源地址、目的/源服务端口、区域、服务、时间、扩展头属性等条件进行安全访问规则的设置；支持IPv6域名控制，支持对多级域名进行控制，域名对象支持通配符。</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7E4AB0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91AF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3BD1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6005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AFC0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DDOS 防御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80661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 HTTP DDOS 防护，采用阀值检查、源/目的限流 、 源 认 证 、 会 话 限 制 等 方 式 综 合 进 行 HTTP FLOOD、HTTP URI CC 攻击、HTTP 连接耗尽等攻击防护；支持 NTP DDOS 防护，采用阀值检查、源/目的限流、源认证等方式综合进行 NTP QUERY FLOOD、NTPREPLY FLOOD 攻击防护。</w:t>
            </w:r>
          </w:p>
        </w:tc>
        <w:tc>
          <w:tcPr>
            <w:tcW w:w="2646" w:type="dxa"/>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C303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B4FE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A6FB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5C740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F85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资源虚拟化</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9F16C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支持在一台物理设备上划分出128个相互独立的虚拟系统，可根据连接配额及连接新建速率为每个虚拟系统分配资源，实配不少于24个虚拟防火墙授权。</w:t>
            </w:r>
          </w:p>
        </w:tc>
        <w:tc>
          <w:tcPr>
            <w:tcW w:w="2646" w:type="dxa"/>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3C158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A668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E23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49CB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150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功能虚拟化</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E1F25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配置文件、系统服务、路由、链路聚合、安全策略、NAT策略、带宽管理、认证策略、IPV6功能、URL过滤、病毒过滤、WAF、僵木蠕、高级威胁防护、内容过滤、邮件安全、审计、报表、防代理等安全功能虚拟化。</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787C0F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5C21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5CD4D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0199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EFE7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9B3B54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管理员手动添加、批量导入、设备主动扫描、EDR资产上报、漏扫资产上报等多种资产信息获取方式，支持基于访问流量自动识别发现资产；支持对被控制端为内网资产的telnet、ssh、rdp等常用的远程控制协议进行跟踪，支持对内网资产提供socks5代理的情况进行跟踪。</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1B1D6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03D3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E9ED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1907A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55F6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系统诊断</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B1B79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支持在WEB界面进行网络诊断，支持PING、TRACEROUTE、TCP、HTTP、DNS诊断方式。</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574987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A87D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61"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9BD08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0AB8E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691B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9C4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支持独立审计策略，支持审计白名单；支持访问网站URL 地址、网页标题和网页内容审计；提供完善的审计数据查询功能，方便管理员对用户的上网行为进行审查和分析。支持对用户上网行为进行完整的审计数据查询，包括访问网站、邮件收发、FTP；同时支持对用户上网流量时长进行完整的审计数据查询，包括服务端IP、用户名、协议、上行流量、下行流量、总流量、时间等；支持基于应用、网站类型、用户对用户上网行为进行统计和排序；支持进行违规应用分析、违规网站分析、用户违规访问公示。</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2D5357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9983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C58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31C8A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F2B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86CA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支持日志外发至多个SYSLOG服务器，可设置日志传输协议、外发时间类型、日志语言、合并传输、加密传输等参数；日志存储模式支持空间模式和时间模式，时间模式下日志能够保存180天。</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2E711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A5A1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67CB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072B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5C62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联动功能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2AE0F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支持与漏扫、EDR、DLP、WAF、防病毒网关、数据库审计设备联动，并提供信息产业信息安全测评中心、公安部信息安全产品检测中心、国家版权局、中国软件评测中心之中任意一家机构出具的相关证书或测试报告。</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0BA580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（提供≥一份上述证书或报告复印件，并加盖制造商公章）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082B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DDF6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7927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2304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F025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产品需具备信息安全产品自主原创证明。</w:t>
            </w:r>
          </w:p>
        </w:tc>
        <w:tc>
          <w:tcPr>
            <w:tcW w:w="2646" w:type="dxa"/>
            <w:tcBorders>
              <w:left w:val="single" w:color="000000" w:sz="4" w:space="0"/>
              <w:right w:val="single" w:color="000000" w:sz="4" w:space="0"/>
            </w:tcBorders>
            <w:shd w:val="clear" w:color="auto" w:fill="FFFFFF"/>
            <w:tcMar>
              <w:top w:w="12" w:type="dxa"/>
              <w:left w:w="12" w:type="dxa"/>
              <w:right w:w="12" w:type="dxa"/>
            </w:tcMar>
            <w:vAlign w:val="center"/>
          </w:tcPr>
          <w:p w14:paraId="6988A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（提供证明文件复印件，并加盖制造商公章）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1C89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493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7E307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D98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B7AC4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产品需具备网络关键设备和网络安全专用产品安全认证证书、网络安全专用产品安全检测证书。</w:t>
            </w:r>
          </w:p>
        </w:tc>
        <w:tc>
          <w:tcPr>
            <w:tcW w:w="2646" w:type="dxa"/>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9F3D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BE3A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C68AF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二、内网安全设备</w:t>
            </w:r>
          </w:p>
        </w:tc>
      </w:tr>
      <w:tr w14:paraId="2FC793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A487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A8446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堡垒机</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C0640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功能参数</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0A98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1.支持限定不同的协议应用发布服务器节点访问不同的资源；多协议应用发布服务器节点可访问相同资源时实现自动负载均衡。</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561A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31AF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D0C4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4A7A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16CBD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9802D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2.运维角色支持时间、命令和审批策略，支持角色克隆；支持用户、资源与角色关联，形成访问策略；可对访问策略进行增删改查；支持超过角色中时间策略中的时间范围，系统将阻断运维会话。</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87BD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C23F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53A1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13A5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59841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3075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3.支持数据库协议自动改密，改密类型支持：Oracle、PostgreSQL、MySql、DB2、Informix、SYBASE、SQL SERVER。</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14E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0F54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A8D7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59AD7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0FC7F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F9FF6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4.支持僵尸、幽灵、孤儿帐号稽核功能，并可以导出异常账号稽核情况报告；支持管理员帐号设置双因认证、IP/MAC限制。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EFF0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4615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C661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637D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0EFD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AF3C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 Oracle（支持ORACLE RAC）、SQL Server、IBM DB2、Sybase、IBM Informix Dynamic Server、MySQL、PostgreSQL、Teradata、DM6\7\8、KingBase、MongoDb、Redis、GBase、GaussDB、OceanBase、GreateDb、GoldenDB、AISWare AntDB数据库命令级审计及下行返回行数记录。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DE18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E126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9EAC1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65CA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2EAD3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79285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6.支持FTP、SFTP、SSH、RDP、SCP等协议运维时，对传输文件进行留存。</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957F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9E8F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E68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1B84B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B66CF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5CF0E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7.支持通过应用发布实现字符协议和文件传输协议的命令级审计和图形审计的双重审计效果；支持通过搜索操作语句或执行结果中关键字定位审计回放。</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DB06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5425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A21A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815FF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31B1C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2C5A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产品支持运维人员操作的全过程的记录与报告；内置USB-KEY认证、国密USB-KEY认证、动态口令认证、国密动态口令认证、手机令牌认证、http通用认证、webservice通用认证、超级SIM认证、邮件认证等身份认证方式；支持用户以手机号码或邮箱地址作为用户身份登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CE71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3A5A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575A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1F892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D2CBE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BE983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9.支持HTML5运维与审计，无需安装插件；支持国产化运维终端调用应用发布工具运维，支持发布国产化运维工具，实现录像审计（RDP/VNC/X11/HTTP(S)/国产数据库等）；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5C15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AB0C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D2356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81D7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8DA91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8500C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10.支持通过国产化与非国产化应用发布开启运维屏幕水印，运维本地无法篡改水印内容，提升运维过程数据安全性。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40CE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FC1B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5AE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D96DB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5BE2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29118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11.运维用户可以设置自动运维操作定时/周期执行，实现网络设备配置的自动备份；支持管理员通过WEB界面自定义上传用户手册，保证使用手册及时更新。</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5AF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E0B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ED7D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EEA93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56CC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D9AA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12.产品需符合《信息安全技术网络安全专用产品安全技术要求》和运维安全管理产品（增强级）相关标准规范要求。</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9DE0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E7AA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8531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E57AD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DB1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535F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13.产品需具备《IT产品信息安全认证证书》。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6F62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124F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4"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9B76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BF44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双因素认证</w:t>
            </w:r>
          </w:p>
        </w:tc>
        <w:tc>
          <w:tcPr>
            <w:tcW w:w="1496" w:type="dxa"/>
            <w:gridSpan w:val="2"/>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E5BD9A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主体功能</w:t>
            </w:r>
          </w:p>
        </w:tc>
        <w:tc>
          <w:tcPr>
            <w:tcW w:w="245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83E2D2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在账号、静态口令认证基础之上，增加动态口令和生物识别认证方式，在最基本的静态口令认证这一环节，部署双因素动态身份鉴别系统，提升全场景入口安全级别，防止恶意入侵或人为破坏等非法操作。</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F41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3439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8067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E816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auto"/>
            <w:tcMar>
              <w:top w:w="12" w:type="dxa"/>
              <w:left w:w="12" w:type="dxa"/>
              <w:right w:w="12" w:type="dxa"/>
            </w:tcMar>
            <w:vAlign w:val="center"/>
          </w:tcPr>
          <w:p w14:paraId="72D902C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2F015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动态认证系统提供认证服务、资源管理、策略管理、账号管理、日志审计、集成动态令牌认证引擎、生物识别认证引擎和RADIUS、TACACS+、LDAP协议服务，支持windows或linux操作系统部署模式，支持双机容错；支持主流网络设备、操作系统、业务系统等场景对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7DA6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0DCA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5BFE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326B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9583B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DE74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扩展性：兼容多种认证方式，包括硬件令牌、app令牌、短信令牌、PC令牌、H5令牌、微信令牌、指纹令牌等多种方法混合使用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747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EED4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CEC9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9FFB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AF772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资源管理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D94BF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业务系统、操作系统设备：需要配置设备名称、共享密钥、设备地址；可以定义选择设备类型、认证策略；可以一键开启地址校验、一键开启设备接入是否生效</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7939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1C7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60C7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FBC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510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62623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认证终端设备管理，需要显示终端序列号、终端类型、终端地址；可以根据终端序列号进行查询，分页显示；支持新增、修改、删除操作</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D50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CA62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7A17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4111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632BD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54B33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网络设备：需要配置设备名称、共享密钥、设备地址；可以定义选择设备类型、认证策略、授权策略、协议认证、Radius属性；可以一键开启多步认证、一键开启接入设备是否生效；支持华为云CHAP</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BA83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184A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143D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3F0A1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9C20E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认证策略</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5F82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同时为一个用户支持硬件令牌、手机令牌、短信密码、PC令牌、微信令牌、扫码认证等多种认证方式，支持用户的多种令牌混合使用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E33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08A5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4D36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E8D5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6892C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F2999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支持消息密码认证、静态密码认证、动态密码认证、推送认证、强认证、认证转发；支持消息令牌过滤；支持内部用户认证、外部用户源认证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BF8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3AC8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FA59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C109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EDF3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0EEAF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可以自定义授权策略，自定义授权规则，自定义规则权限，Radius报文属性自定义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417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6D22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75A3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F06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AB17E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354ED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默认短信自动触发至用户预制手机上，无需填入手机号</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975F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F106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84C8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0BA3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EB33F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DCE37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支持策略组设置认证用户是否启用静态密码、动态密码、强认证开关键；支持强制部分用户或所有用户采用动态密码认证方式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9EEF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0998B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193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C66E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26275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55D6E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策略组支持设定管理员，管理员可管理应用该策略组的设备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42B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6761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F33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C16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0A616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账号管理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32515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基于Web管理，实现账号以及组织架构统一管理，方便操作和使用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57E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0ECD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5015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33D3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77086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42FF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支持认证系统内建本地用户账号管理及树形组织架构展现；支持用户账号数据导入和导出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C5BE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B66B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5B8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94BAF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EA805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88934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针对本地组织架构或者用户组下的用户，支持批量派发和绑定令牌、令牌导出、重置密码、认证策略设定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EB66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4360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5868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B66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B3A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14EBE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支持外部账号源，如AD/LDAP，数据库、API接口等账户源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0881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A637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9CB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DC051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E1E4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F0B0F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支持本地角色的自定义维护管理；支持外部数据源角色的自动同步；支持针对角色所属用户是否开启使用消息令牌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0D4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DD5A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8D4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A6DD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28356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2FC0F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支持单个用户设置认证策略，且单个用户认证设置优先于对接设备的认证策略；便于单个用户灵活认证配置认证策略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21BB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380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4DB0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36A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89A58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E1D6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可设定用户绑定一种类型令牌个数控制，默认每个用户一个令牌，通过令牌备注用户个体；支持软件令牌激活码通过邮箱模式发送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5391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76C4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091C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81CB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A5B90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44251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支持自动生成应急动态密码，用于应急状态下使用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A823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61D9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D2A0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CBF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8F8E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82DE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能够直观显示令牌与账号的绑定关系、令牌类型等信息，具备对令牌生成的动态密码进行测试和校验；并支持根据令牌序列号进行查询，分页显示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4D90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5F9B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8C20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90F4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E591C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04D24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令牌分发模式包括：模板下载、上传硬件令牌密钥文件、批量硬件令牌派发、消息令牌手动释放等操作</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85B1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933B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0EB0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A56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884A6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A977A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时间型令牌：支持软件令牌种子密钥加密算法类型（SHA1\SM3）；可以自定义软件令牌开头标识符；支持自定义动态密码的有效使用次数；允许用户选择动态密码变换周期（30/60秒）</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CD93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6B5B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8B1A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4178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6B8AA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B3966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消息令牌：支持根据账号、手机号、微信等条件，选择接受动态密码的发送目标；支持自定义设置短信密码长度，短信验证码有效期时长</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6741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DDD0B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577E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FD7B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843DE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C3A6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支持自助指纹注册功能，便于用户指纹注册采集；</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14C7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63FD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FD5C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18E3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E6AE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2B1E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支持一键启动全局短信令牌，并支持有效期内是否连续发送短信验证码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6495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B17F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987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B5C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3AC35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E3C8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支持针对授权日志、审计日志、API认证日志、协议认证日志、终端日志、系统操作日志的管理</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8D4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CE1E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38BD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E0A8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738B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7E72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认证日志：通过标准协议对接的所有详细日志，包括账号、用户端IP地址、设备名称、设备地址、认证状态、认证详情、记录时间等；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34A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E8B0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04B7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629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C301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1F98F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所有日志审计记录，均支持导出功能；支持根据账号、设备地址等细粒度查询；支持分时间段、分页等条件查询等；能够做到溯源追踪</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63E6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0DD2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E46F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8293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2A5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安全机制</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04A5B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支持密码规则设定，可自定义设置最小密码长度、密码有效期</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6A69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2FA6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82CD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43FB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2CA1A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F9E1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支持在首页面显示认证状态，是否存在异常</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DEB6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793E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9CC1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B7D0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61B57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C50E8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b/>
                <w:bCs/>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支持固定PIN码、灵活动态设置PIN码认证模式，与动态口令组合的方式进行认证；固定PIN码可以有管理员统一设置；动态PIN码支持灵活的设置方式。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087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5E6B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74FE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BFD6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F8F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5D054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支持日志扩展，防止日志数据量过大造成日志查询性能降低</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6845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5568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1491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4BBA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B225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8CB9F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支持服务器所有日志信息上传Syslog日志服务器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F37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D39B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558C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1CC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DAA6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98D65F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支持Radius认证服务转发，自动学习，无需手动添加账号</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5706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D3CA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3148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5C7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78AFA1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系统自动化</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5D85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支持自动化清理超过3个月的历史记录、日志记录、操作日志，可自定义执行时间、运行间隔时长、启动延时时长；</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C019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1ADD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A3C2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6F45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C586B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A4948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支持无用软件令牌自动清理，可自定义执行时间、运行间隔时长、启动延时时长；</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0207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BCE1D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3985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A45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C66E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8121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支持一键开启是否放开自助登录服务功能，并支持设定用户自助维护的权限控制，允许/禁用用户自助绑定、解绑令牌；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FCCF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9A5F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74C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A3A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E2FDD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B028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支持定时、间隔批量发送软件令牌激活邮件，可自定义执行时间、运行间隔时长、启动延时时长；</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1AE8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90352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69A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E2E1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31A6C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C174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支持系统软件管理，支持添加系统用户并自定义设定系统用户权限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50D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9C8C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378D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7DEA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077FD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2735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支持管理账号自身双因素认证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BE3B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79BA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1201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7DF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A571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45781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支持特定IP地址访问系统平台权限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48C5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DF6B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D56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267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2300C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A51A7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能够直观显示授权信息：包括授权数量、令牌类型、授权日期等相关信息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8099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1DA8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4243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685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19430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3C291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支持系统邮件配置管理，支持邮件模板设定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54A1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51AE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FE8A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03FD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07B2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241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支持短信平台对接、支持短信猫、短信网关；支持短信模板自定义；支持多种短信网关接口</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8D00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8BAAD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50E1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A033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A0210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624E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支持通过web页面模式，实现系统在线升级，简化升级操作流程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F3D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4C03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A029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634B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04EE6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令牌绑定</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C5646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支持60秒硬件令牌；支持30秒、60秒自变化手机令牌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2DAA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6526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C0BB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5246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64B6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29C1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手机令牌支持单位时间内激活有效，并可设定时间阈值</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324F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2FEB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9783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9969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B7880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C3566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支持短信密码、手机令牌、硬件令牌、指纹令牌同时并存</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E628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AB22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699C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DCD8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F1FD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15C07C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手机令牌支持依据用户角色派发一个或多个用户</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559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211D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207D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42A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A4DEE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7FA54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通过为AD/LDAP用户的特定属性字段添加硬件令牌序列号，实现硬件令牌/手机令牌自动绑定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0DB2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E01E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6F77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331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56050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760F7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支持动态口令有效期设定，支持手机令牌和消息令牌属性自定义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C4E8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75AC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6995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82BF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6FEF8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支持矩阵</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12079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支持Citrix Netscaler，VMware vcenter、华为、Parallels、IBM等虚拟化场景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4AD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783BA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7E5B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74E0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683E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8767F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支持手机令牌、硬件令牌认证、微信小程序、H5令牌等方式认证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729B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FDBC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41F2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76DA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78F9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382C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支持Juniper、Cisco、Array、F5、深信服、H3C、天融信等主流VPN场景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DE3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5692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9C27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B05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B4743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131D5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支持启明星辰、金盾、思福迪、帕拉迪、绿盟、齐治等堡垒机场景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549E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1AE8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98C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0C8E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B7725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C25E4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支持Cisco、Huawei、H3C、中兴、锐捷、JUNIPER 等交换机场景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3173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5500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A055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480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85517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757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支持华为、华三、天融信、深信服、飞塔、安恒、360等防火墙场景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FF6C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27E84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DDF1B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70E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568DA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D4A85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支持OA、ERP、金蝶、用友、HR、CRM、SAP、Oracle等业务系统集成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AB62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B205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8123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2B94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1A66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5D86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支持http/https 协议API，支持基于C、C、C++、.net、JAVA、PHP、python等各类语言开发的软件系统集成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BC9E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807F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2D8AB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A19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23159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9B3F4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支持Windows、Ubuntu、linux、CentOS、Suse等操作系统（在线、离线、应急）动态口令登录模式。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DB4B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9B93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844E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9269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7E779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6E4EF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提供agent插件，支持Windows 桌面登录，并实现自动化配置</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0070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D1A81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9150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930B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2891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27A4A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支持windows操作系统指纹认证；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192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8F85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FC4E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46F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0A4A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FC97B9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支持Weblogic管理帐号双因素认证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1E2D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104C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00A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C20C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D1424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7305B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支持VNC远程连接双因素认证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2246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59AD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34D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D04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94E27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硬件令牌</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4541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令牌自保护防拆，令牌拆除自毁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E49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3FAE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D97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D3CB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3F1BA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BB159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算法要求：遵循国密SM3标准算法，符合国家标准。种子文件应该为64个字符。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405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（提供种子文件格式截图）</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200A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3B86B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B204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C483B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B0DBE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密码显示位数：6位、常显</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C3B9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640F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63CF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1676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C1A4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94E81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密码变换周期：60秒，可以特殊定制30秒</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F75D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77B6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630D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C747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F51EF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指纹令牌</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C479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采用业内优秀的光学设计，具有采集范围大、指纹图像像素高，干、湿、粗糙指纹效果好等优点。</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E41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C417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76C8E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41EF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A56E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485BD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按压次数≥400万次；指纹图像录入时间≤250ms</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AEF1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BA7D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BEF7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F5C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7C264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3260F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对比模式支持：1:1，1:N 比对，支持分布式比对和集中式比对两种比对模式；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1785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5EEC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93FD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3214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590A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手机令牌</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72528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支持平台：IOS、Android、鸿蒙系统；支持各大应用商店下载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B45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AE5C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A230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47F6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7B45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BB4FC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激活方式：支持帐号密码、扫描二维码与读图方式激活等方式激活令牌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F7C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1A30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3531E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5D2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C156E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6FEC1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安全性：支持设定手势密码、指纹或人脸识别，提高安全性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AC7A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8EF4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50EE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A56A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680E1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D132B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密码变换周期：30秒、60秒</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773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00A31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3C2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0B65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53880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43C60A1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推送认证：支持消息推送认证功能。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E7F36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597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97CA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718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F1107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4DF8B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批量派发：支持按用户角色批量派发；</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FECC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7A889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7823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D2E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3ABEEE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3A80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时效性：二维码与激活图片具有时效性，可以支持自定义时效；</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6E92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5833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375D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DA92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934E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3D831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扫码认证：支持扫码登录功能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3BDA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A4F7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DFA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4EE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D07EB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资质证书</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DFFF8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产品具备商用密码产品认证证书，≥符合国家GM/T 0028《密码模块安全技术要求》，且证书在有效期内。提供证书复印件并盖厂家公章</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5F457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9D07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6D90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F7E2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C81BC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12570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产品具备IPV6 Ready logo 国际认证，提供证书复印件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00E0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0EAF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D240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D08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9544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CF8CB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产品取得相关部门颁发的信息技术产品安全测试证书，并经过漏洞库（更新至2023年1月1日之后）覆盖测试，不存在漏洞库中已知中、高风险漏洞。提供证书复印件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D089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E79D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5F03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741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20187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C0013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产品原厂具有发明专利证书，提供证书复印件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6C1C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CDD1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A957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55F1A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VPN</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27CD92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技术要求</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8516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1.专业IPSec VPN和SSL VPN二合一设备，非插卡或防火墙带VPN模块设备。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B42B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119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6450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1BF1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97836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EC04B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支持多系统引导，可在管理员界面直接配置启动顺序，≥支持两个操作系统，管理员可自由选择当前启动系统，每个系统拥有独立的配置文件，且分别支持加密导入导出；同时支持全局配置安全检查，支持一键优化或一键锁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2CEB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32EC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D254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BA2C9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61CC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90B2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支持配置多种资源类型，包括WEB应用、WebVPN应用、TCP/UDP应用，NC应用；支持资源负载均衡，可控制终端接入类型，如PC端（浏览器/独立客户端）、移动端（Android/iOS）；支持WebVPN跨平台免插件访问，支持Windows、Mac、Linux、国产化UOS\银河麒麟V10等系统主流浏览器，免插件免客户端使用VPN接入内网。</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6345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240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1CFF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97C6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F3B75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A1274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4.支持网关、单臂部署模式，IPSec VPN支持透明、路由、冗余等网络接入方式；支持IPSec隧道组和隧道热备份；支持IPSec VPN隧道间路由实现隧道接力；支持IPSec手动隧道，手动输入密钥参数，建立隧道。</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3149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1069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3F6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D2883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BE7C2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476E3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5.支持短信认证，支持HTTP、WebService接口自定义。支持CAS认证服务联动，通过简单配置即可实现基于身份票据的单点登录；支持密码自助找回功能。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D2959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07ED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4C96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7E706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F3A60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9B9C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6.支持IPSec、SSL 、PPTP、L2TP VPN的统一用户管理和认证体系，实现用户名口令一次配置，即可适用于全部VPN类型接入。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51C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0614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8486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F5E3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82CD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BFBFC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7.支持全局抗攻击功能（包括抗地址欺骗、抗源路由攻击、抗SMURF攻击、抗LAND攻击、抗WINNUKE攻击、抗QUESO扫描、抗SYN/FIN扫描、抗NULL扫描、抗圣诞树攻击、抗FIN扫描、抗Ping of Death）支持基于包过滤规则的抗SYN FLOOD、抗UDP FLOOD、抗ICMP FLOOD和IP会话数控制。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652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FD35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40F6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BED58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576E3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48698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8.基于用户和角色设定准入策略，针对操作系统、操作系统补丁、浏览器、进程、服务、端口、文件、注册表、登录IP、时间、凭证、终端指纹进行登录前和使用时定期检查。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F2C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E73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7FB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A561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F77CC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7391B6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9.支持在Windows、统信UOS、银河麒麟等操作系统上远程应用发布B/S和C/S应用功能（非整个桌面进行发布），只传输鼠标、键盘操作和显示数据，无需安装CS客户端。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95B9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C82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CF98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8AE82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E6C4D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C091D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支持终端认证功能，包含硬件特征码、IP、MAC、主机绑定，特征码信息可自动生成，支持自定义用户绑定终端数量。支持硬件特征码批量导入导出；支持设定使用VPN时仅能访问内网资源，断开与对互联网的访问，支持登录超时限制时间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7F29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（提供证明材料，包括网站截图、功能截图、第三方检测报告中任意一种，并加盖制造商公章）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AFC9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7AB0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4681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04A2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36822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11.采用加密方式建立隧道连接，支持自主隧道配置技术；具备基于SSL协议的远程安全接入方法和系统技术证书。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374C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6883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77B1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657354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C09C9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93659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12.产品需具备VSP通用安全平台软件，具备高效、智能、安全、易扩展等特点。</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DB7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467B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EE66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EA7F3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387EA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05989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13.产品需符合《信息安全技术网络安全专用产品安全技术要求》和虚拟专用产品（增强级）相关标准规范要求。</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291E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003C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767A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82F9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6C33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1E90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14.产品需具备国家密码管理局发布的《商用密码产品认证证书》。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C63F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BDB28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04"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2B76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9B5D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网络审计</w:t>
            </w:r>
          </w:p>
        </w:tc>
        <w:tc>
          <w:tcPr>
            <w:tcW w:w="1496" w:type="dxa"/>
            <w:gridSpan w:val="2"/>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D6D4D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内容审计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7217F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支持对HTTP协议进行内容审计，审计内容包括不限于：访问域名，HTTP引用页、URL、HTTP请求类型、HTTP响应类型、请求文件、请求参数、访问行为、响应码、访问浏览器、服务器、Cookie、源目的IP地址、信誉分值等。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F77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418E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4F9B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BD7A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auto"/>
            <w:tcMar>
              <w:top w:w="12" w:type="dxa"/>
              <w:left w:w="12" w:type="dxa"/>
              <w:right w:w="12" w:type="dxa"/>
            </w:tcMar>
            <w:vAlign w:val="center"/>
          </w:tcPr>
          <w:p w14:paraId="25513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73E17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支持文件传输协议审计（FTP、TFTP协议），可针对FTP协议文件传输的网络行为进行审计，审计内容包括但不限于：文件名、操作命令、操作结果等，可以对上传下载的文件进行还原，提供下载。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F56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BB82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ABA9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8243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C96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CE6B10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持共享协议（SMB 文件共享、NFS 共享）审计。包括不限于：用户名、操作命令、传输文件名/文件类型等。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C41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2493C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02C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1363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1CEA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行为审计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C3BF3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支持应用协议行为识别，应用识别规则库最少分为24大类，支持5000种以上的应用协议自动识别与审计记录。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04B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54E2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192B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CA418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9986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告警阻断</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AB3AC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支持旁路模式阻断和防火墙联动方式阻断，支持与沙箱联动响应；支持Syslog、snmptrap、Kafka、Netflow、FTP、邮箱、短信、企业微信等方式向外发送告警日志。</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4478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E174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3"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1A2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39696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CC5E1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IPv6环境</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AFB83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支持IPV6环境部署和IPV6环境下网络审计系统全部功能的审计。</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08E6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CD9C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2C18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37581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BE140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审计查询</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FE398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标准查询、经典查询和专家查询多种查询方式。支持界面展示查询条件、事件数、应用协议及任务运行时间。支持以柱状图的形式展示各时间段审计事件数；支持自定义查询事件数，支持千万级数据秒级查询，支持csv格式导出审计日志。</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386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39E1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6A0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A15B6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11FBA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实名审计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7585A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实名审计，支持绑定源IP、用户名，域名、主机名、部门、邮箱及电话，支持手动添加数据来源，或下载模板批量导入，并支持全量导入。支持在审计日志中实名相关信息区域，查看实名关联信息，展示用户名、域名、主机名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3038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D070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155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EF8C0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914A8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黑名单检测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414CA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支持黑名单检测，支持黑URL、黑IP、黑域名、黑账号检测等审计策略，支持报文留存。支持黑URL地址、黑域名、账号多种匹配类型，包括子串匹配、左匹配、右匹配、完全匹配及正则匹配。</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7C10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F908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9D40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DDEC4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7CD69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攻击检测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C1945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集成攻击检测规则库，支持对扫描探测、暴力破解、后门控制、溢出攻击、注入攻击等攻击行为检测告警，并且支持自定义攻击规则。</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9B2C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5A065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7525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6BC438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CF8B3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僵尸检测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E099C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支持对僵尸网络、木马控制、蠕虫、挖矿、勒索等僵尸规则的管理和侦听，并对攻击信息详细审计（攻击类型、操作系统、风险等级），可对风险主机进行取证、告警及阻断处置。</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CF69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F353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DFBF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30DA5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CF4A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异常流量检测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B7C10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支持异常流量检测，支持flood攻击检测、接口流量监测。支持配置异常连接检测周期、接口流量上限及总流量上线。</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448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4408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3896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ECF1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07BEB3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资产识别</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D2C6F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支持资产发现，支持指定网络中的在线资产识别, 支持主动监测，对网络中设备资产进行发现和梳理，能够对资产IP、资产状态、系统版本、开放端口进行安全监测。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5DB0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587E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8389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6DC5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5A57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统计报表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325E2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支持按协议或告警类型统计报表，以文字和图表的形式展示报表内容。支持WORD、PDF、OFD、EXCEL、HTML 等格式导出报表。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4F7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43CA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1118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AF977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994E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系统告警</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40434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支持系统状态阈值设置，包括不限于 CPU 阈值设置、硬盘空间阈值设置、内存空间阀值设置等，当使用率达到预定的阈值时，系统会发出报警。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A357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D030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9DD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B79C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E8BC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系统管理</w:t>
            </w: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52821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支持本地认证、Radius、LDAP等用户认证方式。支持双因子认证。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69BD4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58FF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7B42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A2AA3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FF73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探针部署</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1036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对无法通过旁路方式进行镜像监听场景，支持多种类型操作系统的探针部署，适配的操作系统≥包括以下几种：  AIX5/6/7、WinSer2003 /2008 /2012 /2016 /2019、Centos、opensuse、redhat、Ubuntu、麒麟、统信、凝思、普华等。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DA1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33FF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C47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11C89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33A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DDA6D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▲产品具有IPV6金牌证书。（提供证书复印件，并加盖制造商公章）</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8E99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27DD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90B2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E79C0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E0F8F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56E49D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▲产品具备中国信息安全测评中心颁发的信息技术产品安全测评证书EAL3+级以上。（提供证书复印件，并加盖制造商公章）</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829C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E132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8957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4386B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B23F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产品资质</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16558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产品具有网络关键设备和网络安全专用产品安全认证证书。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11BE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00A6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2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9E0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756FE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网络安全漏洞扫描系统</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4C539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功能要求</w:t>
            </w:r>
          </w:p>
        </w:tc>
        <w:tc>
          <w:tcPr>
            <w:tcW w:w="2450"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0D03952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1.支持扫描的漏洞数≥400000个，支持IPv4和IPv6环境的部署和扫描。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4E07F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1C49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5671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745D4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D8862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A1C35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ECEA3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45F6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019B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BD9010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7B57A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6501D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2.支持对主流操作系统的识别与扫描，包括：Windows、Redhat、Ubuntu、Debian、深度、红旗、麒麟、新支点等；支持对主流数据库的识别与扫描，包括：Oracle、Sybase、GBASE、GaussDB、神通、达梦、人大金仓、优炫等。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72ED8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F45C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F78E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F6292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803A2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45059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3.支持对网络设备的识别与扫描，包括：Cisco、Juniper、华为、中兴、H3C、TPLINK、DLINK、F5、Checkpoint、Alcatel、三星、Symantec、Nortel、Linksys、ZyXEL等，能够扫描的网络设备漏洞扫描方法不小于5000种。</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07A37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E433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DA4F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503B9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22A8F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BB0D0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4.支持对主流虚拟化软件平台的识别与扫描，包括：OpenStack 、KVM、Vmware、Xen、Docker、Huawei FusionSphere等。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CA9B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BCB3E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4D2F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96A9C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3F48E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8F655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5.支持对视频监控类设备的识别与扫描，包括大华、海康、宇视、雄迈、科达、TBK、NUUO、Samsung、Vivotek、Wanscam、Axis、Geutebrück、Keeper、Blink、CACAGOO等。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00D94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7248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FBF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ED90D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675E4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B2F28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6支持对Apple系统和应用组件的识别与扫描，包括MAC OS、IOS、watchOS、Safari、itunes、iCloud、CUPS、QuickTime、libxpc、libxml2、sysdiagnose、Quick Look、ASN.1等，能够扫描的Apple系统和应用组件漏洞扫描方法不小于6000种。</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E9643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4FA0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2FD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E6F85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D5572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29204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7.支持对Web应用系统的扫描，支持检测SQL注入漏洞、命令注入漏洞、CRLF注入漏洞、LDAP注入漏洞、XSS跨站脚本漏洞、路径遍历漏洞、信息泄漏漏洞、URL跳转漏洞、文件包含漏洞、应用程序漏洞、文件上传漏洞等。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343D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CD6F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90C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B23AC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BA1F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4D48F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8.支持对扫描对象的挂马、暗链、敏感词进行检测。支持网站风险监测，可以对网站可用性、网页变更、DNS地址解析进行监测，实时发现网站风险。</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AF5C2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AE29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CA0AF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48663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EE0CD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7A29A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9.支持针对网站漏洞进行问题点、问题参数描述，具备完整的测试用例来验证漏洞存在的真实性。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471F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2745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DE1F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C0681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8A870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A0AB7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10.支持配置变更检查，可以根据实际情况设置任意检查结果作为变更基线，支持与自身或者其他设备的同类型变更项进行对比，检查设备间核心配置项的异同之处。</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14B06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F246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2381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8865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9CED9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781D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11.支持扫描任务参数设置，包括执行方式、执行时间段、任务模板、策略模板、扫描方法、任务优先级、插件超时时间、断网续扫、模糊扫描等。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DDC8A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945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B54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CAEA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1AD0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D16E8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12.支持资产拓扑功能，可自动生成资产拓扑图；支持按照部门、资产类型、IP分组等多种方式对所有资产进行展示。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6EF75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6F9A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9FE45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B328C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C111D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44062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13.产品需符合《信息安全技术网络安全专用产品安全技术要求》和网络脆弱性产品（增强级）相关标准规范要求。</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36208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AEBC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AF88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42936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66DF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7AFF9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14.产品需具备《IT产品信息安全认证证书》级别EAL3增强级。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E4992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643C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879"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B91B6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8A81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态势感知平台流量探针</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B5603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技术要求</w:t>
            </w:r>
          </w:p>
        </w:tc>
        <w:tc>
          <w:tcPr>
            <w:tcW w:w="2450" w:type="dxa"/>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A27A9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1.支持大屏展示能力，可通过大屏展示网络整体态势与趋势，支持对亚太版世界地图与中国地图展示进行切换，大屏安全汇总信息可下钻至具体数据。</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1E7CFF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7FC2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2853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883B0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9BF4F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36F7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2.支持支持深度协议解析包括http、https、dhcp、dns、ftp、mysql、imap、bgp、sip、pptp、l2tp等多种通用协议解析；支持gtpu、ngap、pfcp等5G协议及工控协议的解析；支持基于不完整会话流的单包攻击检测能力。</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F4BC8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6881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7BB51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A138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FF1F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037F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3.支持导入HTTPS、POP3S、IMAPS、SMTPS、RDPS证书,对加密流量进行解密及还原，支持SSL3.0、TLS1.0/1.1/1.2。</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6B0BE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4DE4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3665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31E9A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F7B46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761E2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4.支持程序具备AI引擎自动对攻击进行威胁情报云查，页面自动呈现情报云查信息，查询结果≥包含：威胁等级、标签、威胁类型、IP地址、IP类型、活跃时间、发现时间、国家、地区、运营商、恶意端口等。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1D610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FE95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667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2A4A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39432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FFAE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自定义规则，可结合用户业务进行深度检测，自定义内容包括源IP、源端口、目的IP、目的端口、协议、事件威胁等级、主机状态、事件类型、攻击阶段、攻击结果、攻击手段；支持关联规则分析，进行双向检测规则编写，兼容业界主流snort规则。</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EAFFDC">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F2E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095A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D1B8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03580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8D0A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6.支持基于流量的实时IOC检测，检测类型包含：IP、域名、URL、文件Hash、JA3等。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CCE57E">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6B553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D016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BD896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2432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74823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7.支持通过web页面导入pcap包离线回放检测能力，支持导入pcap数量不少于100个；支持导入单个文件、批量导入多个文件、导入文件夹；支持对导入的pcap单独回放或批量回放。</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78501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C12B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A838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D360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8F94F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56625A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8.支持对终端、视频设备、办公设备、网络设备、服务器、安全设备、工控设备等资产类型自动发现；支持对资产的设备类型、操作系统类型、MAC地址、IP地址、端口服务等精准识别。</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717D5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E0D9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8BF4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FB4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EB615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5CAD7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支持基于特征库检测挖矿主机，支持对挖矿主机进行连接矿池阶段、获取挖矿任务阶段、控制命令通信阶段、挖矿成功阶段，形成挖矿链可视跟踪。对网络中的挖矿主机活跃程度，挖矿币种有直观的图形化展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355EFB">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6193F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C9DA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867C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B553C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07417D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10.支持通过syslog/kafka/SNMP trap方式将告警日志、违规互联日志、威胁情报日志、流数据日志、协议元数据外发至第三方数据采集平台，支持同时配置多个外发采集平台。</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C2433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0907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5235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F15C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CEA14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BF7DF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11.支持通过页面对告警前后存储报文数量进行配置，并支持启用或禁用情报检测、弱口令检测以及敏感信息检测的pcap包存储功能。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CC846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E973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248B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B5ED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80565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7F6F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12.支持设备系统管理，可通过页面下发诊断对设备关键进程进行监测，同时可一键恢复关键进程。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C0512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49A94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7240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E15F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9108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4F64F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13.产品需具有网络入侵特征配制方法及配置系统；具有加快旁路入侵检测的方法及检测装置。（提供证明材料复印件，并加盖制造商公章）</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2C6BE3">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4FB5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41E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5F1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81EE0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90EE1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14.产品需符合《信息安全技术网络安全专用产品安全技术要求》相关标准规范要求。</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6FE2A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9E56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A8E06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505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F515D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D47A2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15.产品需具备CVE、CNNVE兼容性资质证书。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7464B2">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06CB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0D98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1593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7985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EF7B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16.产品需具备《IT产品信息安全认证证书》级别EAL3增强级。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9324B8">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（提供证书复印件，并加盖盖制造商公章）</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EE66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162271">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三、IPv6协议转换平台</w:t>
            </w:r>
          </w:p>
        </w:tc>
      </w:tr>
      <w:tr w14:paraId="5C761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63CB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序号</w:t>
            </w:r>
          </w:p>
        </w:tc>
        <w:tc>
          <w:tcPr>
            <w:tcW w:w="112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5E9F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产品</w:t>
            </w:r>
          </w:p>
        </w:tc>
        <w:tc>
          <w:tcPr>
            <w:tcW w:w="6592"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D0F9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功能要求</w:t>
            </w:r>
          </w:p>
        </w:tc>
      </w:tr>
      <w:tr w14:paraId="30D10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8" w:hRule="atLeast"/>
        </w:trPr>
        <w:tc>
          <w:tcPr>
            <w:tcW w:w="59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F7391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0E926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IPv6协议转换平台</w:t>
            </w:r>
          </w:p>
        </w:tc>
        <w:tc>
          <w:tcPr>
            <w:tcW w:w="88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3D0A53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IPv6智能升级系统</w:t>
            </w:r>
          </w:p>
        </w:tc>
        <w:tc>
          <w:tcPr>
            <w:tcW w:w="61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2B0332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翻译功能</w:t>
            </w:r>
          </w:p>
        </w:tc>
        <w:tc>
          <w:tcPr>
            <w:tcW w:w="245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4174851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▲IPv6翻译，支持IPv4和IPv6协议的双向翻译；</w:t>
            </w: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c>
          <w:tcPr>
            <w:tcW w:w="264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15F0CF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55821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94"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4DAC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2</w:t>
            </w: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4478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80173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61C3AE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B865E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64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543B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D5CC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BFB67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1188B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6CA6C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F15BD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C4590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内容升级，支持在IPv4和IPv6之间进行内容的处理如标识显示应答等；</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A7FF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0C4F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1A1CE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34B6F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5A756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9E387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0C5FA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内容缓存，支持在IPv4和IPv6通道之上的内容池的管理和可控互通使用，大幅提高升级系统的吞吐能力；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E79F9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A10D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972BE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D04F2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A37BC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E5D4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1470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▲IPv6访问标识，能够为IPv6用户访问页面时提供IPv6标识展示，提示当前正在使用IPv6协议访问网站；</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278C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215D1A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1BB23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2BD7F0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2311B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1ACF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用户溯源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FC9EE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▲溯源分析，支持IPv4和IPv6用户溯源功能；</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CB5C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0EEDD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9FA7F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8758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318C2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5C68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负载均衡</w:t>
            </w:r>
          </w:p>
          <w:p w14:paraId="022D03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2D53E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4层负载均衡，提供主备，主主等多种工作模式，自动检测并调度资源系统，提供异常资源秒级切换能力，同时负载均衡服务故障能够自动发现和剔除；</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17D5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53F1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6650B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9439E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8DF260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72047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AEDF6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7层负载均衡，提供应用层弹性负载均衡的能力，通过提供依据请求IP，请求头，请求会话等多个维度的负载均衡算法；</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881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E4D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79397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E57681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1C0AC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626F5E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域名解析</w:t>
            </w:r>
          </w:p>
          <w:p w14:paraId="214A03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06EF0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支持IPv4/IPv6智能地址解析和查询；</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AD85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E7CC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7C62E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7FBD9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BE159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3D0C0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D677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支持在IPv4/IPv6双栈环境下DNS授权解析和递归解析；</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4026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F033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DA1CE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376DE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DF891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FC9C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BAC17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支持IPv4环境或纯IPv6环境下的A/AAAA记录解析；</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7FB0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28BD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0"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84820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7CFF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0EF886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D8F6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外链改造</w:t>
            </w:r>
          </w:p>
          <w:p w14:paraId="292E87D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4FFA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支持外链协议升级，在单一IPv6 用户环境下可以访问IPv6 的外链网站并且没有天窗问题；</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146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EE031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BE95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9854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BCF52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264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25605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支持自动发现网站已经支持IPv6 的外链域名，且对于已经支持IPv6 的外链智能不进行协议升级；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005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ED5E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563C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9B400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FFEA2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5CAB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2B6BB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支持设置单个域名的外链翻译开关功能，支持一健控制全部外链翻译的开关功能；</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CACF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54DB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39871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36D40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8ABE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E525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D21FE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支持手动添加外链白名单功能，对白名单外链接不进行翻译；</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A14B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664A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69822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61E5F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38A7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0C0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42989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支持可视化外链翻译开关，保证纯IPv6 用户访问网站页面与布局的一致性。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0E65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E6D8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87ADF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98CE3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47F3B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E7A02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内容加速</w:t>
            </w:r>
          </w:p>
          <w:p w14:paraId="765115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8B1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支持自主制定缓存策略；</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27F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0D36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BB684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9D55A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CAA90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EE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4140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支持自动或者手工方式刷新缓存；</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4EE6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182C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CB54A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119C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76242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319B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3A8A3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支持JPEG、GIF、MP3、MP4、WMA、ZIP、RAR、FLV、LETV、F4V、EXE、ISO、APK、XML、CSS、JS资源的缓存，支持永久缓存、不缓存或短期缓存和分段缓存；</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CB89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3116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654AF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21BC8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4EEA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EBC2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3BC72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具备全局负载均衡和智能调度，可自主制定缓存策略，根据策略自动选择时延最短、节点负载最轻的传输路径，将用户的请求导向整个网络中的最佳节点，为客户提供稳定、优质的加速服务。</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8CAB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597A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862F1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F7AD4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8E640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D496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集群管理</w:t>
            </w:r>
          </w:p>
          <w:p w14:paraId="10A08A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38D03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支持集群中设备支持自定义角色，≥包括：配置服务器、业务服务器、日志服务器，配置服务器支持主备设备；</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460BA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801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CC8B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766B6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EDED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603F3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0C113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支持不中断业务下的设备级扩容，集群支持主备模式和负载均衡模式；</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245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FDC9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DFF4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4F07E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2CF8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C7E3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4E42E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支持网络发布服务负载均衡模式调整，包括稳定模式、根据连接数、流量或者源地址进行负载均衡；</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29B9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75E1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5808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7D46A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C8137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D8EAE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5FD31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支持基于服务状态、网络状态、端口状态的集群负载切换，自动剔除集群中存在故障的设备，保证业务连续可用性。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EB4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9AB0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CEDB9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E430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7C508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3BCB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协议升级</w:t>
            </w:r>
          </w:p>
          <w:p w14:paraId="4F58AD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2368C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支持将HTTP协议的网站升级为HTTPS协议的能力；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F35B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86700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5FB85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7CD5C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303A5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216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AE954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支持将HTTP1.0/1.1协议的网站升级为HTTP2协议的能力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B24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7202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42E1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4C008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A76D1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E4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D3516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主流网站采用的所有协议，包括HTTPS等，支持4A模式升级（IPv6与IPv4网站同域名），改造网站的二级、三级链接均能保证正常访问，并且保证支持网络购物网络银行等电子商务、在线视频、聊天软件等页面内容；</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64ED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229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D7FAB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F4A9D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00A9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D274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587143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支持多域名或多网站共享IPv4地址；支持多域名或多网站共享IPv6地址；</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ECCF7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FA97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27D8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A673D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53A74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0F14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AD35E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支持对源站死链的智能优化，如400 转200；</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DD46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450C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D3213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58D2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BF62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90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1A58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支持HTTP ALG应用层转换、FTP ALG应用层转换；支持HTTP、HTTPS、POP3、SMTP、IMAP, RTCP、RTSP、MMS, XFF等协议；</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54D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6A9F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0FB97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05C81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9D02E7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4DEA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访问控制</w:t>
            </w:r>
          </w:p>
          <w:p w14:paraId="1DEDC5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ED14A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黑白名单，支持基于IP地址以及IP段的访问控制能力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63E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571F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3068D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2D0DA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453F0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BD2D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B1371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访问限速，支持≥6种标准特征下的访问频率控制能力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1179D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FDA7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76C9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5551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28027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1D91A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源站保护</w:t>
            </w:r>
          </w:p>
          <w:p w14:paraId="5E75CA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22480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负载均衡，支持多个源IP情况下的自动负载均衡能力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1946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AE797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E895A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3F830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B69CD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6A92B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33528E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异常调度，支持多个源IP情况下单源质量下降甚至服务中断情况下的无损切换能力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0190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DB09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A5CF2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6ABE5E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6F00A1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76691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B8A3F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有序回源，支持在高并发情况下的回源队列控制能力，避免源站被大量并发请求冲垮</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8F9D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DBDAA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FC7DC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F9C78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71B39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EF1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189D0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▲应急快照服务，在站点维护期间，通过快照对外提供服务保障。</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A8E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5FEA3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31A71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C9619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DB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D08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证书</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94127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Cs w:val="0"/>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提供相关系统相关的软件著作证书，并加盖供应商公章</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999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CFC5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D58DFF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3</w:t>
            </w: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CF67D7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0F107A9C">
            <w:pPr>
              <w:keepNext w:val="0"/>
              <w:keepLines w:val="0"/>
              <w:widowControl/>
              <w:suppressLineNumbers w:val="0"/>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IPv6</w:t>
            </w:r>
          </w:p>
          <w:p w14:paraId="1FCFE8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i w:val="0"/>
                <w:iCs w:val="0"/>
                <w:color w:val="auto"/>
                <w:kern w:val="0"/>
                <w:sz w:val="24"/>
                <w:szCs w:val="24"/>
                <w:highlight w:val="none"/>
                <w:u w:val="none"/>
                <w:lang w:val="en-US" w:eastAsia="zh-CN" w:bidi="ar"/>
              </w:rPr>
              <w:t>WAF安全防护系统</w:t>
            </w: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D1BF6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安全防护</w:t>
            </w:r>
          </w:p>
          <w:p w14:paraId="31BFD9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9B7D9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五元组过滤：支持IPv4和IPv6五元组（源地址、源端口、目的地址、目的端口、协议类型）过滤防护；</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3722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51148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2"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27E89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B0F405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8FCC9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25B76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5FDE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▲七层防护：支持http七层防护功能（平台级WAF），防止Web入侵及数据泄露；</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D17C3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1C8A8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4B584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9EE6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AFCE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5836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CB97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0day攻击防护：基于漏洞预警+规则提取进行未知攻击拦截；</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D838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FE2E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DA31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187AD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60577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0CE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FF8B2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▲防盗链：支持防盗链，防止站点元素或者连接被盗链；</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689A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180AA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2"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B06AC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CBE9E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673EA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81D8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DCED68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▲URL校验：支持对Url进行校验功能；</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00CE8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
                <w:bCs/>
                <w:color w:val="auto"/>
                <w:spacing w:val="0"/>
                <w:kern w:val="2"/>
                <w:sz w:val="24"/>
                <w:szCs w:val="24"/>
                <w:highlight w:val="none"/>
              </w:rPr>
              <w:t>提供</w:t>
            </w:r>
            <w:r>
              <w:rPr>
                <w:rFonts w:hint="eastAsia" w:ascii="宋体" w:hAnsi="宋体" w:eastAsia="宋体" w:cs="宋体"/>
                <w:b/>
                <w:bCs/>
                <w:color w:val="auto"/>
                <w:spacing w:val="0"/>
                <w:kern w:val="2"/>
                <w:sz w:val="24"/>
                <w:szCs w:val="24"/>
                <w:highlight w:val="none"/>
                <w:lang w:eastAsia="zh-CN"/>
              </w:rPr>
              <w:t>工信部或国家认可的检测机构</w:t>
            </w:r>
            <w:r>
              <w:rPr>
                <w:rFonts w:hint="eastAsia" w:ascii="宋体" w:hAnsi="宋体" w:eastAsia="宋体" w:cs="宋体"/>
                <w:b/>
                <w:bCs/>
                <w:color w:val="auto"/>
                <w:spacing w:val="0"/>
                <w:kern w:val="2"/>
                <w:sz w:val="24"/>
                <w:szCs w:val="24"/>
                <w:highlight w:val="none"/>
              </w:rPr>
              <w:t>检测报告复印件</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r>
      <w:tr w14:paraId="0B565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C82E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73EAD2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8165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BB13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95188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防扫描：通过访问频率、访问请求头信息，访问IP，访问内容进行智能识别，对扫描流量进行阻断；</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51AD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A29C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E3BE7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E7407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ADE8C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BB0D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监测报警</w:t>
            </w:r>
          </w:p>
          <w:p w14:paraId="73E47E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A0808E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安全报警：通过大数据分析平台对云端攻击数据进行分析，提取攻击特征，进行安全事件关联分析；</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A5BD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0C1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D243F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FEBC0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0673EC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001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AD598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网站可用性监控：对网站进行HTTP/HTTPS监控、PING监控，分布于不同地区节点实时获取响应码和请求详情，进行监控；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23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4779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6D66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66A9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F59EB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22D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离线分析</w:t>
            </w:r>
          </w:p>
          <w:p w14:paraId="520528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01640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1）离线分析：对日志进行离线分析、机器学习，对未知攻击进行拉黑处理；</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6D154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F5AD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0AD85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3156E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31AC62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8E1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387100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2）离线展示：对防护日志进行处理，生成可视化页面展示；</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507B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F35C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92E2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196027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178D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A6168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其他辅助功能</w:t>
            </w:r>
          </w:p>
          <w:p w14:paraId="2E5D28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D8BE1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1）审计取证能力：保存半年存储日志，支持常见的HTTP字段查询，支持ELK查询</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423A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F73B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614BE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3E141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693AF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141C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6844C7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2）隐藏源站IP：对源站系统信息、版本信息以及中间信息进行隐藏</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A2D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90AF6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2A1F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B1A9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1D58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21A75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A6B9C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3）情报收集能力：收集IP地址库、HTTP代理库、VPN库，具有黑白名单处理功能</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C378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A3B1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5BAA8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4</w:t>
            </w: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D3175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CC76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i w:val="0"/>
                <w:iCs w:val="0"/>
                <w:color w:val="auto"/>
                <w:kern w:val="0"/>
                <w:sz w:val="24"/>
                <w:szCs w:val="24"/>
                <w:highlight w:val="none"/>
                <w:u w:val="none"/>
                <w:lang w:val="en-US" w:eastAsia="zh-CN" w:bidi="ar"/>
              </w:rPr>
              <w:t>IPv6防DDos攻击服务系统</w:t>
            </w:r>
          </w:p>
        </w:tc>
        <w:tc>
          <w:tcPr>
            <w:tcW w:w="616"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04A02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系统功能</w:t>
            </w:r>
          </w:p>
          <w:p w14:paraId="04151B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7713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1.支持 TCP/HTTP/HTTPS 及最新的 HTTP/2 协议,HTTPS 全链路支持；</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CAC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CCE7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F20DE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4E25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5F87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6ECF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F1057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2.支持保护网站、应用程序和整个网络，同时确保合法流量的性能不受影响；</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F0CDC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240FE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ABA5A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1C0B1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752CC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CC38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DB16D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3.提供转发规则数 60 个；</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D68AF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BAFC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0DCF7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F86F9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8F3A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AAEC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FB791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4.支持IP/域名的黑白名单，域名自动检测；</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FB9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25F1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ABBA4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17480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569FE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A95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69F224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5.支持自定义防护策略；</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AF33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FB1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34A53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A152F6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F8C67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DC9C0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0813C6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6.支持流量清洗数据统计与分析、攻击事件详细记录，支持生成数据；</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66D65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971D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D615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305EA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853B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5EA99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2BE38A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7.支持完整的记录攻击事件的各种元素，方便客户分析和了解攻击状态,实现攻击溯源；</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0D0C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CAFA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594"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A019F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5</w:t>
            </w: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457AA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7FFFEF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i w:val="0"/>
                <w:iCs w:val="0"/>
                <w:color w:val="auto"/>
                <w:kern w:val="0"/>
                <w:sz w:val="24"/>
                <w:szCs w:val="24"/>
                <w:highlight w:val="none"/>
                <w:u w:val="none"/>
                <w:lang w:val="en-US" w:eastAsia="zh-CN" w:bidi="ar"/>
              </w:rPr>
              <w:t>运维服务</w:t>
            </w: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96B56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配置系统</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46608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针对客户的配置进行管理配置，以及对服务器上的软件和配置进行管理，包括IPv6客户配置系统、软件配置管理系统。</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A9E9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CF1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02493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CCA44A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FB0C1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60D7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部署系统</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6EF66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对接入IPv6云服务的网站应用部署相关服务器的软件升级、配置更新等部署操作进行管理。</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79627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B335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F07F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0D1684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BA459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E248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监控系统</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5AD172">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通过部署监控服务，针对接入网站的运行状态、可用性等监控，并将信息进行汇总分析，生成告警信息。</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60E6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F721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4" w:hRule="atLeast"/>
        </w:trPr>
        <w:tc>
          <w:tcPr>
            <w:tcW w:w="594"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3B34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E25BD2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C10B7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5A1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数据分析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8477D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提供访问数据分析。包括对客户的访问日志进行各种分析，对客户的使用流量进行统计。分析项目包括源站访问流量、IPv6用户请求数、用户请求状态码以及运营商分布。</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9601E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AAD5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494AA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6</w:t>
            </w: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C4462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2630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i w:val="0"/>
                <w:iCs w:val="0"/>
                <w:color w:val="auto"/>
                <w:kern w:val="0"/>
                <w:sz w:val="24"/>
                <w:szCs w:val="24"/>
                <w:highlight w:val="none"/>
                <w:u w:val="none"/>
                <w:lang w:val="en-US" w:eastAsia="zh-CN" w:bidi="ar"/>
              </w:rPr>
              <w:t>检测服务</w:t>
            </w:r>
          </w:p>
        </w:tc>
        <w:tc>
          <w:tcPr>
            <w:tcW w:w="616"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14:paraId="6365CA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val="en-US" w:eastAsia="zh-CN" w:bidi="ar-SA"/>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网站IPv6支持度检测服务</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35F587E">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网站 IPv6 支持度深度检测服务及每月提供检测报告，服务器3年，检测项如下：</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4290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E96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17D8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E3F74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6935B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5172F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6E7605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1.网站域名 IPv6 地址解析能力</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EE13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8E9A5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48A2C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8E3A17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8DC33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E332E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B0FBA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2.网站首页 IPv6 可访问</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ED63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E871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6EBB3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4002A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AD297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5E59C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D120B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3.网站首页 IPv6 访问成功率</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A53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E14F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7CBC7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5FB72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F8F4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342F1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6756D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4.网站首页内容 IPv6 和 IPv4 的一致性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17C51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0D69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783A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4C8A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FB1D0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1E7639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8AAC0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5.网站首页布局 IPv6 和 IPv4 的一致性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AECF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AD63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64176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7F7354">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DE72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CFAA4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B7D03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6.网站域名具备完整的 IPv6 域名授权体系</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E44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3B1D3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8EA9F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3F41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38359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4340C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ECB64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7.网站二级链接 IPv6 支持率</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F7F2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B2CA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752FD8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120739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5753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CE7FF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E54F6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8.网站三级链接 IPv6 支持率</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4D98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89A6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6C02F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133C1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101F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222272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8C3B67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9.网站域名解析时延</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3ED1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65C4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4A3CC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7EFE07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98E1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right w:val="single" w:color="000000" w:sz="4" w:space="0"/>
            </w:tcBorders>
            <w:shd w:val="clear" w:color="auto" w:fill="auto"/>
            <w:tcMar>
              <w:top w:w="12" w:type="dxa"/>
              <w:left w:w="12" w:type="dxa"/>
              <w:right w:w="12" w:type="dxa"/>
            </w:tcMar>
            <w:vAlign w:val="center"/>
          </w:tcPr>
          <w:p w14:paraId="73E175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2603B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10.网站首页访问时延</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A2119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0A4E5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0455B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4AF61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6876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49383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6E295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11.网站 IPv6 可访问稳定性</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57463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0BB5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CDCD5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9A836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88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5020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61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94BD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i w:val="0"/>
                <w:snapToGrid/>
                <w:color w:val="auto"/>
                <w:kern w:val="2"/>
                <w:sz w:val="24"/>
                <w:szCs w:val="24"/>
                <w:highlight w:val="none"/>
                <w:u w:val="none"/>
                <w:lang w:val="en-US" w:eastAsia="zh-CN"/>
              </w:rPr>
            </w:pPr>
            <w:r>
              <w:rPr>
                <w:rFonts w:hint="eastAsia" w:asciiTheme="minorEastAsia" w:hAnsiTheme="minorEastAsia" w:eastAsiaTheme="minorEastAsia" w:cstheme="minorEastAsia"/>
                <w:i w:val="0"/>
                <w:snapToGrid/>
                <w:color w:val="auto"/>
                <w:kern w:val="2"/>
                <w:sz w:val="24"/>
                <w:szCs w:val="24"/>
                <w:highlight w:val="none"/>
                <w:u w:val="none"/>
                <w:lang w:val="en-US" w:eastAsia="zh-CN"/>
              </w:rPr>
              <w:t>证书</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52550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宋体" w:hAnsi="宋体" w:eastAsia="宋体" w:cs="宋体"/>
                <w:bCs w:val="0"/>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提供相关检测平台系统相关软件著作证书</w:t>
            </w:r>
            <w:r>
              <w:rPr>
                <w:rFonts w:hint="eastAsia" w:ascii="宋体" w:hAnsi="宋体" w:eastAsia="宋体" w:cs="宋体"/>
                <w:b/>
                <w:bCs/>
                <w:color w:val="auto"/>
                <w:spacing w:val="0"/>
                <w:kern w:val="2"/>
                <w:sz w:val="24"/>
                <w:szCs w:val="24"/>
                <w:highlight w:val="none"/>
                <w:lang w:val="en-US" w:eastAsia="zh-CN"/>
              </w:rPr>
              <w:t>,</w:t>
            </w:r>
            <w:r>
              <w:rPr>
                <w:rFonts w:hint="eastAsia" w:ascii="宋体" w:hAnsi="宋体" w:eastAsia="宋体" w:cs="宋体"/>
                <w:b/>
                <w:bCs/>
                <w:i w:val="0"/>
                <w:iCs w:val="0"/>
                <w:color w:val="auto"/>
                <w:kern w:val="0"/>
                <w:sz w:val="24"/>
                <w:szCs w:val="24"/>
                <w:highlight w:val="none"/>
                <w:u w:val="none"/>
                <w:lang w:val="en-US" w:eastAsia="zh-CN" w:bidi="ar"/>
              </w:rPr>
              <w:t>并加盖供应商公章</w:t>
            </w:r>
          </w:p>
        </w:tc>
        <w:tc>
          <w:tcPr>
            <w:tcW w:w="264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0D65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77CA3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BAE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7</w:t>
            </w:r>
          </w:p>
        </w:tc>
        <w:tc>
          <w:tcPr>
            <w:tcW w:w="112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9AF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宋体" w:hAnsi="宋体" w:eastAsia="宋体" w:cs="宋体"/>
                <w:i w:val="0"/>
                <w:iCs w:val="0"/>
                <w:color w:val="auto"/>
                <w:sz w:val="24"/>
                <w:szCs w:val="24"/>
                <w:highlight w:val="none"/>
                <w:u w:val="none"/>
                <w:lang w:val="en-US" w:eastAsia="zh-CN"/>
              </w:rPr>
              <w:t>维保期限</w:t>
            </w:r>
          </w:p>
        </w:tc>
        <w:tc>
          <w:tcPr>
            <w:tcW w:w="6592" w:type="dxa"/>
            <w:gridSpan w:val="4"/>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7F5A9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i w:val="0"/>
                <w:snapToGrid/>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三年免费维保</w:t>
            </w:r>
          </w:p>
        </w:tc>
      </w:tr>
      <w:tr w14:paraId="13991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8312" w:type="dxa"/>
            <w:gridSpan w:val="6"/>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A34D4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b/>
                <w:i w:val="0"/>
                <w:snapToGrid/>
                <w:color w:val="auto"/>
                <w:kern w:val="2"/>
                <w:sz w:val="24"/>
                <w:szCs w:val="24"/>
                <w:highlight w:val="none"/>
                <w:u w:val="none"/>
                <w:lang w:eastAsia="zh-CN"/>
              </w:rPr>
            </w:pPr>
            <w:r>
              <w:rPr>
                <w:rFonts w:hint="eastAsia" w:asciiTheme="minorEastAsia" w:hAnsiTheme="minorEastAsia" w:eastAsiaTheme="minorEastAsia" w:cstheme="minorEastAsia"/>
                <w:b/>
                <w:i w:val="0"/>
                <w:snapToGrid/>
                <w:color w:val="auto"/>
                <w:kern w:val="0"/>
                <w:sz w:val="24"/>
                <w:szCs w:val="24"/>
                <w:highlight w:val="none"/>
                <w:u w:val="none"/>
                <w:lang w:val="en-US" w:eastAsia="zh-CN" w:bidi="ar"/>
              </w:rPr>
              <w:t>四、域名及地址管理分配部分</w:t>
            </w:r>
          </w:p>
        </w:tc>
      </w:tr>
      <w:tr w14:paraId="6299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1A09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1</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A228F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统一管理节点</w:t>
            </w: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0BE4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64349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多节点统一管理支持节点位置图形化灵活编排，支持图形化区分节点角色（管理节点，服务节点）。</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AEC6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39D6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8B4C8F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D0EE1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0B770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44B8C4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因节点异常或网络等异常时，配置无法正常下发至全网业务节点时，可以通过网管查看每个节点队列中的指令。</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9470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8171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022B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D62CC2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4EEF1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370FA7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支持节点快速克隆的功能，因业务发展需要增加新的节点时，可以选择当前集群中已有的一台节点配置快速克隆至新节点，提升运维效率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86E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22B9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AAD2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03200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EFAB4B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E340FE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中央管理设备主/备/从高可靠部署，主/备/从管理中心均须支持HA双机热备。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B86D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A8A9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7591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59DADB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5C5A9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F606A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支持配置服务级HA，包括不限于对DNS服务状态、DHCP服务状态、监听网卡等设置切换条件，从而保证业务更可靠。</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056F6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1210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898AF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0983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8C267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02989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支持通过页面查看HA两台设备的同步状态，并可以手动开启/停止两台设备的数据同步，并能一键式切换HA主备关系</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69F7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41BBDF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3B4A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13245F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D948D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9AAC6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支持对系统消息或告警快速提醒功能，当有系统关键告警产生时，在页面中有明显提示告警条目，并可以提供快速查看的方法，不需要登录对应的告警模块即可第一时间处理系统关键消息。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75D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3CA2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644AD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31D586">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13FD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B626FC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支持审核工作流，审核人员可对被审核人员在DDI系统中所有的新建，编辑，删除，批量变更等操作进行审批，审批结果支持邮件通知，且可指定审核人员与被审核人员的对应关系，审核记录支持追溯。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9500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4D3B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30828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D2007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BE1B1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FB1CCC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支持账户分权，可设定基于视图、区、权威记录类型、单独权威记录的隐藏/只读/读写权限；支持账户分权，可设定基于网络/地址池的隐藏/只读/读写权限。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ACF7D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8E8A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93512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7A53E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0323D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9ACC62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Web前台界面支持启用抓包，可指定节点进行抓包并下载，帮助用户获取运行真实数据分析和处理问题。</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E898B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184B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EDD0A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0F61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003738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FCE53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支持二级域名注册，管理员可通过动态增删申请项定制域名申请表，支持对申请域名可设置生效期限、变更域名属主、一键禁用所有或特定注册域名、配置允许用户自助维护注册域名或审核变更过程。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2A437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1000F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339A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C226C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BBF12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001D36A">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支持为权威记录等资源列表动态添加自定义属性列，方便用户为域名记录灵活添加备注信息；支持为网络、地址池等资源列表动态添加自定义属性列，方便用户为网络、地址池灵活添加备注信息。</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C15B6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ACCE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6843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B9EB8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FB5E6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管理功能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D8E2E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支持通过web前台查看集群内所有节点的授权类型、有效时间、授权功能范围、授权凭证等；支持通过console口连接设备修改前台超级用户密码；支持不同license类型的节点统一纳管。</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2656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B96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538D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11792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B8F8D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8C09C4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应用状态探测变更、多个探测模板中任一探测状态变更、节点间信息同步时连接状态变更均支持告警；支持对单个服务器单独配置探测协议，也可以通过资源池对引用的服务器指定公共的探测协议；支持探测节点间有冗余机制，当主用探测节点异常时可以由其他探测节点或者备份探测节点自动接替服务；支持域名级设置动态兜底的失败应答策略，减少人工重复配置。</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2F9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C3A5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2AA4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555769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CF3BA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86AC4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支持通过API的方式整合第三方检测平台的业务状态，并可以基于第三方平台返回的业务状态动态切换域名。</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CD09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DEDB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D2D24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38111F">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4A326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E3239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自定义探测设备关联自定义健康检查模板对服务成员进行拨测，多个探测设备可以跨数据中心组成探测组，当选择多个探测设备组成探测组时支持轮询和全局可用的探测策略。支持对探测失败容忍时间进行设置，即探测失败时间超过容忍时间时才会对解析产生影响，不因某一个探测任务的结果进行判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FE70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A5E36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C5C11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E15112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988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DB84EB1">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▲支持域名解析数据的动态建模算法，可根据域名的解析分布时间、解析类型、解析频率等因素给出参考解析行为的“基线”值，当解析的相关指标超过此基线时，能给相关事件的态势预警提示。</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2422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B31C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9740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7D6862">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C4751E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C3DFB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提供智能化的访问调度功能，支持解析记录轮询返回，实现智能全局负载；支持会话保持自定义保持时间；支持IPv6数据中心调度策略；支持组合算法；支持静态就近性算法、全局可用性算法。</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89352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C762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6805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3A0F2D9">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210EB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97A0BD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支持≥14种健康监测方式ICMP、UDP、TCP_SYN、HTTP、HTTPS、TCP、FTP、SMTP、SNMP、SNMP_LINK、TCP_KEEP、DNS、MYSQL、ORACLE等。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A634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644F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B185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DCF14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3CDFB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54C673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▲支持增强应用状态获取的可靠性，数据中心应用服务成员健康状态通过仅本地数据中心、优先本地数据中心、同时多数据中心多种策略探知。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A97F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422C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3067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8817BE">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17A5D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智能解析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A9CAFD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▲支持转发服务器分组；支持对转发服务器健康状态进行监测，支持对异常服务器进行复检，保证异常服务器恢复后快速可用；支持递归请求失败时到指定服务器进行查询测试；支持EDNS携带映射源地址。</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4FFC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A725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A190D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ECA2A7">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89872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解析拨测</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445A27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解析拨测，可进行批量域名的拨测和多DNS间解析一致性对比；支持解析状态监控，可对内网域名解析情况监控，解析延迟、解析结果准确度、解析异常等指标进行实时拨测；支持事件诊断功能，可基于拨测监控诊断数据，定位内网解析故障位置。</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0843B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E321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6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B7C00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9C03C7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2D782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IP地址管理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E6746B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DHCPv6地址下发支持动态前缀，支持DHCPv6无状态地址下发（下发信息方式包括动态前缀和固定前缀两种方式）。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BA8C7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D23B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210DB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48D4910">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C3EDB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IP地址管理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81B50B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▲支持EUI-64算法，支持DHCPv6下的EUI-64地址下发，且后缀地址生成基于EUI-64算法进行。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64AC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AEB1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2A408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371139A">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212DC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IP地址管理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86142EE">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▲支持创建IPv6地址规划方案并设置固定前缀。支持在地址台账中应用IPv6规划方案，可以便捷添加IPv6网络。支持通过规划地图直观展示全网的IPv6地址规划情况。</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83D5A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3A78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9A84CD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357E9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F7598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IP地址管理</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7D839A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▲支持按照图形化方式拖拽规划IPv6地址空间，且每个空间标记不同的业务类型。支持为各地址空间配置空间标识，同时关联与上级标识并形成可落地的IPv6编址方案。</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5ABFC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46A64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34DA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3A781BC">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1B14C9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日志与分析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D219C7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▲支持全网运行状态实时监控；能够实时监测全网设备如下指标的总体统计：域名排行、查询IP排行、解析状态统计、解析类型统计、QPS、解析成功率、缓存命中率。</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C89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696776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DD08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99CF65">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774A3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日志与分析</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F9CC4E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提供丰富的数据报表，可追溯所有失陷主机以及关联威胁信息，统计；支持对全网发现的所有失陷主机统计，以及失陷主机关联的威胁类型，发现时间统计；支持访问的情报域名TOP统计、以及每个域名关联的源IP TOP，情报上下文信息，情报信息包括威胁类型，严重级别，防护策略等。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EF331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9C5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BB07A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CEC8B1">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671530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告警功能</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5B120E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▲支持告警阈值设置，支持邮件、回调、SNMP、Syslog、短信、声音等告警方式，所有告警信息均支持设置不同的告警级别，包括但不限于Debug、Info、Notice、Warning、Err、Crit、Alert等。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18DF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提供满足功能场景需求、配置逻辑清晰且配置结果生效的产品界面截图并加盖制造商公章。</w:t>
            </w: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528F7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1470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F8AEAD">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49D21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资质要求</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9D73C3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snapToGrid/>
                <w:color w:val="auto"/>
                <w:kern w:val="2"/>
                <w:sz w:val="24"/>
                <w:szCs w:val="24"/>
                <w:highlight w:val="none"/>
                <w:u w:val="none"/>
                <w:lang w:val="en-US" w:eastAsia="zh-CN" w:bidi="ar"/>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所投产品须具备由国家保密科技测评中心颁发的涉密信息系统产品检测证书。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931F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1DB3C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7D56C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7AD5C8">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3888F9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资质要求</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E15665F">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val="0"/>
                <w:bCs w:val="0"/>
                <w:color w:val="auto"/>
                <w:spacing w:val="0"/>
                <w:w w:val="100"/>
                <w:position w:val="0"/>
                <w:sz w:val="21"/>
                <w:szCs w:val="21"/>
                <w:highlight w:val="none"/>
              </w:rPr>
              <w:t>★</w:t>
            </w: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所投产品须具备由相关部门颁发的网络安全专用产品安全检测证书。</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1E7C3B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2"/>
                <w:sz w:val="24"/>
                <w:szCs w:val="24"/>
                <w:highlight w:val="none"/>
                <w:u w:val="none"/>
                <w:lang w:eastAsia="zh-CN"/>
              </w:rPr>
              <w:t>列入《网络关键设备和网络安全专用产品目录》的网络安全专用产品，应当按照《信息安全技术网络安全专用产品安全技术要求》等相关国家标准的强制性要求，由具备资格的机构安全认证合格或者安全检测符合要求。</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2293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854"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789C7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2</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E0A4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DNS服务节点</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517418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技术要求</w:t>
            </w: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32EE497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支持节点位置图形化灵活编排、图形化区分节点角色，多节点统一管理；支持多管理/数据中心冗余；支持对不同用户组统一的分权管理；支持HA模式主备管理模式。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611A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32B14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1EB15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5991C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C51E9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1CD06FE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域名分级分层配置下发，支持对三级及以上域名进行WEB网管，且下级单位DNS节点可以作为本级域名管理节点的同时承接上级管理平台下发配置项（配置项包括上级域名授权、本级DNS域名、DNS视图、本节点账号管理权限）。</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AA60D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7E80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5E08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94E1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E50EB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4CF0B65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二级域名管理、注册、申请、变更、注销；对支持记录的解析日志信息保密；操作日志和系统日志对某些管理员不可见；具备灵活的数据报表分析能力，提供自定义报表功能，提供报表定制，可自定义数据统计报表。</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41CD9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1B52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0DB5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42A63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17904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2EC92CD6">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节点集中管理，支持运行信息同步展示，下级节点的运行信息可以实时同步到上级管理平台展示（展示信息包括：CPU使用率、CPU温度、内存使用率）；支持前台配置的备份和恢复；集群管理能力，具备域名系统集群统一管理中心平台，管理平台具备多级冗余技术能力。</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88869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050FA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3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D7818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7E4B0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B2534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14:paraId="06EA1F7C">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所投设备支持辅区永不过期；权威区支持12种记录（A、AAAA、NS、MX、CNAME、NAPTR、SRV、PTR、TXT、DNAME、SPF、CAA）类型添加/修改；支持权威主区；支持IPv4、IPv6反向区域；支持主辅区一键切换；支持权威记录资源自定义标识管理；共享区创建/编辑/删除；支持记录的联动删除PTR。</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DBA0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78E6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0FB2A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A7409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F1E9D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0219FD3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支持转发服务器分组；支持对转发服务器健康状态进行监测，支持对异常服务器进行复检，保证异常服务器恢复后快速可用；支持基于源地址递归查询；支持对解析结果替换；支持EDNS携带映射源地址。</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CB253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r>
      <w:tr w14:paraId="63653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64"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78470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4437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348D7B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2EEC3F0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14种健康监测方式ICMP、UDP、TCP_SYN、HTTP、HTTPS、TCP、SMTP、SNMP、SNMP_LINK、DNS、TCP_KEEP、MYSQL、ORACLE等。支持活跃地址功能，正常活跃地址解析，服务节点数量在限制区间中，解析结果可以正常返回；支持自定义设置探测组，设置内容包含探测策略、探测设备、且多设备之间探测结果相互同步，探测节点相互冗余。</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7C72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E5F0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72"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F499B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955DA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88C2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150EBC6D">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增强应用状态获取的可靠性，数据中心应用服务成员健康状态通过仅本地数据中心、优先本地数据中心、同时多数据中心多种策略探知。提供更多智能解析线路支持能力。支持NXDOMAIN转换功能，权威解析支持NXDOMAIN转换为NOERROR，递归同样支持NXDOMAIN转换为NOERROR。</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36EF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5ED45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5F5A3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44F4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F45F1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1709FB3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自定义探测设备关联自定义健康检查模板对服务成员进行拨测，多个探测设备可以跨数据中心组成探测组，当选择多个探测设备组成探测组时支持轮询和全局可用的探测策略。支持对探测失败容忍时间进行设置，即探测失败时间超过容忍时间时才会对解析产生影响，不因某一个探测任务的结果进行判定。</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90D8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2FBD1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138D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D3C23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9B2C6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64084BD4">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解析拨测，可进行批量域名的拨测和多DNS间解析一致性对比；支持解析状态监控，可对内网域名解析情况监控，解析延迟、解析结果准确度、解析异常等指标进行实时拨测；支持事件诊断功能，可基于拨测监控诊断数据，定位内网解析故障位置。需提供产品界面截图。</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CEEF3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8581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2D3D8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80F25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CB5C8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5B56ED92">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▲支持全网运行状态实时监控；支持设备关键运行统计、支持设备告警。支持智能化访问调度域名图形化展示，支持图形化展现域名的调度逻辑和资源状态。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70BBD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C0E7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2C091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9E053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DDAD9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60700EB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▲支持DNS配置导出，前台可以一键导出DNS配置项进行快速备份（导出的数据包含但不限于：视图配置、区配置、域名记录配置、转发配置、域名调度对象、本地安全策略）。</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E7130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0CB8A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790" w:hRule="atLeast"/>
        </w:trPr>
        <w:tc>
          <w:tcPr>
            <w:tcW w:w="594"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9F5E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3</w:t>
            </w:r>
          </w:p>
        </w:tc>
        <w:tc>
          <w:tcPr>
            <w:tcW w:w="1126" w:type="dxa"/>
            <w:vMerge w:val="restart"/>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A29945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DHCP/IPAM服务节点</w:t>
            </w:r>
          </w:p>
        </w:tc>
        <w:tc>
          <w:tcPr>
            <w:tcW w:w="1496" w:type="dxa"/>
            <w:gridSpan w:val="2"/>
            <w:vMerge w:val="restart"/>
            <w:tcBorders>
              <w:top w:val="single" w:color="000000" w:sz="4" w:space="0"/>
              <w:left w:val="single" w:color="000000" w:sz="4" w:space="0"/>
              <w:right w:val="single" w:color="000000" w:sz="4" w:space="0"/>
            </w:tcBorders>
            <w:shd w:val="clear" w:color="auto" w:fill="FFFFFF"/>
            <w:tcMar>
              <w:top w:w="12" w:type="dxa"/>
              <w:left w:w="12" w:type="dxa"/>
              <w:right w:w="12" w:type="dxa"/>
            </w:tcMar>
            <w:vAlign w:val="center"/>
          </w:tcPr>
          <w:p w14:paraId="4B9A37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技术要求</w:t>
            </w:r>
          </w:p>
        </w:tc>
        <w:tc>
          <w:tcPr>
            <w:tcW w:w="2450" w:type="dxa"/>
            <w:tcBorders>
              <w:top w:val="single" w:color="000000" w:sz="4" w:space="0"/>
              <w:left w:val="single" w:color="000000" w:sz="4" w:space="0"/>
              <w:right w:val="single" w:color="000000" w:sz="4" w:space="0"/>
            </w:tcBorders>
            <w:shd w:val="clear" w:color="auto" w:fill="auto"/>
            <w:tcMar>
              <w:top w:w="12" w:type="dxa"/>
              <w:left w:w="12" w:type="dxa"/>
              <w:right w:w="12" w:type="dxa"/>
            </w:tcMar>
            <w:vAlign w:val="top"/>
          </w:tcPr>
          <w:p w14:paraId="31F6002B">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支持对IPv6网络进行增删改查，支持IPAM双栈，支持DHCPv6 option强制下发，支持配置IPv4及IPv6地址池有效截期。支持RADIUS及LDAP远程认证、支持基于MAC的本地认证。</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6FDD6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182F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A9C62C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10255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7712322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B1F0D3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支持通过IPAM系统自动生成IPv6地址，在指定的地址区间内正序、倒叙、随机的生成地址，并支持设置生成的IP地址个数。支持对网络设备探测发现未管理的IP地址，并能通过邮件的方式发送告警通知管理人员。</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C26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08A3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4D47B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07015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F990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774EE0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▲提供MAC地址访问控制功能，提供MAC地址黑白名单功能；提供Option访问控制功能，支持自定义Option控制规则，规则策略包括等于、不等于、包含、不包含等。支持IPv4及IPv6的DHCP Failover技术，支持调整MCLT和分担比例。</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CCBDC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7A8B4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5FD88E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E802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086D4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5E5BD9F9">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支持IPv4与IPv6租赁日志展示时间、MAC地址、主机名、类型、DHCP Relay网关、网关地址IP、Request源地址、服务器回复IP、租期开始时间、租期结束时间等属性。IPv4和IPv6租赁日志支持Syslog配置和导出功能。</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BC67A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14346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2A62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4DB3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672722B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724D39A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▲支持网络IP使用率、已经使用地址数和地址总数的统计展示，以图形和列表的形式展示网络、IP地址，便于进行直观的网络地址管理。</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F2521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49730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38487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BC71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C20A5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4CC9266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▲支持对IPv6的DHCP报文类型solicit、advertise、request、confirm、renew、rebind、reply、release、decline、information报文实时统计，可查看近三个月的统计数据，统计结果支持导出为PDF或CSV格式文件。</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92C20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22CA22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60B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174A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5ECD12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21CB3FF8">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提供中文图形化方式的全局所有子节点监控功能，包括但不限于：服务器性能、运行状态等。</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DF5E2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提供包含相关指标项的证明材料，证明材料可以使用生产厂家官方网站截图或产品白皮书或第三方机构检验报告或其他相关证明材料，并加盖制造商公章。未提供有效证明材料或证明材料中内容与所填报指标不一致的，该指标按不满足处理。</w:t>
            </w:r>
          </w:p>
        </w:tc>
      </w:tr>
      <w:tr w14:paraId="353F7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DD99E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F70E69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2189FB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14:paraId="0C20AE6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center"/>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▲提供告警阈值设定功能，支持邮件、SNMP、回调、短信等告警方式，所有告警方式都支持设置不同的优先级。</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0FE39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需提供产品界面截图等证明材料。</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2141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26ABB7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6157A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0175B2F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7F0B9F3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DHCPv6地址下发支持动态前缀，支持DHCPv6无状态地址下发（下发信息方式包括动态前缀和固定前缀两种方式）。</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BB1B5A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76DCDB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8"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07754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C7255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1D6D33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421A8B65">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支持EUI-64算法，支持DHCPv6下的EUI-64地址下发，且后缀地址生成基于EUI-64算法进行。</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1974C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E759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6"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149EF2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3E6789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right w:val="single" w:color="000000" w:sz="4" w:space="0"/>
            </w:tcBorders>
            <w:shd w:val="clear" w:color="auto" w:fill="FFFFFF"/>
            <w:tcMar>
              <w:top w:w="12" w:type="dxa"/>
              <w:left w:w="12" w:type="dxa"/>
              <w:right w:w="12" w:type="dxa"/>
            </w:tcMar>
            <w:vAlign w:val="center"/>
          </w:tcPr>
          <w:p w14:paraId="4A0667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0D5C0C27">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支持创建IPv6地址规划方案并设置固定前缀。支持在地址台账中应用IPv6规划方案，可以便捷添加IPv6网络。支持通过规划地图直观展示全网的IPv6地址规划情况。</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FF35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r w14:paraId="1592C0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50" w:hRule="atLeast"/>
        </w:trPr>
        <w:tc>
          <w:tcPr>
            <w:tcW w:w="594"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4E2211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126"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730D86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1496" w:type="dxa"/>
            <w:gridSpan w:val="2"/>
            <w:vMerge w:val="continue"/>
            <w:tcBorders>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64768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p>
        </w:tc>
        <w:tc>
          <w:tcPr>
            <w:tcW w:w="245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top"/>
          </w:tcPr>
          <w:p w14:paraId="6F78BA30">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top"/>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支持按照图形化方式拖拽规划IPv6地址空间，且每个空间标记不同的业务类型。支持为各地址空间配置空间标识，同时关联与上级标识并形成可落地的IPv6编址方案。</w:t>
            </w:r>
          </w:p>
        </w:tc>
        <w:tc>
          <w:tcPr>
            <w:tcW w:w="2646" w:type="dxa"/>
            <w:tcBorders>
              <w:top w:val="single" w:color="000000" w:sz="4" w:space="0"/>
              <w:left w:val="single" w:color="000000" w:sz="4" w:space="0"/>
              <w:bottom w:val="single" w:color="000000" w:sz="4" w:space="0"/>
              <w:right w:val="single" w:color="000000" w:sz="4" w:space="0"/>
            </w:tcBorders>
            <w:shd w:val="clear" w:color="auto" w:fill="FFFFFF"/>
            <w:tcMar>
              <w:top w:w="12" w:type="dxa"/>
              <w:left w:w="12" w:type="dxa"/>
              <w:right w:w="12" w:type="dxa"/>
            </w:tcMar>
            <w:vAlign w:val="center"/>
          </w:tcPr>
          <w:p w14:paraId="55E922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i w:val="0"/>
                <w:snapToGrid/>
                <w:color w:val="auto"/>
                <w:kern w:val="2"/>
                <w:sz w:val="24"/>
                <w:szCs w:val="24"/>
                <w:highlight w:val="none"/>
                <w:u w:val="none"/>
                <w:lang w:eastAsia="zh-CN"/>
              </w:rPr>
            </w:pPr>
            <w:r>
              <w:rPr>
                <w:rFonts w:hint="eastAsia" w:asciiTheme="minorEastAsia" w:hAnsiTheme="minorEastAsia" w:eastAsiaTheme="minorEastAsia" w:cstheme="minorEastAsia"/>
                <w:i w:val="0"/>
                <w:snapToGrid/>
                <w:color w:val="auto"/>
                <w:kern w:val="0"/>
                <w:sz w:val="24"/>
                <w:szCs w:val="24"/>
                <w:highlight w:val="none"/>
                <w:u w:val="none"/>
                <w:lang w:val="en-US" w:eastAsia="zh-CN" w:bidi="ar"/>
              </w:rPr>
              <w:t>提供第三方检测机构出具的CNAS或CMA测试报告证明。</w:t>
            </w:r>
            <w:r>
              <w:rPr>
                <w:rFonts w:hint="eastAsia" w:asciiTheme="minorEastAsia" w:hAnsiTheme="minorEastAsia" w:eastAsiaTheme="minorEastAsia" w:cstheme="minorEastAsia"/>
                <w:b/>
                <w:bCs/>
                <w:i w:val="0"/>
                <w:snapToGrid/>
                <w:color w:val="auto"/>
                <w:kern w:val="0"/>
                <w:sz w:val="24"/>
                <w:szCs w:val="24"/>
                <w:highlight w:val="none"/>
                <w:u w:val="none"/>
                <w:lang w:val="en-US" w:eastAsia="zh-CN" w:bidi="ar"/>
              </w:rPr>
              <w:t>未提供有效证明材料或证明材料中内容与所填报指标不一致的，该指标按不满足处理。</w:t>
            </w:r>
          </w:p>
        </w:tc>
      </w:tr>
    </w:tbl>
    <w:p w14:paraId="5DA60CDE">
      <w:pPr>
        <w:rPr>
          <w:color w:val="auto"/>
          <w:highlight w:val="none"/>
        </w:rPr>
      </w:pPr>
    </w:p>
    <w:p w14:paraId="132C092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p>
    <w:p w14:paraId="3F267353">
      <w:pPr>
        <w:keepNext w:val="0"/>
        <w:keepLines w:val="0"/>
        <w:pageBreakBefore w:val="0"/>
        <w:widowControl w:val="0"/>
        <w:kinsoku/>
        <w:wordWrap/>
        <w:overflowPunct/>
        <w:topLinePunct w:val="0"/>
        <w:autoSpaceDE/>
        <w:autoSpaceDN/>
        <w:bidi w:val="0"/>
        <w:adjustRightInd/>
        <w:snapToGrid/>
        <w:spacing w:before="27"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p>
    <w:p w14:paraId="728DAAAF">
      <w:pPr>
        <w:pStyle w:val="2"/>
        <w:rPr>
          <w:rFonts w:hint="eastAsia"/>
          <w:highlight w:val="none"/>
          <w:lang w:val="en-US" w:eastAsia="zh-CN"/>
        </w:rPr>
      </w:pPr>
    </w:p>
    <w:p w14:paraId="5AB8893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五</w:t>
      </w:r>
      <w:r>
        <w:rPr>
          <w:rFonts w:hint="eastAsia" w:asciiTheme="minorEastAsia" w:hAnsiTheme="minorEastAsia" w:eastAsiaTheme="minorEastAsia" w:cstheme="minorEastAsia"/>
          <w:b/>
          <w:snapToGrid/>
          <w:color w:val="auto"/>
          <w:kern w:val="2"/>
          <w:sz w:val="24"/>
          <w:szCs w:val="24"/>
          <w:highlight w:val="none"/>
          <w:lang w:eastAsia="zh-CN"/>
        </w:rPr>
        <w:t>）采购标的需满足的服务标准、期限、效率等要求；</w:t>
      </w:r>
    </w:p>
    <w:p w14:paraId="3EDE454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2" w:name="_Toc27827544"/>
      <w:bookmarkStart w:id="3" w:name="_Toc266439873"/>
      <w:r>
        <w:rPr>
          <w:rFonts w:hint="eastAsia" w:asciiTheme="minorEastAsia" w:hAnsiTheme="minorEastAsia" w:eastAsiaTheme="minorEastAsia" w:cstheme="minorEastAsia"/>
          <w:snapToGrid/>
          <w:color w:val="auto"/>
          <w:kern w:val="2"/>
          <w:sz w:val="24"/>
          <w:szCs w:val="24"/>
          <w:highlight w:val="none"/>
          <w:lang w:eastAsia="zh-CN"/>
        </w:rPr>
        <w:t>1、技术方案要求</w:t>
      </w:r>
      <w:bookmarkEnd w:id="2"/>
      <w:bookmarkEnd w:id="3"/>
    </w:p>
    <w:p w14:paraId="0B81A2B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（1）详细阐述本次改造的设计方案，包括</w:t>
      </w:r>
      <w:r>
        <w:rPr>
          <w:rFonts w:hint="eastAsia" w:asciiTheme="minorEastAsia" w:hAnsiTheme="minorEastAsia" w:eastAsiaTheme="minorEastAsia" w:cstheme="minorEastAsia"/>
          <w:snapToGrid/>
          <w:color w:val="auto"/>
          <w:kern w:val="2"/>
          <w:sz w:val="24"/>
          <w:szCs w:val="24"/>
          <w:highlight w:val="none"/>
          <w:lang w:val="en-US" w:eastAsia="zh-CN"/>
        </w:rPr>
        <w:t>需求分析、</w:t>
      </w:r>
      <w:r>
        <w:rPr>
          <w:rFonts w:hint="eastAsia" w:asciiTheme="minorEastAsia" w:hAnsiTheme="minorEastAsia" w:eastAsiaTheme="minorEastAsia" w:cstheme="minorEastAsia"/>
          <w:snapToGrid/>
          <w:color w:val="auto"/>
          <w:kern w:val="2"/>
          <w:sz w:val="24"/>
          <w:szCs w:val="24"/>
          <w:highlight w:val="none"/>
          <w:lang w:eastAsia="zh-CN"/>
        </w:rPr>
        <w:t>总体设计，</w:t>
      </w:r>
      <w:r>
        <w:rPr>
          <w:rFonts w:hint="eastAsia" w:asciiTheme="minorEastAsia" w:hAnsiTheme="minorEastAsia" w:eastAsiaTheme="minorEastAsia" w:cstheme="minorEastAsia"/>
          <w:snapToGrid/>
          <w:color w:val="auto"/>
          <w:kern w:val="2"/>
          <w:sz w:val="24"/>
          <w:szCs w:val="24"/>
          <w:highlight w:val="none"/>
          <w:lang w:val="en-US" w:eastAsia="zh-CN"/>
        </w:rPr>
        <w:t>详细设计、</w:t>
      </w:r>
      <w:r>
        <w:rPr>
          <w:rFonts w:hint="eastAsia" w:asciiTheme="minorEastAsia" w:hAnsiTheme="minorEastAsia" w:eastAsiaTheme="minorEastAsia" w:cstheme="minorEastAsia"/>
          <w:snapToGrid/>
          <w:color w:val="auto"/>
          <w:kern w:val="2"/>
          <w:sz w:val="24"/>
          <w:szCs w:val="24"/>
          <w:highlight w:val="none"/>
          <w:lang w:eastAsia="zh-CN"/>
        </w:rPr>
        <w:t>产品选型等；</w:t>
      </w:r>
    </w:p>
    <w:p w14:paraId="516EF7DB">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t>
      </w:r>
      <w:r>
        <w:rPr>
          <w:rFonts w:hint="eastAsia" w:asciiTheme="minorEastAsia" w:hAnsiTheme="minorEastAsia" w:eastAsiaTheme="minorEastAsia" w:cstheme="minorEastAsia"/>
          <w:snapToGrid/>
          <w:color w:val="auto"/>
          <w:kern w:val="2"/>
          <w:sz w:val="24"/>
          <w:szCs w:val="24"/>
          <w:highlight w:val="none"/>
          <w:lang w:val="en-US" w:eastAsia="zh-CN"/>
        </w:rPr>
        <w:t>详细阐述项目</w:t>
      </w:r>
      <w:r>
        <w:rPr>
          <w:rFonts w:hint="eastAsia" w:asciiTheme="minorEastAsia" w:hAnsiTheme="minorEastAsia" w:eastAsiaTheme="minorEastAsia" w:cstheme="minorEastAsia"/>
          <w:snapToGrid/>
          <w:color w:val="auto"/>
          <w:kern w:val="2"/>
          <w:sz w:val="24"/>
          <w:szCs w:val="24"/>
          <w:highlight w:val="none"/>
          <w:lang w:eastAsia="zh-CN"/>
        </w:rPr>
        <w:t>实施方案，需详述项目施工组织方案，实施步骤、施工进度表、</w:t>
      </w:r>
      <w:r>
        <w:rPr>
          <w:rFonts w:hint="eastAsia" w:asciiTheme="minorEastAsia" w:hAnsiTheme="minorEastAsia" w:eastAsiaTheme="minorEastAsia" w:cstheme="minorEastAsia"/>
          <w:snapToGrid/>
          <w:color w:val="auto"/>
          <w:kern w:val="2"/>
          <w:sz w:val="24"/>
          <w:szCs w:val="24"/>
          <w:highlight w:val="none"/>
          <w:lang w:val="en-US" w:eastAsia="zh-CN"/>
        </w:rPr>
        <w:t>集成服务细节</w:t>
      </w:r>
      <w:r>
        <w:rPr>
          <w:rFonts w:hint="eastAsia" w:asciiTheme="minorEastAsia" w:hAnsiTheme="minorEastAsia" w:eastAsiaTheme="minorEastAsia" w:cstheme="minorEastAsia"/>
          <w:snapToGrid/>
          <w:color w:val="auto"/>
          <w:kern w:val="2"/>
          <w:sz w:val="24"/>
          <w:szCs w:val="24"/>
          <w:highlight w:val="none"/>
          <w:lang w:eastAsia="zh-CN"/>
        </w:rPr>
        <w:t>，测试、验收等。</w:t>
      </w:r>
    </w:p>
    <w:p w14:paraId="0C6CE963">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（3）需对项目的重点、难点进行分析，并提出解决方案。</w:t>
      </w:r>
    </w:p>
    <w:p w14:paraId="2546DDA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4" w:name="_Toc27827545"/>
      <w:r>
        <w:rPr>
          <w:rFonts w:hint="eastAsia" w:asciiTheme="minorEastAsia" w:hAnsiTheme="minorEastAsia" w:eastAsiaTheme="minorEastAsia" w:cstheme="minorEastAsia"/>
          <w:snapToGrid/>
          <w:color w:val="auto"/>
          <w:kern w:val="2"/>
          <w:sz w:val="24"/>
          <w:szCs w:val="24"/>
          <w:highlight w:val="none"/>
          <w:lang w:eastAsia="zh-CN"/>
        </w:rPr>
        <w:t>2、项目实施要求</w:t>
      </w:r>
      <w:bookmarkEnd w:id="4"/>
    </w:p>
    <w:p w14:paraId="44DEC3AD">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5" w:name="_Toc27827546"/>
      <w:bookmarkStart w:id="6" w:name="_Toc266439871"/>
      <w:r>
        <w:rPr>
          <w:rFonts w:hint="eastAsia" w:asciiTheme="minorEastAsia" w:hAnsiTheme="minorEastAsia" w:eastAsiaTheme="minorEastAsia" w:cstheme="minorEastAsia"/>
          <w:snapToGrid/>
          <w:color w:val="auto"/>
          <w:kern w:val="2"/>
          <w:sz w:val="24"/>
          <w:szCs w:val="24"/>
          <w:highlight w:val="none"/>
          <w:lang w:eastAsia="zh-CN"/>
        </w:rPr>
        <w:t>1）项目管理要求</w:t>
      </w:r>
      <w:bookmarkEnd w:id="5"/>
      <w:bookmarkEnd w:id="6"/>
    </w:p>
    <w:p w14:paraId="59E1AD42">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在合同生效以后，对采购人认为其能力与本项目所要求的能力不相称而提出更换的项目负责人或者技术员，中标方必须予以更换；中标方更换项目主要负责人或主要技术骨干必须书面报业主同意后方可进行。</w:t>
      </w:r>
    </w:p>
    <w:p w14:paraId="54071BCA">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过程中，如出现因实际情况需要修改技术或调整设备的，中标方要立即组成现场处理小组，小组负责人由采购方负责人和中标方项目负责人担任，中标方必须有≥一名以上技术骨干担任小组成员；中标方必须在最短时间内提交整改方案，如整改方案仍不能顺利解决问题，则采购人有权要求更换中标方技术骨干或项目负责人，中标方应全力配合。</w:t>
      </w:r>
    </w:p>
    <w:p w14:paraId="2976E4DB">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完毕后，中标方要提供详实准确的竣工报告，报告内容要涉及项目中所有软硬件指标及技术实施细则，要求报告思路清晰、条理性强以及高可读性，采购人有权将不符合要求的竣工报告发回中标方重写；最终成文的竣工报告要求有纸质版本，并且要求有双方签字确认，留档保存。</w:t>
      </w:r>
    </w:p>
    <w:p w14:paraId="3E1D2D3B">
      <w:pPr>
        <w:keepNext w:val="0"/>
        <w:keepLines w:val="0"/>
        <w:pageBreakBefore w:val="0"/>
        <w:widowControl w:val="0"/>
        <w:numPr>
          <w:ilvl w:val="0"/>
          <w:numId w:val="5"/>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集成商要对招标人进行系统培训等工作，并提交相关培训技术文档。</w:t>
      </w:r>
    </w:p>
    <w:p w14:paraId="5F2687A1">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7" w:name="_Toc27827547"/>
      <w:bookmarkStart w:id="8" w:name="_Toc266439872"/>
      <w:r>
        <w:rPr>
          <w:rFonts w:hint="eastAsia" w:asciiTheme="minorEastAsia" w:hAnsiTheme="minorEastAsia" w:eastAsiaTheme="minorEastAsia" w:cstheme="minorEastAsia"/>
          <w:snapToGrid/>
          <w:color w:val="auto"/>
          <w:kern w:val="2"/>
          <w:sz w:val="24"/>
          <w:szCs w:val="24"/>
          <w:highlight w:val="none"/>
          <w:lang w:eastAsia="zh-CN"/>
        </w:rPr>
        <w:t>2）项目周期要求</w:t>
      </w:r>
      <w:bookmarkEnd w:id="7"/>
      <w:bookmarkEnd w:id="8"/>
    </w:p>
    <w:p w14:paraId="0A149BD2">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中标方的项目实施时间计划必须满足以下要求：签订合同后</w:t>
      </w:r>
      <w:r>
        <w:rPr>
          <w:rFonts w:hint="eastAsia" w:asciiTheme="minorEastAsia" w:hAnsiTheme="minorEastAsia" w:eastAsiaTheme="minorEastAsia" w:cstheme="minorEastAsia"/>
          <w:snapToGrid/>
          <w:color w:val="auto"/>
          <w:kern w:val="2"/>
          <w:sz w:val="24"/>
          <w:szCs w:val="24"/>
          <w:highlight w:val="none"/>
          <w:lang w:val="en-US" w:eastAsia="zh-CN"/>
        </w:rPr>
        <w:t>90天</w:t>
      </w:r>
      <w:r>
        <w:rPr>
          <w:rFonts w:hint="eastAsia" w:asciiTheme="minorEastAsia" w:hAnsiTheme="minorEastAsia" w:eastAsiaTheme="minorEastAsia" w:cstheme="minorEastAsia"/>
          <w:snapToGrid/>
          <w:color w:val="auto"/>
          <w:kern w:val="2"/>
          <w:sz w:val="24"/>
          <w:szCs w:val="24"/>
          <w:highlight w:val="none"/>
          <w:lang w:eastAsia="zh-CN"/>
        </w:rPr>
        <w:t>内完成，期间要完善实施方案，包括绘制详细施工图纸，</w:t>
      </w:r>
      <w:r>
        <w:rPr>
          <w:rFonts w:hint="eastAsia" w:asciiTheme="minorEastAsia" w:hAnsiTheme="minorEastAsia" w:eastAsiaTheme="minorEastAsia" w:cstheme="minorEastAsia"/>
          <w:snapToGrid/>
          <w:color w:val="auto"/>
          <w:kern w:val="2"/>
          <w:sz w:val="24"/>
          <w:szCs w:val="24"/>
          <w:highlight w:val="none"/>
          <w:lang w:val="en-US" w:eastAsia="zh-CN"/>
        </w:rPr>
        <w:t>制定</w:t>
      </w:r>
      <w:r>
        <w:rPr>
          <w:rFonts w:hint="eastAsia" w:asciiTheme="minorEastAsia" w:hAnsiTheme="minorEastAsia" w:eastAsiaTheme="minorEastAsia" w:cstheme="minorEastAsia"/>
          <w:snapToGrid/>
          <w:color w:val="auto"/>
          <w:kern w:val="2"/>
          <w:sz w:val="24"/>
          <w:szCs w:val="24"/>
          <w:highlight w:val="none"/>
          <w:lang w:eastAsia="zh-CN"/>
        </w:rPr>
        <w:t>详细施工计划，安全措施等，并向招标人汇报，待实施方案经招标人确认后，才能够开始实施</w:t>
      </w:r>
    </w:p>
    <w:p w14:paraId="6CF61A9A">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项目实施必须严格按照实施计划及时间表进行，不得出现拖拉现象，如果实施过程中出现因技术难点导致未能按照计划执行的情况，则酌情延长实施时间并调整时间表；整体实施完毕后,交付用户试运行，试运行周期为1个</w:t>
      </w:r>
      <w:r>
        <w:rPr>
          <w:rFonts w:hint="eastAsia" w:asciiTheme="minorEastAsia" w:hAnsiTheme="minorEastAsia" w:eastAsiaTheme="minorEastAsia" w:cstheme="minorEastAsia"/>
          <w:snapToGrid/>
          <w:color w:val="auto"/>
          <w:kern w:val="2"/>
          <w:sz w:val="24"/>
          <w:szCs w:val="24"/>
          <w:highlight w:val="none"/>
          <w:lang w:val="en-US" w:eastAsia="zh-CN"/>
        </w:rPr>
        <w:t>周</w:t>
      </w:r>
      <w:r>
        <w:rPr>
          <w:rFonts w:hint="eastAsia" w:asciiTheme="minorEastAsia" w:hAnsiTheme="minorEastAsia" w:eastAsiaTheme="minorEastAsia" w:cstheme="minorEastAsia"/>
          <w:snapToGrid/>
          <w:color w:val="auto"/>
          <w:kern w:val="2"/>
          <w:sz w:val="24"/>
          <w:szCs w:val="24"/>
          <w:highlight w:val="none"/>
          <w:lang w:eastAsia="zh-CN"/>
        </w:rPr>
        <w:t>。</w:t>
      </w:r>
    </w:p>
    <w:p w14:paraId="0B5EBDBA">
      <w:pPr>
        <w:keepNext w:val="0"/>
        <w:keepLines w:val="0"/>
        <w:pageBreakBefore w:val="0"/>
        <w:widowControl w:val="0"/>
        <w:numPr>
          <w:ilvl w:val="0"/>
          <w:numId w:val="6"/>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试运行开始同时，中标方开始着手编写竣工报告，要求报告在1个星期之内完成首稿。</w:t>
      </w:r>
    </w:p>
    <w:p w14:paraId="077CE52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六</w:t>
      </w:r>
      <w:r>
        <w:rPr>
          <w:rFonts w:hint="eastAsia" w:asciiTheme="minorEastAsia" w:hAnsiTheme="minorEastAsia" w:eastAsiaTheme="minorEastAsia" w:cstheme="minorEastAsia"/>
          <w:b/>
          <w:snapToGrid/>
          <w:color w:val="auto"/>
          <w:kern w:val="2"/>
          <w:sz w:val="24"/>
          <w:szCs w:val="24"/>
          <w:highlight w:val="none"/>
          <w:lang w:eastAsia="zh-CN"/>
        </w:rPr>
        <w:t>）采购标的的验收标准；</w:t>
      </w:r>
    </w:p>
    <w:p w14:paraId="65B6C423">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由甲乙双方共同组织验收，具体内容包括：</w:t>
      </w:r>
    </w:p>
    <w:p w14:paraId="0D7DE7DB">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供货清单</w:t>
      </w:r>
    </w:p>
    <w:p w14:paraId="298456B2">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竣工资料</w:t>
      </w:r>
    </w:p>
    <w:p w14:paraId="35B222A5">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IP地规划表</w:t>
      </w:r>
    </w:p>
    <w:p w14:paraId="3B2F8397">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网络拓扑图</w:t>
      </w:r>
    </w:p>
    <w:p w14:paraId="3B3A484C">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交换机配置表，包括管理地址、路由地址、Vlan划分、config文件等，每</w:t>
      </w:r>
      <w:r>
        <w:rPr>
          <w:rFonts w:hint="eastAsia" w:asciiTheme="minorEastAsia" w:hAnsiTheme="minorEastAsia" w:eastAsiaTheme="minorEastAsia" w:cstheme="minorEastAsia"/>
          <w:snapToGrid/>
          <w:color w:val="auto"/>
          <w:kern w:val="2"/>
          <w:sz w:val="24"/>
          <w:szCs w:val="24"/>
          <w:highlight w:val="none"/>
          <w:lang w:val="en-US" w:eastAsia="zh-CN"/>
        </w:rPr>
        <w:t>台设备</w:t>
      </w:r>
      <w:r>
        <w:rPr>
          <w:rFonts w:hint="eastAsia" w:asciiTheme="minorEastAsia" w:hAnsiTheme="minorEastAsia" w:eastAsiaTheme="minorEastAsia" w:cstheme="minorEastAsia"/>
          <w:snapToGrid/>
          <w:color w:val="auto"/>
          <w:kern w:val="2"/>
          <w:sz w:val="24"/>
          <w:szCs w:val="24"/>
          <w:highlight w:val="none"/>
          <w:lang w:eastAsia="zh-CN"/>
        </w:rPr>
        <w:t>一份。</w:t>
      </w:r>
    </w:p>
    <w:p w14:paraId="07372943">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网络安全设备</w:t>
      </w:r>
      <w:r>
        <w:rPr>
          <w:rFonts w:hint="eastAsia" w:asciiTheme="minorEastAsia" w:hAnsiTheme="minorEastAsia" w:eastAsiaTheme="minorEastAsia" w:cstheme="minorEastAsia"/>
          <w:snapToGrid/>
          <w:color w:val="auto"/>
          <w:kern w:val="2"/>
          <w:sz w:val="24"/>
          <w:szCs w:val="24"/>
          <w:highlight w:val="none"/>
          <w:lang w:eastAsia="zh-CN"/>
        </w:rPr>
        <w:t>配置表</w:t>
      </w:r>
    </w:p>
    <w:p w14:paraId="1A63FA80">
      <w:pPr>
        <w:keepNext w:val="0"/>
        <w:keepLines w:val="0"/>
        <w:pageBreakBefore w:val="0"/>
        <w:widowControl w:val="0"/>
        <w:numPr>
          <w:ilvl w:val="1"/>
          <w:numId w:val="8"/>
        </w:numPr>
        <w:kinsoku/>
        <w:wordWrap/>
        <w:overflowPunct/>
        <w:topLinePunct w:val="0"/>
        <w:autoSpaceDE/>
        <w:autoSpaceDN/>
        <w:bidi w:val="0"/>
        <w:adjustRightInd/>
        <w:snapToGrid/>
        <w:spacing w:before="120" w:line="240" w:lineRule="auto"/>
        <w:ind w:left="1549" w:hanging="108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项目设计及实施方案等</w:t>
      </w:r>
    </w:p>
    <w:p w14:paraId="497516F9">
      <w:pPr>
        <w:keepNext w:val="0"/>
        <w:keepLines w:val="0"/>
        <w:pageBreakBefore w:val="0"/>
        <w:widowControl w:val="0"/>
        <w:numPr>
          <w:ilvl w:val="0"/>
          <w:numId w:val="7"/>
        </w:numPr>
        <w:kinsoku/>
        <w:wordWrap/>
        <w:overflowPunct/>
        <w:topLinePunct w:val="0"/>
        <w:autoSpaceDE/>
        <w:autoSpaceDN/>
        <w:bidi w:val="0"/>
        <w:adjustRightInd/>
        <w:snapToGrid/>
        <w:spacing w:before="120" w:line="240" w:lineRule="auto"/>
        <w:ind w:left="360" w:hanging="36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测试报告</w:t>
      </w:r>
    </w:p>
    <w:p w14:paraId="71E65D6E">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双栈功能测试，包括核心层到各个出口链路，核心层到汇聚层、汇聚层到接入层，终端到接入层。</w:t>
      </w:r>
    </w:p>
    <w:p w14:paraId="57493149">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所有安全设备功能测试</w:t>
      </w:r>
    </w:p>
    <w:p w14:paraId="441A3497">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域名解析及地址管理与分配系统功能测试</w:t>
      </w:r>
    </w:p>
    <w:p w14:paraId="43A1A553">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业务连续性功能测试</w:t>
      </w:r>
    </w:p>
    <w:p w14:paraId="4915A1B2">
      <w:pPr>
        <w:keepNext w:val="0"/>
        <w:keepLines w:val="0"/>
        <w:pageBreakBefore w:val="0"/>
        <w:widowControl w:val="0"/>
        <w:numPr>
          <w:ilvl w:val="0"/>
          <w:numId w:val="9"/>
        </w:numPr>
        <w:kinsoku/>
        <w:wordWrap/>
        <w:overflowPunct/>
        <w:topLinePunct w:val="0"/>
        <w:autoSpaceDE/>
        <w:autoSpaceDN/>
        <w:bidi w:val="0"/>
        <w:adjustRightInd/>
        <w:snapToGrid/>
        <w:spacing w:before="120" w:line="240" w:lineRule="auto"/>
        <w:ind w:left="720" w:hanging="7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val="en-US" w:eastAsia="zh-CN"/>
        </w:rPr>
        <w:t>全网路由测试</w:t>
      </w:r>
    </w:p>
    <w:p w14:paraId="322BFE16">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b/>
          <w:snapToGrid/>
          <w:color w:val="auto"/>
          <w:kern w:val="2"/>
          <w:sz w:val="24"/>
          <w:szCs w:val="24"/>
          <w:highlight w:val="none"/>
          <w:lang w:eastAsia="zh-CN"/>
        </w:rPr>
      </w:pPr>
      <w:r>
        <w:rPr>
          <w:rFonts w:hint="eastAsia" w:asciiTheme="minorEastAsia" w:hAnsiTheme="minorEastAsia" w:eastAsiaTheme="minorEastAsia" w:cstheme="minorEastAsia"/>
          <w:b/>
          <w:snapToGrid/>
          <w:color w:val="auto"/>
          <w:kern w:val="2"/>
          <w:sz w:val="24"/>
          <w:szCs w:val="24"/>
          <w:highlight w:val="none"/>
          <w:lang w:eastAsia="zh-CN"/>
        </w:rPr>
        <w:t>（</w:t>
      </w:r>
      <w:r>
        <w:rPr>
          <w:rFonts w:hint="eastAsia" w:asciiTheme="minorEastAsia" w:hAnsiTheme="minorEastAsia" w:eastAsiaTheme="minorEastAsia" w:cstheme="minorEastAsia"/>
          <w:b/>
          <w:snapToGrid/>
          <w:color w:val="auto"/>
          <w:kern w:val="2"/>
          <w:sz w:val="24"/>
          <w:szCs w:val="24"/>
          <w:highlight w:val="none"/>
          <w:lang w:val="en-US" w:eastAsia="zh-CN"/>
        </w:rPr>
        <w:t>七</w:t>
      </w:r>
      <w:r>
        <w:rPr>
          <w:rFonts w:hint="eastAsia" w:asciiTheme="minorEastAsia" w:hAnsiTheme="minorEastAsia" w:eastAsiaTheme="minorEastAsia" w:cstheme="minorEastAsia"/>
          <w:b/>
          <w:snapToGrid/>
          <w:color w:val="auto"/>
          <w:kern w:val="2"/>
          <w:sz w:val="24"/>
          <w:szCs w:val="24"/>
          <w:highlight w:val="none"/>
          <w:lang w:eastAsia="zh-CN"/>
        </w:rPr>
        <w:t>）采购标的的其他技术、服务等要求。</w:t>
      </w:r>
    </w:p>
    <w:p w14:paraId="4F3C099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9" w:name="_Toc27827548"/>
      <w:r>
        <w:rPr>
          <w:rFonts w:hint="eastAsia" w:asciiTheme="minorEastAsia" w:hAnsiTheme="minorEastAsia" w:eastAsiaTheme="minorEastAsia" w:cstheme="minorEastAsia"/>
          <w:snapToGrid/>
          <w:color w:val="auto"/>
          <w:kern w:val="2"/>
          <w:sz w:val="24"/>
          <w:szCs w:val="24"/>
          <w:highlight w:val="none"/>
          <w:lang w:eastAsia="zh-CN"/>
        </w:rPr>
        <w:t>1、培训要求</w:t>
      </w:r>
      <w:bookmarkEnd w:id="9"/>
    </w:p>
    <w:p w14:paraId="30A15F6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（1）使甲方受训的技术人员能够了解和熟悉整个项目</w:t>
      </w:r>
      <w:r>
        <w:rPr>
          <w:rFonts w:hint="eastAsia" w:asciiTheme="minorEastAsia" w:hAnsiTheme="minorEastAsia" w:eastAsiaTheme="minorEastAsia" w:cstheme="minorEastAsia"/>
          <w:snapToGrid/>
          <w:color w:val="auto"/>
          <w:kern w:val="2"/>
          <w:sz w:val="24"/>
          <w:szCs w:val="24"/>
          <w:highlight w:val="none"/>
          <w:lang w:val="en-US" w:eastAsia="zh-CN"/>
        </w:rPr>
        <w:t>设计思路</w:t>
      </w:r>
      <w:r>
        <w:rPr>
          <w:rFonts w:hint="eastAsia" w:asciiTheme="minorEastAsia" w:hAnsiTheme="minorEastAsia" w:eastAsiaTheme="minorEastAsia" w:cstheme="minorEastAsia"/>
          <w:snapToGrid/>
          <w:color w:val="auto"/>
          <w:kern w:val="2"/>
          <w:sz w:val="24"/>
          <w:szCs w:val="24"/>
          <w:highlight w:val="none"/>
          <w:lang w:eastAsia="zh-CN"/>
        </w:rPr>
        <w:t>。</w:t>
      </w:r>
    </w:p>
    <w:p w14:paraId="36577E0F">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（2）使甲方受训的技术人员能够了解和熟悉整个项目中所有新增的软硬件产品的原理及性能，掌握</w:t>
      </w:r>
      <w:r>
        <w:rPr>
          <w:rFonts w:hint="eastAsia" w:asciiTheme="minorEastAsia" w:hAnsiTheme="minorEastAsia" w:eastAsiaTheme="minorEastAsia" w:cstheme="minorEastAsia"/>
          <w:snapToGrid/>
          <w:color w:val="auto"/>
          <w:kern w:val="2"/>
          <w:sz w:val="24"/>
          <w:szCs w:val="24"/>
          <w:highlight w:val="none"/>
          <w:lang w:val="en-US" w:eastAsia="zh-CN"/>
        </w:rPr>
        <w:t>配置</w:t>
      </w:r>
      <w:r>
        <w:rPr>
          <w:rFonts w:hint="eastAsia" w:asciiTheme="minorEastAsia" w:hAnsiTheme="minorEastAsia" w:eastAsiaTheme="minorEastAsia" w:cstheme="minorEastAsia"/>
          <w:snapToGrid/>
          <w:color w:val="auto"/>
          <w:kern w:val="2"/>
          <w:sz w:val="24"/>
          <w:szCs w:val="24"/>
          <w:highlight w:val="none"/>
          <w:lang w:eastAsia="zh-CN"/>
        </w:rPr>
        <w:t>、调试、维护和排除故障的基技能，使技术人员能够熟练地操作和管理软硬件，可根据业务需要灵活配置系统用户、分配数据权限及重要数据的备份还原工作。</w:t>
      </w:r>
    </w:p>
    <w:p w14:paraId="342FA81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（3）投标人须详细阐述培训的内容、方法、时间、教材、费用等事项。</w:t>
      </w:r>
    </w:p>
    <w:p w14:paraId="4E3A519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0" w:name="_Toc27827549"/>
      <w:r>
        <w:rPr>
          <w:rFonts w:hint="eastAsia" w:asciiTheme="minorEastAsia" w:hAnsiTheme="minorEastAsia" w:eastAsiaTheme="minorEastAsia" w:cstheme="minorEastAsia"/>
          <w:snapToGrid/>
          <w:color w:val="auto"/>
          <w:kern w:val="2"/>
          <w:sz w:val="24"/>
          <w:szCs w:val="24"/>
          <w:highlight w:val="none"/>
          <w:lang w:eastAsia="zh-CN"/>
        </w:rPr>
        <w:t>2、售后服务</w:t>
      </w:r>
      <w:bookmarkEnd w:id="10"/>
      <w:r>
        <w:rPr>
          <w:rFonts w:hint="eastAsia" w:asciiTheme="minorEastAsia" w:hAnsiTheme="minorEastAsia" w:eastAsiaTheme="minorEastAsia" w:cstheme="minorEastAsia"/>
          <w:snapToGrid/>
          <w:color w:val="auto"/>
          <w:kern w:val="2"/>
          <w:sz w:val="24"/>
          <w:szCs w:val="24"/>
          <w:highlight w:val="none"/>
          <w:lang w:eastAsia="zh-CN"/>
        </w:rPr>
        <w:t>要求</w:t>
      </w:r>
    </w:p>
    <w:p w14:paraId="58798668">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1" w:name="_Toc266439876"/>
      <w:bookmarkStart w:id="12" w:name="_Toc264909668"/>
      <w:bookmarkStart w:id="13" w:name="_Toc27827550"/>
      <w:r>
        <w:rPr>
          <w:rFonts w:hint="eastAsia" w:asciiTheme="minorEastAsia" w:hAnsiTheme="minorEastAsia" w:eastAsiaTheme="minorEastAsia" w:cstheme="minorEastAsia"/>
          <w:snapToGrid/>
          <w:color w:val="auto"/>
          <w:kern w:val="2"/>
          <w:sz w:val="24"/>
          <w:szCs w:val="24"/>
          <w:highlight w:val="none"/>
          <w:lang w:eastAsia="zh-CN"/>
        </w:rPr>
        <w:t>1)服务内容</w:t>
      </w:r>
      <w:bookmarkEnd w:id="11"/>
      <w:bookmarkEnd w:id="12"/>
      <w:bookmarkEnd w:id="13"/>
    </w:p>
    <w:p w14:paraId="0F550815">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4" w:name="_Toc68357879"/>
      <w:bookmarkStart w:id="15" w:name="_Toc68357748"/>
      <w:bookmarkStart w:id="16" w:name="_Toc68357373"/>
      <w:r>
        <w:rPr>
          <w:rFonts w:hint="eastAsia" w:asciiTheme="minorEastAsia" w:hAnsiTheme="minorEastAsia" w:eastAsiaTheme="minorEastAsia" w:cstheme="minorEastAsia"/>
          <w:snapToGrid/>
          <w:color w:val="auto"/>
          <w:kern w:val="2"/>
          <w:sz w:val="24"/>
          <w:szCs w:val="24"/>
          <w:highlight w:val="none"/>
          <w:lang w:eastAsia="zh-CN"/>
        </w:rPr>
        <w:t>工程竣工并通过最终验收后起，供应商对投标范围内的所有系统提供1年免费维护服务。</w:t>
      </w:r>
    </w:p>
    <w:p w14:paraId="5510C0FF">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设备售后保修服务期：本次招标采购的设备,设备原厂商提供的质保期不足3年的，质保期限为3年；设备原厂商提供的质保期超过3年的，按设备原厂商提供的质保期执行。</w:t>
      </w:r>
    </w:p>
    <w:p w14:paraId="0E338525">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属于保修范围、内容的项目，供应商要提供7天×24小时服务，在该期间接到使用方发出的故障通知后，应在2小时内做出故障响应，并在4小时内到达现场，8小时内排除故障。</w:t>
      </w:r>
    </w:p>
    <w:p w14:paraId="244B02CC">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在1年服务期内，供应商应免费提供备品备件以供系统正常使用。</w:t>
      </w:r>
    </w:p>
    <w:p w14:paraId="72458B3E">
      <w:pPr>
        <w:keepNext w:val="0"/>
        <w:keepLines w:val="0"/>
        <w:pageBreakBefore w:val="0"/>
        <w:widowControl w:val="0"/>
        <w:numPr>
          <w:ilvl w:val="1"/>
          <w:numId w:val="10"/>
        </w:numPr>
        <w:kinsoku/>
        <w:wordWrap/>
        <w:overflowPunct/>
        <w:topLinePunct w:val="0"/>
        <w:autoSpaceDE/>
        <w:autoSpaceDN/>
        <w:bidi w:val="0"/>
        <w:adjustRightInd/>
        <w:snapToGrid/>
        <w:spacing w:before="120" w:line="240" w:lineRule="auto"/>
        <w:ind w:left="840" w:hanging="420"/>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在售后保修服务期内，供应商无偿提供人员和技术支持，配合使用方进行技术改进和升级。</w:t>
      </w:r>
    </w:p>
    <w:bookmarkEnd w:id="14"/>
    <w:bookmarkEnd w:id="15"/>
    <w:bookmarkEnd w:id="16"/>
    <w:p w14:paraId="3B7B4B5C">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bookmarkStart w:id="17" w:name="_Toc266439877"/>
      <w:bookmarkStart w:id="18" w:name="_Toc264909669"/>
      <w:bookmarkStart w:id="19" w:name="_Toc27827551"/>
      <w:bookmarkStart w:id="20" w:name="_Toc81235977"/>
      <w:r>
        <w:rPr>
          <w:rFonts w:hint="eastAsia" w:asciiTheme="minorEastAsia" w:hAnsiTheme="minorEastAsia" w:eastAsiaTheme="minorEastAsia" w:cstheme="minorEastAsia"/>
          <w:snapToGrid/>
          <w:color w:val="auto"/>
          <w:kern w:val="2"/>
          <w:sz w:val="24"/>
          <w:szCs w:val="24"/>
          <w:highlight w:val="none"/>
          <w:lang w:eastAsia="zh-CN"/>
        </w:rPr>
        <w:t>2)服务方式</w:t>
      </w:r>
      <w:bookmarkEnd w:id="17"/>
      <w:bookmarkEnd w:id="18"/>
      <w:bookmarkEnd w:id="19"/>
    </w:p>
    <w:p w14:paraId="080C297B">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要求提供多种服务方式，包括：</w:t>
      </w:r>
    </w:p>
    <w:p w14:paraId="4B8F6CEF">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（1）热线电话：提供7×24小时热线电话支持，随时解答设备及系统平台使用过程中出现的问题；</w:t>
      </w:r>
    </w:p>
    <w:p w14:paraId="3DEEB1F7">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（2）WEB方式：提供7×24小时电子邮件、讨论组、文档下载等方式的远程技术支持；</w:t>
      </w:r>
    </w:p>
    <w:p w14:paraId="69E4CA71">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（3）现场服务：提供7×24小时现场服务</w:t>
      </w:r>
      <w:bookmarkEnd w:id="20"/>
      <w:r>
        <w:rPr>
          <w:rFonts w:hint="eastAsia" w:asciiTheme="minorEastAsia" w:hAnsiTheme="minorEastAsia" w:eastAsiaTheme="minorEastAsia" w:cstheme="minorEastAsia"/>
          <w:snapToGrid/>
          <w:color w:val="auto"/>
          <w:kern w:val="2"/>
          <w:sz w:val="24"/>
          <w:szCs w:val="24"/>
          <w:highlight w:val="none"/>
          <w:lang w:eastAsia="zh-CN"/>
        </w:rPr>
        <w:t>。</w:t>
      </w:r>
    </w:p>
    <w:p w14:paraId="62063929">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val="en-US" w:eastAsia="zh-CN"/>
        </w:rPr>
      </w:pPr>
      <w:bookmarkStart w:id="21" w:name="_Toc266439878"/>
      <w:bookmarkStart w:id="22" w:name="_Toc264909670"/>
      <w:bookmarkStart w:id="23" w:name="_Toc27827552"/>
      <w:r>
        <w:rPr>
          <w:rFonts w:hint="eastAsia" w:asciiTheme="minorEastAsia" w:hAnsiTheme="minorEastAsia" w:eastAsiaTheme="minorEastAsia" w:cstheme="minorEastAsia"/>
          <w:snapToGrid/>
          <w:color w:val="auto"/>
          <w:kern w:val="2"/>
          <w:sz w:val="24"/>
          <w:szCs w:val="24"/>
          <w:highlight w:val="none"/>
          <w:lang w:eastAsia="zh-CN"/>
        </w:rPr>
        <w:t>3)技术资料提供</w:t>
      </w:r>
      <w:bookmarkEnd w:id="21"/>
      <w:bookmarkEnd w:id="22"/>
      <w:bookmarkEnd w:id="23"/>
      <w:r>
        <w:rPr>
          <w:rFonts w:hint="eastAsia" w:asciiTheme="minorEastAsia" w:hAnsiTheme="minorEastAsia" w:eastAsiaTheme="minorEastAsia" w:cstheme="minorEastAsia"/>
          <w:b/>
          <w:bCs/>
          <w:snapToGrid/>
          <w:color w:val="auto"/>
          <w:kern w:val="2"/>
          <w:sz w:val="24"/>
          <w:szCs w:val="24"/>
          <w:highlight w:val="none"/>
          <w:lang w:eastAsia="zh-CN"/>
        </w:rPr>
        <w:t>（</w:t>
      </w:r>
      <w:r>
        <w:rPr>
          <w:rFonts w:hint="eastAsia" w:asciiTheme="minorEastAsia" w:hAnsiTheme="minorEastAsia" w:eastAsiaTheme="minorEastAsia" w:cstheme="minorEastAsia"/>
          <w:b/>
          <w:bCs/>
          <w:snapToGrid/>
          <w:color w:val="auto"/>
          <w:kern w:val="2"/>
          <w:sz w:val="24"/>
          <w:szCs w:val="24"/>
          <w:highlight w:val="none"/>
          <w:lang w:val="en-US" w:eastAsia="zh-CN"/>
        </w:rPr>
        <w:t>投标人自行承诺，格式自拟</w:t>
      </w:r>
      <w:r>
        <w:rPr>
          <w:rFonts w:hint="eastAsia" w:asciiTheme="minorEastAsia" w:hAnsiTheme="minorEastAsia" w:eastAsiaTheme="minorEastAsia" w:cstheme="minorEastAsia"/>
          <w:b/>
          <w:bCs/>
          <w:snapToGrid/>
          <w:color w:val="auto"/>
          <w:kern w:val="2"/>
          <w:sz w:val="24"/>
          <w:szCs w:val="24"/>
          <w:highlight w:val="none"/>
          <w:lang w:eastAsia="zh-CN"/>
        </w:rPr>
        <w:t>）</w:t>
      </w:r>
    </w:p>
    <w:p w14:paraId="04D7A3D5">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原则要求（纸质和电子）</w:t>
      </w:r>
    </w:p>
    <w:p w14:paraId="64FD20C3">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投标人提供的全部技术资料必须用中文编写，资料必须准确、清楚、完整，必须满足安装、调试、运行、维护的需要，并与移交时的系统环境一致。</w:t>
      </w:r>
    </w:p>
    <w:p w14:paraId="311FEEE2">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资料清单：</w:t>
      </w:r>
    </w:p>
    <w:p w14:paraId="7A3D7304">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设计及实施方案；（纸质和电子）</w:t>
      </w:r>
    </w:p>
    <w:p w14:paraId="134B1C8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竣工资料；（纸质和电子）</w:t>
      </w:r>
    </w:p>
    <w:p w14:paraId="4662420A">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系统培训文档；（电子）</w:t>
      </w:r>
    </w:p>
    <w:p w14:paraId="1DB3C623">
      <w:pPr>
        <w:keepNext w:val="0"/>
        <w:keepLines w:val="0"/>
        <w:pageBreakBefore w:val="0"/>
        <w:widowControl w:val="0"/>
        <w:kinsoku/>
        <w:wordWrap/>
        <w:overflowPunct/>
        <w:topLinePunct w:val="0"/>
        <w:autoSpaceDE/>
        <w:autoSpaceDN/>
        <w:bidi w:val="0"/>
        <w:adjustRightInd/>
        <w:snapToGrid/>
        <w:spacing w:before="120" w:line="240" w:lineRule="auto"/>
        <w:jc w:val="both"/>
        <w:textAlignment w:val="auto"/>
        <w:rPr>
          <w:rFonts w:hint="eastAsia" w:asciiTheme="minorEastAsia" w:hAnsiTheme="minorEastAsia" w:eastAsiaTheme="minorEastAsia" w:cstheme="minorEastAsia"/>
          <w:snapToGrid/>
          <w:color w:val="auto"/>
          <w:kern w:val="2"/>
          <w:sz w:val="24"/>
          <w:szCs w:val="24"/>
          <w:highlight w:val="none"/>
          <w:lang w:eastAsia="zh-CN"/>
        </w:rPr>
      </w:pPr>
      <w:r>
        <w:rPr>
          <w:rFonts w:hint="eastAsia" w:asciiTheme="minorEastAsia" w:hAnsiTheme="minorEastAsia" w:eastAsiaTheme="minorEastAsia" w:cstheme="minorEastAsia"/>
          <w:snapToGrid/>
          <w:color w:val="auto"/>
          <w:kern w:val="2"/>
          <w:sz w:val="24"/>
          <w:szCs w:val="24"/>
          <w:highlight w:val="none"/>
          <w:lang w:eastAsia="zh-CN"/>
        </w:rPr>
        <w:t>硬件产品包装内的全部资料。</w:t>
      </w:r>
    </w:p>
    <w:p w14:paraId="6804DF07">
      <w:pPr>
        <w:overflowPunct/>
        <w:bidi w:val="0"/>
        <w:spacing w:line="240" w:lineRule="auto"/>
        <w:rPr>
          <w:rFonts w:hint="eastAsia" w:asciiTheme="minorEastAsia" w:hAnsiTheme="minorEastAsia" w:eastAsiaTheme="minorEastAsia" w:cstheme="minorEastAsia"/>
          <w:b w:val="0"/>
          <w:bCs w:val="0"/>
          <w:color w:val="auto"/>
          <w:spacing w:val="0"/>
          <w:w w:val="100"/>
          <w:position w:val="0"/>
          <w:sz w:val="24"/>
          <w:szCs w:val="24"/>
          <w:highlight w:val="none"/>
          <w:lang w:val="en-US" w:eastAsia="zh-CN"/>
        </w:rPr>
      </w:pPr>
    </w:p>
    <w:p w14:paraId="2B5AB486">
      <w:pPr>
        <w:numPr>
          <w:ilvl w:val="0"/>
          <w:numId w:val="0"/>
        </w:numPr>
        <w:overflowPunct/>
        <w:bidi w:val="0"/>
        <w:spacing w:line="240" w:lineRule="auto"/>
        <w:rPr>
          <w:rFonts w:hint="eastAsia" w:asciiTheme="minorEastAsia" w:hAnsiTheme="minorEastAsia" w:eastAsiaTheme="minorEastAsia" w:cstheme="minorEastAsia"/>
          <w:b/>
          <w:bCs/>
          <w:color w:val="auto"/>
          <w:spacing w:val="0"/>
          <w:w w:val="100"/>
          <w:position w:val="0"/>
          <w:sz w:val="22"/>
          <w:szCs w:val="22"/>
          <w:highlight w:val="none"/>
          <w:lang w:val="en-US" w:eastAsia="zh-CN"/>
        </w:rPr>
      </w:pPr>
    </w:p>
    <w:p w14:paraId="183BD2F1">
      <w:pPr>
        <w:numPr>
          <w:ilvl w:val="0"/>
          <w:numId w:val="0"/>
        </w:numPr>
        <w:overflowPunct/>
        <w:bidi w:val="0"/>
        <w:spacing w:line="240" w:lineRule="auto"/>
        <w:rPr>
          <w:rFonts w:hint="eastAsia" w:asciiTheme="minorEastAsia" w:hAnsiTheme="minorEastAsia" w:eastAsiaTheme="minorEastAsia" w:cstheme="minorEastAsia"/>
          <w:b/>
          <w:bCs/>
          <w:color w:val="auto"/>
          <w:spacing w:val="0"/>
          <w:w w:val="100"/>
          <w:position w:val="0"/>
          <w:sz w:val="22"/>
          <w:szCs w:val="22"/>
          <w:highlight w:val="none"/>
          <w:lang w:val="en-US" w:eastAsia="zh-CN"/>
        </w:rPr>
      </w:pPr>
    </w:p>
    <w:p w14:paraId="4484963C">
      <w:pPr>
        <w:pStyle w:val="2"/>
        <w:overflowPunct/>
        <w:bidi w:val="0"/>
        <w:spacing w:line="240" w:lineRule="auto"/>
        <w:ind w:left="0" w:leftChars="0" w:firstLine="0" w:firstLineChars="0"/>
        <w:rPr>
          <w:rFonts w:hint="eastAsia" w:asciiTheme="minorEastAsia" w:hAnsiTheme="minorEastAsia" w:eastAsiaTheme="minorEastAsia" w:cstheme="minorEastAsia"/>
          <w:color w:val="auto"/>
          <w:highlight w:val="none"/>
          <w:lang w:val="en-US" w:eastAsia="zh-CN"/>
        </w:rPr>
      </w:pPr>
      <w:bookmarkStart w:id="24" w:name="_GoBack"/>
      <w:bookmarkEnd w:id="24"/>
    </w:p>
    <w:sectPr>
      <w:headerReference r:id="rId5" w:type="default"/>
      <w:footerReference r:id="rId6" w:type="default"/>
      <w:pgSz w:w="11907" w:h="16840"/>
      <w:pgMar w:top="1149" w:right="1021" w:bottom="1060" w:left="1588" w:header="875" w:footer="88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1FA99">
    <w:pPr>
      <w:spacing w:line="189" w:lineRule="auto"/>
      <w:ind w:left="4548"/>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479341">
                          <w:pPr>
                            <w:pStyle w:val="12"/>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3D479341">
                    <w:pPr>
                      <w:pStyle w:val="12"/>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13F9B">
    <w:pPr>
      <w:pStyle w:val="5"/>
      <w:spacing w:before="3" w:line="200" w:lineRule="auto"/>
      <w:ind w:left="5768"/>
      <w:jc w:val="right"/>
      <w:rPr>
        <w:sz w:val="18"/>
        <w:szCs w:val="18"/>
      </w:rPr>
    </w:pPr>
    <w:r>
      <w:pict>
        <v:shape id="_x0000_s2091" o:spid="_x0000_s2091" style="position:absolute;left:0pt;margin-left:85.05pt;margin-top:56.55pt;height:0.75pt;width:453.65pt;mso-position-horizontal-relative:page;mso-position-vertical-relative:page;z-index:251659264;mso-width-relative:page;mso-height-relative:page;" fillcolor="#000000" filled="t" stroked="f" coordsize="9072,15" o:allowincell="f" path="m0,0l9072,0,9072,14,0,14,0,0xe">
          <v:path/>
          <v:fill on="t" focussize="0,0"/>
          <v:stroke on="f"/>
          <v:imagedata o:title=""/>
          <o:lock v:ext="edit"/>
        </v:shape>
      </w:pict>
    </w:r>
    <w:r>
      <w:rPr>
        <w:spacing w:val="-1"/>
        <w:sz w:val="18"/>
        <w:szCs w:val="18"/>
      </w:rPr>
      <w:t>北京市政府采购项目公开招标文件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AF4F57"/>
    <w:multiLevelType w:val="singleLevel"/>
    <w:tmpl w:val="DFAF4F57"/>
    <w:lvl w:ilvl="0" w:tentative="0">
      <w:start w:val="1"/>
      <w:numFmt w:val="decimal"/>
      <w:suff w:val="nothing"/>
      <w:lvlText w:val="%1、"/>
      <w:lvlJc w:val="left"/>
    </w:lvl>
  </w:abstractNum>
  <w:abstractNum w:abstractNumId="1">
    <w:nsid w:val="EDF88A35"/>
    <w:multiLevelType w:val="singleLevel"/>
    <w:tmpl w:val="EDF88A35"/>
    <w:lvl w:ilvl="0" w:tentative="0">
      <w:start w:val="3"/>
      <w:numFmt w:val="chineseCounting"/>
      <w:suff w:val="nothing"/>
      <w:lvlText w:val="（%1）"/>
      <w:lvlJc w:val="left"/>
      <w:rPr>
        <w:rFonts w:hint="eastAsia"/>
      </w:rPr>
    </w:lvl>
  </w:abstractNum>
  <w:abstractNum w:abstractNumId="2">
    <w:nsid w:val="05E43BE4"/>
    <w:multiLevelType w:val="multilevel"/>
    <w:tmpl w:val="05E43BE4"/>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7D37F98"/>
    <w:multiLevelType w:val="multilevel"/>
    <w:tmpl w:val="27D37F98"/>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91052C6"/>
    <w:multiLevelType w:val="multilevel"/>
    <w:tmpl w:val="391052C6"/>
    <w:lvl w:ilvl="0" w:tentative="0">
      <w:start w:val="1"/>
      <w:numFmt w:val="decimal"/>
      <w:lvlText w:val="%1、"/>
      <w:lvlJc w:val="left"/>
      <w:pPr>
        <w:ind w:left="979" w:hanging="930"/>
      </w:pPr>
      <w:rPr>
        <w:rFonts w:ascii="宋体" w:hAnsi="宋体" w:eastAsia="宋体" w:cs="Times New Roman"/>
      </w:rPr>
    </w:lvl>
    <w:lvl w:ilvl="1" w:tentative="0">
      <w:start w:val="1"/>
      <w:numFmt w:val="decimal"/>
      <w:lvlText w:val="（%2）"/>
      <w:lvlJc w:val="left"/>
      <w:pPr>
        <w:ind w:left="1549" w:hanging="1080"/>
      </w:pPr>
      <w:rPr>
        <w:rFonts w:hint="default"/>
      </w:rPr>
    </w:lvl>
    <w:lvl w:ilvl="2" w:tentative="0">
      <w:start w:val="1"/>
      <w:numFmt w:val="lowerRoman"/>
      <w:lvlText w:val="%3."/>
      <w:lvlJc w:val="right"/>
      <w:pPr>
        <w:ind w:left="1309" w:hanging="420"/>
      </w:pPr>
    </w:lvl>
    <w:lvl w:ilvl="3" w:tentative="0">
      <w:start w:val="1"/>
      <w:numFmt w:val="decimal"/>
      <w:lvlText w:val="%4."/>
      <w:lvlJc w:val="left"/>
      <w:pPr>
        <w:ind w:left="1729" w:hanging="420"/>
      </w:pPr>
    </w:lvl>
    <w:lvl w:ilvl="4" w:tentative="0">
      <w:start w:val="1"/>
      <w:numFmt w:val="lowerLetter"/>
      <w:lvlText w:val="%5)"/>
      <w:lvlJc w:val="left"/>
      <w:pPr>
        <w:ind w:left="2149" w:hanging="420"/>
      </w:pPr>
    </w:lvl>
    <w:lvl w:ilvl="5" w:tentative="0">
      <w:start w:val="1"/>
      <w:numFmt w:val="lowerRoman"/>
      <w:lvlText w:val="%6."/>
      <w:lvlJc w:val="right"/>
      <w:pPr>
        <w:ind w:left="2569" w:hanging="420"/>
      </w:pPr>
    </w:lvl>
    <w:lvl w:ilvl="6" w:tentative="0">
      <w:start w:val="1"/>
      <w:numFmt w:val="decimal"/>
      <w:lvlText w:val="%7."/>
      <w:lvlJc w:val="left"/>
      <w:pPr>
        <w:ind w:left="2989" w:hanging="420"/>
      </w:pPr>
    </w:lvl>
    <w:lvl w:ilvl="7" w:tentative="0">
      <w:start w:val="1"/>
      <w:numFmt w:val="lowerLetter"/>
      <w:lvlText w:val="%8)"/>
      <w:lvlJc w:val="left"/>
      <w:pPr>
        <w:ind w:left="3409" w:hanging="420"/>
      </w:pPr>
    </w:lvl>
    <w:lvl w:ilvl="8" w:tentative="0">
      <w:start w:val="1"/>
      <w:numFmt w:val="lowerRoman"/>
      <w:lvlText w:val="%9."/>
      <w:lvlJc w:val="right"/>
      <w:pPr>
        <w:ind w:left="3829" w:hanging="420"/>
      </w:pPr>
    </w:lvl>
  </w:abstractNum>
  <w:abstractNum w:abstractNumId="5">
    <w:nsid w:val="3FED1D33"/>
    <w:multiLevelType w:val="multilevel"/>
    <w:tmpl w:val="3FED1D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E55A97"/>
    <w:multiLevelType w:val="multilevel"/>
    <w:tmpl w:val="56E55A97"/>
    <w:lvl w:ilvl="0" w:tentative="0">
      <w:start w:val="1"/>
      <w:numFmt w:val="bullet"/>
      <w:lvlText w:val=""/>
      <w:lvlJc w:val="left"/>
      <w:pPr>
        <w:ind w:left="360" w:hanging="36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4540442"/>
    <w:multiLevelType w:val="multilevel"/>
    <w:tmpl w:val="74540442"/>
    <w:lvl w:ilvl="0" w:tentative="0">
      <w:start w:val="1"/>
      <w:numFmt w:val="decimal"/>
      <w:pStyle w:val="6"/>
      <w:lvlText w:val="第%1章"/>
      <w:lvlJc w:val="left"/>
      <w:pPr>
        <w:ind w:left="905" w:hanging="425"/>
      </w:pPr>
      <w:rPr>
        <w:rFonts w:hint="default" w:eastAsia="宋体"/>
        <w:b/>
        <w:i w:val="0"/>
        <w:sz w:val="24"/>
        <w:szCs w:val="24"/>
      </w:rPr>
    </w:lvl>
    <w:lvl w:ilvl="1" w:tentative="0">
      <w:start w:val="1"/>
      <w:numFmt w:val="decimal"/>
      <w:pStyle w:val="7"/>
      <w:lvlText w:val="%1.%2"/>
      <w:lvlJc w:val="left"/>
      <w:pPr>
        <w:ind w:left="1472" w:hanging="567"/>
      </w:pPr>
      <w:rPr>
        <w:rFonts w:hint="default" w:ascii="宋体" w:hAnsi="宋体" w:eastAsia="宋体"/>
        <w:b/>
        <w:i w:val="0"/>
        <w:sz w:val="24"/>
        <w:szCs w:val="24"/>
      </w:rPr>
    </w:lvl>
    <w:lvl w:ilvl="2" w:tentative="0">
      <w:start w:val="1"/>
      <w:numFmt w:val="decimal"/>
      <w:lvlText w:val="%1.%2.%3"/>
      <w:lvlJc w:val="left"/>
      <w:pPr>
        <w:ind w:left="1898" w:hanging="567"/>
      </w:pPr>
      <w:rPr>
        <w:rFonts w:hint="default" w:ascii="宋体" w:hAnsi="宋体" w:eastAsia="宋体"/>
        <w:b/>
        <w:i w:val="0"/>
        <w:sz w:val="24"/>
        <w:szCs w:val="24"/>
      </w:rPr>
    </w:lvl>
    <w:lvl w:ilvl="3" w:tentative="0">
      <w:start w:val="1"/>
      <w:numFmt w:val="decimal"/>
      <w:lvlText w:val="%1.%2.%3.%4"/>
      <w:lvlJc w:val="left"/>
      <w:pPr>
        <w:ind w:left="2181" w:hanging="708"/>
      </w:pPr>
      <w:rPr>
        <w:b w:val="0"/>
        <w:bCs w:val="0"/>
        <w:i w:val="0"/>
        <w:iCs w:val="0"/>
        <w:caps w:val="0"/>
        <w:smallCaps w:val="0"/>
        <w:strike w:val="0"/>
        <w:dstrike w:val="0"/>
        <w:vanish w:val="0"/>
        <w:spacing w:val="0"/>
        <w:position w:val="0"/>
        <w:u w:val="none"/>
        <w:vertAlign w:val="baseline"/>
      </w:rPr>
    </w:lvl>
    <w:lvl w:ilvl="4" w:tentative="0">
      <w:start w:val="1"/>
      <w:numFmt w:val="decimal"/>
      <w:lvlText w:val="%1.%2.%3.%4.%5"/>
      <w:lvlJc w:val="left"/>
      <w:pPr>
        <w:ind w:left="3031" w:hanging="850"/>
      </w:pPr>
      <w:rPr>
        <w:rFonts w:hint="eastAsia" w:ascii="宋体" w:hAnsi="宋体" w:eastAsia="宋体"/>
        <w:b/>
        <w:i w:val="0"/>
        <w:sz w:val="28"/>
      </w:rPr>
    </w:lvl>
    <w:lvl w:ilvl="5" w:tentative="0">
      <w:start w:val="1"/>
      <w:numFmt w:val="decimal"/>
      <w:lvlText w:val="%1.%2.%3.%4.%5.%6"/>
      <w:lvlJc w:val="left"/>
      <w:pPr>
        <w:ind w:left="3740" w:hanging="1134"/>
      </w:pPr>
      <w:rPr>
        <w:rFonts w:hint="eastAsia" w:ascii="宋体" w:hAnsi="宋体" w:eastAsia="宋体"/>
        <w:b/>
        <w:i w:val="0"/>
        <w:sz w:val="24"/>
      </w:rPr>
    </w:lvl>
    <w:lvl w:ilvl="6" w:tentative="0">
      <w:start w:val="1"/>
      <w:numFmt w:val="decimal"/>
      <w:lvlText w:val="%1.%2.%3.%4.%5.%6.%7"/>
      <w:lvlJc w:val="left"/>
      <w:pPr>
        <w:ind w:left="4307" w:hanging="1276"/>
      </w:pPr>
      <w:rPr>
        <w:rFonts w:hint="eastAsia" w:ascii="宋体" w:hAnsi="宋体" w:eastAsia="宋体"/>
        <w:b/>
        <w:i w:val="0"/>
        <w:sz w:val="24"/>
      </w:rPr>
    </w:lvl>
    <w:lvl w:ilvl="7" w:tentative="0">
      <w:start w:val="1"/>
      <w:numFmt w:val="decimal"/>
      <w:lvlText w:val="%1.%2.%3.%4.%5.%6.%7.%8"/>
      <w:lvlJc w:val="left"/>
      <w:pPr>
        <w:ind w:left="4874" w:hanging="1418"/>
      </w:pPr>
      <w:rPr>
        <w:rFonts w:hint="eastAsia" w:eastAsia="宋体"/>
        <w:b/>
        <w:i w:val="0"/>
        <w:sz w:val="24"/>
      </w:rPr>
    </w:lvl>
    <w:lvl w:ilvl="8" w:tentative="0">
      <w:start w:val="1"/>
      <w:numFmt w:val="decimal"/>
      <w:lvlText w:val="%1.%2.%3.%4.%5.%6.%7.%8.%9"/>
      <w:lvlJc w:val="left"/>
      <w:pPr>
        <w:ind w:left="5582" w:hanging="1700"/>
      </w:pPr>
      <w:rPr>
        <w:rFonts w:hint="eastAsia" w:eastAsia="宋体"/>
        <w:b/>
        <w:i w:val="0"/>
        <w:sz w:val="24"/>
      </w:rPr>
    </w:lvl>
  </w:abstractNum>
  <w:abstractNum w:abstractNumId="8">
    <w:nsid w:val="795EF12F"/>
    <w:multiLevelType w:val="singleLevel"/>
    <w:tmpl w:val="795EF12F"/>
    <w:lvl w:ilvl="0" w:tentative="0">
      <w:start w:val="1"/>
      <w:numFmt w:val="decimal"/>
      <w:lvlText w:val="(%1)"/>
      <w:lvlJc w:val="left"/>
      <w:pPr>
        <w:ind w:left="425" w:hanging="425"/>
      </w:pPr>
      <w:rPr>
        <w:rFonts w:hint="default"/>
      </w:rPr>
    </w:lvl>
  </w:abstractNum>
  <w:abstractNum w:abstractNumId="9">
    <w:nsid w:val="7A8636F4"/>
    <w:multiLevelType w:val="multilevel"/>
    <w:tmpl w:val="7A8636F4"/>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0"/>
  </w:num>
  <w:num w:numId="3">
    <w:abstractNumId w:val="8"/>
  </w:num>
  <w:num w:numId="4">
    <w:abstractNumId w:val="1"/>
  </w:num>
  <w:num w:numId="5">
    <w:abstractNumId w:val="2"/>
  </w:num>
  <w:num w:numId="6">
    <w:abstractNumId w:val="9"/>
  </w:num>
  <w:num w:numId="7">
    <w:abstractNumId w:val="5"/>
  </w:num>
  <w:num w:numId="8">
    <w:abstractNumId w:val="4"/>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rsids>
    <w:rsidRoot w:val="00172A27"/>
    <w:rsid w:val="00726300"/>
    <w:rsid w:val="00771B68"/>
    <w:rsid w:val="008506DE"/>
    <w:rsid w:val="008D313A"/>
    <w:rsid w:val="008F6EB2"/>
    <w:rsid w:val="00991ADF"/>
    <w:rsid w:val="00DB6DD2"/>
    <w:rsid w:val="00FF56BA"/>
    <w:rsid w:val="011E4E03"/>
    <w:rsid w:val="016C0FA1"/>
    <w:rsid w:val="01775349"/>
    <w:rsid w:val="01883901"/>
    <w:rsid w:val="0196601E"/>
    <w:rsid w:val="01C54B55"/>
    <w:rsid w:val="01F80A87"/>
    <w:rsid w:val="02296E92"/>
    <w:rsid w:val="023870D5"/>
    <w:rsid w:val="024832E2"/>
    <w:rsid w:val="0261662C"/>
    <w:rsid w:val="026E0D49"/>
    <w:rsid w:val="0273010D"/>
    <w:rsid w:val="027C16B8"/>
    <w:rsid w:val="02810089"/>
    <w:rsid w:val="02867E41"/>
    <w:rsid w:val="02A227A1"/>
    <w:rsid w:val="02B01361"/>
    <w:rsid w:val="02DE3D3D"/>
    <w:rsid w:val="03035935"/>
    <w:rsid w:val="03101E00"/>
    <w:rsid w:val="031713E0"/>
    <w:rsid w:val="0331745B"/>
    <w:rsid w:val="03345AEF"/>
    <w:rsid w:val="034A70C0"/>
    <w:rsid w:val="03551551"/>
    <w:rsid w:val="0361440A"/>
    <w:rsid w:val="038806F4"/>
    <w:rsid w:val="039D6C50"/>
    <w:rsid w:val="03A80933"/>
    <w:rsid w:val="03C2759E"/>
    <w:rsid w:val="03E528B6"/>
    <w:rsid w:val="040000C7"/>
    <w:rsid w:val="04004297"/>
    <w:rsid w:val="040B175C"/>
    <w:rsid w:val="041A5326"/>
    <w:rsid w:val="0439760D"/>
    <w:rsid w:val="04B85F11"/>
    <w:rsid w:val="04C258ED"/>
    <w:rsid w:val="04E92909"/>
    <w:rsid w:val="05157BA2"/>
    <w:rsid w:val="051756C8"/>
    <w:rsid w:val="05243941"/>
    <w:rsid w:val="05353DA0"/>
    <w:rsid w:val="05356771"/>
    <w:rsid w:val="059A6853"/>
    <w:rsid w:val="05A31106"/>
    <w:rsid w:val="05B13426"/>
    <w:rsid w:val="06382FA5"/>
    <w:rsid w:val="064029FC"/>
    <w:rsid w:val="065169B7"/>
    <w:rsid w:val="06563FCE"/>
    <w:rsid w:val="069074E0"/>
    <w:rsid w:val="069B1336"/>
    <w:rsid w:val="069C0FFA"/>
    <w:rsid w:val="06D849E3"/>
    <w:rsid w:val="070D6D82"/>
    <w:rsid w:val="07465DF0"/>
    <w:rsid w:val="075C1468"/>
    <w:rsid w:val="07603356"/>
    <w:rsid w:val="07C1639C"/>
    <w:rsid w:val="07CA4C73"/>
    <w:rsid w:val="07D9342B"/>
    <w:rsid w:val="07E21FBD"/>
    <w:rsid w:val="07FC2953"/>
    <w:rsid w:val="0828199A"/>
    <w:rsid w:val="08353EC0"/>
    <w:rsid w:val="08420CAE"/>
    <w:rsid w:val="089048DF"/>
    <w:rsid w:val="08D5236D"/>
    <w:rsid w:val="08EE6740"/>
    <w:rsid w:val="08F82A58"/>
    <w:rsid w:val="091837BC"/>
    <w:rsid w:val="092407D7"/>
    <w:rsid w:val="09554A11"/>
    <w:rsid w:val="098D41AA"/>
    <w:rsid w:val="09EA33AB"/>
    <w:rsid w:val="0A1641A0"/>
    <w:rsid w:val="0A4F320E"/>
    <w:rsid w:val="0A9B46A5"/>
    <w:rsid w:val="0A9F23E7"/>
    <w:rsid w:val="0AE53B72"/>
    <w:rsid w:val="0AE93662"/>
    <w:rsid w:val="0AEC3FFC"/>
    <w:rsid w:val="0AF838A6"/>
    <w:rsid w:val="0B016BFE"/>
    <w:rsid w:val="0B026EC9"/>
    <w:rsid w:val="0B056B95"/>
    <w:rsid w:val="0B666A61"/>
    <w:rsid w:val="0BA56959"/>
    <w:rsid w:val="0BDF4AD6"/>
    <w:rsid w:val="0C152235"/>
    <w:rsid w:val="0C197F77"/>
    <w:rsid w:val="0C252478"/>
    <w:rsid w:val="0C346B5F"/>
    <w:rsid w:val="0C3628D7"/>
    <w:rsid w:val="0C476893"/>
    <w:rsid w:val="0C4C00C9"/>
    <w:rsid w:val="0C7451AE"/>
    <w:rsid w:val="0C874E01"/>
    <w:rsid w:val="0CFA1B57"/>
    <w:rsid w:val="0CFE2CC9"/>
    <w:rsid w:val="0D0429D6"/>
    <w:rsid w:val="0D246BD4"/>
    <w:rsid w:val="0D3B0FD3"/>
    <w:rsid w:val="0D7D0092"/>
    <w:rsid w:val="0D95362E"/>
    <w:rsid w:val="0DC3019B"/>
    <w:rsid w:val="0DC50F3E"/>
    <w:rsid w:val="0DE40111"/>
    <w:rsid w:val="0E083572"/>
    <w:rsid w:val="0E100F06"/>
    <w:rsid w:val="0E137B5A"/>
    <w:rsid w:val="0E590AFF"/>
    <w:rsid w:val="0EA55AF2"/>
    <w:rsid w:val="0EAF6971"/>
    <w:rsid w:val="0EC12A76"/>
    <w:rsid w:val="0F2D24A0"/>
    <w:rsid w:val="0F36499C"/>
    <w:rsid w:val="0F6838C7"/>
    <w:rsid w:val="0F73799F"/>
    <w:rsid w:val="0FB3423F"/>
    <w:rsid w:val="0FD83CA6"/>
    <w:rsid w:val="0FE8213B"/>
    <w:rsid w:val="0FF66139"/>
    <w:rsid w:val="100A5921"/>
    <w:rsid w:val="1013219E"/>
    <w:rsid w:val="10172A20"/>
    <w:rsid w:val="1032785A"/>
    <w:rsid w:val="10501A8E"/>
    <w:rsid w:val="10525806"/>
    <w:rsid w:val="106A0DA2"/>
    <w:rsid w:val="10B55FD7"/>
    <w:rsid w:val="10BE4C49"/>
    <w:rsid w:val="10E24DDC"/>
    <w:rsid w:val="10E55EE6"/>
    <w:rsid w:val="10FB08DB"/>
    <w:rsid w:val="10FE773C"/>
    <w:rsid w:val="112814E6"/>
    <w:rsid w:val="11305937"/>
    <w:rsid w:val="1131366D"/>
    <w:rsid w:val="114710E3"/>
    <w:rsid w:val="114C04A7"/>
    <w:rsid w:val="114C1996"/>
    <w:rsid w:val="116F23E8"/>
    <w:rsid w:val="11716160"/>
    <w:rsid w:val="11AB1672"/>
    <w:rsid w:val="11B30526"/>
    <w:rsid w:val="11C444E1"/>
    <w:rsid w:val="11D64215"/>
    <w:rsid w:val="11D861DF"/>
    <w:rsid w:val="11E608FC"/>
    <w:rsid w:val="12241424"/>
    <w:rsid w:val="12356491"/>
    <w:rsid w:val="12726BBD"/>
    <w:rsid w:val="129A3460"/>
    <w:rsid w:val="12CB18A0"/>
    <w:rsid w:val="12DC475D"/>
    <w:rsid w:val="12E27315"/>
    <w:rsid w:val="12E666D9"/>
    <w:rsid w:val="12ED1816"/>
    <w:rsid w:val="13082AF4"/>
    <w:rsid w:val="134753CA"/>
    <w:rsid w:val="134A310C"/>
    <w:rsid w:val="135B2C24"/>
    <w:rsid w:val="13781A27"/>
    <w:rsid w:val="13B81E24"/>
    <w:rsid w:val="13DF3855"/>
    <w:rsid w:val="13F07810"/>
    <w:rsid w:val="1410297C"/>
    <w:rsid w:val="14613537"/>
    <w:rsid w:val="14B545B5"/>
    <w:rsid w:val="14BA7E1E"/>
    <w:rsid w:val="150177FB"/>
    <w:rsid w:val="153320AA"/>
    <w:rsid w:val="153C6CA9"/>
    <w:rsid w:val="15427BF2"/>
    <w:rsid w:val="157B75AD"/>
    <w:rsid w:val="15AC7766"/>
    <w:rsid w:val="15C732DB"/>
    <w:rsid w:val="1635627C"/>
    <w:rsid w:val="16421E79"/>
    <w:rsid w:val="16495B3E"/>
    <w:rsid w:val="164C2CF7"/>
    <w:rsid w:val="166167A3"/>
    <w:rsid w:val="169F551D"/>
    <w:rsid w:val="16C86822"/>
    <w:rsid w:val="172A3039"/>
    <w:rsid w:val="17591B23"/>
    <w:rsid w:val="175E7186"/>
    <w:rsid w:val="1765253F"/>
    <w:rsid w:val="17966920"/>
    <w:rsid w:val="17BB6387"/>
    <w:rsid w:val="17C84600"/>
    <w:rsid w:val="17D31922"/>
    <w:rsid w:val="17D41B5D"/>
    <w:rsid w:val="17D80CE7"/>
    <w:rsid w:val="17EF7DDE"/>
    <w:rsid w:val="17F11002"/>
    <w:rsid w:val="17F40194"/>
    <w:rsid w:val="17FD24FB"/>
    <w:rsid w:val="181141F9"/>
    <w:rsid w:val="18115FA7"/>
    <w:rsid w:val="18420856"/>
    <w:rsid w:val="18441ED8"/>
    <w:rsid w:val="189F6908"/>
    <w:rsid w:val="18AF5EEB"/>
    <w:rsid w:val="18B708FC"/>
    <w:rsid w:val="18C64FE3"/>
    <w:rsid w:val="193957B5"/>
    <w:rsid w:val="194F68C1"/>
    <w:rsid w:val="198829FA"/>
    <w:rsid w:val="19EF056A"/>
    <w:rsid w:val="1A3119AA"/>
    <w:rsid w:val="1A6B4094"/>
    <w:rsid w:val="1A7A0A4C"/>
    <w:rsid w:val="1AA44EB0"/>
    <w:rsid w:val="1AE16104"/>
    <w:rsid w:val="1AE654C9"/>
    <w:rsid w:val="1AF51BB0"/>
    <w:rsid w:val="1AFB52CB"/>
    <w:rsid w:val="1B0E5853"/>
    <w:rsid w:val="1B5A7C65"/>
    <w:rsid w:val="1B7D5AC9"/>
    <w:rsid w:val="1B8276EF"/>
    <w:rsid w:val="1BA07BC0"/>
    <w:rsid w:val="1BE539D2"/>
    <w:rsid w:val="1C1868A6"/>
    <w:rsid w:val="1C27223D"/>
    <w:rsid w:val="1C2D0D45"/>
    <w:rsid w:val="1C844F99"/>
    <w:rsid w:val="1C9A4858"/>
    <w:rsid w:val="1CCB2BC8"/>
    <w:rsid w:val="1CD51C99"/>
    <w:rsid w:val="1CE659B1"/>
    <w:rsid w:val="1D140E14"/>
    <w:rsid w:val="1D412E8A"/>
    <w:rsid w:val="1D5030CD"/>
    <w:rsid w:val="1D5C0893"/>
    <w:rsid w:val="1D5C74DA"/>
    <w:rsid w:val="1D721295"/>
    <w:rsid w:val="1D7F1C04"/>
    <w:rsid w:val="1D864D41"/>
    <w:rsid w:val="1DA17A47"/>
    <w:rsid w:val="1DB573D4"/>
    <w:rsid w:val="1DB7139E"/>
    <w:rsid w:val="1DC1221D"/>
    <w:rsid w:val="1DD97567"/>
    <w:rsid w:val="1DDC2BB3"/>
    <w:rsid w:val="1DF24184"/>
    <w:rsid w:val="1E1122D9"/>
    <w:rsid w:val="1E50753C"/>
    <w:rsid w:val="1E71779F"/>
    <w:rsid w:val="1E7948A6"/>
    <w:rsid w:val="1E8C45D9"/>
    <w:rsid w:val="1ED95E33"/>
    <w:rsid w:val="1EE43E97"/>
    <w:rsid w:val="1EFD7285"/>
    <w:rsid w:val="1F372797"/>
    <w:rsid w:val="1F417171"/>
    <w:rsid w:val="1F552C1D"/>
    <w:rsid w:val="1F7E1A5B"/>
    <w:rsid w:val="1FCB7383"/>
    <w:rsid w:val="1FE65F6B"/>
    <w:rsid w:val="20396D4B"/>
    <w:rsid w:val="2040774E"/>
    <w:rsid w:val="207D5C47"/>
    <w:rsid w:val="209A2298"/>
    <w:rsid w:val="20B84567"/>
    <w:rsid w:val="20D364EF"/>
    <w:rsid w:val="21153053"/>
    <w:rsid w:val="216E446A"/>
    <w:rsid w:val="21752492"/>
    <w:rsid w:val="21A41C3A"/>
    <w:rsid w:val="21B3462E"/>
    <w:rsid w:val="21BA145D"/>
    <w:rsid w:val="21BA320B"/>
    <w:rsid w:val="21D4251F"/>
    <w:rsid w:val="221C1487"/>
    <w:rsid w:val="221C5C74"/>
    <w:rsid w:val="226B1A08"/>
    <w:rsid w:val="2287505A"/>
    <w:rsid w:val="22A00653"/>
    <w:rsid w:val="22A7378F"/>
    <w:rsid w:val="22A9658B"/>
    <w:rsid w:val="22C5455D"/>
    <w:rsid w:val="22CF27F3"/>
    <w:rsid w:val="22E22A19"/>
    <w:rsid w:val="2302130E"/>
    <w:rsid w:val="230C3F3A"/>
    <w:rsid w:val="23244DE0"/>
    <w:rsid w:val="238C397F"/>
    <w:rsid w:val="23A14683"/>
    <w:rsid w:val="23A52BAF"/>
    <w:rsid w:val="23AF1797"/>
    <w:rsid w:val="23D305B4"/>
    <w:rsid w:val="23D925BB"/>
    <w:rsid w:val="23E10F23"/>
    <w:rsid w:val="243454F7"/>
    <w:rsid w:val="24381196"/>
    <w:rsid w:val="244A4D1A"/>
    <w:rsid w:val="24785006"/>
    <w:rsid w:val="2480698E"/>
    <w:rsid w:val="24855D52"/>
    <w:rsid w:val="24A0493A"/>
    <w:rsid w:val="24B46637"/>
    <w:rsid w:val="24C0322E"/>
    <w:rsid w:val="24C7237A"/>
    <w:rsid w:val="24CD14A7"/>
    <w:rsid w:val="24DB1E16"/>
    <w:rsid w:val="24FE78B3"/>
    <w:rsid w:val="252B4B4C"/>
    <w:rsid w:val="25396B3D"/>
    <w:rsid w:val="25407ECB"/>
    <w:rsid w:val="25413731"/>
    <w:rsid w:val="25475A1E"/>
    <w:rsid w:val="254F1604"/>
    <w:rsid w:val="257007B0"/>
    <w:rsid w:val="25710085"/>
    <w:rsid w:val="25E940BF"/>
    <w:rsid w:val="25EB42DB"/>
    <w:rsid w:val="26064C71"/>
    <w:rsid w:val="26256CDC"/>
    <w:rsid w:val="263F0183"/>
    <w:rsid w:val="26597496"/>
    <w:rsid w:val="26670576"/>
    <w:rsid w:val="270F224B"/>
    <w:rsid w:val="273E043A"/>
    <w:rsid w:val="27542A22"/>
    <w:rsid w:val="27561C28"/>
    <w:rsid w:val="276F17D0"/>
    <w:rsid w:val="278422D2"/>
    <w:rsid w:val="27912C60"/>
    <w:rsid w:val="27BB051C"/>
    <w:rsid w:val="283304FB"/>
    <w:rsid w:val="283755B5"/>
    <w:rsid w:val="284D75ED"/>
    <w:rsid w:val="286363AA"/>
    <w:rsid w:val="286607CE"/>
    <w:rsid w:val="28931158"/>
    <w:rsid w:val="28BA34F4"/>
    <w:rsid w:val="28F11C08"/>
    <w:rsid w:val="2916341D"/>
    <w:rsid w:val="29287466"/>
    <w:rsid w:val="292A511A"/>
    <w:rsid w:val="29422464"/>
    <w:rsid w:val="296144DC"/>
    <w:rsid w:val="296964A0"/>
    <w:rsid w:val="29C25353"/>
    <w:rsid w:val="29E15FE8"/>
    <w:rsid w:val="2A0B6CFA"/>
    <w:rsid w:val="2A571F3F"/>
    <w:rsid w:val="2A732C2A"/>
    <w:rsid w:val="2ADA66CC"/>
    <w:rsid w:val="2AE17A5A"/>
    <w:rsid w:val="2AF15811"/>
    <w:rsid w:val="2B165956"/>
    <w:rsid w:val="2B696BA9"/>
    <w:rsid w:val="2B7D3C27"/>
    <w:rsid w:val="2BEF61A7"/>
    <w:rsid w:val="2C027C88"/>
    <w:rsid w:val="2C04171F"/>
    <w:rsid w:val="2C3B13EC"/>
    <w:rsid w:val="2C5C383D"/>
    <w:rsid w:val="2C6C7E35"/>
    <w:rsid w:val="2CB10399"/>
    <w:rsid w:val="2CBF201D"/>
    <w:rsid w:val="2CE11F94"/>
    <w:rsid w:val="2CF75313"/>
    <w:rsid w:val="2D040526"/>
    <w:rsid w:val="2D085772"/>
    <w:rsid w:val="2D306A77"/>
    <w:rsid w:val="2D3E1194"/>
    <w:rsid w:val="2D480265"/>
    <w:rsid w:val="2D8D3ECA"/>
    <w:rsid w:val="2DC72F38"/>
    <w:rsid w:val="2DCA2A28"/>
    <w:rsid w:val="2DD218DC"/>
    <w:rsid w:val="2DDA481C"/>
    <w:rsid w:val="2DE24215"/>
    <w:rsid w:val="2E282F52"/>
    <w:rsid w:val="2E2C5491"/>
    <w:rsid w:val="2E6764C9"/>
    <w:rsid w:val="2E80779F"/>
    <w:rsid w:val="2E9A5E4A"/>
    <w:rsid w:val="2EB53854"/>
    <w:rsid w:val="2EBC7D67"/>
    <w:rsid w:val="2EC73739"/>
    <w:rsid w:val="2ECB2EFB"/>
    <w:rsid w:val="2ED21F8D"/>
    <w:rsid w:val="2EE144CD"/>
    <w:rsid w:val="2F723377"/>
    <w:rsid w:val="2FC811E9"/>
    <w:rsid w:val="2FD71A5D"/>
    <w:rsid w:val="2FE06533"/>
    <w:rsid w:val="2FEE6EA1"/>
    <w:rsid w:val="300540D0"/>
    <w:rsid w:val="300F0BC6"/>
    <w:rsid w:val="301D0791"/>
    <w:rsid w:val="30403475"/>
    <w:rsid w:val="304F36B8"/>
    <w:rsid w:val="306B04F2"/>
    <w:rsid w:val="306B5282"/>
    <w:rsid w:val="307355F9"/>
    <w:rsid w:val="3086532C"/>
    <w:rsid w:val="30C47C02"/>
    <w:rsid w:val="30F73B34"/>
    <w:rsid w:val="31010E56"/>
    <w:rsid w:val="3106021B"/>
    <w:rsid w:val="31126BC0"/>
    <w:rsid w:val="31166527"/>
    <w:rsid w:val="31237FB6"/>
    <w:rsid w:val="31267093"/>
    <w:rsid w:val="31350B00"/>
    <w:rsid w:val="3149226A"/>
    <w:rsid w:val="315E1E05"/>
    <w:rsid w:val="31653193"/>
    <w:rsid w:val="31815AF3"/>
    <w:rsid w:val="3183186B"/>
    <w:rsid w:val="31AD0696"/>
    <w:rsid w:val="31AE6247"/>
    <w:rsid w:val="31C0661C"/>
    <w:rsid w:val="31C83722"/>
    <w:rsid w:val="321E1594"/>
    <w:rsid w:val="326231B8"/>
    <w:rsid w:val="32647D13"/>
    <w:rsid w:val="32755658"/>
    <w:rsid w:val="32933D30"/>
    <w:rsid w:val="32990C1B"/>
    <w:rsid w:val="32D63C1D"/>
    <w:rsid w:val="32ED1C6E"/>
    <w:rsid w:val="3317670F"/>
    <w:rsid w:val="33446DD8"/>
    <w:rsid w:val="335B0B57"/>
    <w:rsid w:val="33686F6B"/>
    <w:rsid w:val="338D4C23"/>
    <w:rsid w:val="33AB7117"/>
    <w:rsid w:val="33B2468A"/>
    <w:rsid w:val="34303B95"/>
    <w:rsid w:val="34376337"/>
    <w:rsid w:val="345C0152"/>
    <w:rsid w:val="346911EC"/>
    <w:rsid w:val="34825E0A"/>
    <w:rsid w:val="34936269"/>
    <w:rsid w:val="34C5219B"/>
    <w:rsid w:val="34E56399"/>
    <w:rsid w:val="34F211E2"/>
    <w:rsid w:val="34FF745B"/>
    <w:rsid w:val="3522139B"/>
    <w:rsid w:val="35563ECB"/>
    <w:rsid w:val="35696FCA"/>
    <w:rsid w:val="3575596F"/>
    <w:rsid w:val="3578720D"/>
    <w:rsid w:val="35A15FBE"/>
    <w:rsid w:val="35E0728C"/>
    <w:rsid w:val="35FC1BEC"/>
    <w:rsid w:val="364A2958"/>
    <w:rsid w:val="3692781C"/>
    <w:rsid w:val="36932551"/>
    <w:rsid w:val="36F9612C"/>
    <w:rsid w:val="370F76FD"/>
    <w:rsid w:val="376932B2"/>
    <w:rsid w:val="37907A35"/>
    <w:rsid w:val="37977EC2"/>
    <w:rsid w:val="379B1248"/>
    <w:rsid w:val="379C71E3"/>
    <w:rsid w:val="379F6CD3"/>
    <w:rsid w:val="37B3065E"/>
    <w:rsid w:val="37CF1D30"/>
    <w:rsid w:val="37FC4126"/>
    <w:rsid w:val="3815756B"/>
    <w:rsid w:val="38207E14"/>
    <w:rsid w:val="382447F7"/>
    <w:rsid w:val="382471D8"/>
    <w:rsid w:val="383C2774"/>
    <w:rsid w:val="388365F5"/>
    <w:rsid w:val="389B749B"/>
    <w:rsid w:val="38B36EDA"/>
    <w:rsid w:val="38DE55D9"/>
    <w:rsid w:val="38E47094"/>
    <w:rsid w:val="393A4F06"/>
    <w:rsid w:val="39447B32"/>
    <w:rsid w:val="395C1320"/>
    <w:rsid w:val="395F2BBE"/>
    <w:rsid w:val="397A3554"/>
    <w:rsid w:val="398E2A1B"/>
    <w:rsid w:val="39A405D1"/>
    <w:rsid w:val="39E430C3"/>
    <w:rsid w:val="3A0574FA"/>
    <w:rsid w:val="3A557B1D"/>
    <w:rsid w:val="3A886068"/>
    <w:rsid w:val="3AA36ADA"/>
    <w:rsid w:val="3AC84793"/>
    <w:rsid w:val="3AE07D2F"/>
    <w:rsid w:val="3AE155AC"/>
    <w:rsid w:val="3AE8273F"/>
    <w:rsid w:val="3AEC222F"/>
    <w:rsid w:val="3B183024"/>
    <w:rsid w:val="3B564B5A"/>
    <w:rsid w:val="3B64270E"/>
    <w:rsid w:val="3B84690C"/>
    <w:rsid w:val="3B8A5EED"/>
    <w:rsid w:val="3B936B4F"/>
    <w:rsid w:val="3BA42B0A"/>
    <w:rsid w:val="3BB00D7F"/>
    <w:rsid w:val="3BBD597A"/>
    <w:rsid w:val="3BC27434"/>
    <w:rsid w:val="3BF0291F"/>
    <w:rsid w:val="3C1F6635"/>
    <w:rsid w:val="3CA32DC2"/>
    <w:rsid w:val="3CAC611A"/>
    <w:rsid w:val="3CAE221A"/>
    <w:rsid w:val="3D6A6352"/>
    <w:rsid w:val="3D6F7148"/>
    <w:rsid w:val="3D7D1865"/>
    <w:rsid w:val="3D7D7AB7"/>
    <w:rsid w:val="3DE47534"/>
    <w:rsid w:val="3DF633C5"/>
    <w:rsid w:val="3E0D5593"/>
    <w:rsid w:val="3E1201FF"/>
    <w:rsid w:val="3E693B97"/>
    <w:rsid w:val="3E753C70"/>
    <w:rsid w:val="3EC66663"/>
    <w:rsid w:val="3ED951C1"/>
    <w:rsid w:val="3F5B7984"/>
    <w:rsid w:val="3F5C76FF"/>
    <w:rsid w:val="3F60143E"/>
    <w:rsid w:val="3F8E5FAB"/>
    <w:rsid w:val="3FA70E1B"/>
    <w:rsid w:val="3FB53538"/>
    <w:rsid w:val="3FC512A1"/>
    <w:rsid w:val="3FDB6D16"/>
    <w:rsid w:val="3FF658FE"/>
    <w:rsid w:val="40031D69"/>
    <w:rsid w:val="400E6F98"/>
    <w:rsid w:val="402E5098"/>
    <w:rsid w:val="404D19C2"/>
    <w:rsid w:val="405F7692"/>
    <w:rsid w:val="4061546E"/>
    <w:rsid w:val="40637EF3"/>
    <w:rsid w:val="406960D0"/>
    <w:rsid w:val="4088173D"/>
    <w:rsid w:val="40C31C84"/>
    <w:rsid w:val="40C43730"/>
    <w:rsid w:val="40DF22A7"/>
    <w:rsid w:val="40FC6F44"/>
    <w:rsid w:val="41225D5B"/>
    <w:rsid w:val="41263FC1"/>
    <w:rsid w:val="41384420"/>
    <w:rsid w:val="415D2EC6"/>
    <w:rsid w:val="41A82C28"/>
    <w:rsid w:val="41D61543"/>
    <w:rsid w:val="41EE2D31"/>
    <w:rsid w:val="42187DAE"/>
    <w:rsid w:val="422C3859"/>
    <w:rsid w:val="42361EDD"/>
    <w:rsid w:val="424961B9"/>
    <w:rsid w:val="4253528A"/>
    <w:rsid w:val="426B6130"/>
    <w:rsid w:val="426D00FA"/>
    <w:rsid w:val="427B00CF"/>
    <w:rsid w:val="42AD162D"/>
    <w:rsid w:val="42B66768"/>
    <w:rsid w:val="42CB1623"/>
    <w:rsid w:val="42CE7FA4"/>
    <w:rsid w:val="42E57E62"/>
    <w:rsid w:val="42F779C3"/>
    <w:rsid w:val="42FA74B4"/>
    <w:rsid w:val="43081BD1"/>
    <w:rsid w:val="43301127"/>
    <w:rsid w:val="43340C18"/>
    <w:rsid w:val="43374264"/>
    <w:rsid w:val="435E5C94"/>
    <w:rsid w:val="436B1CF4"/>
    <w:rsid w:val="43A45FF4"/>
    <w:rsid w:val="43A85162"/>
    <w:rsid w:val="43CC70A2"/>
    <w:rsid w:val="43F66C59"/>
    <w:rsid w:val="44150A49"/>
    <w:rsid w:val="44185E43"/>
    <w:rsid w:val="443402BB"/>
    <w:rsid w:val="443D37DF"/>
    <w:rsid w:val="449701CB"/>
    <w:rsid w:val="44D02BC2"/>
    <w:rsid w:val="45120F2E"/>
    <w:rsid w:val="452F78E8"/>
    <w:rsid w:val="45441906"/>
    <w:rsid w:val="454A2974"/>
    <w:rsid w:val="45765652"/>
    <w:rsid w:val="45AE28FA"/>
    <w:rsid w:val="45E51369"/>
    <w:rsid w:val="45F35012"/>
    <w:rsid w:val="462211FB"/>
    <w:rsid w:val="463902F3"/>
    <w:rsid w:val="4643324C"/>
    <w:rsid w:val="4653477B"/>
    <w:rsid w:val="4672175D"/>
    <w:rsid w:val="467A2DE5"/>
    <w:rsid w:val="46A47E62"/>
    <w:rsid w:val="46B362F7"/>
    <w:rsid w:val="46B74A1C"/>
    <w:rsid w:val="46C51FF4"/>
    <w:rsid w:val="46DC4FC8"/>
    <w:rsid w:val="46ED7A5B"/>
    <w:rsid w:val="46F1516D"/>
    <w:rsid w:val="471A45C8"/>
    <w:rsid w:val="471A6376"/>
    <w:rsid w:val="475C016D"/>
    <w:rsid w:val="479E0D55"/>
    <w:rsid w:val="47D74267"/>
    <w:rsid w:val="482A6D9A"/>
    <w:rsid w:val="483B65A4"/>
    <w:rsid w:val="48781284"/>
    <w:rsid w:val="48A56114"/>
    <w:rsid w:val="48A979B2"/>
    <w:rsid w:val="48D45BFF"/>
    <w:rsid w:val="48EC083D"/>
    <w:rsid w:val="48F84495"/>
    <w:rsid w:val="48FD7CFE"/>
    <w:rsid w:val="494972FE"/>
    <w:rsid w:val="496164DE"/>
    <w:rsid w:val="49BA174B"/>
    <w:rsid w:val="49C65F48"/>
    <w:rsid w:val="49D44748"/>
    <w:rsid w:val="4A08695A"/>
    <w:rsid w:val="4A325785"/>
    <w:rsid w:val="4A3E237C"/>
    <w:rsid w:val="4A407EA2"/>
    <w:rsid w:val="4A437992"/>
    <w:rsid w:val="4A4F0FC1"/>
    <w:rsid w:val="4A6F5702"/>
    <w:rsid w:val="4A722025"/>
    <w:rsid w:val="4A8A7108"/>
    <w:rsid w:val="4AB3441B"/>
    <w:rsid w:val="4ADF76BB"/>
    <w:rsid w:val="4AE41175"/>
    <w:rsid w:val="4AEE5A25"/>
    <w:rsid w:val="4AF67FA2"/>
    <w:rsid w:val="4AFD50E1"/>
    <w:rsid w:val="4B1F21AD"/>
    <w:rsid w:val="4B6A5537"/>
    <w:rsid w:val="4BA12BC2"/>
    <w:rsid w:val="4BA73F5F"/>
    <w:rsid w:val="4BBF74EC"/>
    <w:rsid w:val="4C013661"/>
    <w:rsid w:val="4C082C41"/>
    <w:rsid w:val="4C235020"/>
    <w:rsid w:val="4C235CCD"/>
    <w:rsid w:val="4CBF59F6"/>
    <w:rsid w:val="4CD20886"/>
    <w:rsid w:val="4D225F85"/>
    <w:rsid w:val="4D471926"/>
    <w:rsid w:val="4D510618"/>
    <w:rsid w:val="4D5A571F"/>
    <w:rsid w:val="4D6270CE"/>
    <w:rsid w:val="4DAD3AA0"/>
    <w:rsid w:val="4DEE5E67"/>
    <w:rsid w:val="4E1F3AEE"/>
    <w:rsid w:val="4E3A28BC"/>
    <w:rsid w:val="4E6E0718"/>
    <w:rsid w:val="4ECD1F20"/>
    <w:rsid w:val="4EE51018"/>
    <w:rsid w:val="4EF15A27"/>
    <w:rsid w:val="4EF37BD9"/>
    <w:rsid w:val="4EF94AC3"/>
    <w:rsid w:val="4F0F5FDB"/>
    <w:rsid w:val="4F1A33B7"/>
    <w:rsid w:val="4F297C35"/>
    <w:rsid w:val="4F583EE0"/>
    <w:rsid w:val="4F6208BA"/>
    <w:rsid w:val="4F7936D8"/>
    <w:rsid w:val="4F822D0B"/>
    <w:rsid w:val="4F893200"/>
    <w:rsid w:val="4FB05ACA"/>
    <w:rsid w:val="4FE87012"/>
    <w:rsid w:val="4FEB6B02"/>
    <w:rsid w:val="500100D3"/>
    <w:rsid w:val="500424AF"/>
    <w:rsid w:val="50153B7F"/>
    <w:rsid w:val="50265D8C"/>
    <w:rsid w:val="504306EC"/>
    <w:rsid w:val="505117BA"/>
    <w:rsid w:val="50681F00"/>
    <w:rsid w:val="506C76F2"/>
    <w:rsid w:val="50707007"/>
    <w:rsid w:val="50746AF7"/>
    <w:rsid w:val="50861C6B"/>
    <w:rsid w:val="509B22D6"/>
    <w:rsid w:val="50B9275C"/>
    <w:rsid w:val="50EA561A"/>
    <w:rsid w:val="51091B6F"/>
    <w:rsid w:val="512C1180"/>
    <w:rsid w:val="512D64A3"/>
    <w:rsid w:val="516B614C"/>
    <w:rsid w:val="519A1675"/>
    <w:rsid w:val="51C36F2F"/>
    <w:rsid w:val="51ED6B61"/>
    <w:rsid w:val="51F003FF"/>
    <w:rsid w:val="51F6353C"/>
    <w:rsid w:val="520774F7"/>
    <w:rsid w:val="5264494A"/>
    <w:rsid w:val="52A01E26"/>
    <w:rsid w:val="52AF2069"/>
    <w:rsid w:val="52B343F6"/>
    <w:rsid w:val="52B4142D"/>
    <w:rsid w:val="52CA0C50"/>
    <w:rsid w:val="534A7FE3"/>
    <w:rsid w:val="53591FD4"/>
    <w:rsid w:val="541155F6"/>
    <w:rsid w:val="54312994"/>
    <w:rsid w:val="546155E5"/>
    <w:rsid w:val="548E1678"/>
    <w:rsid w:val="54A159E1"/>
    <w:rsid w:val="54DE6C35"/>
    <w:rsid w:val="550541C2"/>
    <w:rsid w:val="552D54C7"/>
    <w:rsid w:val="554051FA"/>
    <w:rsid w:val="556A04C9"/>
    <w:rsid w:val="55D65B5E"/>
    <w:rsid w:val="55FB7373"/>
    <w:rsid w:val="56052111"/>
    <w:rsid w:val="563250A4"/>
    <w:rsid w:val="56574EF1"/>
    <w:rsid w:val="566413BC"/>
    <w:rsid w:val="566A45C0"/>
    <w:rsid w:val="566A7324"/>
    <w:rsid w:val="56AD2D63"/>
    <w:rsid w:val="56BA38F4"/>
    <w:rsid w:val="56D3714A"/>
    <w:rsid w:val="56F551D9"/>
    <w:rsid w:val="5717186E"/>
    <w:rsid w:val="574B7E86"/>
    <w:rsid w:val="576E3ADD"/>
    <w:rsid w:val="577613A7"/>
    <w:rsid w:val="57836CED"/>
    <w:rsid w:val="57C02622"/>
    <w:rsid w:val="57E00F16"/>
    <w:rsid w:val="57E02CC4"/>
    <w:rsid w:val="57EA769F"/>
    <w:rsid w:val="581A3374"/>
    <w:rsid w:val="581A61D6"/>
    <w:rsid w:val="582232DD"/>
    <w:rsid w:val="5862602D"/>
    <w:rsid w:val="58672FDD"/>
    <w:rsid w:val="58676F42"/>
    <w:rsid w:val="587D6765"/>
    <w:rsid w:val="589A2E73"/>
    <w:rsid w:val="58A27F7A"/>
    <w:rsid w:val="58A75590"/>
    <w:rsid w:val="58FF794A"/>
    <w:rsid w:val="591C2874"/>
    <w:rsid w:val="59301A29"/>
    <w:rsid w:val="594828CF"/>
    <w:rsid w:val="59575208"/>
    <w:rsid w:val="595E0345"/>
    <w:rsid w:val="59694C93"/>
    <w:rsid w:val="59875AED"/>
    <w:rsid w:val="59C42C41"/>
    <w:rsid w:val="59C5128B"/>
    <w:rsid w:val="59DA161F"/>
    <w:rsid w:val="59E00D5A"/>
    <w:rsid w:val="59F667CF"/>
    <w:rsid w:val="5A193E36"/>
    <w:rsid w:val="5A1F5D26"/>
    <w:rsid w:val="5A435D5F"/>
    <w:rsid w:val="5A462394"/>
    <w:rsid w:val="5A7476F4"/>
    <w:rsid w:val="5A89020E"/>
    <w:rsid w:val="5A981634"/>
    <w:rsid w:val="5AB729BD"/>
    <w:rsid w:val="5AD308BE"/>
    <w:rsid w:val="5B6B4403"/>
    <w:rsid w:val="5B9067AF"/>
    <w:rsid w:val="5BA04C44"/>
    <w:rsid w:val="5BA54009"/>
    <w:rsid w:val="5BE85E7A"/>
    <w:rsid w:val="5BF50BA4"/>
    <w:rsid w:val="5C593045"/>
    <w:rsid w:val="5C64037F"/>
    <w:rsid w:val="5C7B120D"/>
    <w:rsid w:val="5C82259C"/>
    <w:rsid w:val="5C8400C2"/>
    <w:rsid w:val="5C855BE8"/>
    <w:rsid w:val="5CAF2C65"/>
    <w:rsid w:val="5CB169DD"/>
    <w:rsid w:val="5CB36705"/>
    <w:rsid w:val="5CFA65D6"/>
    <w:rsid w:val="5D064F7B"/>
    <w:rsid w:val="5D0E4B0D"/>
    <w:rsid w:val="5D0F59F8"/>
    <w:rsid w:val="5D38137F"/>
    <w:rsid w:val="5D4B7C1F"/>
    <w:rsid w:val="5D4C0A06"/>
    <w:rsid w:val="5D7E0FB5"/>
    <w:rsid w:val="5D867E6A"/>
    <w:rsid w:val="5DE54B90"/>
    <w:rsid w:val="5DF12ACB"/>
    <w:rsid w:val="5E510478"/>
    <w:rsid w:val="5E6957C1"/>
    <w:rsid w:val="5E96232F"/>
    <w:rsid w:val="5E9D546B"/>
    <w:rsid w:val="5EA54320"/>
    <w:rsid w:val="5ED55E37"/>
    <w:rsid w:val="5EE50BC0"/>
    <w:rsid w:val="5EF57055"/>
    <w:rsid w:val="5EFF7ED4"/>
    <w:rsid w:val="5F2708EE"/>
    <w:rsid w:val="5F322057"/>
    <w:rsid w:val="5F34491B"/>
    <w:rsid w:val="5F514D5F"/>
    <w:rsid w:val="5F63605C"/>
    <w:rsid w:val="5F6F7A72"/>
    <w:rsid w:val="5FCA3731"/>
    <w:rsid w:val="5FD96977"/>
    <w:rsid w:val="5FED41D0"/>
    <w:rsid w:val="602D281F"/>
    <w:rsid w:val="6045400C"/>
    <w:rsid w:val="604D4C6F"/>
    <w:rsid w:val="60572CC0"/>
    <w:rsid w:val="605E0C2A"/>
    <w:rsid w:val="60BE2C44"/>
    <w:rsid w:val="60D8351B"/>
    <w:rsid w:val="613C71BD"/>
    <w:rsid w:val="61543240"/>
    <w:rsid w:val="618B5A4F"/>
    <w:rsid w:val="619052BD"/>
    <w:rsid w:val="61A86601"/>
    <w:rsid w:val="61AD1E69"/>
    <w:rsid w:val="61B90FBB"/>
    <w:rsid w:val="61C15914"/>
    <w:rsid w:val="61D90EB0"/>
    <w:rsid w:val="61F47A98"/>
    <w:rsid w:val="61F77588"/>
    <w:rsid w:val="620A1E51"/>
    <w:rsid w:val="621B3277"/>
    <w:rsid w:val="623C143F"/>
    <w:rsid w:val="625F37A5"/>
    <w:rsid w:val="626559E9"/>
    <w:rsid w:val="62CC631F"/>
    <w:rsid w:val="6309447C"/>
    <w:rsid w:val="630C2BBF"/>
    <w:rsid w:val="632C3261"/>
    <w:rsid w:val="63367F56"/>
    <w:rsid w:val="633A772C"/>
    <w:rsid w:val="63462575"/>
    <w:rsid w:val="638B442C"/>
    <w:rsid w:val="63A31776"/>
    <w:rsid w:val="64153CF6"/>
    <w:rsid w:val="64265681"/>
    <w:rsid w:val="64367104"/>
    <w:rsid w:val="645411FD"/>
    <w:rsid w:val="645C1924"/>
    <w:rsid w:val="646B1B68"/>
    <w:rsid w:val="646E4B22"/>
    <w:rsid w:val="6477129A"/>
    <w:rsid w:val="6491626E"/>
    <w:rsid w:val="64AC5DA7"/>
    <w:rsid w:val="64D14173"/>
    <w:rsid w:val="64D771FD"/>
    <w:rsid w:val="64DB6CED"/>
    <w:rsid w:val="65145C7D"/>
    <w:rsid w:val="65AD7BDB"/>
    <w:rsid w:val="65CE23AE"/>
    <w:rsid w:val="65E707B8"/>
    <w:rsid w:val="660E6C4E"/>
    <w:rsid w:val="6614311B"/>
    <w:rsid w:val="66263F98"/>
    <w:rsid w:val="662D3578"/>
    <w:rsid w:val="663F32AC"/>
    <w:rsid w:val="665D2FBD"/>
    <w:rsid w:val="667F18FA"/>
    <w:rsid w:val="66A31A8D"/>
    <w:rsid w:val="66D25ECE"/>
    <w:rsid w:val="671169F6"/>
    <w:rsid w:val="671D35ED"/>
    <w:rsid w:val="67220075"/>
    <w:rsid w:val="67263FC9"/>
    <w:rsid w:val="67360BC9"/>
    <w:rsid w:val="67401435"/>
    <w:rsid w:val="67456D7C"/>
    <w:rsid w:val="6747066A"/>
    <w:rsid w:val="6760172C"/>
    <w:rsid w:val="676F7BC1"/>
    <w:rsid w:val="67746F85"/>
    <w:rsid w:val="67A54BE1"/>
    <w:rsid w:val="67DE35E9"/>
    <w:rsid w:val="67E265E5"/>
    <w:rsid w:val="67F00D02"/>
    <w:rsid w:val="683F7593"/>
    <w:rsid w:val="685A261F"/>
    <w:rsid w:val="68C21059"/>
    <w:rsid w:val="68CD4B9F"/>
    <w:rsid w:val="68D4417F"/>
    <w:rsid w:val="68E17A41"/>
    <w:rsid w:val="68E27E02"/>
    <w:rsid w:val="68F16ADF"/>
    <w:rsid w:val="69395F41"/>
    <w:rsid w:val="69584DB0"/>
    <w:rsid w:val="696C3EB6"/>
    <w:rsid w:val="698A2A90"/>
    <w:rsid w:val="698E07D2"/>
    <w:rsid w:val="69DC778F"/>
    <w:rsid w:val="69E14DA6"/>
    <w:rsid w:val="6A0F7007"/>
    <w:rsid w:val="6A2D7FEB"/>
    <w:rsid w:val="6A3F7D1E"/>
    <w:rsid w:val="6A4610AD"/>
    <w:rsid w:val="6A633A0D"/>
    <w:rsid w:val="6A80552A"/>
    <w:rsid w:val="6A8614A9"/>
    <w:rsid w:val="6A93582E"/>
    <w:rsid w:val="6AD95A7D"/>
    <w:rsid w:val="6AF208ED"/>
    <w:rsid w:val="6AF359D6"/>
    <w:rsid w:val="6B264A3A"/>
    <w:rsid w:val="6B52582F"/>
    <w:rsid w:val="6B8C6F93"/>
    <w:rsid w:val="6B8E2D0B"/>
    <w:rsid w:val="6B921C6C"/>
    <w:rsid w:val="6B985938"/>
    <w:rsid w:val="6BB967A7"/>
    <w:rsid w:val="6BBA3B00"/>
    <w:rsid w:val="6BD66460"/>
    <w:rsid w:val="6BF6265F"/>
    <w:rsid w:val="6C2B2308"/>
    <w:rsid w:val="6C411B2C"/>
    <w:rsid w:val="6C84274C"/>
    <w:rsid w:val="6CA1081C"/>
    <w:rsid w:val="6CA671C9"/>
    <w:rsid w:val="6CA9548B"/>
    <w:rsid w:val="6CB322FE"/>
    <w:rsid w:val="6CE1330F"/>
    <w:rsid w:val="6CEB7CE9"/>
    <w:rsid w:val="6CF546C4"/>
    <w:rsid w:val="6D0D7C60"/>
    <w:rsid w:val="6D0E5786"/>
    <w:rsid w:val="6D231231"/>
    <w:rsid w:val="6D2B6338"/>
    <w:rsid w:val="6D4F0278"/>
    <w:rsid w:val="6D6655C2"/>
    <w:rsid w:val="6D85472A"/>
    <w:rsid w:val="6D8C5028"/>
    <w:rsid w:val="6D991AD7"/>
    <w:rsid w:val="6D9B526C"/>
    <w:rsid w:val="6DAC48EA"/>
    <w:rsid w:val="6DB427D1"/>
    <w:rsid w:val="6DB831C7"/>
    <w:rsid w:val="6DF57072"/>
    <w:rsid w:val="6E184B0E"/>
    <w:rsid w:val="6E3264D1"/>
    <w:rsid w:val="6E6B2E90"/>
    <w:rsid w:val="6E87016B"/>
    <w:rsid w:val="6E9F2B3A"/>
    <w:rsid w:val="6F3E05A4"/>
    <w:rsid w:val="6F61773A"/>
    <w:rsid w:val="6F701E0B"/>
    <w:rsid w:val="6F7723CE"/>
    <w:rsid w:val="6FCD1928"/>
    <w:rsid w:val="6FE7415F"/>
    <w:rsid w:val="6FFB0243"/>
    <w:rsid w:val="70253512"/>
    <w:rsid w:val="70366BE3"/>
    <w:rsid w:val="70814BED"/>
    <w:rsid w:val="70820965"/>
    <w:rsid w:val="70840239"/>
    <w:rsid w:val="70BA01A5"/>
    <w:rsid w:val="70C571E4"/>
    <w:rsid w:val="70F058CE"/>
    <w:rsid w:val="70F33611"/>
    <w:rsid w:val="712D08D1"/>
    <w:rsid w:val="712E4649"/>
    <w:rsid w:val="715E6CDC"/>
    <w:rsid w:val="71763E08"/>
    <w:rsid w:val="71792783"/>
    <w:rsid w:val="717C53B4"/>
    <w:rsid w:val="7181021E"/>
    <w:rsid w:val="71847730"/>
    <w:rsid w:val="718C1A9B"/>
    <w:rsid w:val="718D75C1"/>
    <w:rsid w:val="718E0A27"/>
    <w:rsid w:val="71FE04BF"/>
    <w:rsid w:val="720F6228"/>
    <w:rsid w:val="72273710"/>
    <w:rsid w:val="722A4E10"/>
    <w:rsid w:val="72355B17"/>
    <w:rsid w:val="727D3192"/>
    <w:rsid w:val="727D7636"/>
    <w:rsid w:val="729A1F96"/>
    <w:rsid w:val="72B172DF"/>
    <w:rsid w:val="72BA43E6"/>
    <w:rsid w:val="72C2755E"/>
    <w:rsid w:val="72D336FA"/>
    <w:rsid w:val="73125E5D"/>
    <w:rsid w:val="732E5D67"/>
    <w:rsid w:val="733A72D5"/>
    <w:rsid w:val="73722F12"/>
    <w:rsid w:val="737934E7"/>
    <w:rsid w:val="73AE3639"/>
    <w:rsid w:val="73D239B1"/>
    <w:rsid w:val="741D2E7E"/>
    <w:rsid w:val="74880200"/>
    <w:rsid w:val="749649DF"/>
    <w:rsid w:val="74B87FBF"/>
    <w:rsid w:val="74BA691F"/>
    <w:rsid w:val="74C2691B"/>
    <w:rsid w:val="74DE12C2"/>
    <w:rsid w:val="74F90479"/>
    <w:rsid w:val="75157FF9"/>
    <w:rsid w:val="751F42D8"/>
    <w:rsid w:val="75363ACC"/>
    <w:rsid w:val="754E5394"/>
    <w:rsid w:val="75530B22"/>
    <w:rsid w:val="75532C82"/>
    <w:rsid w:val="75880D75"/>
    <w:rsid w:val="75AD03C0"/>
    <w:rsid w:val="76151EAE"/>
    <w:rsid w:val="76233386"/>
    <w:rsid w:val="762878B8"/>
    <w:rsid w:val="764F753B"/>
    <w:rsid w:val="765D3C0E"/>
    <w:rsid w:val="766308F1"/>
    <w:rsid w:val="76760624"/>
    <w:rsid w:val="769204A1"/>
    <w:rsid w:val="769E6CBF"/>
    <w:rsid w:val="76BD6253"/>
    <w:rsid w:val="76DE441B"/>
    <w:rsid w:val="773D3837"/>
    <w:rsid w:val="7750356B"/>
    <w:rsid w:val="77814A03"/>
    <w:rsid w:val="77D57CAC"/>
    <w:rsid w:val="77EB5041"/>
    <w:rsid w:val="77FE2FC7"/>
    <w:rsid w:val="78213185"/>
    <w:rsid w:val="784A1C60"/>
    <w:rsid w:val="786258AD"/>
    <w:rsid w:val="78775CD5"/>
    <w:rsid w:val="78A53442"/>
    <w:rsid w:val="78AA2807"/>
    <w:rsid w:val="78B673FD"/>
    <w:rsid w:val="78C23FF4"/>
    <w:rsid w:val="79404633"/>
    <w:rsid w:val="79415ED0"/>
    <w:rsid w:val="795A2C8B"/>
    <w:rsid w:val="795D5ACB"/>
    <w:rsid w:val="79720F5A"/>
    <w:rsid w:val="79786DA9"/>
    <w:rsid w:val="79B0209F"/>
    <w:rsid w:val="79FC3536"/>
    <w:rsid w:val="7A08012D"/>
    <w:rsid w:val="7A2465E9"/>
    <w:rsid w:val="7A28432B"/>
    <w:rsid w:val="7A716F0E"/>
    <w:rsid w:val="7A811C8D"/>
    <w:rsid w:val="7A8A0B42"/>
    <w:rsid w:val="7A9279F6"/>
    <w:rsid w:val="7ACF22CE"/>
    <w:rsid w:val="7AD65B35"/>
    <w:rsid w:val="7B0C77A9"/>
    <w:rsid w:val="7B362A78"/>
    <w:rsid w:val="7B707D38"/>
    <w:rsid w:val="7B7B048A"/>
    <w:rsid w:val="7B807277"/>
    <w:rsid w:val="7B841A35"/>
    <w:rsid w:val="7B861DF7"/>
    <w:rsid w:val="7B9854E0"/>
    <w:rsid w:val="7BB73BB8"/>
    <w:rsid w:val="7C3308E9"/>
    <w:rsid w:val="7C3945CD"/>
    <w:rsid w:val="7C4B2553"/>
    <w:rsid w:val="7C5F1155"/>
    <w:rsid w:val="7C75137E"/>
    <w:rsid w:val="7C9E6B26"/>
    <w:rsid w:val="7CD21E5B"/>
    <w:rsid w:val="7CF624BE"/>
    <w:rsid w:val="7D072223"/>
    <w:rsid w:val="7D1B1F25"/>
    <w:rsid w:val="7D3923AB"/>
    <w:rsid w:val="7D4274B2"/>
    <w:rsid w:val="7D430453"/>
    <w:rsid w:val="7D4873DD"/>
    <w:rsid w:val="7D6A00DF"/>
    <w:rsid w:val="7D7B0C16"/>
    <w:rsid w:val="7D985324"/>
    <w:rsid w:val="7D994E54"/>
    <w:rsid w:val="7D9A72EE"/>
    <w:rsid w:val="7D9F267A"/>
    <w:rsid w:val="7DA513CC"/>
    <w:rsid w:val="7DAA32A9"/>
    <w:rsid w:val="7E0B01EB"/>
    <w:rsid w:val="7E673FF4"/>
    <w:rsid w:val="7E6B47E6"/>
    <w:rsid w:val="7EB97DE7"/>
    <w:rsid w:val="7EED018D"/>
    <w:rsid w:val="7EED78F1"/>
    <w:rsid w:val="7EF706D4"/>
    <w:rsid w:val="7F363046"/>
    <w:rsid w:val="7F78365F"/>
    <w:rsid w:val="7FCC39AA"/>
    <w:rsid w:val="7FE02FB2"/>
    <w:rsid w:val="7FED3F86"/>
    <w:rsid w:val="7FF16F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iPriority="99"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6">
    <w:name w:val="heading 1"/>
    <w:basedOn w:val="1"/>
    <w:next w:val="1"/>
    <w:qFormat/>
    <w:uiPriority w:val="0"/>
    <w:pPr>
      <w:pageBreakBefore/>
      <w:widowControl w:val="0"/>
      <w:numPr>
        <w:ilvl w:val="0"/>
        <w:numId w:val="1"/>
      </w:numPr>
      <w:spacing w:before="340" w:after="330" w:line="360" w:lineRule="auto"/>
      <w:outlineLvl w:val="0"/>
    </w:pPr>
    <w:rPr>
      <w:b/>
      <w:bCs/>
      <w:kern w:val="44"/>
      <w:sz w:val="28"/>
      <w:szCs w:val="44"/>
    </w:rPr>
  </w:style>
  <w:style w:type="paragraph" w:styleId="7">
    <w:name w:val="heading 2"/>
    <w:basedOn w:val="1"/>
    <w:next w:val="1"/>
    <w:unhideWhenUsed/>
    <w:qFormat/>
    <w:uiPriority w:val="0"/>
    <w:pPr>
      <w:keepNext/>
      <w:keepLines/>
      <w:pageBreakBefore w:val="0"/>
      <w:numPr>
        <w:ilvl w:val="1"/>
        <w:numId w:val="1"/>
      </w:numPr>
      <w:spacing w:before="260" w:after="260" w:line="415" w:lineRule="auto"/>
      <w:outlineLvl w:val="1"/>
    </w:pPr>
    <w:rPr>
      <w:rFonts w:cstheme="majorBidi"/>
      <w:szCs w:val="32"/>
    </w:rPr>
  </w:style>
  <w:style w:type="character" w:default="1" w:styleId="22">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4"/>
    <w:qFormat/>
    <w:uiPriority w:val="99"/>
    <w:pPr>
      <w:spacing w:line="480" w:lineRule="exact"/>
      <w:ind w:firstLine="420" w:firstLineChars="200"/>
    </w:pPr>
    <w:rPr>
      <w:sz w:val="24"/>
      <w:szCs w:val="20"/>
    </w:rPr>
  </w:style>
  <w:style w:type="paragraph" w:styleId="3">
    <w:name w:val="Body Text Indent"/>
    <w:basedOn w:val="1"/>
    <w:semiHidden/>
    <w:unhideWhenUsed/>
    <w:qFormat/>
    <w:uiPriority w:val="99"/>
    <w:pPr>
      <w:spacing w:after="120"/>
      <w:ind w:left="420" w:leftChars="200"/>
    </w:pPr>
  </w:style>
  <w:style w:type="paragraph" w:styleId="4">
    <w:name w:val="Body Text First Indent"/>
    <w:basedOn w:val="5"/>
    <w:next w:val="1"/>
    <w:qFormat/>
    <w:uiPriority w:val="0"/>
    <w:pPr>
      <w:tabs>
        <w:tab w:val="left" w:pos="567"/>
      </w:tabs>
      <w:ind w:firstLine="420" w:firstLineChars="100"/>
    </w:pPr>
  </w:style>
  <w:style w:type="paragraph" w:styleId="5">
    <w:name w:val="Body Text"/>
    <w:basedOn w:val="1"/>
    <w:next w:val="1"/>
    <w:semiHidden/>
    <w:qFormat/>
    <w:uiPriority w:val="0"/>
    <w:rPr>
      <w:rFonts w:ascii="微软雅黑" w:hAnsi="微软雅黑" w:eastAsia="微软雅黑" w:cs="微软雅黑"/>
      <w:sz w:val="31"/>
      <w:szCs w:val="31"/>
      <w:lang w:val="en-US" w:eastAsia="en-US" w:bidi="ar-SA"/>
    </w:rPr>
  </w:style>
  <w:style w:type="paragraph" w:styleId="8">
    <w:name w:val="Normal Indent"/>
    <w:basedOn w:val="1"/>
    <w:unhideWhenUsed/>
    <w:qFormat/>
    <w:uiPriority w:val="0"/>
    <w:pPr>
      <w:ind w:firstLine="420" w:firstLineChars="200"/>
    </w:pPr>
    <w:rPr>
      <w:rFonts w:ascii="Times New Roman" w:hAnsi="Times New Roman" w:cs="Times New Roman"/>
      <w:sz w:val="21"/>
      <w:szCs w:val="24"/>
    </w:rPr>
  </w:style>
  <w:style w:type="paragraph" w:styleId="9">
    <w:name w:val="annotation text"/>
    <w:basedOn w:val="1"/>
    <w:qFormat/>
    <w:uiPriority w:val="0"/>
    <w:pPr>
      <w:jc w:val="left"/>
    </w:pPr>
  </w:style>
  <w:style w:type="paragraph" w:styleId="10">
    <w:name w:val="List 2"/>
    <w:basedOn w:val="1"/>
    <w:qFormat/>
    <w:uiPriority w:val="0"/>
    <w:pPr>
      <w:ind w:left="100" w:leftChars="200" w:hanging="200" w:hangingChars="200"/>
    </w:p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List"/>
    <w:basedOn w:val="1"/>
    <w:unhideWhenUsed/>
    <w:qFormat/>
    <w:uiPriority w:val="99"/>
    <w:pPr>
      <w:ind w:left="200" w:hanging="200" w:hangingChars="200"/>
    </w:pPr>
  </w:style>
  <w:style w:type="paragraph" w:styleId="16">
    <w:name w:val="Body Text Indent 3"/>
    <w:basedOn w:val="1"/>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17">
    <w:name w:val="index 9"/>
    <w:basedOn w:val="1"/>
    <w:next w:val="1"/>
    <w:unhideWhenUsed/>
    <w:qFormat/>
    <w:uiPriority w:val="99"/>
    <w:pPr>
      <w:ind w:left="1600" w:leftChars="1600"/>
    </w:pPr>
  </w:style>
  <w:style w:type="paragraph" w:styleId="18">
    <w:name w:val="toc 2"/>
    <w:basedOn w:val="1"/>
    <w:next w:val="1"/>
    <w:qFormat/>
    <w:uiPriority w:val="0"/>
    <w:pPr>
      <w:ind w:left="420" w:leftChars="200"/>
    </w:pPr>
  </w:style>
  <w:style w:type="paragraph" w:styleId="19">
    <w:name w:val="Normal (Web)"/>
    <w:basedOn w:val="1"/>
    <w:unhideWhenUsed/>
    <w:qFormat/>
    <w:uiPriority w:val="99"/>
    <w:pPr>
      <w:widowControl/>
      <w:spacing w:before="100" w:beforeAutospacing="1" w:after="100" w:afterAutospacing="1"/>
      <w:jc w:val="left"/>
    </w:pPr>
    <w:rPr>
      <w:rFonts w:cs="宋体"/>
      <w:kern w:val="0"/>
      <w:szCs w:val="24"/>
    </w:rPr>
  </w:style>
  <w:style w:type="table" w:styleId="21">
    <w:name w:val="Table Grid"/>
    <w:basedOn w:val="2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3">
    <w:name w:val="annotation reference"/>
    <w:basedOn w:val="22"/>
    <w:qFormat/>
    <w:uiPriority w:val="0"/>
    <w:rPr>
      <w:sz w:val="21"/>
      <w:szCs w:val="21"/>
    </w:rPr>
  </w:style>
  <w:style w:type="paragraph" w:customStyle="1" w:styleId="24">
    <w:name w:val="正文一"/>
    <w:basedOn w:val="1"/>
    <w:qFormat/>
    <w:uiPriority w:val="0"/>
    <w:pPr>
      <w:spacing w:before="120" w:after="120" w:line="360" w:lineRule="auto"/>
    </w:pPr>
    <w:rPr>
      <w:rFonts w:cs="宋体"/>
      <w:sz w:val="21"/>
      <w:szCs w:val="21"/>
    </w:rPr>
  </w:style>
  <w:style w:type="table" w:customStyle="1" w:styleId="25">
    <w:name w:val="Table Normal"/>
    <w:semiHidden/>
    <w:unhideWhenUsed/>
    <w:qFormat/>
    <w:uiPriority w:val="0"/>
    <w:tblPr>
      <w:tblCellMar>
        <w:top w:w="0" w:type="dxa"/>
        <w:left w:w="0" w:type="dxa"/>
        <w:bottom w:w="0" w:type="dxa"/>
        <w:right w:w="0" w:type="dxa"/>
      </w:tblCellMar>
    </w:tblPr>
  </w:style>
  <w:style w:type="paragraph" w:customStyle="1" w:styleId="26">
    <w:name w:val="Table Text"/>
    <w:basedOn w:val="1"/>
    <w:semiHidden/>
    <w:qFormat/>
    <w:uiPriority w:val="0"/>
    <w:rPr>
      <w:rFonts w:ascii="Arial" w:hAnsi="Arial" w:eastAsia="Arial" w:cs="Arial"/>
      <w:sz w:val="21"/>
      <w:szCs w:val="21"/>
      <w:lang w:val="en-US" w:eastAsia="en-US" w:bidi="ar-SA"/>
    </w:rPr>
  </w:style>
  <w:style w:type="paragraph" w:customStyle="1" w:styleId="27">
    <w:name w:val="注"/>
    <w:basedOn w:val="1"/>
    <w:qFormat/>
    <w:uiPriority w:val="0"/>
    <w:pPr>
      <w:kinsoku w:val="0"/>
      <w:topLinePunct/>
      <w:spacing w:before="50" w:beforeLines="50"/>
      <w:ind w:left="0" w:hanging="420" w:hangingChars="200"/>
    </w:pPr>
    <w:rPr>
      <w:rFonts w:hint="eastAsia" w:ascii="宋体" w:hAnsi="宋体" w:eastAsia="宋体" w:cs="宋体"/>
      <w:lang w:eastAsia="zh-CN"/>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paragraph" w:customStyle="1" w:styleId="29">
    <w:name w:val="WPSOffice手动目录 2"/>
    <w:qFormat/>
    <w:uiPriority w:val="0"/>
    <w:pPr>
      <w:ind w:leftChars="200"/>
    </w:pPr>
    <w:rPr>
      <w:rFonts w:ascii="Times New Roman" w:hAnsi="Times New Roman" w:eastAsia="宋体" w:cs="Times New Roman"/>
      <w:sz w:val="20"/>
      <w:szCs w:val="20"/>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paragraph" w:customStyle="1" w:styleId="31">
    <w:name w:val="_Style 8"/>
    <w:qFormat/>
    <w:uiPriority w:val="1"/>
    <w:pPr>
      <w:widowControl w:val="0"/>
      <w:ind w:right="240" w:rightChars="100"/>
      <w:jc w:val="both"/>
    </w:pPr>
    <w:rPr>
      <w:rFonts w:ascii="Calibri" w:hAnsi="Calibri" w:eastAsia="宋体" w:cs="Times New Roman"/>
      <w:kern w:val="2"/>
      <w:sz w:val="24"/>
      <w:szCs w:val="24"/>
      <w:lang w:val="en-US" w:eastAsia="zh-CN" w:bidi="ar-SA"/>
    </w:rPr>
  </w:style>
  <w:style w:type="paragraph" w:customStyle="1" w:styleId="32">
    <w:name w:val="正文（缩进）"/>
    <w:basedOn w:val="1"/>
    <w:qFormat/>
    <w:uiPriority w:val="0"/>
    <w:pPr>
      <w:spacing w:beforeLines="50" w:afterLines="50"/>
      <w:ind w:firstLine="480" w:firstLineChars="200"/>
    </w:pPr>
  </w:style>
  <w:style w:type="paragraph" w:customStyle="1" w:styleId="33">
    <w:name w:val="_Style 19"/>
    <w:basedOn w:val="1"/>
    <w:qFormat/>
    <w:uiPriority w:val="34"/>
    <w:pPr>
      <w:ind w:firstLine="420" w:firstLineChars="200"/>
    </w:pPr>
    <w:rPr>
      <w:rFonts w:ascii="Calibri" w:hAnsi="Calibri"/>
      <w:szCs w:val="22"/>
    </w:rPr>
  </w:style>
  <w:style w:type="character" w:customStyle="1" w:styleId="34">
    <w:name w:val="font91"/>
    <w:basedOn w:val="22"/>
    <w:qFormat/>
    <w:uiPriority w:val="0"/>
    <w:rPr>
      <w:rFonts w:hint="eastAsia" w:ascii="宋体" w:hAnsi="宋体" w:eastAsia="宋体" w:cs="宋体"/>
      <w:b/>
      <w:color w:val="000000"/>
      <w:sz w:val="22"/>
      <w:szCs w:val="22"/>
      <w:u w:val="none"/>
    </w:rPr>
  </w:style>
  <w:style w:type="character" w:customStyle="1" w:styleId="35">
    <w:name w:val="font71"/>
    <w:basedOn w:val="22"/>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91"/>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101</Pages>
  <Words>19914</Words>
  <Characters>21238</Characters>
  <TotalTime>7</TotalTime>
  <ScaleCrop>false</ScaleCrop>
  <LinksUpToDate>false</LinksUpToDate>
  <CharactersWithSpaces>21337</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2024-11-28T11:25:00Z</dcterms:created>
  <dc:creator>Yin Hao</dc:creator>
  <cp:lastModifiedBy>华城博远</cp:lastModifiedBy>
  <dcterms:modified xsi:type="dcterms:W3CDTF">2025-09-09T08:02:36Z</dcterms:modified>
  <dc:title>政府采购示范文本（2023）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2024-12-12T08:39:54Z</vt:filetime>
  </property>
  <property fmtid="{D5CDD505-2E9C-101B-9397-08002B2CF9AE}" pid="4" name="KSOProductBuildVer">
    <vt:lpwstr>2052-12.1.0.22529</vt:lpwstr>
  </property>
  <property fmtid="{D5CDD505-2E9C-101B-9397-08002B2CF9AE}" pid="5" name="ICV">
    <vt:lpwstr>41ED230DF5484100B016419C381DD3EB_13</vt:lpwstr>
  </property>
  <property fmtid="{D5CDD505-2E9C-101B-9397-08002B2CF9AE}" pid="6" name="KSOTemplateDocerSaveRecord">
    <vt:lpwstr>eyJoZGlkIjoiMTMyOWRjNmY0Y2JhZWVjNzdiMDVjMTdlMjllZjUwMTMiLCJ1c2VySWQiOiI1NjEzNTQ2MDYifQ==</vt:lpwstr>
  </property>
</Properties>
</file>