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9FF8">
      <w:pPr>
        <w:spacing w:line="360" w:lineRule="auto"/>
        <w:jc w:val="center"/>
        <w:outlineLvl w:val="0"/>
        <w:rPr>
          <w:b/>
          <w:color w:val="auto"/>
          <w:sz w:val="36"/>
          <w:szCs w:val="36"/>
          <w:highlight w:val="none"/>
        </w:rPr>
      </w:pPr>
      <w:r>
        <w:rPr>
          <w:b/>
          <w:color w:val="auto"/>
          <w:sz w:val="36"/>
          <w:szCs w:val="36"/>
          <w:highlight w:val="none"/>
        </w:rPr>
        <w:t>采购需求</w:t>
      </w:r>
    </w:p>
    <w:p w14:paraId="1CF6ECDB">
      <w:pPr>
        <w:rPr>
          <w:color w:val="auto"/>
          <w:highlight w:val="none"/>
        </w:rPr>
      </w:pPr>
    </w:p>
    <w:p w14:paraId="72F37AED">
      <w:pPr>
        <w:pStyle w:val="7"/>
        <w:numPr>
          <w:ilvl w:val="0"/>
          <w:numId w:val="0"/>
        </w:numPr>
        <w:spacing w:line="360" w:lineRule="auto"/>
        <w:contextualSpacing/>
        <w:rPr>
          <w:rFonts w:ascii="Times New Roman" w:hAnsi="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一、</w:t>
      </w:r>
      <w:r>
        <w:rPr>
          <w:rFonts w:ascii="Times New Roman" w:hAnsi="Times New Roman"/>
          <w:b/>
          <w:color w:val="000000" w:themeColor="text1"/>
          <w:sz w:val="24"/>
          <w:szCs w:val="24"/>
          <w14:textFill>
            <w14:solidFill>
              <w14:schemeClr w14:val="tx1"/>
            </w14:solidFill>
          </w14:textFill>
        </w:rPr>
        <w:t>采购标的</w:t>
      </w:r>
    </w:p>
    <w:p w14:paraId="049ACDFF">
      <w:pPr>
        <w:pStyle w:val="7"/>
        <w:numPr>
          <w:ilvl w:val="0"/>
          <w:numId w:val="0"/>
        </w:numPr>
        <w:spacing w:line="360" w:lineRule="auto"/>
        <w:ind w:left="504" w:leftChars="198" w:hanging="88" w:hangingChars="37"/>
        <w:contextualSpacing/>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1.采购标的</w:t>
      </w:r>
    </w:p>
    <w:tbl>
      <w:tblPr>
        <w:tblStyle w:val="5"/>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6"/>
        <w:gridCol w:w="1248"/>
        <w:gridCol w:w="5704"/>
      </w:tblGrid>
      <w:tr w14:paraId="56E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719" w:type="dxa"/>
            <w:vAlign w:val="center"/>
          </w:tcPr>
          <w:p w14:paraId="1E8302B8">
            <w:pPr>
              <w:spacing w:line="276" w:lineRule="auto"/>
              <w:jc w:val="center"/>
              <w:rPr>
                <w:rFonts w:hint="eastAsia" w:ascii="宋体" w:hAnsi="宋体" w:eastAsia="宋体"/>
                <w:bCs/>
                <w:sz w:val="24"/>
                <w:highlight w:val="none"/>
                <w:lang w:eastAsia="zh-CN"/>
              </w:rPr>
            </w:pPr>
            <w:r>
              <w:rPr>
                <w:rFonts w:hint="eastAsia" w:ascii="宋体" w:hAnsi="宋体"/>
                <w:bCs/>
                <w:sz w:val="24"/>
                <w:highlight w:val="none"/>
                <w:lang w:val="en-US" w:eastAsia="zh-CN"/>
              </w:rPr>
              <w:t>序号</w:t>
            </w:r>
          </w:p>
        </w:tc>
        <w:tc>
          <w:tcPr>
            <w:tcW w:w="1266" w:type="dxa"/>
            <w:vAlign w:val="center"/>
          </w:tcPr>
          <w:p w14:paraId="1818858F">
            <w:pPr>
              <w:spacing w:line="276" w:lineRule="auto"/>
              <w:jc w:val="center"/>
              <w:rPr>
                <w:rFonts w:ascii="宋体" w:hAnsi="宋体"/>
                <w:bCs/>
                <w:sz w:val="24"/>
                <w:highlight w:val="none"/>
              </w:rPr>
            </w:pPr>
            <w:r>
              <w:rPr>
                <w:rFonts w:hint="eastAsia" w:ascii="宋体" w:hAnsi="宋体"/>
                <w:bCs/>
                <w:sz w:val="24"/>
                <w:highlight w:val="none"/>
              </w:rPr>
              <w:t>标的名称</w:t>
            </w:r>
          </w:p>
        </w:tc>
        <w:tc>
          <w:tcPr>
            <w:tcW w:w="1248" w:type="dxa"/>
            <w:vAlign w:val="center"/>
          </w:tcPr>
          <w:p w14:paraId="10F29E4D">
            <w:pPr>
              <w:spacing w:line="276" w:lineRule="auto"/>
              <w:jc w:val="center"/>
              <w:rPr>
                <w:rFonts w:ascii="宋体" w:hAnsi="宋体"/>
                <w:bCs/>
                <w:sz w:val="24"/>
                <w:highlight w:val="none"/>
              </w:rPr>
            </w:pPr>
            <w:r>
              <w:rPr>
                <w:rFonts w:hint="eastAsia" w:ascii="宋体" w:hAnsi="宋体"/>
                <w:bCs/>
                <w:sz w:val="24"/>
                <w:highlight w:val="none"/>
              </w:rPr>
              <w:t>预算金额</w:t>
            </w:r>
          </w:p>
        </w:tc>
        <w:tc>
          <w:tcPr>
            <w:tcW w:w="5704" w:type="dxa"/>
            <w:vAlign w:val="center"/>
          </w:tcPr>
          <w:p w14:paraId="280A35A1">
            <w:pPr>
              <w:spacing w:line="276" w:lineRule="auto"/>
              <w:jc w:val="center"/>
              <w:rPr>
                <w:rFonts w:hint="eastAsia" w:ascii="宋体" w:hAnsi="宋体"/>
                <w:bCs/>
                <w:sz w:val="24"/>
                <w:highlight w:val="yellow"/>
              </w:rPr>
            </w:pPr>
            <w:r>
              <w:rPr>
                <w:rFonts w:hint="eastAsia" w:ascii="宋体" w:hAnsi="宋体"/>
                <w:bCs/>
                <w:sz w:val="24"/>
                <w:highlight w:val="none"/>
              </w:rPr>
              <w:t>简要技术需求或服务要求</w:t>
            </w:r>
          </w:p>
        </w:tc>
      </w:tr>
      <w:tr w14:paraId="22A8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exact"/>
          <w:jc w:val="center"/>
        </w:trPr>
        <w:tc>
          <w:tcPr>
            <w:tcW w:w="719" w:type="dxa"/>
            <w:vAlign w:val="center"/>
          </w:tcPr>
          <w:p w14:paraId="48710C77">
            <w:pPr>
              <w:spacing w:line="276" w:lineRule="auto"/>
              <w:jc w:val="center"/>
              <w:rPr>
                <w:rFonts w:hint="default" w:ascii="宋体" w:hAnsi="宋体" w:eastAsia="宋体"/>
                <w:bCs/>
                <w:sz w:val="24"/>
                <w:highlight w:val="none"/>
                <w:lang w:val="en-US" w:eastAsia="zh-CN"/>
              </w:rPr>
            </w:pPr>
            <w:r>
              <w:rPr>
                <w:rFonts w:hint="eastAsia" w:ascii="宋体" w:hAnsi="宋体"/>
                <w:bCs/>
                <w:sz w:val="24"/>
                <w:highlight w:val="none"/>
                <w:lang w:val="en-US" w:eastAsia="zh-CN"/>
              </w:rPr>
              <w:t>1</w:t>
            </w:r>
          </w:p>
        </w:tc>
        <w:tc>
          <w:tcPr>
            <w:tcW w:w="1266" w:type="dxa"/>
            <w:vAlign w:val="center"/>
          </w:tcPr>
          <w:p w14:paraId="04D003A5">
            <w:pPr>
              <w:spacing w:line="276" w:lineRule="auto"/>
              <w:jc w:val="center"/>
              <w:rPr>
                <w:rFonts w:hint="eastAsia" w:ascii="宋体" w:hAnsi="宋体" w:eastAsia="宋体"/>
                <w:bCs/>
                <w:sz w:val="24"/>
                <w:highlight w:val="none"/>
                <w:lang w:val="en-US" w:eastAsia="zh-CN"/>
              </w:rPr>
            </w:pPr>
            <w:r>
              <w:rPr>
                <w:rFonts w:hint="eastAsia"/>
                <w:bCs/>
                <w:sz w:val="24"/>
              </w:rPr>
              <w:t>手机信号动态监测</w:t>
            </w:r>
          </w:p>
        </w:tc>
        <w:tc>
          <w:tcPr>
            <w:tcW w:w="1248" w:type="dxa"/>
            <w:vAlign w:val="center"/>
          </w:tcPr>
          <w:p w14:paraId="199CCF58">
            <w:pPr>
              <w:spacing w:line="276" w:lineRule="auto"/>
              <w:jc w:val="center"/>
              <w:rPr>
                <w:rFonts w:hint="default" w:ascii="宋体" w:hAnsi="宋体" w:eastAsia="宋体"/>
                <w:bCs/>
                <w:sz w:val="24"/>
                <w:highlight w:val="none"/>
                <w:lang w:val="en-US" w:eastAsia="zh-CN"/>
              </w:rPr>
            </w:pPr>
            <w:r>
              <w:rPr>
                <w:rFonts w:hint="eastAsia" w:ascii="宋体" w:hAnsi="宋体" w:eastAsia="宋体"/>
                <w:color w:val="auto"/>
                <w:sz w:val="24"/>
                <w:highlight w:val="none"/>
                <w:lang w:eastAsia="zh-CN"/>
              </w:rPr>
              <w:t>607.6250万元</w:t>
            </w:r>
          </w:p>
        </w:tc>
        <w:tc>
          <w:tcPr>
            <w:tcW w:w="5704" w:type="dxa"/>
            <w:vAlign w:val="center"/>
          </w:tcPr>
          <w:p w14:paraId="03D3C1BC">
            <w:pPr>
              <w:spacing w:line="276" w:lineRule="auto"/>
              <w:jc w:val="center"/>
              <w:rPr>
                <w:rFonts w:hint="default" w:ascii="宋体" w:hAnsi="宋体" w:eastAsia="宋体"/>
                <w:bCs/>
                <w:sz w:val="24"/>
                <w:highlight w:val="yellow"/>
                <w:lang w:val="en-US" w:eastAsia="zh-CN"/>
              </w:rPr>
            </w:pPr>
            <w:r>
              <w:rPr>
                <w:rFonts w:hint="eastAsia"/>
                <w:sz w:val="24"/>
                <w:lang w:val="en-US" w:eastAsia="zh-CN"/>
              </w:rPr>
              <w:t>供应商</w:t>
            </w:r>
            <w:r>
              <w:rPr>
                <w:rFonts w:hint="eastAsia"/>
                <w:sz w:val="24"/>
              </w:rPr>
              <w:t>基于电信运营商移动通信网络信令数据及其他配套数据的分析，完成顺义区大数据人口动态监测服务的数据和技术服务工作</w:t>
            </w:r>
            <w:r>
              <w:rPr>
                <w:rFonts w:hint="eastAsia" w:ascii="宋体" w:hAnsi="宋体" w:cs="宋体"/>
                <w:sz w:val="24"/>
              </w:rPr>
              <w:t>等。</w:t>
            </w:r>
          </w:p>
        </w:tc>
      </w:tr>
    </w:tbl>
    <w:p w14:paraId="726AB847">
      <w:pPr>
        <w:spacing w:line="360" w:lineRule="auto"/>
        <w:ind w:firstLine="480" w:firstLineChars="200"/>
        <w:contextualSpacing/>
        <w:jc w:val="left"/>
        <w:rPr>
          <w:rFonts w:hint="eastAsia" w:ascii="宋体" w:hAnsi="宋体" w:cs="宋体"/>
          <w:bCs/>
          <w:color w:val="000000" w:themeColor="text1"/>
          <w:sz w:val="24"/>
          <w:highlight w:val="none"/>
          <w:lang w:val="en-US" w:eastAsia="zh-CN"/>
          <w14:textFill>
            <w14:solidFill>
              <w14:schemeClr w14:val="tx1"/>
            </w14:solidFill>
          </w14:textFill>
        </w:rPr>
      </w:pPr>
    </w:p>
    <w:p w14:paraId="0E7E3D64">
      <w:pPr>
        <w:spacing w:line="360" w:lineRule="auto"/>
        <w:ind w:firstLine="480" w:firstLineChars="200"/>
        <w:contextualSpacing/>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2.项目概述：</w:t>
      </w:r>
    </w:p>
    <w:p w14:paraId="2872D512">
      <w:pPr>
        <w:spacing w:line="360" w:lineRule="auto"/>
        <w:ind w:firstLine="480" w:firstLineChars="200"/>
        <w:contextualSpacing/>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北京城市总体规划（2016年—2035年）中，明确顺义区功能定位之一是承接中心城区适宜功能和人口疏解的重点地区，是推进京津冀协同发展的重要区域。</w:t>
      </w:r>
    </w:p>
    <w:p w14:paraId="246CFBB3">
      <w:pPr>
        <w:spacing w:line="360" w:lineRule="auto"/>
        <w:ind w:firstLine="480" w:firstLineChars="200"/>
        <w:contextualSpacing/>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顺义区国民经济和社会发展第十四个五年规划》提出大力发展数字经济、加快数字顺义建设。完善人口基础数据库建设和人口评估机制，加强人口动态监测预警，推动人口大数据研究应用。建立服务区域发展和人口管理的动态监测制度，整合人口数据，推动部门人口信息共享，健全实有人口基础信息平台，实现社区实有人口信息及时采集、准确登记和有效更新。探索利用“大数据”“云计算”等新技术，健全人口动态监测机制，科学判断人口调控形势，为人口调控科学施策、精准发力提供支持。</w:t>
      </w:r>
    </w:p>
    <w:p w14:paraId="016F3988">
      <w:pPr>
        <w:spacing w:line="360" w:lineRule="auto"/>
        <w:ind w:firstLine="480" w:firstLineChars="200"/>
        <w:contextualSpacing/>
        <w:jc w:val="left"/>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在《“十四五”时期顺义区人口发展规划》中提出完善综合调控机制，严控人口总量规模，坚守人口总量“红线”，人口规模增长平稳有序。根据北京市新版城市总体规划和顺义分区规划要求，围绕三大功能定位，严守区域人口控制“天花板”，合理控制人口规模。以城市空间为支点，合理布局人口功能区，分解人口调控指标，分档确定人口增速上限，压实属地人口调控任务。</w:t>
      </w:r>
    </w:p>
    <w:p w14:paraId="61206659">
      <w:pPr>
        <w:spacing w:line="360" w:lineRule="auto"/>
        <w:ind w:firstLine="480" w:firstLineChars="200"/>
        <w:contextualSpacing/>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为积极响应文件精神要求，深入推进“十四五”规划和城市总体规划的落实实施，贯彻落实《顺义区国民经济和社会发展第十四个五年规划和二〇三五年远景目标纲要》中“到2025年顺义区常住人口总量控制在140万人以内”的目标，进一步提高顺义区政府运用大数据的能力，强化人口调控管理与“疏解整治促提升”专项行动工作任务系统衔接，全面、动态、精确掌握全区人口规模和人口流动情况，实时掌握全区的人口情况，顺义区发改委积极探索和尝试大数据分析在人口工作方面的创新应用，依托手机信号大数据分析，通过监测、分析、预警等措施进一步开展人口调控管理。</w:t>
      </w:r>
    </w:p>
    <w:p w14:paraId="358EBC51">
      <w:pPr>
        <w:pStyle w:val="7"/>
        <w:numPr>
          <w:ilvl w:val="0"/>
          <w:numId w:val="0"/>
        </w:numPr>
        <w:spacing w:line="360" w:lineRule="auto"/>
        <w:ind w:left="500" w:leftChars="0" w:hanging="500" w:firstLineChars="0"/>
        <w:contextualSpacing/>
        <w:rPr>
          <w:rFonts w:ascii="Times New Roman" w:hAnsi="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二、</w:t>
      </w:r>
      <w:r>
        <w:rPr>
          <w:rFonts w:ascii="Times New Roman" w:hAnsi="Times New Roman"/>
          <w:b/>
          <w:color w:val="000000" w:themeColor="text1"/>
          <w:sz w:val="24"/>
          <w:szCs w:val="24"/>
          <w14:textFill>
            <w14:solidFill>
              <w14:schemeClr w14:val="tx1"/>
            </w14:solidFill>
          </w14:textFill>
        </w:rPr>
        <w:t>商务要求</w:t>
      </w:r>
    </w:p>
    <w:p w14:paraId="32D4D83C">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服务期限和地点：</w:t>
      </w:r>
    </w:p>
    <w:p w14:paraId="42D392FB">
      <w:pPr>
        <w:spacing w:line="360" w:lineRule="auto"/>
        <w:ind w:firstLine="480" w:firstLineChars="200"/>
        <w:contextualSpacing/>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1.1服务期限：</w:t>
      </w:r>
      <w:r>
        <w:rPr>
          <w:rFonts w:hint="eastAsia" w:ascii="宋体" w:hAnsi="宋体" w:cs="宋体"/>
          <w:color w:val="000000" w:themeColor="text1"/>
          <w:sz w:val="24"/>
          <w:highlight w:val="none"/>
          <w:lang w:val="en-US" w:eastAsia="zh-CN"/>
          <w14:textFill>
            <w14:solidFill>
              <w14:schemeClr w14:val="tx1"/>
            </w14:solidFill>
          </w14:textFill>
        </w:rPr>
        <w:t>根据采购人要求（不超过12个月）</w:t>
      </w:r>
      <w:r>
        <w:rPr>
          <w:rFonts w:hint="eastAsia" w:ascii="宋体" w:hAnsi="宋体"/>
          <w:color w:val="000000" w:themeColor="text1"/>
          <w:sz w:val="24"/>
          <w:highlight w:val="none"/>
          <w14:textFill>
            <w14:solidFill>
              <w14:schemeClr w14:val="tx1"/>
            </w14:solidFill>
          </w14:textFill>
        </w:rPr>
        <w:t>。</w:t>
      </w:r>
    </w:p>
    <w:p w14:paraId="7AC46657">
      <w:pPr>
        <w:pStyle w:val="3"/>
        <w:spacing w:line="360" w:lineRule="auto"/>
        <w:ind w:firstLine="480" w:firstLineChars="200"/>
        <w:rPr>
          <w:rFonts w:hint="eastAsia" w:hAnsi="宋体" w:eastAsia="宋体" w:cs="宋体"/>
          <w:bCs/>
          <w:color w:val="000000" w:themeColor="text1"/>
          <w:lang w:eastAsia="zh-CN"/>
          <w14:textFill>
            <w14:solidFill>
              <w14:schemeClr w14:val="tx1"/>
            </w14:solidFill>
          </w14:textFill>
        </w:rPr>
      </w:pPr>
      <w:r>
        <w:rPr>
          <w:rFonts w:hint="eastAsia" w:hAnsi="宋体" w:cs="宋体"/>
          <w:bCs/>
          <w:color w:val="000000" w:themeColor="text1"/>
          <w14:textFill>
            <w14:solidFill>
              <w14:schemeClr w14:val="tx1"/>
            </w14:solidFill>
          </w14:textFill>
        </w:rPr>
        <w:t>1.2服务地点：采购人指定地点</w:t>
      </w:r>
      <w:r>
        <w:rPr>
          <w:rFonts w:hint="eastAsia" w:hAnsi="宋体" w:cs="宋体"/>
          <w:bCs/>
          <w:color w:val="000000" w:themeColor="text1"/>
          <w:lang w:eastAsia="zh-CN"/>
          <w14:textFill>
            <w14:solidFill>
              <w14:schemeClr w14:val="tx1"/>
            </w14:solidFill>
          </w14:textFill>
        </w:rPr>
        <w:t>。</w:t>
      </w:r>
    </w:p>
    <w:p w14:paraId="6BD7F6F7">
      <w:pPr>
        <w:numPr>
          <w:ilvl w:val="0"/>
          <w:numId w:val="0"/>
        </w:numPr>
        <w:spacing w:line="360" w:lineRule="auto"/>
        <w:ind w:firstLine="482"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 xml:space="preserve">2. </w:t>
      </w:r>
      <w:r>
        <w:rPr>
          <w:rFonts w:hint="eastAsia" w:ascii="宋体" w:hAnsi="宋体" w:eastAsia="宋体" w:cs="宋体"/>
          <w:b/>
          <w:color w:val="000000" w:themeColor="text1"/>
          <w:sz w:val="24"/>
          <w:highlight w:val="none"/>
          <w14:textFill>
            <w14:solidFill>
              <w14:schemeClr w14:val="tx1"/>
            </w14:solidFill>
          </w14:textFill>
        </w:rPr>
        <w:t>付款条件（进度和方式）：</w:t>
      </w:r>
      <w:r>
        <w:rPr>
          <w:rFonts w:hint="eastAsia"/>
          <w:bCs/>
          <w:sz w:val="24"/>
          <w:highlight w:val="none"/>
        </w:rPr>
        <w:t>详</w:t>
      </w:r>
      <w:r>
        <w:rPr>
          <w:rFonts w:hint="eastAsia" w:ascii="宋体" w:hAnsi="宋体" w:cs="宋体"/>
          <w:bCs/>
          <w:color w:val="000000" w:themeColor="text1"/>
          <w:sz w:val="24"/>
          <w:highlight w:val="none"/>
          <w14:textFill>
            <w14:solidFill>
              <w14:schemeClr w14:val="tx1"/>
            </w14:solidFill>
          </w14:textFill>
        </w:rPr>
        <w:t>见第六章拟签订的合同文本</w:t>
      </w:r>
    </w:p>
    <w:p w14:paraId="6401CF9F">
      <w:pPr>
        <w:pStyle w:val="7"/>
        <w:numPr>
          <w:ilvl w:val="0"/>
          <w:numId w:val="0"/>
        </w:numPr>
        <w:spacing w:line="360" w:lineRule="auto"/>
        <w:ind w:left="500" w:leftChars="0" w:hanging="500" w:firstLineChars="0"/>
        <w:contextualSpacing/>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default" w:ascii="宋体" w:hAnsi="宋体" w:eastAsia="宋体" w:cs="宋体"/>
          <w:bCs/>
          <w:color w:val="000000" w:themeColor="text1"/>
          <w:kern w:val="2"/>
          <w:sz w:val="24"/>
          <w:szCs w:val="22"/>
          <w:lang w:val="en-US" w:eastAsia="zh-CN" w:bidi="ar-SA"/>
          <w14:textFill>
            <w14:solidFill>
              <w14:schemeClr w14:val="tx1"/>
            </w14:solidFill>
          </w14:textFill>
        </w:rPr>
        <w:t>三、</w:t>
      </w:r>
      <w:r>
        <w:rPr>
          <w:rFonts w:ascii="Times New Roman" w:hAnsi="Times New Roman"/>
          <w:b/>
          <w:color w:val="000000" w:themeColor="text1"/>
          <w:sz w:val="24"/>
          <w:szCs w:val="24"/>
          <w14:textFill>
            <w14:solidFill>
              <w14:schemeClr w14:val="tx1"/>
            </w14:solidFill>
          </w14:textFill>
        </w:rPr>
        <w:t>技术要求</w:t>
      </w:r>
    </w:p>
    <w:p w14:paraId="4335A4F3">
      <w:pPr>
        <w:spacing w:line="360" w:lineRule="auto"/>
        <w:ind w:firstLine="482" w:firstLineChars="200"/>
        <w:contextualSpacing/>
        <w:outlineLvl w:val="3"/>
        <w:rPr>
          <w:rFonts w:ascii="宋体" w:hAnsi="宋体" w:cs="宋体"/>
          <w:b/>
          <w:bCs/>
          <w:color w:val="auto"/>
          <w:sz w:val="24"/>
          <w:highlight w:val="none"/>
        </w:rPr>
      </w:pPr>
      <w:r>
        <w:rPr>
          <w:rFonts w:hint="eastAsia" w:ascii="宋体" w:hAnsi="宋体" w:cs="宋体"/>
          <w:b/>
          <w:bCs/>
          <w:color w:val="auto"/>
          <w:sz w:val="24"/>
          <w:highlight w:val="none"/>
        </w:rPr>
        <w:t>（一）基本要求</w:t>
      </w:r>
    </w:p>
    <w:p w14:paraId="321D59A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1.采购标的需实现的功能或者目标</w:t>
      </w:r>
    </w:p>
    <w:p w14:paraId="7012572E">
      <w:pPr>
        <w:pStyle w:val="3"/>
        <w:spacing w:line="360" w:lineRule="auto"/>
        <w:ind w:firstLine="480" w:firstLineChars="200"/>
        <w:rPr>
          <w:rFonts w:hAnsi="宋体" w:cs="宋体"/>
          <w:color w:val="auto"/>
          <w:highlight w:val="none"/>
        </w:rPr>
      </w:pPr>
      <w:r>
        <w:rPr>
          <w:rFonts w:hint="eastAsia" w:hAnsi="宋体" w:cs="宋体"/>
          <w:color w:val="auto"/>
          <w:highlight w:val="none"/>
        </w:rPr>
        <w:t>本次招标采购是为</w:t>
      </w:r>
      <w:r>
        <w:rPr>
          <w:rFonts w:hint="eastAsia" w:hAnsi="宋体" w:cs="宋体"/>
          <w:color w:val="auto"/>
          <w:highlight w:val="none"/>
          <w:lang w:eastAsia="zh-CN"/>
        </w:rPr>
        <w:t>顺义区手机信号动态监测项目</w:t>
      </w:r>
      <w:r>
        <w:rPr>
          <w:rFonts w:hint="eastAsia" w:hAnsi="宋体" w:cs="宋体"/>
          <w:color w:val="auto"/>
          <w:highlight w:val="none"/>
        </w:rPr>
        <w:t>提供服务，投标人应根据招标文件所提出的服务要求综合考虑，选择需要最佳性能价格比的服务前来投标。</w:t>
      </w:r>
    </w:p>
    <w:p w14:paraId="78C67586">
      <w:pPr>
        <w:numPr>
          <w:ilvl w:val="0"/>
          <w:numId w:val="0"/>
        </w:numPr>
        <w:spacing w:line="360" w:lineRule="auto"/>
        <w:ind w:firstLine="482" w:firstLineChars="200"/>
        <w:contextualSpacing/>
        <w:rPr>
          <w:rFonts w:hint="eastAsia"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2.</w:t>
      </w:r>
      <w:r>
        <w:rPr>
          <w:rFonts w:hint="eastAsia" w:ascii="宋体" w:hAnsi="宋体" w:cs="宋体"/>
          <w:b/>
          <w:bCs/>
          <w:color w:val="auto"/>
          <w:sz w:val="24"/>
          <w:highlight w:val="none"/>
        </w:rPr>
        <w:t>需满足国家相关标准、行业标准、地方标准或者其他标准、规范</w:t>
      </w:r>
    </w:p>
    <w:p w14:paraId="59AAEC1C">
      <w:pPr>
        <w:numPr>
          <w:ilvl w:val="0"/>
          <w:numId w:val="0"/>
        </w:numPr>
        <w:spacing w:line="360" w:lineRule="auto"/>
        <w:ind w:firstLine="480" w:firstLineChars="200"/>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投标人所提供的服务应符合国家有关部门规定的相应技术法规及标准要求。</w:t>
      </w:r>
    </w:p>
    <w:p w14:paraId="3012C28A">
      <w:pPr>
        <w:pStyle w:val="2"/>
        <w:bidi w:val="0"/>
        <w:outlineLvl w:val="3"/>
        <w:rPr>
          <w:rFonts w:hint="eastAsia"/>
          <w:lang w:val="en-US" w:eastAsia="zh-CN"/>
        </w:rPr>
      </w:pPr>
      <w:r>
        <w:rPr>
          <w:rFonts w:hint="eastAsia"/>
        </w:rPr>
        <w:t>（二）</w:t>
      </w:r>
      <w:r>
        <w:rPr>
          <w:rFonts w:hint="eastAsia"/>
          <w:lang w:val="en-US" w:eastAsia="zh-CN"/>
        </w:rPr>
        <w:t>具体</w:t>
      </w:r>
      <w:r>
        <w:rPr>
          <w:rFonts w:hint="eastAsia"/>
        </w:rPr>
        <w:t>要求</w:t>
      </w:r>
    </w:p>
    <w:p w14:paraId="1AB6C5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1.服务内容</w:t>
      </w:r>
    </w:p>
    <w:tbl>
      <w:tblPr>
        <w:tblStyle w:val="5"/>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3"/>
        <w:gridCol w:w="2338"/>
        <w:gridCol w:w="1295"/>
        <w:gridCol w:w="4863"/>
      </w:tblGrid>
      <w:tr w14:paraId="082F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blHeader/>
        </w:trPr>
        <w:tc>
          <w:tcPr>
            <w:tcW w:w="783" w:type="dxa"/>
            <w:shd w:val="clear" w:color="auto" w:fill="auto"/>
            <w:vAlign w:val="center"/>
          </w:tcPr>
          <w:p w14:paraId="684DC5A5">
            <w:pPr>
              <w:spacing w:line="240" w:lineRule="auto"/>
              <w:jc w:val="center"/>
              <w:rPr>
                <w:rFonts w:hint="eastAsia" w:ascii="宋体" w:hAnsi="宋体" w:cs="宋体"/>
                <w:sz w:val="24"/>
              </w:rPr>
            </w:pPr>
            <w:bookmarkStart w:id="0" w:name="_Toc365535249"/>
            <w:bookmarkStart w:id="1" w:name="_Toc352591162"/>
            <w:bookmarkStart w:id="2" w:name="_Toc432839393"/>
            <w:r>
              <w:rPr>
                <w:rFonts w:hint="eastAsia" w:ascii="宋体" w:hAnsi="宋体" w:cs="宋体"/>
                <w:sz w:val="24"/>
              </w:rPr>
              <w:t>序号</w:t>
            </w:r>
          </w:p>
        </w:tc>
        <w:tc>
          <w:tcPr>
            <w:tcW w:w="2338" w:type="dxa"/>
            <w:shd w:val="clear" w:color="auto" w:fill="auto"/>
            <w:vAlign w:val="center"/>
          </w:tcPr>
          <w:p w14:paraId="62DE1819">
            <w:pPr>
              <w:spacing w:line="240" w:lineRule="auto"/>
              <w:jc w:val="center"/>
              <w:rPr>
                <w:rFonts w:hint="eastAsia" w:ascii="宋体" w:hAnsi="宋体" w:cs="宋体"/>
                <w:sz w:val="24"/>
              </w:rPr>
            </w:pPr>
            <w:r>
              <w:rPr>
                <w:rFonts w:hint="eastAsia" w:ascii="宋体" w:hAnsi="宋体" w:cs="宋体"/>
                <w:sz w:val="24"/>
              </w:rPr>
              <w:t>内容</w:t>
            </w:r>
          </w:p>
        </w:tc>
        <w:tc>
          <w:tcPr>
            <w:tcW w:w="1295" w:type="dxa"/>
            <w:shd w:val="clear" w:color="auto" w:fill="auto"/>
            <w:vAlign w:val="center"/>
          </w:tcPr>
          <w:p w14:paraId="6D89F7D9">
            <w:pPr>
              <w:spacing w:line="240" w:lineRule="auto"/>
              <w:jc w:val="center"/>
              <w:rPr>
                <w:rFonts w:hint="eastAsia" w:ascii="宋体" w:hAnsi="宋体" w:cs="宋体"/>
                <w:sz w:val="24"/>
              </w:rPr>
            </w:pPr>
            <w:r>
              <w:rPr>
                <w:rFonts w:hint="eastAsia" w:ascii="宋体" w:hAnsi="宋体" w:cs="宋体"/>
                <w:sz w:val="24"/>
              </w:rPr>
              <w:t>单位</w:t>
            </w:r>
          </w:p>
        </w:tc>
        <w:tc>
          <w:tcPr>
            <w:tcW w:w="4863" w:type="dxa"/>
            <w:shd w:val="clear" w:color="auto" w:fill="auto"/>
            <w:vAlign w:val="center"/>
          </w:tcPr>
          <w:p w14:paraId="63353C57">
            <w:pPr>
              <w:spacing w:line="240" w:lineRule="auto"/>
              <w:jc w:val="center"/>
              <w:rPr>
                <w:rFonts w:hint="eastAsia" w:ascii="宋体" w:hAnsi="宋体" w:cs="宋体"/>
                <w:sz w:val="24"/>
              </w:rPr>
            </w:pPr>
            <w:r>
              <w:rPr>
                <w:rFonts w:hint="eastAsia" w:ascii="宋体" w:hAnsi="宋体" w:cs="宋体"/>
                <w:sz w:val="24"/>
              </w:rPr>
              <w:t>简要技术要求</w:t>
            </w:r>
          </w:p>
        </w:tc>
      </w:tr>
      <w:tr w14:paraId="6B32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83" w:type="dxa"/>
            <w:shd w:val="clear" w:color="auto" w:fill="auto"/>
            <w:vAlign w:val="center"/>
          </w:tcPr>
          <w:p w14:paraId="199858AD">
            <w:pPr>
              <w:spacing w:line="240" w:lineRule="auto"/>
              <w:ind w:firstLine="0" w:firstLineChars="0"/>
              <w:contextualSpacing/>
              <w:jc w:val="center"/>
              <w:rPr>
                <w:sz w:val="24"/>
              </w:rPr>
            </w:pPr>
            <w:r>
              <w:rPr>
                <w:rFonts w:hint="eastAsia"/>
                <w:sz w:val="24"/>
              </w:rPr>
              <w:t>1</w:t>
            </w:r>
          </w:p>
        </w:tc>
        <w:tc>
          <w:tcPr>
            <w:tcW w:w="2338" w:type="dxa"/>
            <w:shd w:val="clear" w:color="auto" w:fill="auto"/>
            <w:vAlign w:val="center"/>
          </w:tcPr>
          <w:p w14:paraId="2F847667">
            <w:pPr>
              <w:spacing w:line="240" w:lineRule="auto"/>
              <w:contextualSpacing/>
              <w:jc w:val="center"/>
              <w:rPr>
                <w:sz w:val="24"/>
              </w:rPr>
            </w:pPr>
            <w:r>
              <w:rPr>
                <w:rFonts w:hint="eastAsia"/>
                <w:sz w:val="24"/>
              </w:rPr>
              <w:t>运营商数据分析技术服务</w:t>
            </w:r>
          </w:p>
        </w:tc>
        <w:tc>
          <w:tcPr>
            <w:tcW w:w="1295" w:type="dxa"/>
            <w:shd w:val="clear" w:color="auto" w:fill="auto"/>
            <w:vAlign w:val="center"/>
          </w:tcPr>
          <w:p w14:paraId="5E304B48">
            <w:pPr>
              <w:spacing w:line="240" w:lineRule="auto"/>
              <w:contextualSpacing/>
              <w:jc w:val="center"/>
              <w:rPr>
                <w:sz w:val="24"/>
              </w:rPr>
            </w:pPr>
            <w:r>
              <w:rPr>
                <w:rFonts w:hint="eastAsia"/>
                <w:sz w:val="24"/>
              </w:rPr>
              <w:t>1年</w:t>
            </w:r>
          </w:p>
        </w:tc>
        <w:tc>
          <w:tcPr>
            <w:tcW w:w="4863" w:type="dxa"/>
            <w:shd w:val="clear" w:color="auto" w:fill="auto"/>
            <w:vAlign w:val="center"/>
          </w:tcPr>
          <w:p w14:paraId="5929ED86">
            <w:pPr>
              <w:spacing w:line="240" w:lineRule="auto"/>
              <w:contextualSpacing/>
              <w:rPr>
                <w:sz w:val="24"/>
              </w:rPr>
            </w:pPr>
            <w:r>
              <w:rPr>
                <w:rFonts w:hint="eastAsia"/>
                <w:sz w:val="24"/>
              </w:rPr>
              <w:t>完成三大运营商侧网络信令数据及其他配套数据的治理、融合分析等。</w:t>
            </w:r>
          </w:p>
        </w:tc>
      </w:tr>
      <w:tr w14:paraId="788D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shd w:val="clear" w:color="auto" w:fill="auto"/>
            <w:vAlign w:val="center"/>
          </w:tcPr>
          <w:p w14:paraId="1458F2A7">
            <w:pPr>
              <w:spacing w:line="240" w:lineRule="auto"/>
              <w:ind w:firstLine="0" w:firstLineChars="0"/>
              <w:contextualSpacing/>
              <w:jc w:val="center"/>
              <w:rPr>
                <w:sz w:val="24"/>
              </w:rPr>
            </w:pPr>
            <w:r>
              <w:rPr>
                <w:rFonts w:hint="eastAsia"/>
                <w:sz w:val="24"/>
              </w:rPr>
              <w:t>2</w:t>
            </w:r>
          </w:p>
        </w:tc>
        <w:tc>
          <w:tcPr>
            <w:tcW w:w="2338" w:type="dxa"/>
            <w:shd w:val="clear" w:color="auto" w:fill="auto"/>
            <w:vAlign w:val="center"/>
          </w:tcPr>
          <w:p w14:paraId="404BA41F">
            <w:pPr>
              <w:spacing w:line="240" w:lineRule="auto"/>
              <w:contextualSpacing/>
              <w:jc w:val="center"/>
              <w:rPr>
                <w:sz w:val="24"/>
              </w:rPr>
            </w:pPr>
            <w:bookmarkStart w:id="3" w:name="_Hlk206159637"/>
            <w:r>
              <w:rPr>
                <w:rFonts w:hint="eastAsia"/>
                <w:sz w:val="24"/>
              </w:rPr>
              <w:t>大数据人口动态监测分析技术服务</w:t>
            </w:r>
            <w:bookmarkEnd w:id="3"/>
          </w:p>
        </w:tc>
        <w:tc>
          <w:tcPr>
            <w:tcW w:w="1295" w:type="dxa"/>
            <w:shd w:val="clear" w:color="auto" w:fill="auto"/>
            <w:vAlign w:val="center"/>
          </w:tcPr>
          <w:p w14:paraId="537639DD">
            <w:pPr>
              <w:spacing w:line="240" w:lineRule="auto"/>
              <w:contextualSpacing/>
              <w:jc w:val="center"/>
              <w:rPr>
                <w:sz w:val="24"/>
              </w:rPr>
            </w:pPr>
            <w:r>
              <w:rPr>
                <w:rFonts w:hint="eastAsia"/>
                <w:sz w:val="24"/>
              </w:rPr>
              <w:t>1年</w:t>
            </w:r>
          </w:p>
        </w:tc>
        <w:tc>
          <w:tcPr>
            <w:tcW w:w="4863" w:type="dxa"/>
            <w:shd w:val="clear" w:color="auto" w:fill="auto"/>
            <w:vAlign w:val="center"/>
          </w:tcPr>
          <w:p w14:paraId="5233553A">
            <w:pPr>
              <w:spacing w:line="240" w:lineRule="auto"/>
              <w:contextualSpacing/>
              <w:rPr>
                <w:sz w:val="24"/>
              </w:rPr>
            </w:pPr>
            <w:r>
              <w:rPr>
                <w:rFonts w:hint="eastAsia"/>
                <w:sz w:val="24"/>
              </w:rPr>
              <w:t>整合不同运营商数据，并根据统计时间戳、位置/区域标识等维度完成数据的去重、汇聚、关联及二次分析应用。</w:t>
            </w:r>
          </w:p>
        </w:tc>
      </w:tr>
      <w:tr w14:paraId="4B72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83" w:type="dxa"/>
            <w:shd w:val="clear" w:color="auto" w:fill="auto"/>
            <w:vAlign w:val="center"/>
          </w:tcPr>
          <w:p w14:paraId="7604548B">
            <w:pPr>
              <w:spacing w:line="240" w:lineRule="auto"/>
              <w:ind w:firstLine="0" w:firstLineChars="0"/>
              <w:contextualSpacing/>
              <w:jc w:val="center"/>
              <w:rPr>
                <w:sz w:val="24"/>
              </w:rPr>
            </w:pPr>
            <w:r>
              <w:rPr>
                <w:rFonts w:hint="eastAsia"/>
                <w:sz w:val="24"/>
              </w:rPr>
              <w:t>3</w:t>
            </w:r>
          </w:p>
        </w:tc>
        <w:tc>
          <w:tcPr>
            <w:tcW w:w="2338" w:type="dxa"/>
            <w:shd w:val="clear" w:color="auto" w:fill="auto"/>
            <w:vAlign w:val="center"/>
          </w:tcPr>
          <w:p w14:paraId="291E7EEF">
            <w:pPr>
              <w:spacing w:line="240" w:lineRule="auto"/>
              <w:contextualSpacing/>
              <w:jc w:val="center"/>
              <w:rPr>
                <w:sz w:val="24"/>
              </w:rPr>
            </w:pPr>
            <w:r>
              <w:rPr>
                <w:rFonts w:hint="eastAsia"/>
                <w:sz w:val="24"/>
              </w:rPr>
              <w:t>人口统计应用技术服务报告</w:t>
            </w:r>
          </w:p>
        </w:tc>
        <w:tc>
          <w:tcPr>
            <w:tcW w:w="1295" w:type="dxa"/>
            <w:shd w:val="clear" w:color="auto" w:fill="auto"/>
            <w:vAlign w:val="center"/>
          </w:tcPr>
          <w:p w14:paraId="28AB8D4D">
            <w:pPr>
              <w:spacing w:line="240" w:lineRule="auto"/>
              <w:contextualSpacing/>
              <w:jc w:val="center"/>
              <w:rPr>
                <w:sz w:val="24"/>
              </w:rPr>
            </w:pPr>
            <w:r>
              <w:rPr>
                <w:rFonts w:hint="eastAsia"/>
                <w:sz w:val="24"/>
              </w:rPr>
              <w:t>12套</w:t>
            </w:r>
          </w:p>
        </w:tc>
        <w:tc>
          <w:tcPr>
            <w:tcW w:w="4863" w:type="dxa"/>
            <w:shd w:val="clear" w:color="auto" w:fill="auto"/>
            <w:vAlign w:val="center"/>
          </w:tcPr>
          <w:p w14:paraId="4B5A9F9F">
            <w:pPr>
              <w:spacing w:line="240" w:lineRule="auto"/>
              <w:contextualSpacing/>
              <w:rPr>
                <w:sz w:val="24"/>
              </w:rPr>
            </w:pPr>
            <w:r>
              <w:rPr>
                <w:rFonts w:hint="eastAsia"/>
                <w:sz w:val="24"/>
              </w:rPr>
              <w:t>提供顺义区</w:t>
            </w:r>
          </w:p>
          <w:p w14:paraId="681EF0AD">
            <w:pPr>
              <w:spacing w:line="240" w:lineRule="auto"/>
              <w:ind w:firstLine="0" w:firstLineChars="0"/>
              <w:contextualSpacing/>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全区居住人口分析；</w:t>
            </w:r>
          </w:p>
          <w:p w14:paraId="6C7321EB">
            <w:pPr>
              <w:spacing w:line="240" w:lineRule="auto"/>
              <w:ind w:firstLine="0" w:firstLineChars="0"/>
              <w:contextualSpacing/>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各镇街辖区内人口分析；</w:t>
            </w:r>
          </w:p>
          <w:p w14:paraId="6E967E37">
            <w:pPr>
              <w:spacing w:line="240" w:lineRule="auto"/>
              <w:ind w:firstLine="0" w:firstLineChars="0"/>
              <w:contextualSpacing/>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25个街镇的村（居）人口统计；</w:t>
            </w:r>
          </w:p>
          <w:p w14:paraId="38469F90">
            <w:pPr>
              <w:spacing w:line="240" w:lineRule="auto"/>
              <w:ind w:firstLine="0" w:firstLineChars="0"/>
              <w:contextualSpacing/>
              <w:rPr>
                <w:sz w:val="24"/>
              </w:rPr>
            </w:pPr>
            <w:bookmarkStart w:id="4" w:name="_Toc83399883"/>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产业功能区就业人口分析</w:t>
            </w:r>
            <w:bookmarkEnd w:id="4"/>
            <w:r>
              <w:rPr>
                <w:rFonts w:hint="eastAsia"/>
                <w:sz w:val="24"/>
              </w:rPr>
              <w:t>。</w:t>
            </w:r>
          </w:p>
        </w:tc>
      </w:tr>
      <w:bookmarkEnd w:id="0"/>
      <w:bookmarkEnd w:id="1"/>
      <w:bookmarkEnd w:id="2"/>
    </w:tbl>
    <w:p w14:paraId="2599E848">
      <w:pPr>
        <w:spacing w:line="560" w:lineRule="exact"/>
        <w:ind w:firstLine="482" w:firstLineChars="200"/>
        <w:contextualSpacing/>
        <w:rPr>
          <w:b/>
          <w:bCs/>
          <w:sz w:val="24"/>
        </w:rPr>
      </w:pPr>
      <w:r>
        <w:rPr>
          <w:rFonts w:hint="eastAsia"/>
          <w:b/>
          <w:bCs/>
          <w:sz w:val="24"/>
        </w:rPr>
        <w:t>2.项目总体情况</w:t>
      </w:r>
    </w:p>
    <w:p w14:paraId="4F4FE4B4">
      <w:pPr>
        <w:spacing w:line="560" w:lineRule="exact"/>
        <w:ind w:firstLine="480" w:firstLineChars="200"/>
        <w:contextualSpacing/>
        <w:rPr>
          <w:sz w:val="24"/>
        </w:rPr>
      </w:pPr>
      <w:r>
        <w:rPr>
          <w:rFonts w:hint="eastAsia"/>
          <w:sz w:val="24"/>
        </w:rPr>
        <w:t>本次项目的总体目标为基于电信运营商移动通信网络信令数据及其他配套数据的分析，完成顺义区大数据人口动态监测服务的数据和技术服务工作。</w:t>
      </w:r>
    </w:p>
    <w:p w14:paraId="242B88E9">
      <w:pPr>
        <w:spacing w:line="560" w:lineRule="exact"/>
        <w:ind w:firstLine="482" w:firstLineChars="200"/>
        <w:contextualSpacing/>
        <w:rPr>
          <w:b/>
          <w:bCs/>
          <w:sz w:val="24"/>
        </w:rPr>
      </w:pPr>
      <w:r>
        <w:rPr>
          <w:rFonts w:hint="eastAsia"/>
          <w:b/>
          <w:bCs/>
          <w:sz w:val="24"/>
        </w:rPr>
        <w:t>3.</w:t>
      </w:r>
      <w:r>
        <w:rPr>
          <w:rFonts w:hint="eastAsia"/>
          <w:b/>
          <w:bCs/>
          <w:sz w:val="24"/>
          <w:lang w:val="en-US" w:eastAsia="zh-CN"/>
        </w:rPr>
        <w:t>项目</w:t>
      </w:r>
      <w:r>
        <w:rPr>
          <w:rFonts w:hint="eastAsia"/>
          <w:b/>
          <w:bCs/>
          <w:sz w:val="24"/>
        </w:rPr>
        <w:t>服务目标</w:t>
      </w:r>
    </w:p>
    <w:p w14:paraId="1BA6D141">
      <w:pPr>
        <w:spacing w:line="560" w:lineRule="exact"/>
        <w:ind w:firstLine="480" w:firstLineChars="200"/>
        <w:contextualSpacing/>
        <w:rPr>
          <w:sz w:val="24"/>
        </w:rPr>
      </w:pPr>
      <w:r>
        <w:rPr>
          <w:rFonts w:hint="eastAsia"/>
          <w:sz w:val="24"/>
          <w:lang w:val="en-US" w:eastAsia="zh-CN"/>
        </w:rPr>
        <w:t>3.1</w:t>
      </w:r>
      <w:r>
        <w:rPr>
          <w:rFonts w:hint="eastAsia"/>
          <w:sz w:val="24"/>
        </w:rPr>
        <w:t>运营商数据分析技术服务：在运营商侧搭建数据分析平台，完成网络数据采集、解析、清洗、分析等。将底层数据脱敏后，转化为不包含任何用户隐私信息的统计级数据。</w:t>
      </w:r>
    </w:p>
    <w:p w14:paraId="068E20B9">
      <w:pPr>
        <w:spacing w:line="560" w:lineRule="exact"/>
        <w:ind w:firstLine="480" w:firstLineChars="200"/>
        <w:contextualSpacing/>
        <w:rPr>
          <w:sz w:val="24"/>
        </w:rPr>
      </w:pPr>
      <w:r>
        <w:rPr>
          <w:rFonts w:hint="eastAsia"/>
          <w:sz w:val="24"/>
          <w:lang w:val="en-US" w:eastAsia="zh-CN"/>
        </w:rPr>
        <w:t>3.2</w:t>
      </w:r>
      <w:r>
        <w:rPr>
          <w:rFonts w:hint="eastAsia"/>
          <w:sz w:val="24"/>
        </w:rPr>
        <w:t>大数据人口动态监测分析技术服务：整合不同运营商数据，并根据统计时间戳、位置/区域标识等维度完成数据的去重、汇聚、关联及二次分析应用。</w:t>
      </w:r>
    </w:p>
    <w:p w14:paraId="4A5560A1">
      <w:pPr>
        <w:spacing w:line="560" w:lineRule="exact"/>
        <w:ind w:firstLine="480" w:firstLineChars="200"/>
        <w:contextualSpacing/>
        <w:rPr>
          <w:sz w:val="24"/>
        </w:rPr>
      </w:pPr>
      <w:r>
        <w:rPr>
          <w:rFonts w:hint="eastAsia"/>
          <w:sz w:val="24"/>
          <w:lang w:val="en-US" w:eastAsia="zh-CN"/>
        </w:rPr>
        <w:t>3.3</w:t>
      </w:r>
      <w:r>
        <w:rPr>
          <w:rFonts w:hint="eastAsia"/>
          <w:sz w:val="24"/>
        </w:rPr>
        <w:t>人口统计应用技术服务报告：根据本期统计数据及顺义区发改委人口统计相关工作需求，开发相应的应用分析模块，提供以下数据分析服务报告：</w:t>
      </w:r>
    </w:p>
    <w:p w14:paraId="4FF369DF">
      <w:pPr>
        <w:spacing w:line="560" w:lineRule="exact"/>
        <w:ind w:firstLine="480" w:firstLineChars="200"/>
        <w:contextualSpacing/>
        <w:rPr>
          <w:sz w:val="24"/>
        </w:rPr>
      </w:pPr>
      <w:r>
        <w:rPr>
          <w:rFonts w:hint="eastAsia" w:cs="宋体" w:asciiTheme="minorEastAsia" w:hAnsiTheme="minorEastAsia" w:eastAsiaTheme="minorEastAsia"/>
          <w:sz w:val="24"/>
          <w:szCs w:val="24"/>
        </w:rPr>
        <w:t>▲</w:t>
      </w:r>
      <w:r>
        <w:rPr>
          <w:rFonts w:hint="eastAsia"/>
          <w:sz w:val="24"/>
          <w:lang w:val="en-US" w:eastAsia="zh-CN"/>
        </w:rPr>
        <w:t>3.3.1</w:t>
      </w:r>
      <w:r>
        <w:rPr>
          <w:rFonts w:hint="eastAsia"/>
          <w:sz w:val="24"/>
        </w:rPr>
        <w:t>全区居住人口分析</w:t>
      </w:r>
    </w:p>
    <w:p w14:paraId="68274AD8">
      <w:pPr>
        <w:spacing w:line="560" w:lineRule="exact"/>
        <w:ind w:firstLine="480" w:firstLineChars="200"/>
        <w:contextualSpacing/>
        <w:rPr>
          <w:sz w:val="24"/>
        </w:rPr>
      </w:pPr>
      <w:r>
        <w:rPr>
          <w:rFonts w:hint="eastAsia" w:cs="宋体" w:asciiTheme="minorEastAsia" w:hAnsiTheme="minorEastAsia" w:eastAsiaTheme="minorEastAsia"/>
          <w:sz w:val="24"/>
          <w:szCs w:val="24"/>
        </w:rPr>
        <w:t>▲</w:t>
      </w:r>
      <w:r>
        <w:rPr>
          <w:rFonts w:hint="eastAsia"/>
          <w:sz w:val="24"/>
          <w:lang w:val="en-US" w:eastAsia="zh-CN"/>
        </w:rPr>
        <w:t>3.3.2</w:t>
      </w:r>
      <w:r>
        <w:rPr>
          <w:rFonts w:hint="eastAsia"/>
          <w:sz w:val="24"/>
        </w:rPr>
        <w:t>各镇街辖区内人口分析</w:t>
      </w:r>
    </w:p>
    <w:p w14:paraId="1DC5C9AC">
      <w:pPr>
        <w:spacing w:line="560" w:lineRule="exact"/>
        <w:ind w:firstLine="480" w:firstLineChars="200"/>
        <w:contextualSpacing/>
        <w:rPr>
          <w:sz w:val="24"/>
        </w:rPr>
      </w:pPr>
      <w:r>
        <w:rPr>
          <w:rFonts w:hint="eastAsia" w:cs="宋体" w:asciiTheme="minorEastAsia" w:hAnsiTheme="minorEastAsia" w:eastAsiaTheme="minorEastAsia"/>
          <w:sz w:val="24"/>
          <w:szCs w:val="24"/>
        </w:rPr>
        <w:t>▲</w:t>
      </w:r>
      <w:r>
        <w:rPr>
          <w:rFonts w:hint="eastAsia"/>
          <w:sz w:val="24"/>
          <w:lang w:val="en-US" w:eastAsia="zh-CN"/>
        </w:rPr>
        <w:t>3.3.3</w:t>
      </w:r>
      <w:r>
        <w:rPr>
          <w:rFonts w:hint="eastAsia"/>
          <w:sz w:val="24"/>
        </w:rPr>
        <w:t>村（居）人口统计</w:t>
      </w:r>
    </w:p>
    <w:p w14:paraId="6B2743D3">
      <w:pPr>
        <w:spacing w:line="560" w:lineRule="exact"/>
        <w:ind w:firstLine="480" w:firstLineChars="200"/>
        <w:contextualSpacing/>
        <w:rPr>
          <w:sz w:val="24"/>
        </w:rPr>
      </w:pPr>
      <w:r>
        <w:rPr>
          <w:rFonts w:hint="eastAsia"/>
          <w:sz w:val="24"/>
        </w:rPr>
        <w:t>北石槽镇、北务镇、北小营镇、大孙各庄镇、高丽营镇、光明街道、后沙峪镇、空港街道、李桥镇、李遂镇、龙湾屯镇、马坡镇、木林镇、南彩镇、南法信镇、牛栏山镇、仁和镇、胜利街道、石园街道、双丰街道、天竺镇、旺泉街道、杨镇、张镇、赵全营镇25个街镇监测粒度，</w:t>
      </w:r>
      <w:r>
        <w:rPr>
          <w:sz w:val="24"/>
        </w:rPr>
        <w:t>25</w:t>
      </w:r>
      <w:r>
        <w:rPr>
          <w:rFonts w:hint="eastAsia"/>
          <w:sz w:val="24"/>
        </w:rPr>
        <w:t>个街镇下辖各村（居）人口分析。</w:t>
      </w:r>
    </w:p>
    <w:p w14:paraId="2D8A469A">
      <w:pPr>
        <w:spacing w:line="560" w:lineRule="exact"/>
        <w:ind w:firstLine="480" w:firstLineChars="200"/>
        <w:contextualSpacing/>
        <w:rPr>
          <w:sz w:val="24"/>
        </w:rPr>
      </w:pPr>
      <w:r>
        <w:rPr>
          <w:rFonts w:hint="eastAsia"/>
          <w:sz w:val="24"/>
          <w:lang w:val="en-US" w:eastAsia="zh-CN"/>
        </w:rPr>
        <w:t>3.3.4</w:t>
      </w:r>
      <w:r>
        <w:rPr>
          <w:rFonts w:hint="eastAsia"/>
          <w:sz w:val="24"/>
        </w:rPr>
        <w:t>产业功能区就业人口分析</w:t>
      </w:r>
    </w:p>
    <w:p w14:paraId="256858C7">
      <w:pPr>
        <w:spacing w:line="560" w:lineRule="exact"/>
        <w:ind w:firstLine="482" w:firstLineChars="200"/>
        <w:contextualSpacing/>
        <w:rPr>
          <w:b/>
          <w:bCs/>
          <w:sz w:val="24"/>
        </w:rPr>
      </w:pPr>
      <w:r>
        <w:rPr>
          <w:rFonts w:hint="eastAsia"/>
          <w:b/>
          <w:bCs/>
          <w:sz w:val="24"/>
        </w:rPr>
        <w:t>4.项目原则</w:t>
      </w:r>
    </w:p>
    <w:p w14:paraId="6E245FA5">
      <w:pPr>
        <w:spacing w:line="560" w:lineRule="exact"/>
        <w:ind w:firstLine="480" w:firstLineChars="200"/>
        <w:contextualSpacing/>
        <w:rPr>
          <w:sz w:val="24"/>
        </w:rPr>
      </w:pPr>
      <w:r>
        <w:rPr>
          <w:rFonts w:hint="eastAsia"/>
          <w:sz w:val="24"/>
          <w:lang w:val="en-US" w:eastAsia="zh-CN"/>
        </w:rPr>
        <w:t>4.1</w:t>
      </w:r>
      <w:r>
        <w:rPr>
          <w:rFonts w:hint="eastAsia"/>
          <w:sz w:val="24"/>
        </w:rPr>
        <w:t>统一规划、分步实施的原则</w:t>
      </w:r>
    </w:p>
    <w:p w14:paraId="64FE63FB">
      <w:pPr>
        <w:spacing w:line="560" w:lineRule="exact"/>
        <w:ind w:firstLine="480" w:firstLineChars="200"/>
        <w:contextualSpacing/>
        <w:rPr>
          <w:sz w:val="24"/>
        </w:rPr>
      </w:pPr>
      <w:r>
        <w:rPr>
          <w:rFonts w:hint="eastAsia"/>
          <w:sz w:val="24"/>
        </w:rPr>
        <w:t>即围绕目标，统一规划，分步实施。</w:t>
      </w:r>
    </w:p>
    <w:p w14:paraId="4E305DC1">
      <w:pPr>
        <w:spacing w:line="560" w:lineRule="exact"/>
        <w:ind w:firstLine="480" w:firstLineChars="200"/>
        <w:contextualSpacing/>
        <w:rPr>
          <w:sz w:val="24"/>
        </w:rPr>
      </w:pPr>
      <w:r>
        <w:rPr>
          <w:rFonts w:hint="eastAsia"/>
          <w:sz w:val="24"/>
          <w:lang w:val="en-US" w:eastAsia="zh-CN"/>
        </w:rPr>
        <w:t>4.2</w:t>
      </w:r>
      <w:r>
        <w:rPr>
          <w:rFonts w:hint="eastAsia"/>
          <w:sz w:val="24"/>
        </w:rPr>
        <w:t>实用先进、讲求实效的原则</w:t>
      </w:r>
    </w:p>
    <w:p w14:paraId="720861F3">
      <w:pPr>
        <w:spacing w:line="560" w:lineRule="exact"/>
        <w:ind w:firstLine="480" w:firstLineChars="200"/>
        <w:contextualSpacing/>
        <w:rPr>
          <w:sz w:val="24"/>
        </w:rPr>
      </w:pPr>
      <w:r>
        <w:rPr>
          <w:rFonts w:hint="eastAsia"/>
          <w:sz w:val="24"/>
        </w:rPr>
        <w:t>突出应用，针对实际应用需求，采用先进、成熟、实用的技术。</w:t>
      </w:r>
    </w:p>
    <w:p w14:paraId="23074133">
      <w:pPr>
        <w:pStyle w:val="2"/>
        <w:bidi w:val="0"/>
        <w:outlineLvl w:val="3"/>
      </w:pPr>
      <w:bookmarkStart w:id="5" w:name="_Toc432839398"/>
      <w:bookmarkStart w:id="6" w:name="_Toc365535253"/>
      <w:bookmarkStart w:id="7" w:name="_Toc418153121"/>
      <w:bookmarkStart w:id="8" w:name="_Toc380571914"/>
      <w:bookmarkStart w:id="9" w:name="_Toc381374782"/>
      <w:r>
        <w:rPr>
          <w:rFonts w:hint="eastAsia"/>
          <w:lang w:eastAsia="zh-CN"/>
        </w:rPr>
        <w:t>（</w:t>
      </w:r>
      <w:r>
        <w:rPr>
          <w:rFonts w:hint="eastAsia"/>
          <w:lang w:val="en-US" w:eastAsia="zh-CN"/>
        </w:rPr>
        <w:t>三</w:t>
      </w:r>
      <w:r>
        <w:rPr>
          <w:rFonts w:hint="eastAsia"/>
          <w:lang w:eastAsia="zh-CN"/>
        </w:rPr>
        <w:t>）</w:t>
      </w:r>
      <w:r>
        <w:rPr>
          <w:rFonts w:hint="eastAsia"/>
        </w:rPr>
        <w:t>技术要求</w:t>
      </w:r>
    </w:p>
    <w:p w14:paraId="3A3F4060">
      <w:pPr>
        <w:spacing w:line="560" w:lineRule="exact"/>
        <w:ind w:firstLine="482" w:firstLineChars="200"/>
        <w:contextualSpacing/>
        <w:rPr>
          <w:rFonts w:hint="eastAsia" w:eastAsia="宋体"/>
          <w:b/>
          <w:bCs/>
          <w:sz w:val="24"/>
          <w:lang w:eastAsia="zh-CN"/>
        </w:rPr>
      </w:pPr>
      <w:r>
        <w:rPr>
          <w:rFonts w:hint="eastAsia"/>
          <w:b/>
          <w:bCs/>
          <w:sz w:val="24"/>
          <w:lang w:val="en-US" w:eastAsia="zh-CN"/>
        </w:rPr>
        <w:t>1.</w:t>
      </w:r>
      <w:r>
        <w:rPr>
          <w:rFonts w:hint="eastAsia"/>
          <w:b/>
          <w:bCs/>
          <w:sz w:val="24"/>
        </w:rPr>
        <w:t>整体技术要求</w:t>
      </w:r>
      <w:r>
        <w:rPr>
          <w:rFonts w:hint="eastAsia"/>
          <w:b/>
          <w:bCs/>
          <w:sz w:val="24"/>
          <w:lang w:eastAsia="zh-CN"/>
        </w:rPr>
        <w:t>：</w:t>
      </w:r>
    </w:p>
    <w:p w14:paraId="7C6E62E9">
      <w:pPr>
        <w:spacing w:line="560" w:lineRule="exact"/>
        <w:ind w:firstLine="480" w:firstLineChars="200"/>
        <w:contextualSpacing/>
        <w:rPr>
          <w:rFonts w:hint="eastAsia"/>
          <w:sz w:val="24"/>
        </w:rPr>
      </w:pPr>
      <w:r>
        <w:rPr>
          <w:rFonts w:hint="eastAsia"/>
          <w:sz w:val="24"/>
        </w:rPr>
        <w:t>为保护用户隐私和数据安全，供应商应通过其数据处理系统对数据进行脱敏、清洗、转换及轨迹链构建后，转化为不包含任何用户隐私信息的统计级数据，通过统计局数据二次分析，生成业务指标，支撑顺义区人口调控工作的相关需求。</w:t>
      </w:r>
    </w:p>
    <w:p w14:paraId="6C0AD944">
      <w:pPr>
        <w:spacing w:line="560" w:lineRule="exact"/>
        <w:ind w:firstLine="482" w:firstLineChars="200"/>
        <w:contextualSpacing/>
        <w:rPr>
          <w:rFonts w:hint="eastAsia" w:eastAsia="宋体"/>
          <w:b/>
          <w:bCs/>
          <w:sz w:val="24"/>
          <w:lang w:eastAsia="zh-CN"/>
        </w:rPr>
      </w:pPr>
      <w:r>
        <w:rPr>
          <w:rFonts w:hint="eastAsia"/>
          <w:b/>
          <w:bCs/>
          <w:sz w:val="24"/>
          <w:lang w:val="en-US" w:eastAsia="zh-CN"/>
        </w:rPr>
        <w:t>2.</w:t>
      </w:r>
      <w:r>
        <w:rPr>
          <w:rFonts w:hint="eastAsia"/>
          <w:b/>
          <w:bCs/>
          <w:sz w:val="24"/>
        </w:rPr>
        <w:t>人口统计应用技术服务报告</w:t>
      </w:r>
      <w:r>
        <w:rPr>
          <w:rFonts w:hint="eastAsia"/>
          <w:b/>
          <w:bCs/>
          <w:sz w:val="24"/>
          <w:lang w:eastAsia="zh-CN"/>
        </w:rPr>
        <w:t>：</w:t>
      </w:r>
    </w:p>
    <w:p w14:paraId="2925F6DC">
      <w:pPr>
        <w:spacing w:line="560" w:lineRule="exact"/>
        <w:ind w:firstLine="480" w:firstLineChars="200"/>
        <w:contextualSpacing/>
        <w:rPr>
          <w:sz w:val="24"/>
        </w:rPr>
      </w:pPr>
      <w:r>
        <w:rPr>
          <w:rFonts w:hint="eastAsia"/>
          <w:sz w:val="24"/>
          <w:lang w:val="en-US" w:eastAsia="zh-CN"/>
        </w:rPr>
        <w:t>2.1</w:t>
      </w:r>
      <w:r>
        <w:rPr>
          <w:rFonts w:hint="eastAsia"/>
          <w:sz w:val="24"/>
        </w:rPr>
        <w:t>全区居住人口分析</w:t>
      </w:r>
    </w:p>
    <w:p w14:paraId="791BDB49">
      <w:pPr>
        <w:spacing w:line="560" w:lineRule="exact"/>
        <w:ind w:firstLine="480" w:firstLineChars="200"/>
        <w:contextualSpacing/>
        <w:rPr>
          <w:sz w:val="24"/>
        </w:rPr>
      </w:pPr>
      <w:r>
        <w:rPr>
          <w:rFonts w:hint="eastAsia"/>
          <w:sz w:val="24"/>
        </w:rPr>
        <w:t>与顺义区发改委、统计局等相关部门进行居住人口统计业务目标梳理，统计全区居住人口数，按照时间、时段、区域、区划等维度分析区域人口总量变化情况，包括顺义区居住人口构成情况，人口流入情况、流出情况，环比变化情况等；区域内居住人口和工作人口规模及分布情况，分析在顺义区居住人口工作地情况等，并完成报告的撰写。</w:t>
      </w:r>
    </w:p>
    <w:p w14:paraId="152BA458">
      <w:pPr>
        <w:spacing w:line="560" w:lineRule="exact"/>
        <w:ind w:firstLine="480" w:firstLineChars="200"/>
        <w:contextualSpacing/>
        <w:rPr>
          <w:sz w:val="24"/>
        </w:rPr>
      </w:pPr>
      <w:r>
        <w:rPr>
          <w:rFonts w:hint="eastAsia"/>
          <w:sz w:val="24"/>
          <w:lang w:val="en-US" w:eastAsia="zh-CN"/>
        </w:rPr>
        <w:t>2.2</w:t>
      </w:r>
      <w:r>
        <w:rPr>
          <w:rFonts w:hint="eastAsia"/>
          <w:sz w:val="24"/>
        </w:rPr>
        <w:t>各镇街辖区内人口分析</w:t>
      </w:r>
    </w:p>
    <w:p w14:paraId="0C021BDD">
      <w:pPr>
        <w:spacing w:line="560" w:lineRule="exact"/>
        <w:ind w:firstLine="480" w:firstLineChars="200"/>
        <w:contextualSpacing/>
        <w:rPr>
          <w:sz w:val="24"/>
        </w:rPr>
      </w:pPr>
      <w:r>
        <w:rPr>
          <w:rFonts w:hint="eastAsia"/>
          <w:sz w:val="24"/>
        </w:rPr>
        <w:t>与顺义区发改委、统计局等相关部门进行各镇街辖区内居住人口统计业务目标梳理，分析统计各镇街辖区内居住人口总量变化情况，包括各街镇辖区内居住人口规模、人口流入情况、流出情况，环比变化情况及分布等，并完成报告撰写。</w:t>
      </w:r>
    </w:p>
    <w:p w14:paraId="5795CB97">
      <w:pPr>
        <w:spacing w:line="560" w:lineRule="exact"/>
        <w:ind w:firstLine="480" w:firstLineChars="200"/>
        <w:contextualSpacing/>
        <w:rPr>
          <w:sz w:val="24"/>
        </w:rPr>
      </w:pPr>
      <w:r>
        <w:rPr>
          <w:rFonts w:hint="eastAsia"/>
          <w:sz w:val="24"/>
          <w:lang w:val="en-US" w:eastAsia="zh-CN"/>
        </w:rPr>
        <w:t>2.3</w:t>
      </w:r>
      <w:r>
        <w:rPr>
          <w:rFonts w:hint="eastAsia"/>
          <w:sz w:val="24"/>
        </w:rPr>
        <w:t>村（居）人口统计</w:t>
      </w:r>
    </w:p>
    <w:p w14:paraId="38B84BAA">
      <w:pPr>
        <w:spacing w:line="560" w:lineRule="exact"/>
        <w:ind w:firstLine="480" w:firstLineChars="200"/>
        <w:contextualSpacing/>
        <w:rPr>
          <w:sz w:val="24"/>
        </w:rPr>
      </w:pPr>
      <w:r>
        <w:rPr>
          <w:rFonts w:hint="eastAsia"/>
          <w:sz w:val="24"/>
        </w:rPr>
        <w:t>协同顺义发改委、统计局等相关部门，共同制定、梳理监测村（居）的业务内容及目标。监测统计全区人口下辖村（居）人口情况，从时间、时段、区域、区划等维度统计分析村（居）的居住人口总量，居住人口流入流出数量、环比变化、流入来源地及流出去向等情况，展现监测村（居）人口全貌，并完成报告撰写。</w:t>
      </w:r>
    </w:p>
    <w:p w14:paraId="06DEF2D5">
      <w:pPr>
        <w:spacing w:line="560" w:lineRule="exact"/>
        <w:ind w:firstLine="480" w:firstLineChars="200"/>
        <w:contextualSpacing/>
        <w:rPr>
          <w:sz w:val="24"/>
        </w:rPr>
      </w:pPr>
      <w:r>
        <w:rPr>
          <w:rFonts w:hint="eastAsia"/>
          <w:sz w:val="24"/>
          <w:lang w:val="en-US" w:eastAsia="zh-CN"/>
        </w:rPr>
        <w:t>2.4</w:t>
      </w:r>
      <w:r>
        <w:rPr>
          <w:rFonts w:hint="eastAsia"/>
          <w:sz w:val="24"/>
        </w:rPr>
        <w:t>产业功能区就业人口分析</w:t>
      </w:r>
    </w:p>
    <w:p w14:paraId="0950881A">
      <w:pPr>
        <w:spacing w:line="560" w:lineRule="exact"/>
        <w:ind w:firstLine="480" w:firstLineChars="200"/>
        <w:contextualSpacing/>
        <w:rPr>
          <w:sz w:val="24"/>
        </w:rPr>
      </w:pPr>
      <w:r>
        <w:rPr>
          <w:rFonts w:hint="eastAsia"/>
          <w:sz w:val="24"/>
        </w:rPr>
        <w:t>对指定</w:t>
      </w:r>
      <w:r>
        <w:rPr>
          <w:rFonts w:hint="eastAsia"/>
          <w:sz w:val="24"/>
          <w:lang w:val="en-US" w:eastAsia="zh-CN"/>
        </w:rPr>
        <w:t>产业功能</w:t>
      </w:r>
      <w:r>
        <w:rPr>
          <w:rFonts w:hint="eastAsia"/>
          <w:sz w:val="24"/>
        </w:rPr>
        <w:t>园区，借助运营商大数据，进行园区内从业人员结构的调研统计分析，从而全面分析园区内从业人员规模、较</w:t>
      </w:r>
      <w:r>
        <w:rPr>
          <w:rFonts w:hint="eastAsia"/>
          <w:sz w:val="24"/>
          <w:lang w:val="en-US" w:eastAsia="zh-CN"/>
        </w:rPr>
        <w:t>上年</w:t>
      </w:r>
      <w:r>
        <w:rPr>
          <w:rFonts w:hint="eastAsia"/>
          <w:sz w:val="24"/>
        </w:rPr>
        <w:t>变化情况、年龄结构、性别</w:t>
      </w:r>
      <w:r>
        <w:rPr>
          <w:rFonts w:hint="eastAsia"/>
          <w:sz w:val="24"/>
          <w:lang w:val="en-US" w:eastAsia="zh-CN"/>
        </w:rPr>
        <w:t>结构</w:t>
      </w:r>
      <w:r>
        <w:rPr>
          <w:rFonts w:hint="eastAsia"/>
          <w:sz w:val="24"/>
        </w:rPr>
        <w:t>、籍贯构成情况等，服务新业态，为建设多个主导产业明确、专业分工合理、差异发展鲜明的产业园区提供数据支撑，并完成报告撰写。</w:t>
      </w:r>
    </w:p>
    <w:p w14:paraId="13097683">
      <w:pPr>
        <w:spacing w:line="560" w:lineRule="exact"/>
        <w:ind w:firstLine="482" w:firstLineChars="200"/>
        <w:contextualSpacing/>
        <w:rPr>
          <w:rFonts w:hint="eastAsia" w:eastAsia="宋体"/>
          <w:b/>
          <w:bCs/>
          <w:sz w:val="24"/>
          <w:lang w:eastAsia="zh-CN"/>
        </w:rPr>
      </w:pPr>
      <w:r>
        <w:rPr>
          <w:rFonts w:hint="eastAsia"/>
          <w:b/>
          <w:bCs/>
          <w:sz w:val="24"/>
          <w:lang w:val="en-US" w:eastAsia="zh-CN"/>
        </w:rPr>
        <w:t>3.</w:t>
      </w:r>
      <w:r>
        <w:rPr>
          <w:rFonts w:hint="eastAsia"/>
          <w:b/>
          <w:bCs/>
          <w:sz w:val="24"/>
        </w:rPr>
        <w:t>大数据人口动态监测分析技术服务</w:t>
      </w:r>
      <w:r>
        <w:rPr>
          <w:rFonts w:hint="eastAsia"/>
          <w:b/>
          <w:bCs/>
          <w:sz w:val="24"/>
          <w:lang w:eastAsia="zh-CN"/>
        </w:rPr>
        <w:t>：</w:t>
      </w:r>
    </w:p>
    <w:p w14:paraId="616DCC37">
      <w:pPr>
        <w:spacing w:line="560" w:lineRule="exact"/>
        <w:ind w:firstLine="480" w:firstLineChars="200"/>
        <w:contextualSpacing/>
        <w:rPr>
          <w:sz w:val="24"/>
        </w:rPr>
      </w:pPr>
      <w:r>
        <w:rPr>
          <w:rFonts w:hint="eastAsia"/>
          <w:sz w:val="24"/>
          <w:lang w:val="en-US" w:eastAsia="zh-CN"/>
        </w:rPr>
        <w:t>3.1</w:t>
      </w:r>
      <w:r>
        <w:rPr>
          <w:rFonts w:hint="eastAsia"/>
          <w:sz w:val="24"/>
        </w:rPr>
        <w:t>数据整合</w:t>
      </w:r>
    </w:p>
    <w:p w14:paraId="0C9AA27E">
      <w:pPr>
        <w:spacing w:line="560" w:lineRule="exact"/>
        <w:ind w:firstLine="480" w:firstLineChars="200"/>
        <w:contextualSpacing/>
        <w:rPr>
          <w:sz w:val="24"/>
        </w:rPr>
      </w:pPr>
      <w:r>
        <w:rPr>
          <w:sz w:val="24"/>
        </w:rPr>
        <w:t>整合移动、联通、电信三方数据，基于时间</w:t>
      </w:r>
      <w:r>
        <w:rPr>
          <w:rFonts w:hint="eastAsia"/>
          <w:sz w:val="24"/>
          <w:lang w:eastAsia="zh-CN"/>
        </w:rPr>
        <w:t>、</w:t>
      </w:r>
      <w:r>
        <w:rPr>
          <w:rFonts w:hint="eastAsia"/>
          <w:sz w:val="24"/>
          <w:lang w:val="en-US" w:eastAsia="zh-CN"/>
        </w:rPr>
        <w:t>位置</w:t>
      </w:r>
      <w:r>
        <w:rPr>
          <w:sz w:val="24"/>
        </w:rPr>
        <w:t>等</w:t>
      </w:r>
      <w:r>
        <w:rPr>
          <w:rFonts w:hint="eastAsia"/>
          <w:sz w:val="24"/>
        </w:rPr>
        <w:t>维度制定</w:t>
      </w:r>
      <w:r>
        <w:rPr>
          <w:sz w:val="24"/>
        </w:rPr>
        <w:t>运营商数据清洗机制</w:t>
      </w:r>
      <w:r>
        <w:rPr>
          <w:rFonts w:hint="eastAsia"/>
          <w:sz w:val="24"/>
        </w:rPr>
        <w:t>，</w:t>
      </w:r>
      <w:r>
        <w:rPr>
          <w:sz w:val="24"/>
        </w:rPr>
        <w:t>消除因一人多号</w:t>
      </w:r>
      <w:r>
        <w:rPr>
          <w:rFonts w:hint="eastAsia"/>
          <w:sz w:val="24"/>
          <w:lang w:val="en-US" w:eastAsia="zh-CN"/>
        </w:rPr>
        <w:t>影响</w:t>
      </w:r>
      <w:r>
        <w:rPr>
          <w:sz w:val="24"/>
        </w:rPr>
        <w:t>，最终建立科学的数据</w:t>
      </w:r>
      <w:r>
        <w:rPr>
          <w:rFonts w:hint="eastAsia"/>
          <w:sz w:val="24"/>
          <w:lang w:val="en-US" w:eastAsia="zh-CN"/>
        </w:rPr>
        <w:t>整合</w:t>
      </w:r>
      <w:r>
        <w:rPr>
          <w:sz w:val="24"/>
        </w:rPr>
        <w:t>体系，确保输出结果真实反映区域人口动态特征</w:t>
      </w:r>
      <w:r>
        <w:rPr>
          <w:rFonts w:hint="eastAsia"/>
          <w:sz w:val="24"/>
        </w:rPr>
        <w:t>。</w:t>
      </w:r>
    </w:p>
    <w:p w14:paraId="20004CFC">
      <w:pPr>
        <w:spacing w:line="560" w:lineRule="exact"/>
        <w:ind w:firstLine="480" w:firstLineChars="200"/>
        <w:contextualSpacing/>
        <w:rPr>
          <w:sz w:val="24"/>
        </w:rPr>
      </w:pPr>
      <w:r>
        <w:rPr>
          <w:rFonts w:hint="eastAsia"/>
          <w:sz w:val="24"/>
          <w:lang w:val="en-US" w:eastAsia="zh-CN"/>
        </w:rPr>
        <w:t>3.2</w:t>
      </w:r>
      <w:r>
        <w:rPr>
          <w:rFonts w:hint="eastAsia"/>
          <w:sz w:val="24"/>
        </w:rPr>
        <w:t>二次分析</w:t>
      </w:r>
    </w:p>
    <w:p w14:paraId="01C2C034">
      <w:pPr>
        <w:spacing w:line="560" w:lineRule="exact"/>
        <w:ind w:firstLine="480" w:firstLineChars="200"/>
        <w:contextualSpacing/>
        <w:rPr>
          <w:rFonts w:hint="eastAsia"/>
          <w:sz w:val="24"/>
        </w:rPr>
      </w:pPr>
      <w:r>
        <w:rPr>
          <w:rFonts w:hint="eastAsia"/>
          <w:sz w:val="24"/>
        </w:rPr>
        <w:t>基于运营商数据，紧密结合业务需求开展深度分析</w:t>
      </w:r>
      <w:r>
        <w:rPr>
          <w:rFonts w:hint="eastAsia"/>
          <w:sz w:val="24"/>
          <w:lang w:eastAsia="zh-CN"/>
        </w:rPr>
        <w:t>，</w:t>
      </w:r>
      <w:r>
        <w:rPr>
          <w:rFonts w:hint="eastAsia"/>
          <w:sz w:val="24"/>
        </w:rPr>
        <w:t>根据人口业务统计需求构建分析模型，</w:t>
      </w:r>
      <w:r>
        <w:rPr>
          <w:rFonts w:hint="eastAsia"/>
          <w:sz w:val="24"/>
          <w:lang w:val="en-US" w:eastAsia="zh-CN"/>
        </w:rPr>
        <w:t>生成不同业务需求数据</w:t>
      </w:r>
      <w:r>
        <w:rPr>
          <w:rFonts w:hint="eastAsia"/>
          <w:sz w:val="24"/>
        </w:rPr>
        <w:t>；</w:t>
      </w:r>
      <w:r>
        <w:rPr>
          <w:rFonts w:hint="eastAsia"/>
          <w:sz w:val="24"/>
          <w:lang w:val="en-US" w:eastAsia="zh-CN"/>
        </w:rPr>
        <w:t>同时，建立模型验证、优化机制，</w:t>
      </w:r>
      <w:r>
        <w:rPr>
          <w:rFonts w:hint="eastAsia"/>
          <w:sz w:val="24"/>
        </w:rPr>
        <w:t>确保模型计算结果准确、</w:t>
      </w:r>
      <w:r>
        <w:rPr>
          <w:rFonts w:hint="eastAsia"/>
          <w:sz w:val="24"/>
          <w:lang w:val="en-US" w:eastAsia="zh-CN"/>
        </w:rPr>
        <w:t>实用</w:t>
      </w:r>
      <w:r>
        <w:rPr>
          <w:rFonts w:hint="eastAsia"/>
          <w:sz w:val="24"/>
        </w:rPr>
        <w:t>可靠。</w:t>
      </w:r>
    </w:p>
    <w:p w14:paraId="7F48FBD4">
      <w:pPr>
        <w:spacing w:line="560" w:lineRule="exact"/>
        <w:ind w:firstLine="482" w:firstLineChars="200"/>
        <w:contextualSpacing/>
        <w:rPr>
          <w:rFonts w:hint="eastAsia" w:eastAsia="宋体"/>
          <w:b/>
          <w:bCs/>
          <w:sz w:val="24"/>
          <w:lang w:val="en-US" w:eastAsia="zh-CN"/>
        </w:rPr>
      </w:pPr>
      <w:r>
        <w:rPr>
          <w:rFonts w:hint="eastAsia"/>
          <w:b/>
          <w:bCs/>
          <w:sz w:val="24"/>
          <w:lang w:val="en-US" w:eastAsia="zh-CN"/>
        </w:rPr>
        <w:t>4.</w:t>
      </w:r>
      <w:r>
        <w:rPr>
          <w:rFonts w:hint="eastAsia"/>
          <w:b/>
          <w:bCs/>
          <w:sz w:val="24"/>
        </w:rPr>
        <w:t>运营商数据分析技术服务</w:t>
      </w:r>
      <w:r>
        <w:rPr>
          <w:rFonts w:hint="eastAsia"/>
          <w:b/>
          <w:bCs/>
          <w:sz w:val="24"/>
          <w:lang w:val="en-US" w:eastAsia="zh-CN"/>
        </w:rPr>
        <w:t>:</w:t>
      </w:r>
    </w:p>
    <w:p w14:paraId="316ED380">
      <w:pPr>
        <w:spacing w:line="560" w:lineRule="exact"/>
        <w:ind w:firstLine="480" w:firstLineChars="200"/>
        <w:contextualSpacing/>
        <w:rPr>
          <w:sz w:val="24"/>
        </w:rPr>
      </w:pPr>
      <w:r>
        <w:rPr>
          <w:rFonts w:hint="eastAsia"/>
          <w:sz w:val="24"/>
          <w:lang w:val="en-US" w:eastAsia="zh-CN"/>
        </w:rPr>
        <w:t>4.1</w:t>
      </w:r>
      <w:r>
        <w:rPr>
          <w:rFonts w:hint="eastAsia"/>
          <w:sz w:val="24"/>
        </w:rPr>
        <w:t>数据接口对接</w:t>
      </w:r>
    </w:p>
    <w:p w14:paraId="5630D977">
      <w:pPr>
        <w:spacing w:line="560" w:lineRule="exact"/>
        <w:ind w:firstLine="480" w:firstLineChars="200"/>
        <w:contextualSpacing/>
        <w:rPr>
          <w:sz w:val="24"/>
        </w:rPr>
      </w:pPr>
      <w:r>
        <w:rPr>
          <w:rFonts w:hint="eastAsia"/>
          <w:sz w:val="24"/>
        </w:rPr>
        <w:t>在运用商侧完成相应的接口对接工作，接收移动通信网络相关接口信令数据、无线网络参数、地理信息图层数据等其它配套数据</w:t>
      </w:r>
      <w:r>
        <w:rPr>
          <w:rFonts w:hint="eastAsia"/>
          <w:sz w:val="24"/>
          <w:lang w:eastAsia="zh-CN"/>
        </w:rPr>
        <w:t>，</w:t>
      </w:r>
      <w:r>
        <w:rPr>
          <w:rFonts w:hint="eastAsia"/>
          <w:sz w:val="24"/>
        </w:rPr>
        <w:t>实现对源信令数据的基本处理，如清洗、转换、排序等。</w:t>
      </w:r>
    </w:p>
    <w:p w14:paraId="1D9885D0">
      <w:pPr>
        <w:spacing w:line="560" w:lineRule="exact"/>
        <w:ind w:firstLine="480" w:firstLineChars="200"/>
        <w:contextualSpacing/>
        <w:rPr>
          <w:sz w:val="24"/>
        </w:rPr>
      </w:pPr>
      <w:r>
        <w:rPr>
          <w:rFonts w:hint="eastAsia"/>
          <w:sz w:val="24"/>
          <w:lang w:val="en-US" w:eastAsia="zh-CN"/>
        </w:rPr>
        <w:t>4.2</w:t>
      </w:r>
      <w:r>
        <w:rPr>
          <w:rFonts w:hint="eastAsia"/>
          <w:sz w:val="24"/>
        </w:rPr>
        <w:t>信令数据处理</w:t>
      </w:r>
    </w:p>
    <w:p w14:paraId="78132539">
      <w:pPr>
        <w:spacing w:line="560" w:lineRule="exact"/>
        <w:ind w:firstLine="480" w:firstLineChars="200"/>
        <w:contextualSpacing/>
        <w:rPr>
          <w:rFonts w:hint="eastAsia" w:eastAsia="宋体"/>
          <w:sz w:val="24"/>
          <w:lang w:val="en-US" w:eastAsia="zh-CN"/>
        </w:rPr>
      </w:pPr>
      <w:r>
        <w:rPr>
          <w:rFonts w:hint="eastAsia"/>
          <w:sz w:val="24"/>
        </w:rPr>
        <w:t>信令处理模块负责原始信令数据的加工与安全保障，</w:t>
      </w:r>
      <w:r>
        <w:rPr>
          <w:rFonts w:hint="eastAsia"/>
          <w:sz w:val="24"/>
          <w:lang w:val="en-US" w:eastAsia="zh-CN"/>
        </w:rPr>
        <w:t>主要由两个模块组成，其中</w:t>
      </w:r>
      <w:r>
        <w:rPr>
          <w:rFonts w:hint="eastAsia"/>
          <w:sz w:val="24"/>
        </w:rPr>
        <w:t>预处理</w:t>
      </w:r>
      <w:r>
        <w:rPr>
          <w:rFonts w:hint="eastAsia"/>
          <w:sz w:val="24"/>
          <w:lang w:val="en-US" w:eastAsia="zh-CN"/>
        </w:rPr>
        <w:t>模块主要负责</w:t>
      </w:r>
      <w:r>
        <w:rPr>
          <w:rFonts w:hint="eastAsia"/>
          <w:sz w:val="24"/>
        </w:rPr>
        <w:t>集中汇总各渠道采集的信令数据，检验其完整性与准确性，确保后续处理的数据质量可靠</w:t>
      </w:r>
      <w:r>
        <w:rPr>
          <w:rFonts w:hint="eastAsia"/>
          <w:sz w:val="24"/>
          <w:lang w:eastAsia="zh-CN"/>
        </w:rPr>
        <w:t>；</w:t>
      </w:r>
      <w:r>
        <w:rPr>
          <w:rFonts w:hint="eastAsia"/>
          <w:sz w:val="24"/>
          <w:lang w:val="en-US" w:eastAsia="zh-CN"/>
        </w:rPr>
        <w:t>分析模块则负责</w:t>
      </w:r>
      <w:r>
        <w:rPr>
          <w:rFonts w:hint="eastAsia"/>
          <w:sz w:val="24"/>
        </w:rPr>
        <w:t>解析信令数据并生成业务信令数据，同步启动安全过滤机制——筛除敏感信息（如用户身份细节），确保输出数据符合隐私保护要求</w:t>
      </w:r>
      <w:r>
        <w:rPr>
          <w:rFonts w:hint="eastAsia"/>
          <w:sz w:val="24"/>
          <w:lang w:eastAsia="zh-CN"/>
        </w:rPr>
        <w:t>。</w:t>
      </w:r>
    </w:p>
    <w:p w14:paraId="7F736ECB">
      <w:pPr>
        <w:spacing w:line="560" w:lineRule="exact"/>
        <w:contextualSpacing/>
        <w:rPr>
          <w:sz w:val="24"/>
        </w:rPr>
      </w:pPr>
      <w:r>
        <w:rPr>
          <w:rFonts w:hint="eastAsia"/>
          <w:sz w:val="24"/>
        </w:rPr>
        <w:t>全流程实现从原始信令到业务数据的转换与脱敏处理。</w:t>
      </w:r>
    </w:p>
    <w:p w14:paraId="01A5674C">
      <w:pPr>
        <w:spacing w:line="560" w:lineRule="exact"/>
        <w:ind w:firstLine="482" w:firstLineChars="200"/>
        <w:contextualSpacing/>
        <w:outlineLvl w:val="3"/>
        <w:rPr>
          <w:b/>
          <w:bCs/>
          <w:sz w:val="24"/>
        </w:rPr>
      </w:pPr>
      <w:r>
        <w:rPr>
          <w:rFonts w:hint="eastAsia"/>
          <w:b/>
          <w:bCs/>
          <w:sz w:val="24"/>
          <w:lang w:eastAsia="zh-CN"/>
        </w:rPr>
        <w:t>（</w:t>
      </w:r>
      <w:r>
        <w:rPr>
          <w:rFonts w:hint="eastAsia"/>
          <w:b/>
          <w:bCs/>
          <w:sz w:val="24"/>
          <w:lang w:val="en-US" w:eastAsia="zh-CN"/>
        </w:rPr>
        <w:t>四</w:t>
      </w:r>
      <w:r>
        <w:rPr>
          <w:rFonts w:hint="eastAsia"/>
          <w:b/>
          <w:bCs/>
          <w:sz w:val="24"/>
          <w:lang w:eastAsia="zh-CN"/>
        </w:rPr>
        <w:t>）</w:t>
      </w:r>
      <w:r>
        <w:rPr>
          <w:rFonts w:hint="eastAsia"/>
          <w:b/>
          <w:bCs/>
          <w:sz w:val="24"/>
        </w:rPr>
        <w:t>服务要求</w:t>
      </w:r>
    </w:p>
    <w:p w14:paraId="3A8BE249">
      <w:pPr>
        <w:spacing w:line="560" w:lineRule="exact"/>
        <w:ind w:firstLine="480" w:firstLineChars="200"/>
        <w:contextualSpacing/>
        <w:rPr>
          <w:sz w:val="24"/>
        </w:rPr>
      </w:pPr>
      <w:r>
        <w:rPr>
          <w:rFonts w:hint="eastAsia"/>
          <w:sz w:val="24"/>
        </w:rPr>
        <w:t>本项目供应商需要承担运营商数据协调对接、顺义区人口统计分析报告撰写等内容。</w:t>
      </w:r>
    </w:p>
    <w:p w14:paraId="7BE229DD">
      <w:pPr>
        <w:spacing w:line="560" w:lineRule="exact"/>
        <w:ind w:firstLine="482" w:firstLineChars="200"/>
        <w:contextualSpacing/>
        <w:rPr>
          <w:b/>
          <w:bCs/>
          <w:sz w:val="24"/>
        </w:rPr>
      </w:pPr>
      <w:r>
        <w:rPr>
          <w:rFonts w:hint="eastAsia"/>
          <w:b/>
          <w:bCs/>
          <w:sz w:val="24"/>
          <w:lang w:val="en-US" w:eastAsia="zh-CN"/>
        </w:rPr>
        <w:t>1.</w:t>
      </w:r>
      <w:r>
        <w:rPr>
          <w:rFonts w:hint="eastAsia"/>
          <w:b/>
          <w:bCs/>
          <w:sz w:val="24"/>
        </w:rPr>
        <w:t>基本要求</w:t>
      </w:r>
    </w:p>
    <w:p w14:paraId="51224FE0">
      <w:pPr>
        <w:spacing w:line="560" w:lineRule="exact"/>
        <w:ind w:firstLine="480" w:firstLineChars="200"/>
        <w:contextualSpacing/>
        <w:rPr>
          <w:sz w:val="24"/>
        </w:rPr>
      </w:pPr>
      <w:r>
        <w:rPr>
          <w:rFonts w:hint="eastAsia"/>
          <w:sz w:val="24"/>
        </w:rPr>
        <w:t>供应商应具有使用该技术和产品的成功经验和案例，不能在实施过程中作为试验性开发或产品试用。</w:t>
      </w:r>
    </w:p>
    <w:p w14:paraId="038C23C9">
      <w:pPr>
        <w:spacing w:line="560" w:lineRule="exact"/>
        <w:ind w:firstLine="482" w:firstLineChars="200"/>
        <w:contextualSpacing/>
        <w:rPr>
          <w:b/>
          <w:bCs/>
          <w:sz w:val="24"/>
        </w:rPr>
      </w:pPr>
      <w:r>
        <w:rPr>
          <w:rFonts w:hint="eastAsia"/>
          <w:b/>
          <w:bCs/>
          <w:sz w:val="24"/>
          <w:lang w:val="en-US" w:eastAsia="zh-CN"/>
        </w:rPr>
        <w:t>2.</w:t>
      </w:r>
      <w:r>
        <w:rPr>
          <w:rFonts w:hint="eastAsia"/>
          <w:b/>
          <w:bCs/>
          <w:sz w:val="24"/>
        </w:rPr>
        <w:t>业务要求</w:t>
      </w:r>
    </w:p>
    <w:p w14:paraId="71E50820">
      <w:pPr>
        <w:spacing w:line="560" w:lineRule="exact"/>
        <w:ind w:firstLine="480" w:firstLineChars="200"/>
        <w:contextualSpacing/>
        <w:rPr>
          <w:sz w:val="24"/>
        </w:rPr>
      </w:pPr>
      <w:r>
        <w:rPr>
          <w:rFonts w:hint="eastAsia"/>
          <w:sz w:val="24"/>
          <w:lang w:val="en-US" w:eastAsia="zh-CN"/>
        </w:rPr>
        <w:t>2.1</w:t>
      </w:r>
      <w:r>
        <w:rPr>
          <w:rFonts w:hint="eastAsia"/>
          <w:sz w:val="24"/>
        </w:rPr>
        <w:t>运营商数据采集及统计分析：在运营商侧搭建底层数据处理、分析平台，完成网络数据采集、解析、清洗、分析等。将底层数据脱敏后，转化为不包含任何用户隐私信息的统计级数据。</w:t>
      </w:r>
    </w:p>
    <w:p w14:paraId="42B04C3A">
      <w:pPr>
        <w:spacing w:line="560" w:lineRule="exact"/>
        <w:ind w:firstLine="480" w:firstLineChars="200"/>
        <w:contextualSpacing/>
        <w:rPr>
          <w:sz w:val="24"/>
        </w:rPr>
      </w:pPr>
      <w:r>
        <w:rPr>
          <w:rFonts w:hint="eastAsia"/>
          <w:sz w:val="24"/>
          <w:lang w:val="en-US" w:eastAsia="zh-CN"/>
        </w:rPr>
        <w:t>2.2</w:t>
      </w:r>
      <w:r>
        <w:rPr>
          <w:rFonts w:hint="eastAsia"/>
          <w:sz w:val="24"/>
        </w:rPr>
        <w:t>根据本期统计数据及顺义区发改委人口统计相关工作需求，开发相应的应用分析模块，提供以下数据分析报告：</w:t>
      </w:r>
    </w:p>
    <w:p w14:paraId="5DCCAA14">
      <w:pPr>
        <w:spacing w:line="560" w:lineRule="exact"/>
        <w:ind w:firstLine="480" w:firstLineChars="200"/>
        <w:contextualSpacing/>
        <w:rPr>
          <w:sz w:val="24"/>
        </w:rPr>
      </w:pPr>
      <w:r>
        <w:rPr>
          <w:rFonts w:hint="eastAsia" w:cs="宋体" w:asciiTheme="minorEastAsia" w:hAnsiTheme="minorEastAsia" w:eastAsiaTheme="minorEastAsia"/>
          <w:sz w:val="24"/>
          <w:szCs w:val="24"/>
        </w:rPr>
        <w:t>▲</w:t>
      </w:r>
      <w:r>
        <w:rPr>
          <w:rFonts w:hint="eastAsia"/>
          <w:sz w:val="24"/>
          <w:lang w:val="en-US" w:eastAsia="zh-CN"/>
        </w:rPr>
        <w:t>2.2.1</w:t>
      </w:r>
      <w:r>
        <w:rPr>
          <w:rFonts w:hint="eastAsia"/>
          <w:sz w:val="24"/>
        </w:rPr>
        <w:t>全区居住人口分析；</w:t>
      </w:r>
    </w:p>
    <w:p w14:paraId="59583657">
      <w:pPr>
        <w:spacing w:line="560" w:lineRule="exact"/>
        <w:ind w:firstLine="480" w:firstLineChars="200"/>
        <w:contextualSpacing/>
        <w:rPr>
          <w:sz w:val="24"/>
        </w:rPr>
      </w:pPr>
      <w:r>
        <w:rPr>
          <w:rFonts w:hint="eastAsia" w:cs="宋体" w:asciiTheme="minorEastAsia" w:hAnsiTheme="minorEastAsia" w:eastAsiaTheme="minorEastAsia"/>
          <w:sz w:val="24"/>
          <w:szCs w:val="24"/>
        </w:rPr>
        <w:t>▲</w:t>
      </w:r>
      <w:r>
        <w:rPr>
          <w:rFonts w:hint="eastAsia"/>
          <w:sz w:val="24"/>
          <w:lang w:val="en-US" w:eastAsia="zh-CN"/>
        </w:rPr>
        <w:t>2.2.2</w:t>
      </w:r>
      <w:r>
        <w:rPr>
          <w:rFonts w:hint="eastAsia"/>
          <w:sz w:val="24"/>
        </w:rPr>
        <w:t>各镇街辖区内人口分析；</w:t>
      </w:r>
    </w:p>
    <w:p w14:paraId="798406C4">
      <w:pPr>
        <w:spacing w:line="560" w:lineRule="exact"/>
        <w:ind w:firstLine="480" w:firstLineChars="200"/>
        <w:contextualSpacing/>
        <w:rPr>
          <w:sz w:val="24"/>
        </w:rPr>
      </w:pPr>
      <w:r>
        <w:rPr>
          <w:rFonts w:hint="eastAsia" w:cs="宋体" w:asciiTheme="minorEastAsia" w:hAnsiTheme="minorEastAsia" w:eastAsiaTheme="minorEastAsia"/>
          <w:sz w:val="24"/>
          <w:szCs w:val="24"/>
        </w:rPr>
        <w:t>▲</w:t>
      </w:r>
      <w:r>
        <w:rPr>
          <w:rFonts w:hint="eastAsia"/>
          <w:sz w:val="24"/>
          <w:lang w:val="en-US" w:eastAsia="zh-CN"/>
        </w:rPr>
        <w:t>2.2.3</w:t>
      </w:r>
      <w:r>
        <w:rPr>
          <w:rFonts w:hint="eastAsia"/>
          <w:sz w:val="24"/>
        </w:rPr>
        <w:t>村（居）人口统计；</w:t>
      </w:r>
    </w:p>
    <w:p w14:paraId="716BB015">
      <w:pPr>
        <w:spacing w:line="560" w:lineRule="exact"/>
        <w:ind w:firstLine="480" w:firstLineChars="200"/>
        <w:contextualSpacing/>
        <w:rPr>
          <w:sz w:val="24"/>
        </w:rPr>
      </w:pPr>
      <w:r>
        <w:rPr>
          <w:rFonts w:hint="eastAsia"/>
          <w:sz w:val="24"/>
          <w:lang w:val="en-US" w:eastAsia="zh-CN"/>
        </w:rPr>
        <w:t>2.2.4</w:t>
      </w:r>
      <w:r>
        <w:rPr>
          <w:rFonts w:hint="eastAsia"/>
          <w:sz w:val="24"/>
        </w:rPr>
        <w:t>产业功能区就业人口分析。</w:t>
      </w:r>
    </w:p>
    <w:p w14:paraId="7CFC0276">
      <w:pPr>
        <w:spacing w:line="560" w:lineRule="exact"/>
        <w:ind w:firstLine="482" w:firstLineChars="200"/>
        <w:contextualSpacing/>
        <w:rPr>
          <w:b/>
          <w:bCs/>
          <w:sz w:val="24"/>
        </w:rPr>
      </w:pPr>
      <w:r>
        <w:rPr>
          <w:rFonts w:hint="eastAsia"/>
          <w:b/>
          <w:bCs/>
          <w:sz w:val="24"/>
          <w:lang w:val="en-US" w:eastAsia="zh-CN"/>
        </w:rPr>
        <w:t>3.</w:t>
      </w:r>
      <w:r>
        <w:rPr>
          <w:rFonts w:hint="eastAsia"/>
          <w:b/>
          <w:bCs/>
          <w:sz w:val="24"/>
        </w:rPr>
        <w:t>交付</w:t>
      </w:r>
    </w:p>
    <w:p w14:paraId="1E9ABC67">
      <w:pPr>
        <w:spacing w:line="560" w:lineRule="exact"/>
        <w:ind w:firstLine="480" w:firstLineChars="200"/>
        <w:contextualSpacing/>
        <w:rPr>
          <w:sz w:val="24"/>
        </w:rPr>
      </w:pPr>
      <w:r>
        <w:rPr>
          <w:rFonts w:hint="eastAsia"/>
          <w:sz w:val="24"/>
          <w:lang w:val="en-US" w:eastAsia="zh-CN"/>
        </w:rPr>
        <w:t>3.1</w:t>
      </w:r>
      <w:r>
        <w:rPr>
          <w:rFonts w:hint="eastAsia"/>
          <w:sz w:val="24"/>
        </w:rPr>
        <w:t>供应商应当按照项目约定的服务内容进行交付，所交付的文档与文件应当包括纸质及电子版式并可供阅读。</w:t>
      </w:r>
    </w:p>
    <w:p w14:paraId="089F69DD">
      <w:pPr>
        <w:spacing w:line="560" w:lineRule="exact"/>
        <w:ind w:firstLine="480" w:firstLineChars="200"/>
        <w:contextualSpacing/>
        <w:rPr>
          <w:sz w:val="24"/>
        </w:rPr>
      </w:pPr>
      <w:r>
        <w:rPr>
          <w:rFonts w:hint="eastAsia"/>
          <w:sz w:val="24"/>
          <w:lang w:val="en-US" w:eastAsia="zh-CN"/>
        </w:rPr>
        <w:t>3.2</w:t>
      </w:r>
      <w:r>
        <w:rPr>
          <w:rFonts w:hint="eastAsia"/>
          <w:sz w:val="24"/>
        </w:rPr>
        <w:t>供应商应当在每项交付10个工作日前以书面方式通知采购人，采购人应当在接到通知后及时安排交付事宜。</w:t>
      </w:r>
    </w:p>
    <w:p w14:paraId="7B47D96F">
      <w:pPr>
        <w:spacing w:line="560" w:lineRule="exact"/>
        <w:ind w:firstLine="480" w:firstLineChars="200"/>
        <w:contextualSpacing/>
        <w:rPr>
          <w:sz w:val="24"/>
        </w:rPr>
      </w:pPr>
      <w:r>
        <w:rPr>
          <w:rFonts w:hint="eastAsia"/>
          <w:sz w:val="24"/>
          <w:lang w:val="en-US" w:eastAsia="zh-CN"/>
        </w:rPr>
        <w:t>3.3</w:t>
      </w:r>
      <w:r>
        <w:rPr>
          <w:rFonts w:hint="eastAsia"/>
          <w:sz w:val="24"/>
        </w:rPr>
        <w:t>因采购人原因导致交付不能按时进行的，供应商可相应顺延交付日期，造成承建方损失的，采购人应当承担违约责任。</w:t>
      </w:r>
    </w:p>
    <w:p w14:paraId="21570A96">
      <w:pPr>
        <w:spacing w:line="560" w:lineRule="exact"/>
        <w:ind w:firstLine="482" w:firstLineChars="200"/>
        <w:contextualSpacing/>
        <w:rPr>
          <w:sz w:val="24"/>
        </w:rPr>
      </w:pPr>
      <w:r>
        <w:rPr>
          <w:rFonts w:hint="eastAsia"/>
          <w:b/>
          <w:bCs/>
          <w:sz w:val="24"/>
          <w:lang w:val="en-US" w:eastAsia="zh-CN"/>
        </w:rPr>
        <w:t>4.</w:t>
      </w:r>
      <w:r>
        <w:rPr>
          <w:rFonts w:hint="eastAsia"/>
          <w:b/>
          <w:bCs/>
          <w:sz w:val="24"/>
        </w:rPr>
        <w:t>自合同签订之日起开始提供相应的数据和技术服务。</w:t>
      </w:r>
    </w:p>
    <w:p w14:paraId="0E5391A8">
      <w:pPr>
        <w:spacing w:line="560" w:lineRule="exact"/>
        <w:ind w:firstLine="482" w:firstLineChars="200"/>
        <w:contextualSpacing/>
        <w:rPr>
          <w:b/>
          <w:bCs/>
          <w:sz w:val="24"/>
        </w:rPr>
      </w:pPr>
      <w:r>
        <w:rPr>
          <w:rFonts w:hint="eastAsia"/>
          <w:b/>
          <w:bCs/>
          <w:sz w:val="24"/>
          <w:lang w:val="en-US" w:eastAsia="zh-CN"/>
        </w:rPr>
        <w:t>5.</w:t>
      </w:r>
      <w:r>
        <w:rPr>
          <w:rFonts w:hint="eastAsia"/>
          <w:b/>
          <w:bCs/>
          <w:sz w:val="24"/>
        </w:rPr>
        <w:t>项目实施人员要求</w:t>
      </w:r>
    </w:p>
    <w:p w14:paraId="02ECEA7F">
      <w:pPr>
        <w:spacing w:line="560" w:lineRule="exact"/>
        <w:ind w:firstLine="480" w:firstLineChars="200"/>
        <w:contextualSpacing/>
        <w:rPr>
          <w:sz w:val="24"/>
        </w:rPr>
      </w:pPr>
      <w:r>
        <w:rPr>
          <w:rFonts w:hint="eastAsia"/>
          <w:sz w:val="24"/>
        </w:rPr>
        <w:t>至少应配备具有工作经验的项目经理、项目技术负责人及其他人员，该组成员必须专职，项目组人员的变更必须经采购单位的同意，必须提前1个月向采购单位提交书面申请。</w:t>
      </w:r>
    </w:p>
    <w:p w14:paraId="27EE24A2">
      <w:pPr>
        <w:spacing w:line="560" w:lineRule="exact"/>
        <w:ind w:firstLine="482" w:firstLineChars="200"/>
        <w:contextualSpacing/>
        <w:rPr>
          <w:b/>
          <w:bCs/>
          <w:sz w:val="24"/>
        </w:rPr>
      </w:pPr>
      <w:r>
        <w:rPr>
          <w:rFonts w:hint="eastAsia"/>
          <w:b/>
          <w:bCs/>
          <w:sz w:val="24"/>
          <w:lang w:val="en-US" w:eastAsia="zh-CN"/>
        </w:rPr>
        <w:t>6.</w:t>
      </w:r>
      <w:r>
        <w:rPr>
          <w:rFonts w:hint="eastAsia"/>
          <w:b/>
          <w:bCs/>
          <w:sz w:val="24"/>
        </w:rPr>
        <w:t>总体要求</w:t>
      </w:r>
    </w:p>
    <w:p w14:paraId="0C3E016D">
      <w:pPr>
        <w:spacing w:line="560" w:lineRule="exact"/>
        <w:ind w:firstLine="480" w:firstLineChars="200"/>
        <w:contextualSpacing/>
        <w:rPr>
          <w:sz w:val="24"/>
        </w:rPr>
      </w:pPr>
      <w:r>
        <w:rPr>
          <w:rFonts w:hint="eastAsia"/>
          <w:sz w:val="24"/>
          <w:lang w:val="en-US" w:eastAsia="zh-CN"/>
        </w:rPr>
        <w:t>6.1</w:t>
      </w:r>
      <w:r>
        <w:rPr>
          <w:rFonts w:hint="eastAsia"/>
          <w:sz w:val="24"/>
        </w:rPr>
        <w:t xml:space="preserve">供应商应具备相关产品开发、安装、调试的能力。  </w:t>
      </w:r>
    </w:p>
    <w:p w14:paraId="2BC9A92E">
      <w:pPr>
        <w:spacing w:line="560" w:lineRule="exact"/>
        <w:ind w:firstLine="480" w:firstLineChars="200"/>
        <w:contextualSpacing/>
        <w:rPr>
          <w:sz w:val="24"/>
        </w:rPr>
      </w:pPr>
      <w:r>
        <w:rPr>
          <w:rFonts w:hint="eastAsia"/>
          <w:sz w:val="24"/>
          <w:lang w:val="en-US" w:eastAsia="zh-CN"/>
        </w:rPr>
        <w:t>6.2</w:t>
      </w:r>
      <w:r>
        <w:rPr>
          <w:rFonts w:hint="eastAsia"/>
          <w:sz w:val="24"/>
        </w:rPr>
        <w:t>参与此项目的技术人员应具有强烈的服务意识和高度的责任感。</w:t>
      </w:r>
    </w:p>
    <w:p w14:paraId="59727AFD">
      <w:pPr>
        <w:spacing w:line="560" w:lineRule="exact"/>
        <w:ind w:firstLine="480" w:firstLineChars="200"/>
        <w:contextualSpacing/>
        <w:rPr>
          <w:sz w:val="24"/>
        </w:rPr>
      </w:pPr>
      <w:r>
        <w:rPr>
          <w:rFonts w:hint="eastAsia"/>
          <w:sz w:val="24"/>
          <w:lang w:val="en-US" w:eastAsia="zh-CN"/>
        </w:rPr>
        <w:t>6.3</w:t>
      </w:r>
      <w:r>
        <w:rPr>
          <w:rFonts w:hint="eastAsia"/>
          <w:sz w:val="24"/>
        </w:rPr>
        <w:t>供应商在中标后，应允许业主单位的工作人员及运维人员自实施工作开始即参与本项目的安装部署等工作，并在实施方案中提出协同工作计划。</w:t>
      </w:r>
    </w:p>
    <w:p w14:paraId="4567A92B">
      <w:pPr>
        <w:spacing w:line="560" w:lineRule="exact"/>
        <w:ind w:firstLine="480" w:firstLineChars="200"/>
        <w:contextualSpacing/>
        <w:rPr>
          <w:sz w:val="24"/>
        </w:rPr>
      </w:pPr>
      <w:r>
        <w:rPr>
          <w:rFonts w:hint="eastAsia"/>
          <w:sz w:val="24"/>
          <w:lang w:val="en-US" w:eastAsia="zh-CN"/>
        </w:rPr>
        <w:t>6.4</w:t>
      </w:r>
      <w:r>
        <w:rPr>
          <w:rFonts w:hint="eastAsia"/>
          <w:sz w:val="24"/>
        </w:rPr>
        <w:t>在项目实施的各阶段供应商要保证项目人员的稳定。不得因为人员的问题出现停工、怠工现象。</w:t>
      </w:r>
    </w:p>
    <w:p w14:paraId="7F61421E">
      <w:pPr>
        <w:spacing w:line="560" w:lineRule="exact"/>
        <w:ind w:firstLine="480" w:firstLineChars="200"/>
        <w:contextualSpacing/>
        <w:rPr>
          <w:sz w:val="24"/>
        </w:rPr>
      </w:pPr>
      <w:r>
        <w:rPr>
          <w:rFonts w:hint="eastAsia"/>
          <w:sz w:val="24"/>
          <w:lang w:val="en-US" w:eastAsia="zh-CN"/>
        </w:rPr>
        <w:t>6.5</w:t>
      </w:r>
      <w:r>
        <w:rPr>
          <w:rFonts w:hint="eastAsia"/>
          <w:sz w:val="24"/>
        </w:rPr>
        <w:t>供应商的项目实施团队至少应包括以下人员：</w:t>
      </w:r>
    </w:p>
    <w:p w14:paraId="32E5AA19">
      <w:pPr>
        <w:spacing w:line="560" w:lineRule="exact"/>
        <w:ind w:firstLine="480" w:firstLineChars="200"/>
        <w:contextualSpacing/>
        <w:rPr>
          <w:sz w:val="24"/>
        </w:rPr>
      </w:pPr>
      <w:r>
        <w:rPr>
          <w:rFonts w:hint="eastAsia"/>
          <w:sz w:val="24"/>
        </w:rPr>
        <w:t>项目经理：1名；</w:t>
      </w:r>
    </w:p>
    <w:p w14:paraId="17775C85">
      <w:pPr>
        <w:spacing w:line="560" w:lineRule="exact"/>
        <w:ind w:firstLine="480" w:firstLineChars="200"/>
        <w:contextualSpacing/>
        <w:rPr>
          <w:sz w:val="24"/>
        </w:rPr>
      </w:pPr>
      <w:r>
        <w:rPr>
          <w:rFonts w:hint="eastAsia"/>
          <w:sz w:val="24"/>
        </w:rPr>
        <w:t>项目技术负责人：至少1名。</w:t>
      </w:r>
    </w:p>
    <w:p w14:paraId="6BC7D52D">
      <w:pPr>
        <w:spacing w:line="560" w:lineRule="exact"/>
        <w:ind w:firstLine="482" w:firstLineChars="200"/>
        <w:contextualSpacing/>
        <w:rPr>
          <w:b/>
          <w:bCs/>
          <w:sz w:val="24"/>
        </w:rPr>
      </w:pPr>
      <w:r>
        <w:rPr>
          <w:rFonts w:hint="eastAsia"/>
          <w:b/>
          <w:bCs/>
          <w:sz w:val="24"/>
          <w:lang w:val="en-US" w:eastAsia="zh-CN"/>
        </w:rPr>
        <w:t>7.</w:t>
      </w:r>
      <w:r>
        <w:rPr>
          <w:rFonts w:hint="eastAsia"/>
          <w:b/>
          <w:bCs/>
          <w:sz w:val="24"/>
        </w:rPr>
        <w:t>项目管理要求</w:t>
      </w:r>
    </w:p>
    <w:p w14:paraId="1B1D1C60">
      <w:pPr>
        <w:spacing w:line="560" w:lineRule="exact"/>
        <w:ind w:firstLine="480" w:firstLineChars="200"/>
        <w:contextualSpacing/>
        <w:rPr>
          <w:sz w:val="24"/>
        </w:rPr>
      </w:pPr>
      <w:r>
        <w:rPr>
          <w:rFonts w:hint="eastAsia"/>
          <w:sz w:val="24"/>
          <w:lang w:val="en-US" w:eastAsia="zh-CN"/>
        </w:rPr>
        <w:t>7.1</w:t>
      </w:r>
      <w:r>
        <w:rPr>
          <w:rFonts w:hint="eastAsia"/>
          <w:sz w:val="24"/>
        </w:rPr>
        <w:t>项目组管理</w:t>
      </w:r>
    </w:p>
    <w:p w14:paraId="349D90BC">
      <w:pPr>
        <w:spacing w:line="560" w:lineRule="exact"/>
        <w:ind w:firstLine="480" w:firstLineChars="200"/>
        <w:contextualSpacing/>
        <w:rPr>
          <w:sz w:val="24"/>
        </w:rPr>
      </w:pPr>
      <w:r>
        <w:rPr>
          <w:rFonts w:hint="eastAsia"/>
          <w:sz w:val="24"/>
        </w:rPr>
        <w:t>供应商需要对此项目建立专门的项目组，明确列出项目组主要成员及其工作经验，并向采购人提交每个成员的资质证明，参加本项目的工作内容、工作时间、工作量、在本项目实施过程中是否全职参加等资料。项目组成员必须稳定，成员必须分工明确专职负责工作，项目组人员的变更必须经采购单位的同意，必须提前1个月向采购单位提交书面申请。</w:t>
      </w:r>
    </w:p>
    <w:p w14:paraId="4A24C597">
      <w:pPr>
        <w:spacing w:line="560" w:lineRule="exact"/>
        <w:ind w:firstLine="480" w:firstLineChars="200"/>
        <w:contextualSpacing/>
        <w:rPr>
          <w:sz w:val="24"/>
        </w:rPr>
      </w:pPr>
      <w:r>
        <w:rPr>
          <w:rFonts w:hint="eastAsia"/>
          <w:sz w:val="24"/>
        </w:rPr>
        <w:t>在本项目实施过程中，采购单位认为供应商项目经理无法有效组织项目成员完成该项目所要求的工作内容时，有权要求供应商更换项目经理，供应商有义务接受。</w:t>
      </w:r>
    </w:p>
    <w:p w14:paraId="52CB6F65">
      <w:pPr>
        <w:spacing w:line="560" w:lineRule="exact"/>
        <w:ind w:firstLine="480" w:firstLineChars="200"/>
        <w:contextualSpacing/>
        <w:rPr>
          <w:sz w:val="24"/>
        </w:rPr>
      </w:pPr>
      <w:r>
        <w:rPr>
          <w:rFonts w:hint="eastAsia"/>
          <w:sz w:val="24"/>
        </w:rPr>
        <w:t>供应商应严格按照软件工程规范进行管理，并遵循顺义区发改委提出的各种技术和管理规范，采购单位有对项目进度、软件质量进行监督控制的职责和权利，供应商应按要求提供项目阶段文档，并经采购单位确认后，方可进行下一阶段工作。</w:t>
      </w:r>
    </w:p>
    <w:p w14:paraId="43F7F7A3">
      <w:pPr>
        <w:spacing w:line="560" w:lineRule="exact"/>
        <w:ind w:firstLine="480" w:firstLineChars="200"/>
        <w:contextualSpacing/>
        <w:rPr>
          <w:sz w:val="24"/>
        </w:rPr>
      </w:pPr>
      <w:r>
        <w:rPr>
          <w:rFonts w:hint="eastAsia"/>
          <w:sz w:val="24"/>
        </w:rPr>
        <w:t>供应商需承诺项目经理及主要技术人员在项目整个生命周期中不得更换，如遇不可抗因素确实需更换的，须经采购人同意，且更换后的人员资质、技术能力不低于原有人员，采购人对更换后的人员不满意，供应商必须无偿更换直到采购人满意为止。</w:t>
      </w:r>
    </w:p>
    <w:p w14:paraId="4AE8935D">
      <w:pPr>
        <w:spacing w:line="560" w:lineRule="exact"/>
        <w:ind w:firstLine="480" w:firstLineChars="200"/>
        <w:contextualSpacing/>
        <w:rPr>
          <w:sz w:val="24"/>
        </w:rPr>
      </w:pPr>
      <w:r>
        <w:rPr>
          <w:rFonts w:hint="eastAsia"/>
          <w:sz w:val="24"/>
          <w:lang w:val="en-US" w:eastAsia="zh-CN"/>
        </w:rPr>
        <w:t>7.2</w:t>
      </w:r>
      <w:r>
        <w:rPr>
          <w:rFonts w:hint="eastAsia"/>
          <w:sz w:val="24"/>
        </w:rPr>
        <w:t>项目管理机制</w:t>
      </w:r>
    </w:p>
    <w:p w14:paraId="62E0B74A">
      <w:pPr>
        <w:spacing w:line="560" w:lineRule="exact"/>
        <w:ind w:firstLine="480" w:firstLineChars="200"/>
        <w:contextualSpacing/>
        <w:rPr>
          <w:sz w:val="24"/>
        </w:rPr>
      </w:pPr>
      <w:r>
        <w:rPr>
          <w:rFonts w:hint="eastAsia"/>
          <w:sz w:val="24"/>
        </w:rPr>
        <w:t>供应商应明确说明项目管理方法，项目实施方法，对本项目的实施风险分析和相应的控制方法，以及质量管理方法。</w:t>
      </w:r>
    </w:p>
    <w:p w14:paraId="6C10D6A8">
      <w:pPr>
        <w:spacing w:line="560" w:lineRule="exact"/>
        <w:ind w:firstLine="480" w:firstLineChars="200"/>
        <w:contextualSpacing/>
        <w:rPr>
          <w:sz w:val="24"/>
        </w:rPr>
      </w:pPr>
      <w:r>
        <w:rPr>
          <w:rFonts w:hint="eastAsia"/>
          <w:sz w:val="24"/>
          <w:lang w:val="en-US" w:eastAsia="zh-CN"/>
        </w:rPr>
        <w:t>7.3</w:t>
      </w:r>
      <w:r>
        <w:rPr>
          <w:rFonts w:hint="eastAsia"/>
          <w:sz w:val="24"/>
        </w:rPr>
        <w:t>进展汇报</w:t>
      </w:r>
    </w:p>
    <w:p w14:paraId="0915DD0C">
      <w:pPr>
        <w:spacing w:line="560" w:lineRule="exact"/>
        <w:ind w:firstLine="480" w:firstLineChars="200"/>
        <w:contextualSpacing/>
        <w:rPr>
          <w:sz w:val="24"/>
        </w:rPr>
      </w:pPr>
      <w:r>
        <w:rPr>
          <w:rFonts w:hint="eastAsia"/>
          <w:sz w:val="24"/>
        </w:rPr>
        <w:t>供应商应每周定期呈交项目的进展报告，并在进展报告中列明开发/生产的进展、任何可预见预定交付日的延期和所有其它采购单位可能要求的有关信息，及上述每一项情况的相应活动或行动。同时，应定期安排汇报会，并在汇报会中与供应商讨论项目的进展报告及其它与项目有关的事宜。</w:t>
      </w:r>
    </w:p>
    <w:p w14:paraId="29B075ED">
      <w:pPr>
        <w:spacing w:line="560" w:lineRule="exact"/>
        <w:ind w:firstLine="480" w:firstLineChars="200"/>
        <w:contextualSpacing/>
        <w:rPr>
          <w:sz w:val="24"/>
        </w:rPr>
      </w:pPr>
      <w:r>
        <w:rPr>
          <w:rFonts w:hint="eastAsia"/>
          <w:sz w:val="24"/>
          <w:lang w:val="en-US" w:eastAsia="zh-CN"/>
        </w:rPr>
        <w:t>7.4</w:t>
      </w:r>
      <w:r>
        <w:rPr>
          <w:rFonts w:hint="eastAsia"/>
          <w:sz w:val="24"/>
        </w:rPr>
        <w:t>项目控制</w:t>
      </w:r>
    </w:p>
    <w:p w14:paraId="79D21B44">
      <w:pPr>
        <w:spacing w:line="560" w:lineRule="exact"/>
        <w:ind w:firstLine="480" w:firstLineChars="200"/>
        <w:contextualSpacing/>
        <w:rPr>
          <w:sz w:val="24"/>
        </w:rPr>
      </w:pPr>
      <w:r>
        <w:rPr>
          <w:rFonts w:hint="eastAsia"/>
          <w:sz w:val="24"/>
        </w:rPr>
        <w:t>供应商应任命一名项目经理,此人将：</w:t>
      </w:r>
    </w:p>
    <w:p w14:paraId="5A458DD3">
      <w:pPr>
        <w:spacing w:line="560" w:lineRule="exact"/>
        <w:ind w:firstLine="480" w:firstLineChars="200"/>
        <w:contextualSpacing/>
        <w:rPr>
          <w:sz w:val="24"/>
        </w:rPr>
      </w:pPr>
      <w:r>
        <w:rPr>
          <w:rFonts w:hint="eastAsia"/>
          <w:sz w:val="24"/>
        </w:rPr>
        <w:t>对拟本次技术服务要有充分的理解，具备足够的项目管理的经验和能力；</w:t>
      </w:r>
    </w:p>
    <w:p w14:paraId="1B3BF20B">
      <w:pPr>
        <w:spacing w:line="560" w:lineRule="exact"/>
        <w:ind w:firstLine="480" w:firstLineChars="200"/>
        <w:contextualSpacing/>
        <w:rPr>
          <w:sz w:val="24"/>
        </w:rPr>
      </w:pPr>
      <w:r>
        <w:rPr>
          <w:rFonts w:hint="eastAsia"/>
          <w:sz w:val="24"/>
        </w:rPr>
        <w:t>除对采购人的人员有完全控制和管理权力外，并且得到采购人在工作进展期间具有做出日常决定的充分授权；</w:t>
      </w:r>
    </w:p>
    <w:p w14:paraId="5D1D0D29">
      <w:pPr>
        <w:spacing w:line="560" w:lineRule="exact"/>
        <w:ind w:firstLine="480" w:firstLineChars="200"/>
        <w:contextualSpacing/>
        <w:rPr>
          <w:sz w:val="24"/>
        </w:rPr>
      </w:pPr>
      <w:r>
        <w:rPr>
          <w:rFonts w:hint="eastAsia"/>
          <w:sz w:val="24"/>
        </w:rPr>
        <w:t>在正常工作时间或任何其它认为需要为能够根据执行计划表完成工作所需要的时间内，可以被联系到。</w:t>
      </w:r>
    </w:p>
    <w:p w14:paraId="0F4E5DD3">
      <w:pPr>
        <w:spacing w:line="560" w:lineRule="exact"/>
        <w:ind w:firstLine="482" w:firstLineChars="200"/>
        <w:contextualSpacing/>
        <w:rPr>
          <w:b/>
          <w:bCs/>
          <w:sz w:val="24"/>
        </w:rPr>
      </w:pPr>
      <w:r>
        <w:rPr>
          <w:rFonts w:hint="eastAsia"/>
          <w:b/>
          <w:bCs/>
          <w:sz w:val="24"/>
          <w:lang w:val="en-US" w:eastAsia="zh-CN"/>
        </w:rPr>
        <w:t>8.</w:t>
      </w:r>
      <w:r>
        <w:rPr>
          <w:rFonts w:hint="eastAsia"/>
          <w:b/>
          <w:bCs/>
          <w:sz w:val="24"/>
        </w:rPr>
        <w:t>保密要求</w:t>
      </w:r>
    </w:p>
    <w:p w14:paraId="02F93BEE">
      <w:pPr>
        <w:spacing w:line="560" w:lineRule="exact"/>
        <w:ind w:firstLine="480" w:firstLineChars="200"/>
        <w:contextualSpacing/>
        <w:rPr>
          <w:sz w:val="24"/>
        </w:rPr>
      </w:pPr>
      <w:r>
        <w:rPr>
          <w:rFonts w:hint="eastAsia"/>
          <w:sz w:val="24"/>
        </w:rPr>
        <w:t>成交供应商须与采购人签署保密合同，保密合同中应包含且不局限下述内容：</w:t>
      </w:r>
    </w:p>
    <w:bookmarkEnd w:id="5"/>
    <w:bookmarkEnd w:id="6"/>
    <w:bookmarkEnd w:id="7"/>
    <w:bookmarkEnd w:id="8"/>
    <w:bookmarkEnd w:id="9"/>
    <w:p w14:paraId="658C4460">
      <w:pPr>
        <w:pStyle w:val="4"/>
        <w:spacing w:line="560" w:lineRule="exact"/>
        <w:ind w:left="0" w:leftChars="0" w:firstLine="480" w:firstLineChars="200"/>
        <w:jc w:val="both"/>
        <w:rPr>
          <w:rFonts w:hint="eastAsia"/>
          <w:sz w:val="24"/>
        </w:rPr>
      </w:pPr>
      <w:r>
        <w:rPr>
          <w:rFonts w:hint="eastAsia"/>
          <w:sz w:val="24"/>
          <w:lang w:val="en-US" w:eastAsia="zh-CN"/>
        </w:rPr>
        <w:t>8.1</w:t>
      </w:r>
      <w:r>
        <w:rPr>
          <w:rFonts w:hint="eastAsia"/>
          <w:sz w:val="24"/>
        </w:rPr>
        <w:t>对于采购人提供的任何以口头、书面、图表或电子形式存在的如下情形，供应商有保密的义务，未经采购人的书面同意，不得向社会公众或第三方通过任何途径出示、泄露，不得许可使用，不得对上述信息进行复制、传播、销售。本保密条款不因本合同的无效、终止、解除、撤销而失去效力。</w:t>
      </w:r>
    </w:p>
    <w:p w14:paraId="083D9857">
      <w:pPr>
        <w:pStyle w:val="4"/>
        <w:spacing w:line="560" w:lineRule="exact"/>
        <w:ind w:left="0" w:leftChars="0" w:firstLine="480" w:firstLineChars="200"/>
        <w:jc w:val="both"/>
        <w:rPr>
          <w:rFonts w:hint="eastAsia"/>
          <w:sz w:val="24"/>
        </w:rPr>
      </w:pPr>
      <w:r>
        <w:rPr>
          <w:rFonts w:hint="eastAsia"/>
          <w:sz w:val="24"/>
          <w:lang w:val="en-US" w:eastAsia="zh-CN"/>
        </w:rPr>
        <w:t>8.2</w:t>
      </w:r>
      <w:r>
        <w:rPr>
          <w:rFonts w:hint="eastAsia"/>
          <w:sz w:val="24"/>
        </w:rPr>
        <w:t>不得将此项目的合同内容、涉及出具服务报告数据的相关内容，包括采购人的所有需求内容等不得对外透露。</w:t>
      </w:r>
    </w:p>
    <w:p w14:paraId="519E9A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rPr>
      </w:pPr>
    </w:p>
    <w:p w14:paraId="5800BC3A">
      <w:r>
        <w:rPr>
          <w:rFonts w:hint="eastAsia" w:ascii="宋体" w:hAnsi="宋体" w:cs="宋体"/>
          <w:b/>
          <w:bCs/>
          <w:sz w:val="24"/>
        </w:rPr>
        <w:t>注：标注</w:t>
      </w:r>
      <w:r>
        <w:rPr>
          <w:rFonts w:hint="eastAsia" w:cs="宋体" w:asciiTheme="minorEastAsia" w:hAnsiTheme="minorEastAsia" w:eastAsiaTheme="minorEastAsia"/>
          <w:sz w:val="24"/>
          <w:szCs w:val="24"/>
        </w:rPr>
        <w:t>▲</w:t>
      </w:r>
      <w:r>
        <w:rPr>
          <w:rFonts w:hint="eastAsia" w:ascii="宋体" w:hAnsi="宋体" w:cs="宋体"/>
          <w:b/>
          <w:bCs/>
          <w:sz w:val="24"/>
        </w:rPr>
        <w:t>的条款为较重要技术指标，投标人应提供针对上述相关项的功能截图加盖本单位公章证明，否则评标委员会有权不予认可。</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Mono CJK JP Regular">
    <w:altName w:val="Calibri"/>
    <w:panose1 w:val="000000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40007"/>
    <w:rsid w:val="6264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360" w:lineRule="auto"/>
      <w:ind w:firstLine="1200" w:firstLineChars="200"/>
      <w:outlineLvl w:val="3"/>
    </w:pPr>
    <w:rPr>
      <w:rFonts w:ascii="Arial" w:hAnsi="Arial" w:eastAsia="宋体"/>
      <w:b/>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customStyle="1" w:styleId="7">
    <w:name w:val="列表段落1"/>
    <w:basedOn w:val="1"/>
    <w:qFormat/>
    <w:uiPriority w:val="1"/>
    <w:pPr>
      <w:autoSpaceDE w:val="0"/>
      <w:autoSpaceDN w:val="0"/>
      <w:ind w:left="220"/>
      <w:jc w:val="left"/>
    </w:pPr>
    <w:rPr>
      <w:rFonts w:ascii="Noto Sans Mono CJK JP Regular" w:hAnsi="Noto Sans Mono CJK JP Regular" w:eastAsia="Noto Sans Mono CJK JP Regular" w:cs="Noto Sans Mono CJK JP Regular"/>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2025-09-15T06:06:00Z</dcterms:created>
  <dc:creator>周连妹</dc:creator>
  <cp:lastModifiedBy>周连妹</cp:lastModifiedBy>
  <dcterms:modified xsi:type="dcterms:W3CDTF">2025-09-15T06:08:24Z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30EB75C72ADA4FDD8C649E3E95033A78_11</vt:lpwstr>
  </property>
  <property fmtid="{D5CDD505-2E9C-101B-9397-08002B2CF9AE}" pid="4" name="KSOTemplateDocerSaveRecord">
    <vt:lpwstr>eyJoZGlkIjoiMGQ2ZmQ2M2IyMzM1YjYwOWVlNGFjMjFiY2Q5YmQ2OWIiLCJ1c2VySWQiOiIyOTI2NjUzMzQifQ==</vt:lpwstr>
  </property>
</Properties>
</file>