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B9B3">
      <w:pPr>
        <w:spacing w:after="0"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bookmarkStart w:id="0" w:name="_Toc208560823"/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第五章   采购需求</w:t>
      </w:r>
      <w:bookmarkEnd w:id="0"/>
    </w:p>
    <w:p w14:paraId="4D1FCACA">
      <w:pPr>
        <w:pStyle w:val="8"/>
        <w:spacing w:after="0" w:line="360" w:lineRule="auto"/>
        <w:ind w:left="500" w:hanging="500" w:firstLineChars="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一、采购标的</w:t>
      </w:r>
    </w:p>
    <w:p w14:paraId="57B37B27">
      <w:pPr>
        <w:spacing w:line="360" w:lineRule="auto"/>
        <w:contextualSpacing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1. 采购标的</w:t>
      </w:r>
      <w:bookmarkStart w:id="1" w:name="_GoBack"/>
      <w:bookmarkEnd w:id="1"/>
    </w:p>
    <w:p w14:paraId="1B8863DB">
      <w:pPr>
        <w:spacing w:line="360" w:lineRule="auto"/>
        <w:ind w:firstLine="480" w:firstLineChars="200"/>
        <w:contextualSpacing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标的名称：园区市政一二期道路维护项目</w:t>
      </w:r>
    </w:p>
    <w:p w14:paraId="5A6B967C">
      <w:pPr>
        <w:spacing w:line="360" w:lineRule="auto"/>
        <w:contextualSpacing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2. 项目背景：本项目为大兴生物医药基地一二期道路范围内的道路维修养护项目。主要工作范围为大兴生物医药产业基地已建成城市道路，工作内容为承包区域范围内的道路维修养护工作，包括路面（主道）、路面（步道）保养、小修、中修工作，从而进一步延长道路使用寿命、提升通行安全性与舒适度，保障市民出行及城市形象。资金来源为财政资金。</w:t>
      </w:r>
    </w:p>
    <w:p w14:paraId="552AB6FF">
      <w:pPr>
        <w:spacing w:after="0" w:line="360" w:lineRule="auto"/>
        <w:contextualSpacing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3. 工作范围：对大兴区生物医药基地一二期内道路进行道路维修养护工作。其中道路主路面积582494.51平方米、步道面积203233.66平方米。</w:t>
      </w:r>
    </w:p>
    <w:p w14:paraId="6C78E949">
      <w:pPr>
        <w:spacing w:after="0" w:line="360" w:lineRule="auto"/>
        <w:contextualSpacing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 xml:space="preserve">4. 委托工作内容：对天水大街、天华大街、天荣大街、天贵大街、天富大街、祥瑞大街、民和路、天河西路、永大路、永兴路、永旺路、庆丰路、华佗路、思邈路、规划一路、规划五路进行道路维修养护工作。 </w:t>
      </w:r>
    </w:p>
    <w:p w14:paraId="759A9857">
      <w:pPr>
        <w:pStyle w:val="8"/>
        <w:spacing w:after="0" w:line="360" w:lineRule="auto"/>
        <w:ind w:left="500" w:hanging="500" w:firstLineChars="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二、商务要求</w:t>
      </w:r>
    </w:p>
    <w:p w14:paraId="46D34781">
      <w:pPr>
        <w:spacing w:line="360" w:lineRule="auto"/>
        <w:contextualSpacing/>
        <w:rPr>
          <w:rFonts w:hint="eastAsia" w:ascii="仿宋" w:hAnsi="仿宋" w:eastAsia="仿宋" w:cs="仿宋"/>
          <w:i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 服务期</w:t>
      </w:r>
    </w:p>
    <w:p w14:paraId="326AEA1E">
      <w:pPr>
        <w:spacing w:line="360" w:lineRule="auto"/>
        <w:ind w:firstLine="480" w:firstLineChars="200"/>
        <w:contextualSpacing/>
        <w:rPr>
          <w:rFonts w:hint="eastAsia" w:ascii="仿宋" w:hAnsi="仿宋" w:eastAsia="仿宋" w:cs="仿宋"/>
          <w:i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服务期：</w:t>
      </w:r>
      <w:r>
        <w:rPr>
          <w:rFonts w:hint="eastAsia" w:ascii="仿宋" w:hAnsi="仿宋" w:eastAsia="仿宋" w:cs="仿宋"/>
          <w:iCs/>
          <w:color w:val="auto"/>
          <w:sz w:val="24"/>
          <w:highlight w:val="none"/>
        </w:rPr>
        <w:t>合同签订之日起至2026年9月30日</w:t>
      </w:r>
    </w:p>
    <w:p w14:paraId="4AA45AF6">
      <w:pPr>
        <w:spacing w:line="360" w:lineRule="auto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 付款方式要求</w:t>
      </w:r>
    </w:p>
    <w:p w14:paraId="1E4275F2">
      <w:pPr>
        <w:spacing w:line="360" w:lineRule="auto"/>
        <w:ind w:firstLine="480" w:firstLineChars="2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根据合同要求：</w:t>
      </w:r>
    </w:p>
    <w:p w14:paraId="76B391F0">
      <w:pPr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2.1、在乙方严格遵循本协议规定并通过甲方考核的情况下，甲方应以季度为单位向北京市大兴区财政局发出付款通知，以便其在每个季度第三个月开始之前向甲方拨付承包费用。每季度结束后且经甲方验收无误后，由甲方支付本季度费用。</w:t>
      </w:r>
    </w:p>
    <w:p w14:paraId="61F299E6">
      <w:pPr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2.2、在乙方因违反本协议规定而需缴纳相关罚金的情况下，甲方有权将该等罚金金额从当季应付承包费用中予以扣除，并根据余额发出付款通知。</w:t>
      </w:r>
    </w:p>
    <w:p w14:paraId="3306F42E">
      <w:pPr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2.3、每次甲方付款前，由乙方先开具符合国家规定的增值税发票，发票税率按国家税务相关规定执行，乙方未提交合格发票的，甲方有权拒绝付款且不视为违约。</w:t>
      </w:r>
    </w:p>
    <w:p w14:paraId="2CD26A92">
      <w:pPr>
        <w:spacing w:after="0" w:line="360" w:lineRule="auto"/>
        <w:contextualSpacing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3.成果文件及质量要求：</w:t>
      </w:r>
    </w:p>
    <w:p w14:paraId="1F4F1F0F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成果文件：月度检查记录单</w:t>
      </w:r>
    </w:p>
    <w:p w14:paraId="396748E2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质量要求：1. 合规达标：严格遵循北京市现行相关规范标准（DB11/T 1591 2018《城市道路日常养护作业规程》）及设计文件要求。</w:t>
      </w:r>
    </w:p>
    <w:p w14:paraId="4A63D60D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2. 材料合格：所有维护材料、配件、设备必须为正规厂家生产，提供合格证明文件，性能指标符合设计及规范规定。</w:t>
      </w:r>
    </w:p>
    <w:p w14:paraId="7317834A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 工艺规范：路基处理：压实度、稳定性满足设计要求；路面修复：平整度、压实度、厚度、接缝处理符合规范；井周加固：稳固无沉降，符合安全文明施工要求。</w:t>
      </w:r>
    </w:p>
    <w:p w14:paraId="6814B487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 质量可靠：维护后道路应结构完好、平整无缺失塌陷，满足通行要求。</w:t>
      </w:r>
    </w:p>
    <w:p w14:paraId="7D5E889D">
      <w:pPr>
        <w:pStyle w:val="8"/>
        <w:spacing w:after="0" w:line="360" w:lineRule="auto"/>
        <w:ind w:firstLine="480"/>
        <w:contextualSpacing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 验收合格：各分项工程及最终成果质量符合验收要求。</w:t>
      </w:r>
    </w:p>
    <w:p w14:paraId="2EABEC9E">
      <w:pPr>
        <w:pStyle w:val="8"/>
        <w:spacing w:after="0" w:line="360" w:lineRule="auto"/>
        <w:ind w:left="500" w:hanging="500" w:firstLineChars="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三、技术要求</w:t>
      </w:r>
    </w:p>
    <w:p w14:paraId="14A12D5D">
      <w:pPr>
        <w:spacing w:after="0"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1.建立巡查和检测体系，并及时按照养护维修技术标准和规范对园区城市道路进行养护维修（维修范围为路面破损面积小修至中修），排除隐患，确保道路完好。</w:t>
      </w:r>
    </w:p>
    <w:p w14:paraId="0655F299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2.进行道路养护维修作业时，设置安全警示标志，采取安全防护措施。养护维修车辆和机械设备使用统一的作业标志。养护维修人员穿着统一的安全服饰。</w:t>
      </w:r>
    </w:p>
    <w:p w14:paraId="2A4898B2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3.编制快速处理应急预案，成立抢修小组，建立相应的快速处理流程。</w:t>
      </w:r>
    </w:p>
    <w:p w14:paraId="3E16B896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4.加强巡视，在巡视中发现有私开道口、私自占用、挖掘道路、借用市政电源、悬挂广告、占用绿地、破坏绿化等违章违法行为，及时制止，并报有关部门处理，同时做好记录工作。</w:t>
      </w:r>
    </w:p>
    <w:p w14:paraId="08B416C1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.巡视中发现由于市政设施损坏、遗失或因自然灾害有影响车辆行人交通安全隐患时，立即上报并设置警示标志，必要时现场安排专人监视，同时启动应急预案进行抢修处理。难以及时恢复时，设置交通警示标志，通知相关部门协助疏导交通。</w:t>
      </w:r>
    </w:p>
    <w:p w14:paraId="7FD9AFCB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6.根据不同的技术状况进行预防性养护工作。</w:t>
      </w:r>
    </w:p>
    <w:p w14:paraId="5D39FC1A">
      <w:pPr>
        <w:spacing w:after="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7.保养</w:t>
      </w:r>
    </w:p>
    <w:p w14:paraId="148946F1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（1）路面（主道）：处理沥青路面的泛油、拥包、裂缝、松散等以及路缘石的修理和刷白；</w:t>
      </w:r>
    </w:p>
    <w:p w14:paraId="717348B1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（2）路面(步道)：处理步道裂缝、松散、修理步道等。</w:t>
      </w:r>
    </w:p>
    <w:p w14:paraId="6EB89087">
      <w:pPr>
        <w:spacing w:after="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8.小修</w:t>
      </w:r>
    </w:p>
    <w:p w14:paraId="398D9057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（1）路面(主道)：区域内桥头跳车的处理，沥青路面修补坑槽、沉陷处理波浪、局部网裂、啃边等病害。</w:t>
      </w:r>
    </w:p>
    <w:p w14:paraId="06E738D8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（2）路面(步道)：区域内步道修补坑槽、沉陷处理等；</w:t>
      </w:r>
    </w:p>
    <w:p w14:paraId="6F7C64C6">
      <w:pPr>
        <w:spacing w:after="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9.中修</w:t>
      </w:r>
    </w:p>
    <w:p w14:paraId="1232E383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（1）路面(主道)：沥青路面整段罩面、沥青路面严重病害的处理、整段安装、更换路缘石、桥头搭板或过渡路面的整修；</w:t>
      </w:r>
    </w:p>
    <w:p w14:paraId="454EDB80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（2）路面(步道)：步道路面严重病害的处理、整段安装、更换步道。</w:t>
      </w:r>
    </w:p>
    <w:p w14:paraId="7D479F34">
      <w:pPr>
        <w:widowControl/>
        <w:spacing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10.人行道养护维修标准：</w:t>
      </w:r>
    </w:p>
    <w:p w14:paraId="3FB388B3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（1）表面及侧石顶面平整，表面无积水；</w:t>
      </w:r>
    </w:p>
    <w:p w14:paraId="659009C6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（2）表面铺砌块，块间缝宽及相邻的砌块间高差应符合规范要求；</w:t>
      </w:r>
    </w:p>
    <w:p w14:paraId="61D3ED75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（3）表面纵横坡应符合设计要求；</w:t>
      </w:r>
    </w:p>
    <w:p w14:paraId="1A499D5D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（4）表面铺砌块完整；</w:t>
      </w:r>
    </w:p>
    <w:p w14:paraId="1526B5EE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（5）树穴位置正确、树池完好无损坏；</w:t>
      </w:r>
    </w:p>
    <w:p w14:paraId="091E2755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（6）表面洁净无违章堆放物。</w:t>
      </w:r>
    </w:p>
    <w:p w14:paraId="64D7A05F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（7）盲道上的导向砖、止步砖位置应安装正确。</w:t>
      </w:r>
    </w:p>
    <w:p w14:paraId="3F305B11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（8）人行道养护作业在同一道路、同一时间段进行时，不得在道路对称两侧同时施工；</w:t>
      </w:r>
    </w:p>
    <w:p w14:paraId="3D226CFF">
      <w:pPr>
        <w:widowControl/>
        <w:numPr>
          <w:ilvl w:val="2"/>
          <w:numId w:val="0"/>
        </w:numPr>
        <w:spacing w:after="0" w:line="360" w:lineRule="auto"/>
        <w:ind w:firstLine="51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（9）人行道养护作业必须设置行人通道，行人通道宽度不得小于100CM；</w:t>
      </w:r>
    </w:p>
    <w:p w14:paraId="6CBC59F6">
      <w:pPr>
        <w:widowControl/>
        <w:spacing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11.平（侧）石的养护维修应做到以下几点：</w:t>
      </w:r>
    </w:p>
    <w:p w14:paraId="10D41EB7">
      <w:pPr>
        <w:widowControl/>
        <w:spacing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（1）平（侧）石维修应当符合规范要求；</w:t>
      </w:r>
    </w:p>
    <w:p w14:paraId="34AB1F22">
      <w:pPr>
        <w:widowControl/>
        <w:spacing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（2）平（侧）石安装应牢固稳定，外边线直顺；</w:t>
      </w:r>
    </w:p>
    <w:p w14:paraId="23D62E39">
      <w:pPr>
        <w:widowControl/>
        <w:spacing w:after="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（3）平（侧）石完好率应达到99％。</w:t>
      </w:r>
    </w:p>
    <w:p w14:paraId="6AB8167F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12.12345热线、网格、人民网、市长信箱（热线）及相关网络渠道的道路案件、投诉处置工作。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接到报告或发现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应采取安全防护措施，并在12小时内进行维修或改装。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因未及时发现或维修，所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造成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后果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及损失，中标公司承担全部责任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。</w:t>
      </w:r>
    </w:p>
    <w:p w14:paraId="33440584">
      <w:pPr>
        <w:spacing w:after="0"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13.养护验收标准：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DB11/T 1591 2018《城市道路日常养护作业规程》</w:t>
      </w:r>
    </w:p>
    <w:p w14:paraId="53946AB3">
      <w:pPr>
        <w:pStyle w:val="4"/>
        <w:tabs>
          <w:tab w:val="clear" w:pos="1050"/>
          <w:tab w:val="clear" w:pos="8937"/>
        </w:tabs>
        <w:spacing w:after="0" w:afterAutospacing="0"/>
        <w:ind w:firstLine="480" w:firstLineChars="200"/>
        <w:rPr>
          <w:rFonts w:hint="eastAsia" w:ascii="仿宋" w:hAnsi="仿宋" w:eastAsia="仿宋" w:cs="仿宋"/>
          <w:b w:val="0"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highlight w:val="none"/>
        </w:rPr>
        <w:t>14.养护范围及内容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6"/>
        <w:gridCol w:w="2376"/>
        <w:gridCol w:w="1056"/>
        <w:gridCol w:w="1296"/>
        <w:gridCol w:w="1296"/>
        <w:gridCol w:w="827"/>
      </w:tblGrid>
      <w:tr w14:paraId="3E0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3562">
            <w:pPr>
              <w:widowControl/>
              <w:spacing w:beforeAutospacing="0"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E11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道路名称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3BBE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起始点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B77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长度（m）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7EE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道路面积(m²)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6D9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步道面积(m²)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20B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备注</w:t>
            </w:r>
          </w:p>
        </w:tc>
      </w:tr>
      <w:tr w14:paraId="621B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467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9B4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天水大街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B36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天河西路至黄良路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39E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1036.1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896A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22730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7A1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0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318C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90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E6A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1C9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B67A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天河西路至魏永路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2B08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2846.06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9B0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30830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8CE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18069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2B4C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49C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2D3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40E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天荣大街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72D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天河西路至魏永路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D62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2878.4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2C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39280.6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27D8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19003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669B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78A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0C1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AD1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天贵大街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2F6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黄良路至魏永路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690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3686.9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F1C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73472.2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6C9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17895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4029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E56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E97A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A63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天富大街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7A78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天河西路至魏永路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312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2878.3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4E4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41668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1BA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18762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DD05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843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CBFA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E91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祥瑞大街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3AA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天河西路至魏永路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97E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2843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397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40059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D3A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18794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F7A5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3B6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BDDE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EBD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民和路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F95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新源大街至天水大街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13F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439.8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BB6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6999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93B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3461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A9A6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BD4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A75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283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天河西路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F3B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天水大街至春林大街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562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2197.5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B3A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56765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9CB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16105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4790B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EACF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10AA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53C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永大路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C33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2C7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1964.6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BBC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39099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8048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14568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5013B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972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25D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C97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永兴路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EFA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477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1930.1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747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49161.1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660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14354.1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C0D9A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4CD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C89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A0F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永旺路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183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33E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1900.9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AA1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39093.5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FC4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14112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64BE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104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B21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F25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庆丰路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5AA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A63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1864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54E3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51865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583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11654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0D77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F1B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CBE7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1F4E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华佗路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CAA1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4D6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1836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CDE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34324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BE96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13598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510A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91E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F02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8E32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思邈路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CF3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天华大街至春林大街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033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1802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2798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26964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E64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13698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13FF0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70B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00C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B34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规划一路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338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黄良路至断头路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1EC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747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96C0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17899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05E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4384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CA465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F55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C77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5F5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规划五路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A75D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芦求路至断头路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76A5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619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8C4F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12287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698B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4777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3F834">
            <w:pPr>
              <w:spacing w:after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60C3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7B9C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合计：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B00B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5B74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582494.51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7099">
            <w:pPr>
              <w:widowControl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203233.66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5001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0877E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riad Pro Light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25DB"/>
    <w:rsid w:val="22F825DB"/>
    <w:rsid w:val="3B8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topLinePunct/>
      <w:adjustRightInd w:val="0"/>
      <w:spacing w:before="100" w:line="281" w:lineRule="auto"/>
      <w:ind w:left="170" w:right="-23"/>
    </w:pPr>
    <w:rPr>
      <w:rFonts w:ascii="Myriad Pro Light" w:hAnsi="Myriad Pro Light" w:eastAsia="宋体" w:cs="Times New Roman"/>
      <w:sz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2026-01-26T03:20:00Z</dcterms:created>
  <dc:creator> 本无罪'</dc:creator>
  <cp:lastModifiedBy> 本无罪'</cp:lastModifiedBy>
  <dcterms:modified xsi:type="dcterms:W3CDTF">2026-01-26T03:21:27Z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394D1875D2C64C32AB0B5C9A753CD056_11</vt:lpwstr>
  </property>
  <property fmtid="{D5CDD505-2E9C-101B-9397-08002B2CF9AE}" pid="4" name="KSOTemplateDocerSaveRecord">
    <vt:lpwstr>eyJoZGlkIjoiZGZiMDczYzliOWM4NDc5ZjVhZDQ3MWYxNjU0ODgyOGQiLCJ1c2VySWQiOiI0MjE4NjIyNjQifQ==</vt:lpwstr>
  </property>
</Properties>
</file>