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F0B4">
      <w:pPr>
        <w:widowControl/>
        <w:kinsoku w:val="0"/>
        <w:autoSpaceDE w:val="0"/>
        <w:autoSpaceDN w:val="0"/>
        <w:adjustRightInd w:val="0"/>
        <w:snapToGrid w:val="0"/>
        <w:spacing w:before="260" w:after="120" w:line="360" w:lineRule="auto"/>
        <w:jc w:val="center"/>
        <w:textAlignment w:val="baseline"/>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2026年移交资产龙形水系运维-水系及水处理机房运行、养护、保洁及水质治理项目</w:t>
      </w:r>
      <w:r>
        <w:rPr>
          <w:rFonts w:hint="eastAsia" w:ascii="仿宋" w:hAnsi="仿宋" w:eastAsia="仿宋" w:cs="仿宋"/>
          <w:b/>
          <w:bCs/>
          <w:color w:val="auto"/>
          <w:sz w:val="32"/>
          <w:szCs w:val="32"/>
          <w:highlight w:val="none"/>
          <w:lang w:val="en-US" w:eastAsia="zh-CN"/>
        </w:rPr>
        <w:t>竞争性磋商公告</w:t>
      </w:r>
    </w:p>
    <w:p w14:paraId="5365E12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0" w:name="_Toc6923"/>
      <w:r>
        <w:rPr>
          <w:rFonts w:hint="eastAsia" w:ascii="仿宋" w:hAnsi="仿宋" w:eastAsia="仿宋" w:cs="仿宋"/>
          <w:b/>
          <w:bCs/>
          <w:color w:val="auto"/>
          <w:sz w:val="28"/>
          <w:szCs w:val="28"/>
          <w:highlight w:val="none"/>
        </w:rPr>
        <w:t>一、项目基本情况</w:t>
      </w:r>
      <w:bookmarkEnd w:id="0"/>
    </w:p>
    <w:p w14:paraId="5DE03E92">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none"/>
          <w:lang w:val="en-US" w:eastAsia="zh-CN"/>
        </w:rPr>
        <w:t>11010526210200027180-XM001</w:t>
      </w:r>
    </w:p>
    <w:p w14:paraId="5D98238E">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none"/>
          <w:lang w:eastAsia="zh-CN"/>
        </w:rPr>
        <w:t>2</w:t>
      </w:r>
      <w:r>
        <w:rPr>
          <w:rFonts w:hint="eastAsia" w:ascii="仿宋" w:hAnsi="仿宋" w:eastAsia="仿宋" w:cs="仿宋"/>
          <w:color w:val="auto"/>
          <w:sz w:val="24"/>
          <w:highlight w:val="none"/>
          <w:u w:val="none"/>
          <w:lang w:eastAsia="zh-CN"/>
        </w:rPr>
        <w:t>026年移交资产龙形水系运维-水系及水处理机房运行、养护、保洁及水质治理项目</w:t>
      </w:r>
    </w:p>
    <w:p w14:paraId="03B042AC">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3.采购方式：</w:t>
      </w:r>
      <w:r>
        <w:rPr>
          <w:rFonts w:hint="eastAsia" w:ascii="仿宋" w:hAnsi="仿宋" w:eastAsia="仿宋" w:cs="仿宋"/>
          <w:color w:val="auto"/>
          <w:sz w:val="24"/>
          <w:highlight w:val="none"/>
          <w:u w:val="none"/>
        </w:rPr>
        <w:t>竞争性</w:t>
      </w:r>
      <w:bookmarkStart w:id="39" w:name="_GoBack"/>
      <w:bookmarkEnd w:id="39"/>
      <w:r>
        <w:rPr>
          <w:rFonts w:hint="eastAsia" w:ascii="仿宋" w:hAnsi="仿宋" w:eastAsia="仿宋" w:cs="仿宋"/>
          <w:color w:val="auto"/>
          <w:sz w:val="24"/>
          <w:highlight w:val="none"/>
          <w:u w:val="none"/>
        </w:rPr>
        <w:t>磋商</w:t>
      </w:r>
    </w:p>
    <w:p w14:paraId="04F36482">
      <w:pPr>
        <w:keepNext w:val="0"/>
        <w:keepLines w:val="0"/>
        <w:widowControl/>
        <w:suppressLineNumbers w:val="0"/>
        <w:kinsoku w:val="0"/>
        <w:autoSpaceDE w:val="0"/>
        <w:autoSpaceDN w:val="0"/>
        <w:adjustRightInd w:val="0"/>
        <w:snapToGrid w:val="0"/>
        <w:spacing w:line="360" w:lineRule="auto"/>
        <w:ind w:left="315" w:leftChars="150" w:firstLine="0" w:firstLineChars="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4.项目预算金额：</w:t>
      </w:r>
      <w:r>
        <w:rPr>
          <w:rFonts w:hint="eastAsia" w:ascii="仿宋" w:hAnsi="仿宋" w:eastAsia="仿宋" w:cs="仿宋"/>
          <w:color w:val="auto"/>
          <w:sz w:val="24"/>
          <w:highlight w:val="none"/>
          <w:u w:val="none"/>
          <w:lang w:eastAsia="zh-CN"/>
        </w:rPr>
        <w:t>292</w:t>
      </w:r>
      <w:r>
        <w:rPr>
          <w:rFonts w:hint="eastAsia" w:ascii="仿宋" w:hAnsi="仿宋" w:eastAsia="仿宋" w:cs="仿宋"/>
          <w:color w:val="auto"/>
          <w:sz w:val="24"/>
          <w:highlight w:val="none"/>
          <w:u w:val="none"/>
        </w:rPr>
        <w:t>万</w:t>
      </w:r>
      <w:r>
        <w:rPr>
          <w:rFonts w:hint="eastAsia" w:ascii="仿宋" w:hAnsi="仿宋" w:eastAsia="仿宋" w:cs="仿宋"/>
          <w:color w:val="auto"/>
          <w:sz w:val="24"/>
          <w:highlight w:val="none"/>
        </w:rPr>
        <w:t>元、项目最高限价：</w:t>
      </w:r>
      <w:bookmarkStart w:id="1" w:name="OLE_LINK5"/>
      <w:r>
        <w:rPr>
          <w:rFonts w:hint="eastAsia" w:ascii="仿宋" w:hAnsi="仿宋" w:eastAsia="仿宋" w:cs="仿宋"/>
          <w:color w:val="auto"/>
          <w:sz w:val="24"/>
          <w:highlight w:val="none"/>
          <w:u w:val="none"/>
          <w:lang w:eastAsia="zh-CN"/>
        </w:rPr>
        <w:t>292</w:t>
      </w:r>
      <w:r>
        <w:rPr>
          <w:rFonts w:hint="eastAsia" w:ascii="仿宋" w:hAnsi="仿宋" w:eastAsia="仿宋" w:cs="仿宋"/>
          <w:color w:val="auto"/>
          <w:sz w:val="24"/>
          <w:highlight w:val="none"/>
          <w:u w:val="none"/>
        </w:rPr>
        <w:t>万</w:t>
      </w:r>
      <w:bookmarkEnd w:id="1"/>
      <w:r>
        <w:rPr>
          <w:rFonts w:hint="eastAsia" w:ascii="仿宋" w:hAnsi="仿宋" w:eastAsia="仿宋" w:cs="仿宋"/>
          <w:color w:val="auto"/>
          <w:sz w:val="24"/>
          <w:highlight w:val="none"/>
          <w:lang w:val="en-US" w:eastAsia="zh-CN"/>
        </w:rPr>
        <w:t>元</w:t>
      </w:r>
    </w:p>
    <w:p w14:paraId="38404FAB">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5.采购需求：</w:t>
      </w:r>
    </w:p>
    <w:tbl>
      <w:tblPr>
        <w:tblStyle w:val="6"/>
        <w:tblpPr w:leftFromText="180" w:rightFromText="180" w:vertAnchor="text" w:horzAnchor="page" w:tblpX="1562" w:tblpY="132"/>
        <w:tblOverlap w:val="never"/>
        <w:tblW w:w="92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780"/>
        <w:gridCol w:w="1660"/>
        <w:gridCol w:w="601"/>
        <w:gridCol w:w="3493"/>
      </w:tblGrid>
      <w:tr w14:paraId="17052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07" w:type="dxa"/>
            <w:vAlign w:val="center"/>
          </w:tcPr>
          <w:p w14:paraId="57EA6A72">
            <w:pPr>
              <w:autoSpaceDE w:val="0"/>
              <w:autoSpaceDN w:val="0"/>
              <w:spacing w:before="171" w:line="360" w:lineRule="auto"/>
              <w:jc w:val="center"/>
              <w:rPr>
                <w:rFonts w:hint="eastAsia" w:ascii="仿宋" w:hAnsi="仿宋" w:eastAsia="仿宋" w:cs="仿宋"/>
                <w:color w:val="auto"/>
                <w:sz w:val="24"/>
                <w:highlight w:val="none"/>
                <w:lang w:eastAsia="en-US"/>
              </w:rPr>
            </w:pPr>
            <w:r>
              <w:rPr>
                <w:rFonts w:hint="eastAsia" w:ascii="仿宋" w:hAnsi="仿宋" w:eastAsia="仿宋" w:cs="仿宋"/>
                <w:color w:val="auto"/>
                <w:spacing w:val="4"/>
                <w:sz w:val="24"/>
                <w:highlight w:val="none"/>
                <w:lang w:eastAsia="en-US"/>
              </w:rPr>
              <w:t>包号</w:t>
            </w:r>
          </w:p>
        </w:tc>
        <w:tc>
          <w:tcPr>
            <w:tcW w:w="2780" w:type="dxa"/>
            <w:vAlign w:val="center"/>
          </w:tcPr>
          <w:p w14:paraId="4E968ACF">
            <w:pPr>
              <w:autoSpaceDE w:val="0"/>
              <w:autoSpaceDN w:val="0"/>
              <w:spacing w:before="171" w:line="360" w:lineRule="auto"/>
              <w:jc w:val="center"/>
              <w:rPr>
                <w:rFonts w:hint="eastAsia" w:ascii="仿宋" w:hAnsi="仿宋" w:eastAsia="仿宋" w:cs="仿宋"/>
                <w:color w:val="auto"/>
                <w:sz w:val="24"/>
                <w:highlight w:val="none"/>
                <w:lang w:eastAsia="en-US"/>
              </w:rPr>
            </w:pPr>
            <w:r>
              <w:rPr>
                <w:rFonts w:hint="eastAsia" w:ascii="仿宋" w:hAnsi="仿宋" w:eastAsia="仿宋" w:cs="仿宋"/>
                <w:color w:val="auto"/>
                <w:spacing w:val="7"/>
                <w:sz w:val="24"/>
                <w:highlight w:val="none"/>
                <w:lang w:eastAsia="en-US"/>
              </w:rPr>
              <w:t>标的名称</w:t>
            </w:r>
          </w:p>
        </w:tc>
        <w:tc>
          <w:tcPr>
            <w:tcW w:w="1660" w:type="dxa"/>
            <w:vAlign w:val="center"/>
          </w:tcPr>
          <w:p w14:paraId="6233C2AD">
            <w:pPr>
              <w:autoSpaceDE w:val="0"/>
              <w:autoSpaceDN w:val="0"/>
              <w:spacing w:before="36" w:line="360" w:lineRule="auto"/>
              <w:ind w:left="119"/>
              <w:jc w:val="center"/>
              <w:rPr>
                <w:rFonts w:hint="eastAsia" w:ascii="仿宋" w:hAnsi="仿宋" w:eastAsia="仿宋" w:cs="仿宋"/>
                <w:color w:val="auto"/>
                <w:sz w:val="24"/>
                <w:highlight w:val="none"/>
                <w:lang w:eastAsia="en-US"/>
              </w:rPr>
            </w:pPr>
            <w:r>
              <w:rPr>
                <w:rFonts w:hint="eastAsia" w:ascii="仿宋" w:hAnsi="仿宋" w:eastAsia="仿宋" w:cs="仿宋"/>
                <w:color w:val="auto"/>
                <w:spacing w:val="8"/>
                <w:sz w:val="24"/>
                <w:highlight w:val="none"/>
                <w:lang w:eastAsia="en-US"/>
              </w:rPr>
              <w:t>采购包预算金额</w:t>
            </w:r>
            <w:r>
              <w:rPr>
                <w:rFonts w:hint="eastAsia" w:ascii="仿宋" w:hAnsi="仿宋" w:eastAsia="仿宋" w:cs="仿宋"/>
                <w:color w:val="auto"/>
                <w:sz w:val="24"/>
                <w:highlight w:val="none"/>
                <w:lang w:eastAsia="en-US"/>
              </w:rPr>
              <w:t>（万元）</w:t>
            </w:r>
          </w:p>
        </w:tc>
        <w:tc>
          <w:tcPr>
            <w:tcW w:w="601" w:type="dxa"/>
            <w:vAlign w:val="center"/>
          </w:tcPr>
          <w:p w14:paraId="5CA691B1">
            <w:pPr>
              <w:autoSpaceDE w:val="0"/>
              <w:autoSpaceDN w:val="0"/>
              <w:spacing w:before="171" w:line="360" w:lineRule="auto"/>
              <w:jc w:val="center"/>
              <w:rPr>
                <w:rFonts w:hint="eastAsia" w:ascii="仿宋" w:hAnsi="仿宋" w:eastAsia="仿宋" w:cs="仿宋"/>
                <w:color w:val="auto"/>
                <w:sz w:val="24"/>
                <w:highlight w:val="none"/>
                <w:lang w:eastAsia="en-US"/>
              </w:rPr>
            </w:pPr>
            <w:r>
              <w:rPr>
                <w:rFonts w:hint="eastAsia" w:ascii="仿宋" w:hAnsi="仿宋" w:eastAsia="仿宋" w:cs="仿宋"/>
                <w:color w:val="auto"/>
                <w:spacing w:val="4"/>
                <w:sz w:val="24"/>
                <w:highlight w:val="none"/>
                <w:lang w:eastAsia="en-US"/>
              </w:rPr>
              <w:t>数量</w:t>
            </w:r>
          </w:p>
        </w:tc>
        <w:tc>
          <w:tcPr>
            <w:tcW w:w="3493" w:type="dxa"/>
            <w:vAlign w:val="center"/>
          </w:tcPr>
          <w:p w14:paraId="0CD27E3D">
            <w:pPr>
              <w:autoSpaceDE w:val="0"/>
              <w:autoSpaceDN w:val="0"/>
              <w:spacing w:before="170" w:line="360" w:lineRule="auto"/>
              <w:jc w:val="center"/>
              <w:rPr>
                <w:rFonts w:hint="eastAsia" w:ascii="仿宋" w:hAnsi="仿宋" w:eastAsia="仿宋" w:cs="仿宋"/>
                <w:color w:val="auto"/>
                <w:sz w:val="24"/>
                <w:highlight w:val="none"/>
                <w:lang w:eastAsia="en-US"/>
              </w:rPr>
            </w:pPr>
            <w:r>
              <w:rPr>
                <w:rFonts w:hint="eastAsia" w:ascii="仿宋" w:hAnsi="仿宋" w:eastAsia="仿宋" w:cs="仿宋"/>
                <w:color w:val="auto"/>
                <w:spacing w:val="8"/>
                <w:sz w:val="24"/>
                <w:highlight w:val="none"/>
                <w:lang w:eastAsia="en-US"/>
              </w:rPr>
              <w:t>简要技术需求或服务要求</w:t>
            </w:r>
          </w:p>
        </w:tc>
      </w:tr>
      <w:tr w14:paraId="1D5CD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07" w:type="dxa"/>
            <w:vAlign w:val="center"/>
          </w:tcPr>
          <w:p w14:paraId="440989E4">
            <w:pPr>
              <w:pStyle w:val="7"/>
              <w:autoSpaceDE w:val="0"/>
              <w:autoSpaceDN w:val="0"/>
              <w:spacing w:before="141" w:line="360" w:lineRule="auto"/>
              <w:ind w:left="232"/>
              <w:rPr>
                <w:rFonts w:hint="eastAsia" w:ascii="仿宋" w:hAnsi="仿宋" w:eastAsia="仿宋" w:cs="仿宋"/>
                <w:color w:val="auto"/>
                <w:sz w:val="24"/>
                <w:szCs w:val="24"/>
                <w:highlight w:val="none"/>
                <w:u w:val="none"/>
              </w:rPr>
            </w:pPr>
            <w:r>
              <w:rPr>
                <w:rFonts w:hint="eastAsia" w:ascii="仿宋" w:hAnsi="仿宋" w:eastAsia="仿宋" w:cs="仿宋"/>
                <w:color w:val="auto"/>
                <w:spacing w:val="14"/>
                <w:sz w:val="24"/>
                <w:szCs w:val="24"/>
                <w:highlight w:val="none"/>
                <w:u w:val="none"/>
              </w:rPr>
              <w:t>1</w:t>
            </w:r>
          </w:p>
        </w:tc>
        <w:tc>
          <w:tcPr>
            <w:tcW w:w="2780" w:type="dxa"/>
            <w:vAlign w:val="center"/>
          </w:tcPr>
          <w:p w14:paraId="44B2FC9A">
            <w:pPr>
              <w:autoSpaceDE w:val="0"/>
              <w:autoSpaceDN w:val="0"/>
              <w:spacing w:line="360" w:lineRule="auto"/>
              <w:jc w:val="center"/>
              <w:rPr>
                <w:rFonts w:hint="eastAsia" w:ascii="仿宋" w:hAnsi="仿宋" w:eastAsia="仿宋" w:cs="仿宋"/>
                <w:bCs/>
                <w:color w:val="auto"/>
                <w:sz w:val="24"/>
                <w:highlight w:val="none"/>
                <w:u w:val="none"/>
                <w:lang w:val="en-US" w:eastAsia="zh-CN"/>
              </w:rPr>
            </w:pPr>
            <w:r>
              <w:rPr>
                <w:rFonts w:hint="eastAsia" w:ascii="仿宋" w:hAnsi="仿宋" w:eastAsia="仿宋" w:cs="仿宋"/>
                <w:color w:val="auto"/>
                <w:sz w:val="24"/>
                <w:highlight w:val="none"/>
                <w:u w:val="none"/>
                <w:lang w:eastAsia="zh-CN"/>
              </w:rPr>
              <w:t>水系及水处理机房运行、养护、保洁及水质治理</w:t>
            </w:r>
          </w:p>
        </w:tc>
        <w:tc>
          <w:tcPr>
            <w:tcW w:w="1660" w:type="dxa"/>
            <w:vAlign w:val="center"/>
          </w:tcPr>
          <w:p w14:paraId="4959530D">
            <w:p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292</w:t>
            </w:r>
          </w:p>
        </w:tc>
        <w:tc>
          <w:tcPr>
            <w:tcW w:w="601" w:type="dxa"/>
            <w:vAlign w:val="center"/>
          </w:tcPr>
          <w:p w14:paraId="3ADF9FB2">
            <w:pPr>
              <w:autoSpaceDE w:val="0"/>
              <w:autoSpaceDN w:val="0"/>
              <w:spacing w:line="360" w:lineRule="auto"/>
              <w:jc w:val="center"/>
              <w:rPr>
                <w:rFonts w:hint="eastAsia" w:ascii="仿宋" w:hAnsi="仿宋" w:eastAsia="仿宋" w:cs="仿宋"/>
                <w:color w:val="auto"/>
                <w:sz w:val="24"/>
                <w:highlight w:val="none"/>
                <w:lang w:eastAsia="en-US"/>
              </w:rPr>
            </w:pPr>
            <w:r>
              <w:rPr>
                <w:rFonts w:hint="eastAsia" w:ascii="仿宋" w:hAnsi="仿宋" w:eastAsia="仿宋" w:cs="仿宋"/>
                <w:bCs/>
                <w:color w:val="auto"/>
                <w:sz w:val="24"/>
                <w:highlight w:val="none"/>
                <w:lang w:eastAsia="en-US"/>
              </w:rPr>
              <w:t>1项</w:t>
            </w:r>
          </w:p>
        </w:tc>
        <w:tc>
          <w:tcPr>
            <w:tcW w:w="3493" w:type="dxa"/>
            <w:vAlign w:val="center"/>
          </w:tcPr>
          <w:p w14:paraId="0FF660D5">
            <w:p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水系及水处理机房运行、养护、保洁及水质治理</w:t>
            </w:r>
            <w:r>
              <w:rPr>
                <w:rFonts w:hint="eastAsia" w:ascii="仿宋" w:hAnsi="仿宋" w:eastAsia="仿宋" w:cs="仿宋"/>
                <w:color w:val="auto"/>
                <w:sz w:val="24"/>
                <w:highlight w:val="none"/>
                <w:lang w:eastAsia="en-US"/>
              </w:rPr>
              <w:t>等</w:t>
            </w:r>
            <w:r>
              <w:rPr>
                <w:rFonts w:hint="eastAsia" w:ascii="仿宋" w:hAnsi="仿宋" w:eastAsia="仿宋" w:cs="仿宋"/>
                <w:color w:val="auto"/>
                <w:sz w:val="24"/>
                <w:highlight w:val="none"/>
                <w:lang w:val="en-US" w:eastAsia="zh-CN"/>
              </w:rPr>
              <w:t>,详见第四章 采购需求</w:t>
            </w:r>
          </w:p>
        </w:tc>
      </w:tr>
    </w:tbl>
    <w:p w14:paraId="7B70BB95">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315" w:leftChars="150"/>
        <w:textAlignment w:val="baseline"/>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u w:val="none"/>
          <w:lang w:val="en-US" w:eastAsia="zh-CN"/>
        </w:rPr>
        <w:t>2026年3月16日至2026年12月31日。</w:t>
      </w:r>
    </w:p>
    <w:p w14:paraId="676E6FC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7.本项目是否接受联合体： □是  ■否。</w:t>
      </w:r>
    </w:p>
    <w:p w14:paraId="1A70566D">
      <w:pPr>
        <w:widowControl/>
        <w:tabs>
          <w:tab w:val="left" w:pos="6665"/>
        </w:tabs>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lang w:eastAsia="zh-CN"/>
        </w:rPr>
      </w:pPr>
      <w:bookmarkStart w:id="2" w:name="_Toc7318"/>
      <w:r>
        <w:rPr>
          <w:rFonts w:hint="eastAsia" w:ascii="仿宋" w:hAnsi="仿宋" w:eastAsia="仿宋" w:cs="仿宋"/>
          <w:b/>
          <w:bCs/>
          <w:color w:val="auto"/>
          <w:sz w:val="28"/>
          <w:szCs w:val="28"/>
          <w:highlight w:val="none"/>
        </w:rPr>
        <w:t>二、申请人的资格要求（须同时满足）</w:t>
      </w:r>
      <w:bookmarkEnd w:id="2"/>
      <w:r>
        <w:rPr>
          <w:rFonts w:hint="eastAsia" w:ascii="仿宋" w:hAnsi="仿宋" w:eastAsia="仿宋" w:cs="仿宋"/>
          <w:b/>
          <w:bCs/>
          <w:color w:val="auto"/>
          <w:sz w:val="28"/>
          <w:szCs w:val="28"/>
          <w:highlight w:val="none"/>
          <w:lang w:eastAsia="zh-CN"/>
        </w:rPr>
        <w:tab/>
      </w:r>
    </w:p>
    <w:p w14:paraId="4045267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626FF159">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14:paraId="40DC067F">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100CB840">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3C2D89E4">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208D42F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3BFB17A1">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本项目是否属于政府购买服务：</w:t>
      </w:r>
    </w:p>
    <w:p w14:paraId="7DD1AC2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7838DEB6">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■是， 公益一类事业单位、使用事业编制且由财政拨款保障的群团组织，不得作为承接主体；</w:t>
      </w:r>
    </w:p>
    <w:p w14:paraId="471D2D3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 其他特定资格要求：</w:t>
      </w:r>
    </w:p>
    <w:p w14:paraId="6060A8C0">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3.2.1</w:t>
      </w:r>
      <w:r>
        <w:rPr>
          <w:rFonts w:hint="eastAsia" w:ascii="仿宋" w:hAnsi="仿宋" w:eastAsia="仿宋" w:cs="仿宋"/>
          <w:color w:val="auto"/>
          <w:sz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165F25AF">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3.2.2供应商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4F005CD5">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3.2.3供应商应符合中华人民共和国财政部令第102号《政府购买服务管理办法》的第八条：公益一类事业单位、使用事业编制且由财政拨款保障的群团组织，不作为政府购买服务的购买主体和承接主体的规定</w:t>
      </w:r>
      <w:r>
        <w:rPr>
          <w:rFonts w:hint="eastAsia" w:ascii="仿宋" w:hAnsi="仿宋" w:eastAsia="仿宋" w:cs="仿宋"/>
          <w:color w:val="auto"/>
          <w:sz w:val="24"/>
          <w:highlight w:val="none"/>
          <w:lang w:eastAsia="zh-CN"/>
        </w:rPr>
        <w:t>；</w:t>
      </w:r>
    </w:p>
    <w:p w14:paraId="51818DCA">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供应商应领取本项目磋商文件。</w:t>
      </w:r>
    </w:p>
    <w:p w14:paraId="1C1D628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3" w:name="_Toc29867"/>
      <w:r>
        <w:rPr>
          <w:rFonts w:hint="eastAsia" w:ascii="仿宋" w:hAnsi="仿宋" w:eastAsia="仿宋" w:cs="仿宋"/>
          <w:b/>
          <w:bCs/>
          <w:color w:val="auto"/>
          <w:sz w:val="28"/>
          <w:szCs w:val="28"/>
          <w:highlight w:val="none"/>
        </w:rPr>
        <w:t>三、获取采购文件</w:t>
      </w:r>
      <w:bookmarkEnd w:id="3"/>
    </w:p>
    <w:p w14:paraId="355815A8">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bookmarkStart w:id="4" w:name="_Toc11837"/>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val="en-US" w:eastAsia="zh-CN"/>
        </w:rPr>
        <w:t>2026年1月30日至2026年2月6日,每天上午9：00至12：00，下午12：00至16：00（北京时间，法定节假日除外）。</w:t>
      </w:r>
    </w:p>
    <w:p w14:paraId="2DB8BD8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2.地点：北京市政府采购电子交易平台。</w:t>
      </w:r>
    </w:p>
    <w:p w14:paraId="65F1FBDF">
      <w:pPr>
        <w:widowControl/>
        <w:kinsoku w:val="0"/>
        <w:autoSpaceDE w:val="0"/>
        <w:autoSpaceDN w:val="0"/>
        <w:adjustRightInd w:val="0"/>
        <w:snapToGrid w:val="0"/>
        <w:spacing w:line="360" w:lineRule="auto"/>
        <w:ind w:left="315" w:leftChars="150" w:firstLine="0" w:firstLineChars="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3.方式：供应商使用CA 数字证书或电子营业执照登录北京市政府采购电子交易平 台（ http://zbcg-bjzc.zhongcy.com/bjczj-portal-site/index.html#/home ）获取电子版竞争性磋商文件。</w:t>
      </w:r>
    </w:p>
    <w:p w14:paraId="2D81E7D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4.售价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0 元。</w:t>
      </w:r>
    </w:p>
    <w:p w14:paraId="6B17A01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四、响应文件提交</w:t>
      </w:r>
      <w:bookmarkEnd w:id="4"/>
    </w:p>
    <w:p w14:paraId="07567938">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14:paraId="1CFE751A">
      <w:pPr>
        <w:spacing w:line="360" w:lineRule="auto"/>
        <w:ind w:firstLine="600" w:firstLineChars="250"/>
        <w:rPr>
          <w:rFonts w:hint="eastAsia" w:ascii="仿宋" w:hAnsi="仿宋" w:eastAsia="仿宋" w:cs="仿宋"/>
          <w:color w:val="auto"/>
          <w:sz w:val="24"/>
          <w:highlight w:val="none"/>
        </w:rPr>
      </w:pPr>
      <w:bookmarkStart w:id="5" w:name="_Toc29766"/>
      <w:r>
        <w:rPr>
          <w:rFonts w:hint="eastAsia" w:ascii="仿宋" w:hAnsi="仿宋" w:eastAsia="仿宋" w:cs="仿宋"/>
          <w:color w:val="auto"/>
          <w:sz w:val="24"/>
          <w:highlight w:val="none"/>
        </w:rPr>
        <w:t>地点：北京市政府采购电子交易平台。</w:t>
      </w:r>
    </w:p>
    <w:p w14:paraId="006E2BB9">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五、开启</w:t>
      </w:r>
      <w:bookmarkEnd w:id="5"/>
    </w:p>
    <w:p w14:paraId="26140C2B">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0分（北京时间）</w:t>
      </w:r>
    </w:p>
    <w:p w14:paraId="65310F23">
      <w:pPr>
        <w:spacing w:line="360" w:lineRule="auto"/>
        <w:ind w:firstLine="600" w:firstLineChars="250"/>
        <w:rPr>
          <w:rFonts w:hint="eastAsia" w:ascii="仿宋" w:hAnsi="仿宋" w:eastAsia="仿宋" w:cs="仿宋"/>
          <w:color w:val="auto"/>
          <w:sz w:val="24"/>
          <w:highlight w:val="none"/>
        </w:rPr>
      </w:pPr>
      <w:bookmarkStart w:id="6" w:name="_Toc24926"/>
      <w:r>
        <w:rPr>
          <w:rFonts w:hint="eastAsia" w:ascii="仿宋" w:hAnsi="仿宋" w:eastAsia="仿宋" w:cs="仿宋"/>
          <w:color w:val="auto"/>
          <w:sz w:val="24"/>
          <w:highlight w:val="none"/>
        </w:rPr>
        <w:t>地点：北京市政府采购电子交易平台。</w:t>
      </w:r>
    </w:p>
    <w:p w14:paraId="05E87C0F">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六、公告期限</w:t>
      </w:r>
      <w:bookmarkEnd w:id="6"/>
    </w:p>
    <w:p w14:paraId="40485D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 3 个工作日。</w:t>
      </w:r>
    </w:p>
    <w:p w14:paraId="45149C76">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7" w:name="_Toc22062"/>
      <w:r>
        <w:rPr>
          <w:rFonts w:hint="eastAsia" w:ascii="仿宋" w:hAnsi="仿宋" w:eastAsia="仿宋" w:cs="仿宋"/>
          <w:b/>
          <w:bCs/>
          <w:color w:val="auto"/>
          <w:sz w:val="28"/>
          <w:szCs w:val="28"/>
          <w:highlight w:val="none"/>
        </w:rPr>
        <w:t>七、其他补充事宜</w:t>
      </w:r>
      <w:bookmarkEnd w:id="7"/>
    </w:p>
    <w:p w14:paraId="7D02BC23">
      <w:pPr>
        <w:spacing w:line="360" w:lineRule="auto"/>
        <w:ind w:firstLine="480" w:firstLineChars="200"/>
        <w:rPr>
          <w:rFonts w:hint="eastAsia" w:ascii="仿宋" w:hAnsi="仿宋" w:eastAsia="仿宋" w:cs="仿宋"/>
          <w:color w:val="auto"/>
          <w:sz w:val="24"/>
          <w:highlight w:val="none"/>
        </w:rPr>
      </w:pPr>
      <w:bookmarkStart w:id="8" w:name="_Toc5733"/>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本项目需要落实的政府采购政策：</w:t>
      </w:r>
    </w:p>
    <w:p w14:paraId="6A7F8C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鼓励节能政策：在技术、服务等指标同等条件下，优先采购属于国家公布的节能品目清单中产品。</w:t>
      </w:r>
    </w:p>
    <w:p w14:paraId="64013F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鼓励环保政策：在性能、技术、服务等指标同等条件下，优先采购国家公布的环保产品品目清单中的产品。</w:t>
      </w:r>
    </w:p>
    <w:p w14:paraId="468262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扶持中小企业政策：</w:t>
      </w:r>
      <w:r>
        <w:rPr>
          <w:rFonts w:hint="eastAsia" w:ascii="仿宋" w:hAnsi="仿宋" w:eastAsia="仿宋" w:cs="仿宋"/>
          <w:color w:val="auto"/>
          <w:sz w:val="24"/>
          <w:highlight w:val="none"/>
          <w:lang w:eastAsia="zh-CN"/>
        </w:rPr>
        <w:t>评审时小型和微型企业产品享受10%的价格折扣；监狱企业、残疾人福利性单位视同小型、微型企业；</w:t>
      </w:r>
      <w:r>
        <w:rPr>
          <w:rFonts w:hint="eastAsia" w:ascii="仿宋" w:hAnsi="仿宋" w:eastAsia="仿宋" w:cs="仿宋"/>
          <w:color w:val="auto"/>
          <w:kern w:val="0"/>
          <w:sz w:val="24"/>
          <w:highlight w:val="none"/>
          <w:lang w:val="en-US" w:eastAsia="zh-CN"/>
        </w:rPr>
        <w:t>不重复享受政策。</w:t>
      </w:r>
    </w:p>
    <w:p w14:paraId="3F0CEF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投标产品不得为进口产品。</w:t>
      </w:r>
    </w:p>
    <w:p w14:paraId="79E63BD5">
      <w:pPr>
        <w:pStyle w:val="2"/>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58A46369">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27FB134B">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27E4AA6A">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技术支持服务热线      010-86483801</w:t>
      </w:r>
    </w:p>
    <w:p w14:paraId="1CE48D4A">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.1 办理 CA 数字证书或电子营业执照</w:t>
      </w:r>
    </w:p>
    <w:p w14:paraId="1F22722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 ”— “操作指南 ”— “市场 主体 CA 办理操作流程指引 ” / “ 电子营业执照使用指南 ”，按照程序要求办理。</w:t>
      </w:r>
    </w:p>
    <w:p w14:paraId="6643BC6C">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.2 注册</w:t>
      </w:r>
    </w:p>
    <w:p w14:paraId="64269A30">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“操作指南 ”— “市场主体注 册入库操作流程指引 ”进行自助注册绑定。</w:t>
      </w:r>
    </w:p>
    <w:p w14:paraId="11BDB9C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.3 驱动、客户端下载</w:t>
      </w:r>
    </w:p>
    <w:p w14:paraId="678DF20C">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“招标采购系 统文件驱动安装包 ”下载相关驱动。</w:t>
      </w:r>
    </w:p>
    <w:p w14:paraId="051CEBC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“投标文件编 制工具 ”下载相关客户端。</w:t>
      </w:r>
    </w:p>
    <w:p w14:paraId="66264E4F">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.4 获取电子竞争性磋商文件</w:t>
      </w:r>
    </w:p>
    <w:p w14:paraId="7D9F04D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供应商使用 CA 数字证书或电子营业执照登录北京市政府采购电子交易平台获取电 子竞争性磋商文件。</w:t>
      </w:r>
    </w:p>
    <w:p w14:paraId="52BDF04B">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73D30FC7">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.5 编制电子响应文件</w:t>
      </w:r>
    </w:p>
    <w:p w14:paraId="4AEA10F2">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4BA9DD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.6 提交电子响应文件</w:t>
      </w:r>
    </w:p>
    <w:p w14:paraId="4FD1B21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供应商应于响应文件提交截止时间前在北京市政府采购电子交易平台提交电子响 应文件，上传电子响应文件过程中请保持与互联网的连接畅通。</w:t>
      </w:r>
    </w:p>
    <w:p w14:paraId="41141974">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.7 开启响应文件</w:t>
      </w:r>
    </w:p>
    <w:p w14:paraId="2ECBF116">
      <w:pPr>
        <w:pStyle w:val="2"/>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highlight w:val="none"/>
        </w:rPr>
        <w:t>供应商于磋商文件规定的开启时间、在开启地点使用CA 数字证书或电子营业执照  登录北京市政府采购电子交易平台解密并开启响应文件。如因供应商问题，解密不成功，则响应无效。</w:t>
      </w:r>
    </w:p>
    <w:p w14:paraId="47E6A556">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八、对本次采购</w:t>
      </w:r>
      <w:r>
        <w:rPr>
          <w:rFonts w:hint="eastAsia" w:ascii="仿宋" w:hAnsi="仿宋" w:eastAsia="仿宋" w:cs="仿宋"/>
          <w:b/>
          <w:bCs/>
          <w:color w:val="auto"/>
          <w:sz w:val="28"/>
          <w:szCs w:val="28"/>
          <w:highlight w:val="none"/>
          <w:lang w:val="en-US" w:eastAsia="zh-CN"/>
        </w:rPr>
        <w:t>提</w:t>
      </w:r>
      <w:r>
        <w:rPr>
          <w:rFonts w:hint="eastAsia" w:ascii="仿宋" w:hAnsi="仿宋" w:eastAsia="仿宋" w:cs="仿宋"/>
          <w:b/>
          <w:bCs/>
          <w:color w:val="auto"/>
          <w:sz w:val="28"/>
          <w:szCs w:val="28"/>
          <w:highlight w:val="none"/>
        </w:rPr>
        <w:t>出询问，请按以下方式联系</w:t>
      </w:r>
      <w:bookmarkEnd w:id="8"/>
    </w:p>
    <w:p w14:paraId="61337E6E">
      <w:pPr>
        <w:spacing w:line="360" w:lineRule="auto"/>
        <w:ind w:firstLine="600" w:firstLineChars="250"/>
        <w:rPr>
          <w:rFonts w:hint="eastAsia" w:ascii="仿宋" w:hAnsi="仿宋" w:eastAsia="仿宋" w:cs="仿宋"/>
          <w:color w:val="auto"/>
          <w:sz w:val="24"/>
          <w:highlight w:val="none"/>
        </w:rPr>
      </w:pPr>
      <w:bookmarkStart w:id="9" w:name="_Toc9239"/>
      <w:bookmarkStart w:id="10" w:name="_Toc35393637"/>
      <w:bookmarkStart w:id="11" w:name="_Toc32627"/>
      <w:bookmarkStart w:id="12" w:name="_Toc35393806"/>
      <w:bookmarkStart w:id="13" w:name="_Toc28359096"/>
      <w:bookmarkStart w:id="14" w:name="_Toc28359019"/>
      <w:bookmarkStart w:id="15" w:name="_Toc28616"/>
      <w:bookmarkStart w:id="16" w:name="_Toc12165"/>
      <w:bookmarkStart w:id="17" w:name="_Toc27957"/>
      <w:bookmarkStart w:id="18" w:name="_Toc11190"/>
      <w:r>
        <w:rPr>
          <w:rFonts w:hint="eastAsia" w:ascii="仿宋" w:hAnsi="仿宋" w:eastAsia="仿宋" w:cs="仿宋"/>
          <w:color w:val="auto"/>
          <w:sz w:val="24"/>
          <w:highlight w:val="none"/>
        </w:rPr>
        <w:t>1.采购人信息</w:t>
      </w:r>
      <w:bookmarkEnd w:id="9"/>
      <w:bookmarkEnd w:id="10"/>
      <w:bookmarkEnd w:id="11"/>
      <w:bookmarkEnd w:id="12"/>
      <w:bookmarkEnd w:id="13"/>
      <w:bookmarkEnd w:id="14"/>
      <w:bookmarkEnd w:id="15"/>
      <w:bookmarkEnd w:id="16"/>
      <w:bookmarkEnd w:id="17"/>
      <w:bookmarkEnd w:id="18"/>
    </w:p>
    <w:p w14:paraId="66DB8F8A">
      <w:pPr>
        <w:spacing w:line="360" w:lineRule="auto"/>
        <w:ind w:firstLine="600" w:firstLineChars="2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北京奥林匹克中心区管理委员会</w:t>
      </w:r>
    </w:p>
    <w:p w14:paraId="23E96F81">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北京市朝阳区北辰东路15号</w:t>
      </w:r>
    </w:p>
    <w:p w14:paraId="66962B71">
      <w:pPr>
        <w:spacing w:line="360" w:lineRule="auto"/>
        <w:ind w:firstLine="600" w:firstLineChars="2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010-84972658</w:t>
      </w:r>
    </w:p>
    <w:p w14:paraId="06B9B21A">
      <w:pPr>
        <w:spacing w:line="360" w:lineRule="auto"/>
        <w:ind w:firstLine="600" w:firstLineChars="250"/>
        <w:rPr>
          <w:rFonts w:hint="eastAsia" w:ascii="仿宋" w:hAnsi="仿宋" w:eastAsia="仿宋" w:cs="仿宋"/>
          <w:color w:val="auto"/>
          <w:sz w:val="24"/>
          <w:highlight w:val="none"/>
        </w:rPr>
      </w:pPr>
      <w:bookmarkStart w:id="19" w:name="_Toc13455"/>
      <w:bookmarkStart w:id="20" w:name="_Toc12658"/>
      <w:bookmarkStart w:id="21" w:name="_Toc35393807"/>
      <w:bookmarkStart w:id="22" w:name="_Toc28359020"/>
      <w:bookmarkStart w:id="23" w:name="_Toc29640"/>
      <w:bookmarkStart w:id="24" w:name="_Toc28359097"/>
      <w:bookmarkStart w:id="25" w:name="_Toc31318"/>
      <w:bookmarkStart w:id="26" w:name="_Toc20933"/>
      <w:bookmarkStart w:id="27" w:name="_Toc35393638"/>
      <w:bookmarkStart w:id="28" w:name="_Toc18305"/>
      <w:r>
        <w:rPr>
          <w:rFonts w:hint="eastAsia" w:ascii="仿宋" w:hAnsi="仿宋" w:eastAsia="仿宋" w:cs="仿宋"/>
          <w:color w:val="auto"/>
          <w:sz w:val="24"/>
          <w:highlight w:val="none"/>
        </w:rPr>
        <w:t>2.采购代理机构信息</w:t>
      </w:r>
      <w:bookmarkEnd w:id="19"/>
      <w:bookmarkEnd w:id="20"/>
      <w:bookmarkEnd w:id="21"/>
      <w:bookmarkEnd w:id="22"/>
      <w:bookmarkEnd w:id="23"/>
      <w:bookmarkEnd w:id="24"/>
      <w:bookmarkEnd w:id="25"/>
      <w:bookmarkEnd w:id="26"/>
      <w:bookmarkEnd w:id="27"/>
      <w:bookmarkEnd w:id="28"/>
    </w:p>
    <w:p w14:paraId="589D637E">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中技国际招标有限公司</w:t>
      </w:r>
    </w:p>
    <w:p w14:paraId="59B229B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北京市丰台区西营街1号院通用时代中心C座</w:t>
      </w:r>
    </w:p>
    <w:p w14:paraId="5780DDF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010-81168493</w:t>
      </w:r>
    </w:p>
    <w:p w14:paraId="7EF69BC2">
      <w:pPr>
        <w:spacing w:line="360" w:lineRule="auto"/>
        <w:ind w:firstLine="600" w:firstLineChars="250"/>
        <w:rPr>
          <w:rFonts w:hint="eastAsia" w:ascii="仿宋" w:hAnsi="仿宋" w:eastAsia="仿宋" w:cs="仿宋"/>
          <w:color w:val="auto"/>
          <w:sz w:val="24"/>
          <w:highlight w:val="none"/>
        </w:rPr>
      </w:pPr>
      <w:bookmarkStart w:id="29" w:name="_Toc27204"/>
      <w:bookmarkStart w:id="30" w:name="_Toc35393639"/>
      <w:bookmarkStart w:id="31" w:name="_Toc28359098"/>
      <w:bookmarkStart w:id="32" w:name="_Toc23979"/>
      <w:bookmarkStart w:id="33" w:name="_Toc7491"/>
      <w:bookmarkStart w:id="34" w:name="_Toc22228"/>
      <w:bookmarkStart w:id="35" w:name="_Toc7478"/>
      <w:bookmarkStart w:id="36" w:name="_Toc2772"/>
      <w:bookmarkStart w:id="37" w:name="_Toc35393808"/>
      <w:bookmarkStart w:id="38" w:name="_Toc28359021"/>
      <w:r>
        <w:rPr>
          <w:rFonts w:hint="eastAsia" w:ascii="仿宋" w:hAnsi="仿宋" w:eastAsia="仿宋" w:cs="仿宋"/>
          <w:color w:val="auto"/>
          <w:sz w:val="24"/>
          <w:highlight w:val="none"/>
        </w:rPr>
        <w:t>3.项目联系方式</w:t>
      </w:r>
      <w:bookmarkEnd w:id="29"/>
      <w:bookmarkEnd w:id="30"/>
      <w:bookmarkEnd w:id="31"/>
      <w:bookmarkEnd w:id="32"/>
      <w:bookmarkEnd w:id="33"/>
      <w:bookmarkEnd w:id="34"/>
      <w:bookmarkEnd w:id="35"/>
      <w:bookmarkEnd w:id="36"/>
      <w:bookmarkEnd w:id="37"/>
      <w:bookmarkEnd w:id="38"/>
    </w:p>
    <w:p w14:paraId="1CCFC619">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rPr>
        <w:t>陈刚、王昕</w:t>
      </w:r>
    </w:p>
    <w:p w14:paraId="75BB3CD5">
      <w:pPr>
        <w:spacing w:line="360" w:lineRule="auto"/>
        <w:ind w:firstLine="600" w:firstLineChars="250"/>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010－81168493、81168289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058CD"/>
    <w:rsid w:val="1906629D"/>
    <w:rsid w:val="283058CD"/>
    <w:rsid w:val="29A40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customStyle="1" w:styleId="6">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2230</Words>
  <Characters>2545</Characters>
  <Lines>0</Lines>
  <Paragraphs>0</Paragraphs>
  <TotalTime>0</TotalTime>
  <ScaleCrop>false</ScaleCrop>
  <LinksUpToDate>false</LinksUpToDate>
  <CharactersWithSpaces>2652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2026-01-30T05:46:00Z</dcterms:created>
  <dc:creator>XXX</dc:creator>
  <cp:lastModifiedBy>吴家豪</cp:lastModifiedBy>
  <dcterms:modified xsi:type="dcterms:W3CDTF">2026-01-30T05:58:49Z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6FE773BAD6054832BDB23BAB22447097_13</vt:lpwstr>
  </property>
  <property fmtid="{D5CDD505-2E9C-101B-9397-08002B2CF9AE}" pid="4" name="KSOTemplateDocerSaveRecord">
    <vt:lpwstr>eyJoZGlkIjoiZGZlOTljNDE3Y2FmYThhMjgxY2Y3ODVlZmZjODA3NzkiLCJ1c2VySWQiOiI1MjIyMjE0NTMifQ==</vt:lpwstr>
  </property>
</Properties>
</file>