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7390">
      <w:pPr>
        <w:spacing w:line="360" w:lineRule="auto"/>
        <w:jc w:val="center"/>
        <w:outlineLvl w:val="0"/>
        <w:rPr>
          <w:rFonts w:ascii="Times New Roman" w:hAnsi="Times New Roman" w:eastAsia="宋体" w:cs="Times New Roman"/>
          <w:b/>
          <w:sz w:val="36"/>
          <w:szCs w:val="36"/>
        </w:rPr>
      </w:pPr>
      <w:bookmarkStart w:id="0" w:name="_Toc16963"/>
      <w:bookmarkStart w:id="8" w:name="_GoBack"/>
      <w:bookmarkEnd w:id="8"/>
      <w:r>
        <w:rPr>
          <w:rFonts w:hint="eastAsia" w:ascii="Times New Roman" w:hAnsi="Times New Roman" w:eastAsia="宋体" w:cs="Times New Roman"/>
          <w:b/>
          <w:sz w:val="36"/>
          <w:szCs w:val="36"/>
          <w:lang w:val="en-US" w:eastAsia="zh-CN"/>
        </w:rPr>
        <w:t xml:space="preserve">  </w:t>
      </w:r>
      <w:r>
        <w:rPr>
          <w:rFonts w:ascii="Times New Roman" w:hAnsi="Times New Roman" w:eastAsia="宋体" w:cs="Times New Roman"/>
          <w:b/>
          <w:sz w:val="36"/>
          <w:szCs w:val="36"/>
        </w:rPr>
        <w:t>采购需求</w:t>
      </w:r>
      <w:bookmarkEnd w:id="0"/>
    </w:p>
    <w:p w14:paraId="5A1E3468">
      <w:pPr>
        <w:spacing w:line="360" w:lineRule="auto"/>
        <w:contextualSpacing/>
        <w:rPr>
          <w:rFonts w:ascii="Times New Roman" w:hAnsi="Times New Roman" w:eastAsia="宋体" w:cs="Times New Roman"/>
          <w:sz w:val="24"/>
        </w:rPr>
      </w:pPr>
    </w:p>
    <w:p w14:paraId="122560C1">
      <w:pPr>
        <w:widowControl w:val="0"/>
        <w:numPr>
          <w:ilvl w:val="0"/>
          <w:numId w:val="0"/>
        </w:numPr>
        <w:spacing w:line="360" w:lineRule="auto"/>
        <w:ind w:left="500" w:leftChars="0" w:hanging="500" w:firstLineChars="0"/>
        <w:contextualSpacing/>
        <w:jc w:val="both"/>
        <w:rPr>
          <w:rFonts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一、</w:t>
      </w:r>
      <w:r>
        <w:rPr>
          <w:rFonts w:ascii="Times New Roman" w:hAnsi="Times New Roman" w:eastAsia="宋体" w:cs="Times New Roman"/>
          <w:b/>
          <w:kern w:val="2"/>
          <w:sz w:val="24"/>
          <w:szCs w:val="24"/>
          <w:lang w:val="en-US" w:eastAsia="zh-CN" w:bidi="ar-SA"/>
        </w:rPr>
        <w:t>采购标的</w:t>
      </w:r>
    </w:p>
    <w:tbl>
      <w:tblPr>
        <w:tblStyle w:val="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30"/>
        <w:gridCol w:w="2377"/>
        <w:gridCol w:w="1655"/>
        <w:gridCol w:w="1754"/>
        <w:gridCol w:w="1480"/>
      </w:tblGrid>
      <w:tr w14:paraId="5B26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54" w:type="dxa"/>
            <w:shd w:val="clear" w:color="auto" w:fill="auto"/>
            <w:vAlign w:val="center"/>
          </w:tcPr>
          <w:p w14:paraId="5A05E9A5">
            <w:pPr>
              <w:jc w:val="center"/>
              <w:rPr>
                <w:rFonts w:ascii="宋体" w:hAnsi="Times New Roman" w:eastAsia="宋体" w:cs="Times New Roman"/>
                <w:b/>
                <w:bCs/>
                <w:kern w:val="0"/>
                <w:sz w:val="24"/>
                <w:highlight w:val="none"/>
              </w:rPr>
            </w:pPr>
            <w:r>
              <w:rPr>
                <w:rFonts w:hint="eastAsia" w:ascii="宋体" w:hAnsi="宋体" w:eastAsia="宋体" w:cs="宋体"/>
                <w:b/>
                <w:bCs/>
                <w:kern w:val="0"/>
                <w:sz w:val="24"/>
                <w:highlight w:val="none"/>
              </w:rPr>
              <w:t>包号</w:t>
            </w:r>
          </w:p>
        </w:tc>
        <w:tc>
          <w:tcPr>
            <w:tcW w:w="1130" w:type="dxa"/>
            <w:shd w:val="clear" w:color="auto" w:fill="auto"/>
            <w:vAlign w:val="center"/>
          </w:tcPr>
          <w:p w14:paraId="2F8B56D5">
            <w:pPr>
              <w:widowControl/>
              <w:jc w:val="center"/>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品目号</w:t>
            </w:r>
          </w:p>
        </w:tc>
        <w:tc>
          <w:tcPr>
            <w:tcW w:w="2377" w:type="dxa"/>
            <w:shd w:val="clear" w:color="auto" w:fill="auto"/>
            <w:vAlign w:val="center"/>
          </w:tcPr>
          <w:p w14:paraId="5CD77947">
            <w:pPr>
              <w:widowControl/>
              <w:jc w:val="center"/>
              <w:rPr>
                <w:rFonts w:ascii="宋体" w:hAnsi="Times New Roman" w:eastAsia="宋体" w:cs="Times New Roman"/>
                <w:b/>
                <w:bCs/>
                <w:kern w:val="0"/>
                <w:sz w:val="24"/>
                <w:highlight w:val="none"/>
              </w:rPr>
            </w:pPr>
            <w:r>
              <w:rPr>
                <w:rFonts w:hint="eastAsia" w:ascii="宋体" w:hAnsi="宋体" w:eastAsia="宋体" w:cs="宋体"/>
                <w:b/>
                <w:bCs/>
                <w:kern w:val="0"/>
                <w:sz w:val="24"/>
                <w:highlight w:val="none"/>
              </w:rPr>
              <w:t>采购内容</w:t>
            </w:r>
          </w:p>
        </w:tc>
        <w:tc>
          <w:tcPr>
            <w:tcW w:w="1655" w:type="dxa"/>
            <w:shd w:val="clear" w:color="auto" w:fill="auto"/>
            <w:vAlign w:val="center"/>
          </w:tcPr>
          <w:p w14:paraId="19C3D3F8">
            <w:pPr>
              <w:widowControl/>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数量</w:t>
            </w:r>
          </w:p>
          <w:p w14:paraId="10A8E23D">
            <w:pPr>
              <w:widowControl/>
              <w:jc w:val="center"/>
              <w:rPr>
                <w:rFonts w:hint="eastAsia" w:ascii="宋体" w:hAnsi="Times New Roman" w:eastAsia="宋体" w:cs="Times New Roman"/>
                <w:b/>
                <w:bCs/>
                <w:kern w:val="0"/>
                <w:sz w:val="24"/>
                <w:highlight w:val="none"/>
                <w:lang w:eastAsia="zh-CN"/>
              </w:rPr>
            </w:pP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台/套</w:t>
            </w:r>
            <w:r>
              <w:rPr>
                <w:rFonts w:hint="eastAsia" w:ascii="宋体" w:hAnsi="宋体" w:eastAsia="宋体" w:cs="宋体"/>
                <w:b/>
                <w:bCs/>
                <w:kern w:val="0"/>
                <w:sz w:val="24"/>
                <w:highlight w:val="none"/>
                <w:lang w:eastAsia="zh-CN"/>
              </w:rPr>
              <w:t>）</w:t>
            </w:r>
          </w:p>
        </w:tc>
        <w:tc>
          <w:tcPr>
            <w:tcW w:w="1754" w:type="dxa"/>
            <w:shd w:val="clear" w:color="000000" w:fill="FFFFFF"/>
            <w:vAlign w:val="center"/>
          </w:tcPr>
          <w:p w14:paraId="09D94B60">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是否允许采购</w:t>
            </w:r>
          </w:p>
          <w:p w14:paraId="298EC316">
            <w:pPr>
              <w:widowControl/>
              <w:jc w:val="center"/>
              <w:rPr>
                <w:rFonts w:ascii="宋体" w:hAnsi="宋体" w:eastAsia="宋体" w:cs="宋体"/>
                <w:b/>
                <w:bCs/>
                <w:kern w:val="0"/>
                <w:sz w:val="24"/>
                <w:highlight w:val="none"/>
              </w:rPr>
            </w:pPr>
            <w:r>
              <w:rPr>
                <w:rFonts w:hint="eastAsia" w:ascii="宋体" w:hAnsi="宋体" w:eastAsia="宋体" w:cs="宋体"/>
                <w:b/>
                <w:bCs/>
                <w:kern w:val="0"/>
                <w:sz w:val="24"/>
                <w:highlight w:val="none"/>
              </w:rPr>
              <w:t>进口产品</w:t>
            </w:r>
          </w:p>
        </w:tc>
        <w:tc>
          <w:tcPr>
            <w:tcW w:w="1480" w:type="dxa"/>
            <w:shd w:val="clear" w:color="000000" w:fill="FFFFFF"/>
            <w:vAlign w:val="center"/>
          </w:tcPr>
          <w:p w14:paraId="2FF33D47">
            <w:pPr>
              <w:widowControl/>
              <w:jc w:val="center"/>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质保期</w:t>
            </w:r>
          </w:p>
        </w:tc>
      </w:tr>
      <w:tr w14:paraId="4913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shd w:val="clear" w:color="auto" w:fill="auto"/>
            <w:vAlign w:val="center"/>
          </w:tcPr>
          <w:p w14:paraId="1FB5CD16">
            <w:pPr>
              <w:spacing w:before="120" w:beforeLines="50"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1130" w:type="dxa"/>
            <w:shd w:val="clear" w:color="auto" w:fill="auto"/>
            <w:vAlign w:val="center"/>
          </w:tcPr>
          <w:p w14:paraId="0A537A4C">
            <w:pPr>
              <w:spacing w:line="240" w:lineRule="auto"/>
              <w:jc w:val="center"/>
              <w:rPr>
                <w:rFonts w:hint="eastAsia" w:ascii="宋体" w:hAnsi="宋体" w:eastAsia="宋体" w:cs="宋体"/>
                <w:sz w:val="24"/>
                <w:lang w:val="en-US" w:eastAsia="zh-CN"/>
              </w:rPr>
            </w:pPr>
            <w:r>
              <w:rPr>
                <w:rFonts w:hint="eastAsia" w:ascii="宋体" w:hAnsi="宋体" w:eastAsia="宋体" w:cs="宋体"/>
                <w:bCs/>
                <w:sz w:val="24"/>
              </w:rPr>
              <w:t>1-1</w:t>
            </w:r>
          </w:p>
        </w:tc>
        <w:tc>
          <w:tcPr>
            <w:tcW w:w="2377" w:type="dxa"/>
            <w:shd w:val="clear" w:color="auto" w:fill="auto"/>
            <w:vAlign w:val="center"/>
          </w:tcPr>
          <w:p w14:paraId="1E330DB6">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电子超声内镜</w:t>
            </w:r>
          </w:p>
        </w:tc>
        <w:tc>
          <w:tcPr>
            <w:tcW w:w="1655" w:type="dxa"/>
            <w:shd w:val="clear" w:color="auto" w:fill="auto"/>
            <w:vAlign w:val="center"/>
          </w:tcPr>
          <w:p w14:paraId="2744EC4C">
            <w:pPr>
              <w:spacing w:line="240" w:lineRule="auto"/>
              <w:jc w:val="center"/>
              <w:rPr>
                <w:rFonts w:hint="default" w:ascii="宋体" w:hAnsi="宋体" w:eastAsia="宋体" w:cs="宋体"/>
                <w:sz w:val="24"/>
                <w:lang w:val="en-US" w:eastAsia="zh-CN"/>
              </w:rPr>
            </w:pPr>
            <w:r>
              <w:rPr>
                <w:rFonts w:hint="eastAsia" w:ascii="宋体" w:hAnsi="宋体" w:eastAsia="宋体" w:cs="宋体"/>
                <w:bCs/>
                <w:sz w:val="24"/>
                <w:lang w:val="en-US" w:eastAsia="zh-CN"/>
              </w:rPr>
              <w:t>1</w:t>
            </w:r>
          </w:p>
        </w:tc>
        <w:tc>
          <w:tcPr>
            <w:tcW w:w="1754" w:type="dxa"/>
            <w:shd w:val="clear" w:color="000000" w:fill="FFFFFF"/>
            <w:vAlign w:val="center"/>
          </w:tcPr>
          <w:p w14:paraId="1C4444E2">
            <w:pPr>
              <w:spacing w:before="120" w:beforeLines="50" w:line="24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是</w:t>
            </w:r>
          </w:p>
        </w:tc>
        <w:tc>
          <w:tcPr>
            <w:tcW w:w="1480" w:type="dxa"/>
            <w:shd w:val="clear" w:color="000000" w:fill="FFFFFF"/>
            <w:vAlign w:val="center"/>
          </w:tcPr>
          <w:p w14:paraId="31583A70">
            <w:pPr>
              <w:spacing w:before="120" w:beforeLines="50" w:line="24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3年</w:t>
            </w:r>
          </w:p>
        </w:tc>
      </w:tr>
      <w:tr w14:paraId="76B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shd w:val="clear" w:color="auto" w:fill="auto"/>
            <w:vAlign w:val="center"/>
          </w:tcPr>
          <w:p w14:paraId="24C76C80">
            <w:pPr>
              <w:spacing w:before="120" w:beforeLines="50" w:line="360" w:lineRule="auto"/>
              <w:jc w:val="center"/>
              <w:rPr>
                <w:rFonts w:hint="eastAsia" w:ascii="宋体" w:hAnsi="宋体" w:eastAsia="宋体" w:cs="宋体"/>
                <w:sz w:val="24"/>
                <w:lang w:val="en-US" w:eastAsia="zh-CN"/>
              </w:rPr>
            </w:pPr>
          </w:p>
        </w:tc>
        <w:tc>
          <w:tcPr>
            <w:tcW w:w="1130" w:type="dxa"/>
            <w:shd w:val="clear" w:color="auto" w:fill="auto"/>
            <w:vAlign w:val="center"/>
          </w:tcPr>
          <w:p w14:paraId="2BCB2F09">
            <w:pPr>
              <w:spacing w:line="240" w:lineRule="auto"/>
              <w:jc w:val="center"/>
              <w:rPr>
                <w:rFonts w:hint="eastAsia" w:ascii="宋体" w:hAnsi="宋体" w:eastAsia="宋体" w:cs="宋体"/>
                <w:sz w:val="24"/>
                <w:lang w:val="en-US" w:eastAsia="zh-CN"/>
              </w:rPr>
            </w:pPr>
            <w:r>
              <w:rPr>
                <w:rFonts w:hint="eastAsia" w:ascii="宋体" w:hAnsi="宋体" w:eastAsia="宋体" w:cs="宋体"/>
                <w:bCs/>
                <w:sz w:val="24"/>
              </w:rPr>
              <w:t>1-2</w:t>
            </w:r>
          </w:p>
        </w:tc>
        <w:tc>
          <w:tcPr>
            <w:tcW w:w="2377" w:type="dxa"/>
            <w:shd w:val="clear" w:color="auto" w:fill="auto"/>
            <w:vAlign w:val="center"/>
          </w:tcPr>
          <w:p w14:paraId="22E704FC">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肌骨超声仪</w:t>
            </w:r>
          </w:p>
        </w:tc>
        <w:tc>
          <w:tcPr>
            <w:tcW w:w="1655" w:type="dxa"/>
            <w:shd w:val="clear" w:color="auto" w:fill="auto"/>
            <w:vAlign w:val="center"/>
          </w:tcPr>
          <w:p w14:paraId="7F1E4316">
            <w:pPr>
              <w:spacing w:line="240" w:lineRule="auto"/>
              <w:jc w:val="center"/>
              <w:rPr>
                <w:rFonts w:hint="default" w:ascii="宋体" w:hAnsi="宋体" w:eastAsia="宋体" w:cs="宋体"/>
                <w:sz w:val="24"/>
                <w:lang w:val="en-US" w:eastAsia="zh-CN"/>
              </w:rPr>
            </w:pPr>
            <w:r>
              <w:rPr>
                <w:rFonts w:hint="eastAsia" w:ascii="宋体" w:hAnsi="宋体" w:eastAsia="宋体" w:cs="宋体"/>
                <w:bCs/>
                <w:sz w:val="24"/>
                <w:lang w:val="en-US" w:eastAsia="zh-CN"/>
              </w:rPr>
              <w:t>1</w:t>
            </w:r>
          </w:p>
        </w:tc>
        <w:tc>
          <w:tcPr>
            <w:tcW w:w="1754" w:type="dxa"/>
            <w:shd w:val="clear" w:color="000000" w:fill="FFFFFF"/>
            <w:vAlign w:val="center"/>
          </w:tcPr>
          <w:p w14:paraId="10820F79">
            <w:pPr>
              <w:spacing w:before="120" w:beforeLines="50" w:line="24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否</w:t>
            </w:r>
          </w:p>
        </w:tc>
        <w:tc>
          <w:tcPr>
            <w:tcW w:w="1480" w:type="dxa"/>
            <w:shd w:val="clear" w:color="000000" w:fill="FFFFFF"/>
            <w:vAlign w:val="center"/>
          </w:tcPr>
          <w:p w14:paraId="694C2B22">
            <w:pPr>
              <w:spacing w:before="120" w:beforeLines="5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3年</w:t>
            </w:r>
          </w:p>
        </w:tc>
      </w:tr>
      <w:tr w14:paraId="388B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shd w:val="clear" w:color="auto" w:fill="auto"/>
            <w:vAlign w:val="center"/>
          </w:tcPr>
          <w:p w14:paraId="76AFF1B9">
            <w:pPr>
              <w:spacing w:before="120" w:beforeLines="50" w:line="360" w:lineRule="auto"/>
              <w:jc w:val="center"/>
              <w:rPr>
                <w:rFonts w:hint="eastAsia" w:ascii="宋体" w:hAnsi="宋体" w:eastAsia="宋体" w:cs="宋体"/>
                <w:sz w:val="24"/>
                <w:lang w:val="en-US" w:eastAsia="zh-CN"/>
              </w:rPr>
            </w:pPr>
          </w:p>
        </w:tc>
        <w:tc>
          <w:tcPr>
            <w:tcW w:w="1130" w:type="dxa"/>
            <w:shd w:val="clear" w:color="auto" w:fill="auto"/>
            <w:vAlign w:val="center"/>
          </w:tcPr>
          <w:p w14:paraId="0F248D8E">
            <w:pPr>
              <w:spacing w:line="240" w:lineRule="auto"/>
              <w:jc w:val="center"/>
              <w:rPr>
                <w:rFonts w:hint="eastAsia" w:ascii="宋体" w:hAnsi="宋体" w:eastAsia="宋体" w:cs="宋体"/>
                <w:sz w:val="24"/>
                <w:lang w:val="en-US" w:eastAsia="zh-CN"/>
              </w:rPr>
            </w:pPr>
            <w:r>
              <w:rPr>
                <w:rFonts w:hint="eastAsia" w:ascii="宋体" w:hAnsi="宋体" w:eastAsia="宋体" w:cs="宋体"/>
                <w:bCs/>
                <w:sz w:val="24"/>
                <w:lang w:val="en-US" w:eastAsia="zh-CN"/>
              </w:rPr>
              <w:t>1-3</w:t>
            </w:r>
          </w:p>
        </w:tc>
        <w:tc>
          <w:tcPr>
            <w:tcW w:w="2377" w:type="dxa"/>
            <w:shd w:val="clear" w:color="auto" w:fill="auto"/>
            <w:vAlign w:val="center"/>
          </w:tcPr>
          <w:p w14:paraId="09C3A159">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bidi="ar"/>
              </w:rPr>
              <w:t>子午流注仪</w:t>
            </w:r>
          </w:p>
        </w:tc>
        <w:tc>
          <w:tcPr>
            <w:tcW w:w="1655" w:type="dxa"/>
            <w:shd w:val="clear" w:color="auto" w:fill="auto"/>
            <w:vAlign w:val="center"/>
          </w:tcPr>
          <w:p w14:paraId="0067A448">
            <w:pPr>
              <w:spacing w:line="240" w:lineRule="auto"/>
              <w:jc w:val="center"/>
              <w:rPr>
                <w:rFonts w:hint="default" w:ascii="宋体" w:hAnsi="宋体" w:eastAsia="宋体" w:cs="宋体"/>
                <w:sz w:val="24"/>
                <w:lang w:val="en-US" w:eastAsia="zh-CN"/>
              </w:rPr>
            </w:pPr>
            <w:r>
              <w:rPr>
                <w:rFonts w:hint="eastAsia" w:ascii="宋体" w:hAnsi="宋体" w:eastAsia="宋体" w:cs="宋体"/>
                <w:bCs/>
                <w:sz w:val="24"/>
                <w:lang w:val="en-US" w:eastAsia="zh-CN"/>
              </w:rPr>
              <w:t>1</w:t>
            </w:r>
          </w:p>
        </w:tc>
        <w:tc>
          <w:tcPr>
            <w:tcW w:w="1754" w:type="dxa"/>
            <w:shd w:val="clear" w:color="000000" w:fill="FFFFFF"/>
            <w:vAlign w:val="center"/>
          </w:tcPr>
          <w:p w14:paraId="4A9EA258">
            <w:pPr>
              <w:spacing w:before="120" w:beforeLines="50"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否</w:t>
            </w:r>
          </w:p>
        </w:tc>
        <w:tc>
          <w:tcPr>
            <w:tcW w:w="1480" w:type="dxa"/>
            <w:shd w:val="clear" w:color="000000" w:fill="FFFFFF"/>
            <w:vAlign w:val="center"/>
          </w:tcPr>
          <w:p w14:paraId="3F5C3F22">
            <w:pPr>
              <w:spacing w:before="120" w:beforeLines="50" w:line="24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5年</w:t>
            </w:r>
          </w:p>
        </w:tc>
      </w:tr>
    </w:tbl>
    <w:p w14:paraId="32F08900">
      <w:pPr>
        <w:widowControl w:val="0"/>
        <w:numPr>
          <w:ilvl w:val="0"/>
          <w:numId w:val="0"/>
        </w:numPr>
        <w:spacing w:line="360" w:lineRule="auto"/>
        <w:ind w:left="499" w:leftChars="0" w:hanging="499" w:firstLineChars="0"/>
        <w:contextualSpacing/>
        <w:jc w:val="both"/>
        <w:rPr>
          <w:rFonts w:hint="default" w:ascii="Times New Roman" w:hAnsi="Times New Roman" w:eastAsia="宋体" w:cs="Times New Roman"/>
          <w:b/>
          <w:kern w:val="2"/>
          <w:sz w:val="24"/>
          <w:szCs w:val="24"/>
          <w:lang w:val="en-US" w:eastAsia="zh-CN" w:bidi="ar-SA"/>
        </w:rPr>
      </w:pPr>
    </w:p>
    <w:p w14:paraId="5C38FB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jc w:val="both"/>
        <w:textAlignment w:val="auto"/>
        <w:rPr>
          <w:rFonts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二、</w:t>
      </w:r>
      <w:r>
        <w:rPr>
          <w:rFonts w:ascii="Times New Roman" w:hAnsi="Times New Roman" w:eastAsia="宋体" w:cs="Times New Roman"/>
          <w:b/>
          <w:kern w:val="2"/>
          <w:sz w:val="24"/>
          <w:szCs w:val="24"/>
          <w:lang w:val="en-US" w:eastAsia="zh-CN" w:bidi="ar-SA"/>
        </w:rPr>
        <w:t>商务要求</w:t>
      </w:r>
    </w:p>
    <w:p w14:paraId="4835FECA">
      <w:pPr>
        <w:keepNext w:val="0"/>
        <w:keepLines w:val="0"/>
        <w:pageBreakBefore w:val="0"/>
        <w:wordWrap/>
        <w:overflowPunct/>
        <w:topLinePunct w:val="0"/>
        <w:bidi w:val="0"/>
        <w:spacing w:line="470" w:lineRule="exact"/>
        <w:ind w:right="0" w:rightChars="0"/>
        <w:contextualSpacing/>
        <w:jc w:val="both"/>
        <w:outlineLvl w:val="9"/>
        <w:rPr>
          <w:rFonts w:hint="eastAsia" w:ascii="宋体" w:hAnsi="宋体" w:eastAsia="宋体" w:cs="宋体"/>
          <w:i/>
          <w:sz w:val="24"/>
          <w:highlight w:val="none"/>
        </w:rPr>
      </w:pPr>
      <w:r>
        <w:rPr>
          <w:rFonts w:hint="eastAsia" w:ascii="宋体" w:hAnsi="宋体" w:eastAsia="宋体" w:cs="宋体"/>
          <w:sz w:val="24"/>
        </w:rPr>
        <w:t>1.交付（实施）的时间（期限</w:t>
      </w:r>
      <w:r>
        <w:rPr>
          <w:rFonts w:hint="eastAsia" w:ascii="宋体" w:hAnsi="宋体" w:eastAsia="宋体" w:cs="宋体"/>
          <w:sz w:val="24"/>
          <w:highlight w:val="none"/>
        </w:rPr>
        <w:t>）和地点（范围）</w:t>
      </w:r>
    </w:p>
    <w:p w14:paraId="62035C05">
      <w:pPr>
        <w:keepNext w:val="0"/>
        <w:keepLines w:val="0"/>
        <w:pageBreakBefore w:val="0"/>
        <w:tabs>
          <w:tab w:val="left" w:pos="220"/>
          <w:tab w:val="left" w:pos="900"/>
        </w:tabs>
        <w:wordWrap/>
        <w:overflowPunct/>
        <w:topLinePunct w:val="0"/>
        <w:bidi w:val="0"/>
        <w:spacing w:line="470" w:lineRule="exact"/>
        <w:ind w:right="0" w:rightChars="0"/>
        <w:jc w:val="both"/>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采购项目（标的）交付的时间</w:t>
      </w:r>
      <w:r>
        <w:rPr>
          <w:rFonts w:hint="eastAsia" w:ascii="宋体" w:hAnsi="宋体" w:eastAsia="宋体" w:cs="宋体"/>
          <w:kern w:val="0"/>
          <w:sz w:val="24"/>
          <w:highlight w:val="none"/>
        </w:rPr>
        <w:t>：</w:t>
      </w:r>
      <w:r>
        <w:rPr>
          <w:rFonts w:hint="eastAsia" w:ascii="宋体" w:hAnsi="宋体" w:eastAsia="宋体" w:cs="宋体"/>
          <w:b w:val="0"/>
          <w:bCs/>
          <w:kern w:val="2"/>
          <w:sz w:val="24"/>
          <w:szCs w:val="20"/>
          <w:highlight w:val="none"/>
          <w:lang w:val="en-US" w:eastAsia="zh-CN" w:bidi="ar-SA"/>
        </w:rPr>
        <w:t>合同签订后10天内</w:t>
      </w:r>
    </w:p>
    <w:p w14:paraId="1A644AFC">
      <w:pPr>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宋体" w:cs="Times New Roman"/>
          <w:b/>
          <w:i/>
          <w:kern w:val="2"/>
          <w:sz w:val="24"/>
          <w:szCs w:val="20"/>
          <w:lang w:val="en-US" w:eastAsia="zh-CN" w:bidi="ar-SA"/>
        </w:rPr>
      </w:pPr>
      <w:r>
        <w:rPr>
          <w:rFonts w:hint="eastAsia" w:ascii="宋体" w:hAnsi="宋体" w:eastAsia="宋体" w:cs="宋体"/>
          <w:b w:val="0"/>
          <w:bCs/>
          <w:kern w:val="2"/>
          <w:sz w:val="24"/>
          <w:szCs w:val="20"/>
          <w:highlight w:val="none"/>
          <w:lang w:val="en-US" w:eastAsia="zh-CN" w:bidi="ar-SA"/>
        </w:rPr>
        <w:t>采购项目（标的）交付的地点：北京市第六医</w:t>
      </w:r>
      <w:r>
        <w:rPr>
          <w:rFonts w:hint="eastAsia" w:ascii="宋体" w:hAnsi="宋体" w:eastAsia="宋体" w:cs="宋体"/>
          <w:b w:val="0"/>
          <w:bCs/>
          <w:kern w:val="2"/>
          <w:sz w:val="24"/>
          <w:szCs w:val="20"/>
          <w:lang w:val="en-US" w:eastAsia="zh-CN" w:bidi="ar-SA"/>
        </w:rPr>
        <w:t>院。</w:t>
      </w:r>
    </w:p>
    <w:p w14:paraId="60B1C358">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ascii="Times New Roman" w:hAnsi="Times New Roman" w:eastAsia="宋体" w:cs="Times New Roman"/>
          <w:bCs/>
          <w:iCs/>
          <w:sz w:val="24"/>
          <w:lang w:val="en-US" w:eastAsia="zh-CN"/>
        </w:rPr>
      </w:pPr>
      <w:r>
        <w:rPr>
          <w:rFonts w:ascii="Times New Roman" w:hAnsi="Times New Roman" w:eastAsia="宋体" w:cs="Times New Roman"/>
          <w:sz w:val="24"/>
        </w:rPr>
        <w:t>2.付款条件（进度和方式）</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详见“拟签订的合同文本”</w:t>
      </w:r>
    </w:p>
    <w:p w14:paraId="67CAA5FD">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ascii="Times New Roman" w:hAnsi="Times New Roman" w:eastAsia="宋体" w:cs="Times New Roman"/>
          <w:sz w:val="24"/>
        </w:rPr>
      </w:pPr>
      <w:r>
        <w:rPr>
          <w:rFonts w:ascii="Times New Roman" w:hAnsi="Times New Roman" w:eastAsia="宋体" w:cs="Times New Roman"/>
          <w:sz w:val="24"/>
        </w:rPr>
        <w:t>3.包装和运输（如适用，须满足《关于印发〈商品包装政府采购需求标准（试行）〉、〈快递包装政府采购需求标准（试行）〉的通知》（财办库﹝2020</w:t>
      </w:r>
      <w:r>
        <w:rPr>
          <w:rFonts w:hint="eastAsia" w:ascii="Times New Roman" w:hAnsi="Times New Roman" w:eastAsia="宋体" w:cs="Times New Roman"/>
          <w:sz w:val="24"/>
        </w:rPr>
        <w:t>）</w:t>
      </w:r>
      <w:r>
        <w:rPr>
          <w:rFonts w:ascii="Times New Roman" w:hAnsi="Times New Roman" w:eastAsia="宋体" w:cs="Times New Roman"/>
          <w:sz w:val="24"/>
        </w:rPr>
        <w:t>123号））</w:t>
      </w:r>
    </w:p>
    <w:p w14:paraId="1DA6F0EA">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eastAsia"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sz w:val="24"/>
          <w:highlight w:val="none"/>
        </w:rPr>
        <w:t>4.售后服务（质保期）</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详见“一、采购标的”</w:t>
      </w:r>
    </w:p>
    <w:p w14:paraId="786DD76F">
      <w:pPr>
        <w:keepNext w:val="0"/>
        <w:keepLines w:val="0"/>
        <w:pageBreakBefore w:val="0"/>
        <w:widowControl w:val="0"/>
        <w:numPr>
          <w:ilvl w:val="0"/>
          <w:numId w:val="0"/>
        </w:numPr>
        <w:kinsoku/>
        <w:wordWrap/>
        <w:overflowPunct/>
        <w:topLinePunct w:val="0"/>
        <w:autoSpaceDE/>
        <w:autoSpaceDN/>
        <w:bidi w:val="0"/>
        <w:adjustRightInd/>
        <w:snapToGrid/>
        <w:spacing w:before="0" w:beforeLines="50" w:line="360" w:lineRule="auto"/>
        <w:ind w:left="499" w:leftChars="0" w:right="0" w:rightChars="0" w:hanging="499" w:firstLineChars="0"/>
        <w:contextualSpacing/>
        <w:jc w:val="both"/>
        <w:textAlignment w:val="auto"/>
        <w:rPr>
          <w:rFonts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三、</w:t>
      </w:r>
      <w:r>
        <w:rPr>
          <w:rFonts w:ascii="Times New Roman" w:hAnsi="Times New Roman" w:eastAsia="宋体" w:cs="Times New Roman"/>
          <w:b/>
          <w:kern w:val="2"/>
          <w:sz w:val="24"/>
          <w:szCs w:val="24"/>
          <w:lang w:val="en-US" w:eastAsia="zh-CN" w:bidi="ar-SA"/>
        </w:rPr>
        <w:t>技术要求</w:t>
      </w:r>
    </w:p>
    <w:p w14:paraId="6C1C8684">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textAlignment w:val="auto"/>
        <w:rPr>
          <w:rFonts w:ascii="Times New Roman" w:hAnsi="Times New Roman" w:eastAsia="宋体" w:cs="Times New Roman"/>
          <w:sz w:val="24"/>
        </w:rPr>
      </w:pPr>
      <w:r>
        <w:rPr>
          <w:rFonts w:ascii="Times New Roman" w:hAnsi="Times New Roman" w:eastAsia="宋体" w:cs="Times New Roman"/>
          <w:sz w:val="24"/>
        </w:rPr>
        <w:t>1.基本要求</w:t>
      </w:r>
    </w:p>
    <w:p w14:paraId="68023A84">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textAlignment w:val="auto"/>
        <w:rPr>
          <w:rFonts w:ascii="Times New Roman" w:hAnsi="Times New Roman" w:eastAsia="宋体" w:cs="Times New Roman"/>
          <w:sz w:val="24"/>
        </w:rPr>
      </w:pPr>
      <w:r>
        <w:rPr>
          <w:rFonts w:ascii="Times New Roman" w:hAnsi="Times New Roman" w:eastAsia="宋体" w:cs="Times New Roman"/>
          <w:sz w:val="24"/>
        </w:rPr>
        <w:t>1.1采购标的需实现的功能或者目标</w:t>
      </w:r>
    </w:p>
    <w:p w14:paraId="5A90317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Times New Roman" w:eastAsia="宋体" w:cs="Times New Roman"/>
          <w:sz w:val="24"/>
        </w:rPr>
      </w:pPr>
      <w:r>
        <w:rPr>
          <w:rFonts w:hint="eastAsia" w:ascii="Times New Roman" w:hAnsi="Times New Roman" w:eastAsia="宋体" w:cs="Times New Roman"/>
          <w:bCs/>
          <w:sz w:val="24"/>
        </w:rPr>
        <w:t>本次招标采购是为</w:t>
      </w:r>
      <w:r>
        <w:rPr>
          <w:rFonts w:hint="eastAsia" w:ascii="宋体" w:hAnsi="宋体" w:eastAsia="宋体" w:cs="宋体"/>
          <w:sz w:val="24"/>
          <w:lang w:eastAsia="zh-CN"/>
        </w:rPr>
        <w:t>北京市第六医院</w:t>
      </w:r>
      <w:r>
        <w:rPr>
          <w:rFonts w:hint="eastAsia" w:ascii="Times New Roman" w:hAnsi="Times New Roman" w:eastAsia="宋体" w:cs="Times New Roman"/>
          <w:bCs/>
          <w:sz w:val="24"/>
        </w:rPr>
        <w:t>配置</w:t>
      </w:r>
      <w:r>
        <w:rPr>
          <w:rFonts w:hint="eastAsia" w:ascii="宋体" w:hAnsi="宋体" w:eastAsia="宋体" w:cs="宋体"/>
          <w:sz w:val="24"/>
        </w:rPr>
        <w:t>基础</w:t>
      </w:r>
      <w:r>
        <w:rPr>
          <w:rFonts w:hint="eastAsia" w:ascii="Times New Roman" w:hAnsi="Times New Roman" w:eastAsia="宋体" w:cs="Times New Roman"/>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29FE2BC2">
      <w:pPr>
        <w:keepNext w:val="0"/>
        <w:keepLines w:val="0"/>
        <w:pageBreakBefore w:val="0"/>
        <w:wordWrap/>
        <w:overflowPunct/>
        <w:topLinePunct w:val="0"/>
        <w:bidi w:val="0"/>
        <w:spacing w:line="360" w:lineRule="auto"/>
        <w:ind w:right="0" w:rightChars="0"/>
        <w:contextualSpacing/>
        <w:rPr>
          <w:rFonts w:ascii="Times New Roman" w:hAnsi="Times New Roman" w:eastAsia="宋体" w:cs="Times New Roman"/>
          <w:sz w:val="24"/>
        </w:rPr>
      </w:pPr>
      <w:r>
        <w:rPr>
          <w:rFonts w:ascii="Times New Roman" w:hAnsi="Times New Roman" w:eastAsia="宋体" w:cs="Times New Roman"/>
          <w:sz w:val="24"/>
        </w:rPr>
        <w:t>1.2需执行的国家相关标准、行业标准、地方标准或者其他标准、规范</w:t>
      </w:r>
    </w:p>
    <w:p w14:paraId="37827014">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eastAsia="宋体" w:cs="宋体"/>
          <w:bCs/>
          <w:sz w:val="24"/>
        </w:rPr>
      </w:pPr>
      <w:r>
        <w:rPr>
          <w:rFonts w:ascii="Segoe UI Symbol" w:hAnsi="Segoe UI Symbol" w:eastAsia="宋体" w:cs="Segoe UI Symbol"/>
          <w:color w:val="000000"/>
          <w:kern w:val="0"/>
          <w:sz w:val="24"/>
        </w:rPr>
        <w:t>★</w:t>
      </w:r>
      <w:r>
        <w:rPr>
          <w:rFonts w:hint="eastAsia" w:ascii="Segoe UI Symbol" w:hAnsi="Segoe UI Symbol" w:eastAsia="宋体" w:cs="Segoe UI Symbol"/>
          <w:color w:val="000000"/>
          <w:kern w:val="0"/>
          <w:sz w:val="24"/>
        </w:rPr>
        <w:t>（</w:t>
      </w:r>
      <w:r>
        <w:rPr>
          <w:rFonts w:hint="eastAsia" w:ascii="宋体" w:hAnsi="宋体" w:eastAsia="宋体" w:cs="宋体"/>
          <w:bCs/>
          <w:sz w:val="24"/>
        </w:rPr>
        <w:t>1</w:t>
      </w:r>
      <w:r>
        <w:rPr>
          <w:rFonts w:hint="eastAsia" w:ascii="Segoe UI Symbol" w:hAnsi="Segoe UI Symbol" w:eastAsia="宋体" w:cs="Segoe UI Symbol"/>
          <w:color w:val="000000"/>
          <w:kern w:val="0"/>
          <w:sz w:val="24"/>
        </w:rPr>
        <w:t>）</w:t>
      </w:r>
      <w:r>
        <w:rPr>
          <w:rFonts w:hint="eastAsia" w:ascii="宋体" w:hAnsi="宋体" w:eastAsia="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36A74C2F">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eastAsia="宋体" w:cs="宋体"/>
          <w:bCs/>
          <w:sz w:val="24"/>
        </w:rPr>
      </w:pPr>
      <w:r>
        <w:rPr>
          <w:rFonts w:ascii="Segoe UI Symbol" w:hAnsi="Segoe UI Symbol" w:eastAsia="宋体" w:cs="Segoe UI Symbol"/>
          <w:color w:val="000000"/>
          <w:kern w:val="0"/>
          <w:sz w:val="24"/>
        </w:rPr>
        <w:t>★</w:t>
      </w:r>
      <w:r>
        <w:rPr>
          <w:rFonts w:hint="eastAsia" w:ascii="宋体" w:hAnsi="宋体" w:eastAsia="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0A3435D">
      <w:pPr>
        <w:keepNext w:val="0"/>
        <w:keepLines w:val="0"/>
        <w:pageBreakBefore w:val="0"/>
        <w:widowControl/>
        <w:kinsoku w:val="0"/>
        <w:wordWrap/>
        <w:overflowPunct/>
        <w:topLinePunct w:val="0"/>
        <w:autoSpaceDE w:val="0"/>
        <w:autoSpaceDN w:val="0"/>
        <w:bidi w:val="0"/>
        <w:adjustRightInd w:val="0"/>
        <w:snapToGrid w:val="0"/>
        <w:spacing w:line="360" w:lineRule="auto"/>
        <w:ind w:left="240" w:right="0" w:rightChars="0" w:hanging="240" w:hangingChars="100"/>
        <w:textAlignment w:val="baseline"/>
        <w:rPr>
          <w:rFonts w:ascii="宋体" w:hAnsi="宋体" w:eastAsia="宋体" w:cs="宋体"/>
          <w:bCs/>
          <w:sz w:val="24"/>
        </w:rPr>
      </w:pPr>
      <w:r>
        <w:rPr>
          <w:rFonts w:ascii="Segoe UI Symbol" w:hAnsi="Segoe UI Symbol" w:eastAsia="宋体" w:cs="Segoe UI Symbol"/>
          <w:color w:val="000000"/>
          <w:kern w:val="0"/>
          <w:sz w:val="24"/>
        </w:rPr>
        <w:t>★</w:t>
      </w:r>
      <w:r>
        <w:rPr>
          <w:rFonts w:hint="eastAsia" w:ascii="宋体" w:hAnsi="宋体" w:eastAsia="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09741254">
      <w:pPr>
        <w:keepNext w:val="0"/>
        <w:keepLines w:val="0"/>
        <w:pageBreakBefore w:val="0"/>
        <w:wordWrap/>
        <w:overflowPunct/>
        <w:topLinePunct w:val="0"/>
        <w:bidi w:val="0"/>
        <w:spacing w:line="360" w:lineRule="auto"/>
        <w:ind w:right="0" w:rightChars="0"/>
        <w:contextualSpacing/>
        <w:rPr>
          <w:rFonts w:ascii="Times New Roman" w:hAnsi="Times New Roman" w:eastAsia="宋体" w:cs="Times New Roman"/>
          <w:sz w:val="24"/>
        </w:rPr>
      </w:pPr>
      <w:r>
        <w:rPr>
          <w:rFonts w:ascii="Segoe UI Symbol" w:hAnsi="Segoe UI Symbol" w:eastAsia="宋体" w:cs="Segoe UI Symbol"/>
          <w:color w:val="000000"/>
          <w:kern w:val="0"/>
          <w:sz w:val="24"/>
        </w:rPr>
        <w:t>★</w:t>
      </w:r>
      <w:r>
        <w:rPr>
          <w:rFonts w:hint="eastAsia" w:ascii="宋体" w:hAnsi="宋体" w:eastAsia="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046F8E2">
      <w:pPr>
        <w:keepNext w:val="0"/>
        <w:keepLines w:val="0"/>
        <w:pageBreakBefore w:val="0"/>
        <w:wordWrap/>
        <w:overflowPunct/>
        <w:topLinePunct w:val="0"/>
        <w:bidi w:val="0"/>
        <w:spacing w:line="360" w:lineRule="auto"/>
        <w:ind w:right="0" w:rightChars="0"/>
        <w:contextualSpacing/>
        <w:rPr>
          <w:rFonts w:ascii="Times New Roman" w:hAnsi="Times New Roman" w:eastAsia="宋体" w:cs="Times New Roman"/>
          <w:i/>
          <w:iCs/>
          <w:sz w:val="24"/>
        </w:rPr>
      </w:pPr>
      <w:r>
        <w:rPr>
          <w:rFonts w:hint="eastAsia" w:ascii="Times New Roman" w:hAnsi="Times New Roman" w:eastAsia="宋体" w:cs="Times New Roman"/>
          <w:sz w:val="24"/>
        </w:rPr>
        <w:t>2</w:t>
      </w:r>
      <w:r>
        <w:rPr>
          <w:rFonts w:ascii="Times New Roman" w:hAnsi="Times New Roman" w:eastAsia="宋体" w:cs="Times New Roman"/>
          <w:sz w:val="24"/>
        </w:rPr>
        <w:t>验收标准</w:t>
      </w:r>
    </w:p>
    <w:p w14:paraId="146E644E">
      <w:pPr>
        <w:keepNext w:val="0"/>
        <w:keepLines w:val="0"/>
        <w:pageBreakBefore w:val="0"/>
        <w:widowControl w:val="0"/>
        <w:wordWrap/>
        <w:overflowPunct/>
        <w:topLinePunct w:val="0"/>
        <w:bidi w:val="0"/>
        <w:spacing w:line="360" w:lineRule="auto"/>
        <w:ind w:right="0" w:rightChars="0"/>
        <w:jc w:val="both"/>
        <w:outlineLvl w:val="9"/>
        <w:rPr>
          <w:rFonts w:ascii="宋体" w:hAnsi="Times New Roman" w:eastAsia="宋体" w:cs="Times New Roman"/>
          <w:b w:val="0"/>
          <w:kern w:val="2"/>
          <w:sz w:val="24"/>
          <w:szCs w:val="24"/>
          <w:lang w:val="en-US" w:eastAsia="zh-CN" w:bidi="ar-SA"/>
        </w:rPr>
      </w:pPr>
      <w:bookmarkStart w:id="1" w:name="_Toc20376"/>
      <w:r>
        <w:rPr>
          <w:rFonts w:hint="eastAsia" w:ascii="宋体" w:hAnsi="Times New Roman" w:eastAsia="宋体" w:cs="Times New Roman"/>
          <w:b w:val="0"/>
          <w:kern w:val="2"/>
          <w:sz w:val="24"/>
          <w:szCs w:val="24"/>
          <w:lang w:val="en-US" w:eastAsia="zh-CN" w:bidi="ar-SA"/>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1"/>
    </w:p>
    <w:p w14:paraId="6A38AB88">
      <w:pPr>
        <w:keepNext w:val="0"/>
        <w:keepLines w:val="0"/>
        <w:pageBreakBefore w:val="0"/>
        <w:widowControl w:val="0"/>
        <w:wordWrap/>
        <w:overflowPunct/>
        <w:topLinePunct w:val="0"/>
        <w:bidi w:val="0"/>
        <w:spacing w:line="360" w:lineRule="auto"/>
        <w:ind w:right="0" w:rightChars="0"/>
        <w:jc w:val="both"/>
        <w:outlineLvl w:val="9"/>
        <w:rPr>
          <w:rFonts w:ascii="宋体" w:hAnsi="Times New Roman" w:eastAsia="宋体" w:cs="Times New Roman"/>
          <w:b w:val="0"/>
          <w:kern w:val="2"/>
          <w:sz w:val="24"/>
          <w:szCs w:val="24"/>
          <w:lang w:val="en-US" w:eastAsia="zh-CN" w:bidi="ar-SA"/>
        </w:rPr>
      </w:pPr>
      <w:bookmarkStart w:id="2" w:name="_Toc21505"/>
      <w:r>
        <w:rPr>
          <w:rFonts w:hint="eastAsia" w:ascii="宋体" w:hAnsi="Times New Roman" w:eastAsia="宋体" w:cs="Times New Roman"/>
          <w:b w:val="0"/>
          <w:kern w:val="2"/>
          <w:sz w:val="24"/>
          <w:szCs w:val="24"/>
          <w:lang w:val="en-US" w:eastAsia="zh-CN" w:bidi="ar-SA"/>
        </w:rPr>
        <w:t>（2）货物运抵采购项目（标的）交付的地点后，供货方和最终用户按投标技术参数和性能描述进行验收。</w:t>
      </w:r>
      <w:bookmarkEnd w:id="2"/>
    </w:p>
    <w:p w14:paraId="170B8B5D">
      <w:pPr>
        <w:keepNext w:val="0"/>
        <w:keepLines w:val="0"/>
        <w:pageBreakBefore w:val="0"/>
        <w:widowControl w:val="0"/>
        <w:wordWrap/>
        <w:overflowPunct/>
        <w:topLinePunct w:val="0"/>
        <w:bidi w:val="0"/>
        <w:spacing w:line="360" w:lineRule="auto"/>
        <w:ind w:right="0" w:rightChars="0"/>
        <w:jc w:val="both"/>
        <w:outlineLvl w:val="9"/>
        <w:rPr>
          <w:rFonts w:ascii="宋体" w:hAnsi="Times New Roman" w:eastAsia="宋体" w:cs="Times New Roman"/>
          <w:b w:val="0"/>
          <w:kern w:val="2"/>
          <w:sz w:val="24"/>
          <w:szCs w:val="24"/>
          <w:lang w:val="en-US" w:eastAsia="zh-CN" w:bidi="ar-SA"/>
        </w:rPr>
      </w:pPr>
      <w:bookmarkStart w:id="3" w:name="_Toc13957"/>
      <w:r>
        <w:rPr>
          <w:rFonts w:hint="eastAsia" w:ascii="宋体" w:hAnsi="Times New Roman" w:eastAsia="宋体" w:cs="Times New Roman"/>
          <w:b w:val="0"/>
          <w:kern w:val="2"/>
          <w:sz w:val="24"/>
          <w:szCs w:val="24"/>
          <w:lang w:val="en-US" w:eastAsia="zh-CN" w:bidi="ar-SA"/>
        </w:rPr>
        <w:t>（3）供应商应负责使所供计量仪器通过计量部门的验收，并承担相关费用（包括运费）。若需要，应在检测期间提供备用仪器，以便不影响采购人的使用。</w:t>
      </w:r>
      <w:bookmarkEnd w:id="3"/>
    </w:p>
    <w:p w14:paraId="333007A0">
      <w:pPr>
        <w:keepNext w:val="0"/>
        <w:keepLines w:val="0"/>
        <w:pageBreakBefore w:val="0"/>
        <w:kinsoku/>
        <w:wordWrap/>
        <w:overflowPunct/>
        <w:topLinePunct w:val="0"/>
        <w:autoSpaceDE/>
        <w:autoSpaceDN/>
        <w:bidi w:val="0"/>
        <w:adjustRightInd/>
        <w:snapToGrid/>
        <w:spacing w:line="360" w:lineRule="auto"/>
        <w:ind w:right="0" w:rightChars="0"/>
        <w:contextualSpacing/>
        <w:jc w:val="both"/>
        <w:textAlignment w:val="auto"/>
        <w:outlineLvl w:val="9"/>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.货物技术要求</w:t>
      </w:r>
    </w:p>
    <w:p w14:paraId="086E317E">
      <w:pPr>
        <w:keepNext w:val="0"/>
        <w:keepLines w:val="0"/>
        <w:pageBreakBefore w:val="0"/>
        <w:widowControl/>
        <w:kinsoku/>
        <w:wordWrap/>
        <w:overflowPunct/>
        <w:topLinePunct w:val="0"/>
        <w:autoSpaceDE/>
        <w:autoSpaceDN/>
        <w:bidi w:val="0"/>
        <w:adjustRightInd/>
        <w:snapToGrid/>
        <w:spacing w:line="360" w:lineRule="auto"/>
        <w:ind w:left="-1" w:right="0" w:rightChars="0"/>
        <w:contextualSpacing/>
        <w:jc w:val="both"/>
        <w:textAlignment w:val="auto"/>
        <w:outlineLvl w:val="9"/>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.1采购标的需满足的性能、材料、结构、外观、质量、安全、技术规格、物理特性等要求；</w:t>
      </w:r>
    </w:p>
    <w:p w14:paraId="478DB0B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contextualSpacing/>
        <w:jc w:val="both"/>
        <w:textAlignment w:val="auto"/>
        <w:outlineLvl w:val="9"/>
        <w:rPr>
          <w:rFonts w:ascii="Times New Roman" w:hAnsi="Times New Roman" w:eastAsia="宋体" w:cs="Times New Roman"/>
          <w:sz w:val="24"/>
        </w:rPr>
      </w:pPr>
      <w:r>
        <w:rPr>
          <w:rFonts w:hint="eastAsia" w:ascii="Times New Roman" w:hAnsi="Times New Roman" w:eastAsia="宋体" w:cs="Times New Roman"/>
          <w:sz w:val="24"/>
        </w:rPr>
        <w:t>详见</w:t>
      </w:r>
      <w:r>
        <w:rPr>
          <w:rFonts w:ascii="Times New Roman" w:hAnsi="Times New Roman" w:eastAsia="宋体" w:cs="Times New Roman"/>
          <w:sz w:val="24"/>
        </w:rPr>
        <w:t>其他技术、服务等要求</w:t>
      </w:r>
    </w:p>
    <w:p w14:paraId="47D129D4">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.2采购标的需满足的服务标准、期限、效率等要求；</w:t>
      </w:r>
    </w:p>
    <w:p w14:paraId="3F281207">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hAnsi="宋体" w:eastAsia="宋体" w:cs="宋体"/>
          <w:sz w:val="24"/>
        </w:rPr>
      </w:pPr>
      <w:r>
        <w:rPr>
          <w:rFonts w:hint="eastAsia" w:ascii="宋体" w:hAnsi="宋体" w:eastAsia="宋体" w:cs="宋体"/>
          <w:sz w:val="24"/>
        </w:rPr>
        <w:t>（1）采购标的需满足的服务标准、效率要求</w:t>
      </w:r>
    </w:p>
    <w:p w14:paraId="0094BA70">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宋体"/>
          <w:sz w:val="24"/>
        </w:rPr>
        <w:t>供应商应有能力做好售后服务工作和提供技术保障。供应商或投标产品制造商应设有</w:t>
      </w:r>
      <w:r>
        <w:rPr>
          <w:rFonts w:hint="eastAsia" w:ascii="宋体" w:hAnsi="宋体" w:eastAsia="宋体" w:cs="宋体"/>
          <w:sz w:val="24"/>
          <w:highlight w:val="none"/>
        </w:rPr>
        <w:t>专业的售后服务维修机构，有充足的零件储备和能力相当的技术服务人员，并保证投</w:t>
      </w:r>
      <w:r>
        <w:rPr>
          <w:rFonts w:hint="eastAsia" w:ascii="宋体" w:hAnsi="宋体" w:eastAsia="宋体" w:cs="宋体"/>
          <w:sz w:val="24"/>
          <w:highlight w:val="none"/>
          <w:u w:val="none"/>
        </w:rPr>
        <w:t>标产品停产后10年的备件供应</w:t>
      </w:r>
      <w:r>
        <w:rPr>
          <w:rFonts w:hint="eastAsia" w:ascii="宋体" w:hAnsi="宋体" w:eastAsia="宋体" w:cs="宋体"/>
          <w:sz w:val="24"/>
          <w:highlight w:val="none"/>
        </w:rPr>
        <w:t>，投标时须提供有关其投标产品专业的售后服务（维修站）的信息，包括售后服务</w:t>
      </w:r>
      <w:r>
        <w:rPr>
          <w:rFonts w:hint="eastAsia" w:ascii="宋体" w:hAnsi="宋体" w:eastAsia="宋体" w:cs="宋体"/>
          <w:sz w:val="24"/>
        </w:rPr>
        <w:t>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44A031A9">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A97DC1A">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5FD5E97">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宋体"/>
          <w:sz w:val="24"/>
        </w:rPr>
        <w:t>供应商应负责投标货物质量保证期内的免费维修和配件供应，供应商售后服务维修机构应备有所购货物及时维修所需的关键零部件。</w:t>
      </w:r>
    </w:p>
    <w:p w14:paraId="12C45BD3">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宋体"/>
          <w:sz w:val="24"/>
        </w:rPr>
        <w:t>供应商应保证在质量保证期内提供投标货物专用的软件和相应数据库资料的免费升级服务。（如果有）</w:t>
      </w:r>
    </w:p>
    <w:p w14:paraId="1882F8D2">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宋体"/>
          <w:sz w:val="24"/>
        </w:rPr>
        <w:t>在合同执行期和质量保证期内，供应商应保证在收到要求提供维修服务的通知</w:t>
      </w:r>
      <w:r>
        <w:rPr>
          <w:rFonts w:hint="eastAsia" w:ascii="宋体" w:hAnsi="宋体" w:eastAsia="宋体" w:cs="宋体"/>
          <w:sz w:val="24"/>
          <w:highlight w:val="none"/>
        </w:rPr>
        <w:t>后</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小</w:t>
      </w:r>
      <w:r>
        <w:rPr>
          <w:rFonts w:hint="eastAsia" w:ascii="宋体" w:hAnsi="宋体" w:eastAsia="宋体" w:cs="宋体"/>
          <w:sz w:val="24"/>
        </w:rPr>
        <w:t>时内给予反馈，24小时内派合格的技术人员赴现场提供免费服务，解决问题。如不能按采购人要求的时间予以修复，供应商应保证免费提供同类备用设备，供采购人使用。</w:t>
      </w:r>
    </w:p>
    <w:p w14:paraId="38CCC3E9">
      <w:pPr>
        <w:keepNext w:val="0"/>
        <w:keepLines w:val="0"/>
        <w:pageBreakBefore w:val="0"/>
        <w:numPr>
          <w:ilvl w:val="0"/>
          <w:numId w:val="1"/>
        </w:numPr>
        <w:kinsoku/>
        <w:wordWrap/>
        <w:overflowPunct/>
        <w:topLinePunct w:val="0"/>
        <w:autoSpaceDE/>
        <w:autoSpaceDN/>
        <w:bidi w:val="0"/>
        <w:adjustRightInd/>
        <w:snapToGrid/>
        <w:spacing w:before="50" w:line="360" w:lineRule="auto"/>
        <w:ind w:left="420" w:right="0" w:rightChars="0" w:hanging="420"/>
        <w:jc w:val="both"/>
        <w:textAlignment w:val="auto"/>
        <w:outlineLvl w:val="9"/>
        <w:rPr>
          <w:rFonts w:ascii="宋体" w:hAnsi="宋体" w:eastAsia="宋体" w:cs="宋体"/>
          <w:sz w:val="24"/>
        </w:rPr>
      </w:pPr>
      <w:r>
        <w:rPr>
          <w:rFonts w:hint="eastAsia" w:ascii="宋体" w:hAnsi="宋体" w:eastAsia="宋体" w:cs="Times New Roman"/>
          <w:sz w:val="24"/>
        </w:rPr>
        <w:t>货物运输符合的相关国际惯例，试剂、耗材运达所产生的费用由</w:t>
      </w:r>
      <w:r>
        <w:rPr>
          <w:rFonts w:hint="eastAsia" w:ascii="宋体" w:hAnsi="宋体" w:eastAsia="宋体" w:cs="宋体"/>
          <w:sz w:val="24"/>
        </w:rPr>
        <w:t>供应商</w:t>
      </w:r>
      <w:r>
        <w:rPr>
          <w:rFonts w:hint="eastAsia" w:ascii="宋体" w:hAnsi="宋体" w:eastAsia="宋体" w:cs="Times New Roman"/>
          <w:sz w:val="24"/>
        </w:rPr>
        <w:t>负责。运输途中的货物破损及损失风险由</w:t>
      </w:r>
      <w:r>
        <w:rPr>
          <w:rFonts w:hint="eastAsia" w:ascii="宋体" w:hAnsi="宋体" w:eastAsia="宋体" w:cs="宋体"/>
          <w:sz w:val="24"/>
        </w:rPr>
        <w:t>供应商</w:t>
      </w:r>
      <w:r>
        <w:rPr>
          <w:rFonts w:hint="eastAsia" w:ascii="宋体" w:hAnsi="宋体" w:eastAsia="宋体" w:cs="Times New Roman"/>
          <w:sz w:val="24"/>
        </w:rPr>
        <w:t>承担，</w:t>
      </w:r>
      <w:r>
        <w:rPr>
          <w:rFonts w:hint="eastAsia" w:ascii="宋体" w:hAnsi="宋体" w:eastAsia="宋体" w:cs="宋体"/>
          <w:sz w:val="24"/>
        </w:rPr>
        <w:t>供应商</w:t>
      </w:r>
      <w:r>
        <w:rPr>
          <w:rFonts w:hint="eastAsia" w:ascii="宋体" w:hAnsi="宋体" w:eastAsia="宋体" w:cs="Times New Roman"/>
          <w:sz w:val="24"/>
        </w:rPr>
        <w:t>承担运费。</w:t>
      </w:r>
    </w:p>
    <w:p w14:paraId="185B6B39">
      <w:pPr>
        <w:keepNext w:val="0"/>
        <w:keepLines w:val="0"/>
        <w:pageBreakBefore w:val="0"/>
        <w:tabs>
          <w:tab w:val="left" w:pos="900"/>
        </w:tabs>
        <w:kinsoku/>
        <w:wordWrap/>
        <w:overflowPunct/>
        <w:topLinePunct w:val="0"/>
        <w:autoSpaceDE/>
        <w:autoSpaceDN/>
        <w:bidi w:val="0"/>
        <w:adjustRightInd/>
        <w:snapToGrid/>
        <w:spacing w:before="120" w:beforeLines="50" w:line="360" w:lineRule="auto"/>
        <w:ind w:right="0" w:rightChars="0"/>
        <w:jc w:val="both"/>
        <w:textAlignment w:val="auto"/>
        <w:outlineLvl w:val="9"/>
        <w:rPr>
          <w:rFonts w:ascii="宋体" w:hAnsi="宋体" w:eastAsia="宋体" w:cs="宋体"/>
          <w:sz w:val="24"/>
        </w:rPr>
      </w:pPr>
      <w:r>
        <w:rPr>
          <w:rFonts w:hint="eastAsia" w:ascii="宋体" w:hAnsi="宋体" w:eastAsia="宋体" w:cs="宋体"/>
          <w:sz w:val="24"/>
        </w:rPr>
        <w:t>（2）采购标的需满足的服务期限要求</w:t>
      </w:r>
    </w:p>
    <w:p w14:paraId="68796E11">
      <w:pPr>
        <w:keepNext w:val="0"/>
        <w:keepLines w:val="0"/>
        <w:pageBreakBefore w:val="0"/>
        <w:kinsoku/>
        <w:wordWrap/>
        <w:overflowPunct/>
        <w:topLinePunct w:val="0"/>
        <w:autoSpaceDE/>
        <w:autoSpaceDN/>
        <w:bidi w:val="0"/>
        <w:adjustRightInd/>
        <w:snapToGrid/>
        <w:spacing w:before="50" w:line="360" w:lineRule="auto"/>
        <w:ind w:left="480" w:right="0" w:rightChars="0" w:hanging="480" w:hangingChars="200"/>
        <w:jc w:val="both"/>
        <w:textAlignment w:val="auto"/>
        <w:outlineLvl w:val="9"/>
        <w:rPr>
          <w:rFonts w:ascii="宋体" w:hAnsi="宋体" w:eastAsia="宋体" w:cs="Times New Roman"/>
          <w:sz w:val="24"/>
        </w:rPr>
      </w:pP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Times New Roman"/>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62B19140">
      <w:pPr>
        <w:keepNext w:val="0"/>
        <w:keepLines w:val="0"/>
        <w:pageBreakBefore w:val="0"/>
        <w:kinsoku/>
        <w:wordWrap/>
        <w:overflowPunct/>
        <w:topLinePunct w:val="0"/>
        <w:autoSpaceDE/>
        <w:autoSpaceDN/>
        <w:bidi w:val="0"/>
        <w:adjustRightInd/>
        <w:snapToGrid/>
        <w:spacing w:before="50" w:line="360" w:lineRule="auto"/>
        <w:ind w:left="479" w:leftChars="228" w:right="0" w:rightChars="0"/>
        <w:jc w:val="both"/>
        <w:textAlignment w:val="auto"/>
        <w:outlineLvl w:val="9"/>
        <w:rPr>
          <w:rFonts w:ascii="宋体" w:hAnsi="宋体" w:eastAsia="宋体" w:cs="宋体"/>
          <w:sz w:val="24"/>
          <w:highlight w:val="none"/>
        </w:rPr>
      </w:pPr>
      <w:r>
        <w:rPr>
          <w:rFonts w:hint="eastAsia" w:ascii="宋体" w:hAnsi="宋体" w:eastAsia="宋体" w:cs="Times New Roman"/>
          <w:sz w:val="24"/>
        </w:rPr>
        <w:t>供应商应在质保期满前三个月对设备做全面保养及性能检测，并出具相应的报告。</w:t>
      </w:r>
      <w:r>
        <w:rPr>
          <w:rFonts w:hint="eastAsia" w:ascii="宋体" w:hAnsi="宋体" w:eastAsia="宋体" w:cs="宋体"/>
          <w:sz w:val="24"/>
        </w:rPr>
        <w:t>供应商和制造商需要同时提供包含上述质量保证期（保修期）及服务要求的承诺函并加盖单位公章。</w:t>
      </w:r>
    </w:p>
    <w:p w14:paraId="12E828C5">
      <w:pPr>
        <w:keepNext w:val="0"/>
        <w:keepLines w:val="0"/>
        <w:pageBreakBefore w:val="0"/>
        <w:numPr>
          <w:ilvl w:val="0"/>
          <w:numId w:val="2"/>
        </w:numPr>
        <w:tabs>
          <w:tab w:val="left" w:pos="900"/>
        </w:tabs>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ascii="宋体" w:hAnsi="宋体" w:eastAsia="宋体" w:cs="宋体"/>
          <w:sz w:val="24"/>
        </w:rPr>
      </w:pPr>
      <w:r>
        <w:rPr>
          <w:rFonts w:hint="eastAsia" w:ascii="宋体" w:hAnsi="宋体" w:eastAsia="宋体" w:cs="宋体"/>
          <w:sz w:val="24"/>
          <w:highlight w:val="none"/>
        </w:rPr>
        <w:t>保修费用应含维保工时费、零配件费用和软件维护、升级费用，服务内容</w:t>
      </w:r>
      <w:r>
        <w:rPr>
          <w:rFonts w:hint="eastAsia" w:ascii="宋体" w:hAnsi="宋体" w:eastAsia="宋体" w:cs="宋体"/>
          <w:sz w:val="24"/>
        </w:rPr>
        <w:t>和细则与免费维保期相同。</w:t>
      </w:r>
    </w:p>
    <w:p w14:paraId="25801809">
      <w:pPr>
        <w:keepNext w:val="0"/>
        <w:keepLines w:val="0"/>
        <w:pageBreakBefore w:val="0"/>
        <w:tabs>
          <w:tab w:val="left" w:pos="900"/>
        </w:tabs>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ascii="宋体" w:hAnsi="Times New Roman" w:eastAsia="宋体" w:cs="Times New Roman"/>
          <w:b/>
          <w:bCs/>
          <w:sz w:val="24"/>
        </w:rPr>
      </w:pPr>
      <w:r>
        <w:rPr>
          <w:rFonts w:hint="eastAsia" w:ascii="Times New Roman" w:hAnsi="Times New Roman" w:eastAsia="宋体" w:cs="Times New Roman"/>
          <w:sz w:val="24"/>
        </w:rPr>
        <w:t>3</w:t>
      </w:r>
      <w:r>
        <w:rPr>
          <w:rFonts w:ascii="Times New Roman" w:hAnsi="Times New Roman" w:eastAsia="宋体" w:cs="Times New Roman"/>
          <w:sz w:val="24"/>
        </w:rPr>
        <w:t>.3为落实政府采购政策需满足的要求</w:t>
      </w:r>
      <w:r>
        <w:rPr>
          <w:rFonts w:hint="eastAsia" w:ascii="宋体" w:hAnsi="宋体" w:eastAsia="宋体" w:cs="宋体"/>
          <w:b/>
          <w:bCs/>
          <w:sz w:val="24"/>
        </w:rPr>
        <w:t>（专门面向中小企业采购或预留份额的情况不享受政策优惠扣除）</w:t>
      </w:r>
    </w:p>
    <w:p w14:paraId="0995D135">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hAnsi="Times New Roman" w:eastAsia="宋体" w:cs="Times New Roman"/>
          <w:sz w:val="24"/>
        </w:rPr>
      </w:pPr>
      <w:r>
        <w:rPr>
          <w:rFonts w:hint="eastAsia" w:ascii="宋体" w:hAnsi="宋体" w:eastAsia="宋体" w:cs="宋体"/>
          <w:sz w:val="24"/>
        </w:rPr>
        <w:t>1）促进中小企业发展政策：根据《政府采购促进中小企业发展管理办法》的通知（财库〔</w:t>
      </w:r>
      <w:r>
        <w:rPr>
          <w:rFonts w:ascii="宋体" w:hAnsi="宋体" w:eastAsia="宋体" w:cs="宋体"/>
          <w:sz w:val="24"/>
        </w:rPr>
        <w:t>2020</w:t>
      </w:r>
      <w:r>
        <w:rPr>
          <w:rFonts w:hint="eastAsia" w:ascii="宋体" w:hAnsi="宋体" w:eastAsia="宋体" w:cs="宋体"/>
          <w:sz w:val="24"/>
        </w:rPr>
        <w:t>〕</w:t>
      </w:r>
      <w:r>
        <w:rPr>
          <w:rFonts w:ascii="宋体" w:hAnsi="宋体" w:eastAsia="宋体" w:cs="宋体"/>
          <w:sz w:val="24"/>
        </w:rPr>
        <w:t>46</w:t>
      </w:r>
      <w:r>
        <w:rPr>
          <w:rFonts w:hint="eastAsia" w:ascii="宋体" w:hAnsi="宋体" w:eastAsia="宋体" w:cs="宋体"/>
          <w:sz w:val="24"/>
        </w:rPr>
        <w:t>号）规定，本项目供应商所投产品为中小企业制造或提供服务由中小企业承接的，</w:t>
      </w:r>
      <w:r>
        <w:rPr>
          <w:rFonts w:hint="eastAsia" w:ascii="宋体" w:hAnsi="宋体" w:eastAsia="宋体" w:cs="宋体"/>
          <w:b/>
          <w:bCs/>
          <w:sz w:val="24"/>
        </w:rPr>
        <w:t>供应商应出具招标文件要求的《中小企业声明函》给予证明，否则评标时不予认可</w:t>
      </w:r>
      <w:r>
        <w:rPr>
          <w:rFonts w:hint="eastAsia" w:ascii="宋体" w:hAnsi="宋体" w:eastAsia="宋体" w:cs="宋体"/>
          <w:sz w:val="24"/>
        </w:rPr>
        <w:t>。</w:t>
      </w:r>
      <w:r>
        <w:rPr>
          <w:rFonts w:hint="eastAsia" w:ascii="宋体" w:hAnsi="宋体" w:eastAsia="宋体" w:cs="宋体"/>
          <w:b/>
          <w:bCs/>
          <w:sz w:val="24"/>
        </w:rPr>
        <w:t>供应商应对提交的中小企业声明函的真实性负责，</w:t>
      </w:r>
      <w:r>
        <w:rPr>
          <w:rFonts w:hint="eastAsia" w:ascii="宋体" w:hAnsi="宋体" w:eastAsia="宋体" w:cs="宋体"/>
          <w:sz w:val="24"/>
        </w:rPr>
        <w:t>提交的中小企业声明函不真实的，应承担相应的法律责任。</w:t>
      </w:r>
    </w:p>
    <w:p w14:paraId="59ED0F3A">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hAnsi="Times New Roman" w:eastAsia="宋体" w:cs="Times New Roman"/>
          <w:sz w:val="24"/>
        </w:rPr>
      </w:pPr>
      <w:r>
        <w:rPr>
          <w:rFonts w:hint="eastAsia" w:ascii="宋体" w:hAnsi="宋体" w:eastAsia="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ACF2529">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宋体" w:hAnsi="Times New Roman" w:eastAsia="宋体" w:cs="Times New Roman"/>
          <w:sz w:val="24"/>
        </w:rPr>
      </w:pPr>
      <w:r>
        <w:rPr>
          <w:rFonts w:hint="eastAsia" w:ascii="宋体" w:hAnsi="宋体" w:eastAsia="宋体" w:cs="宋体"/>
          <w:sz w:val="24"/>
        </w:rPr>
        <w:t>3）促进残疾人就业政府采购政策：根据《三部门联合发布关于促进残疾人就业政府采购政策的通知》（财库〔</w:t>
      </w:r>
      <w:r>
        <w:rPr>
          <w:rFonts w:ascii="宋体" w:hAnsi="宋体" w:eastAsia="宋体" w:cs="宋体"/>
          <w:sz w:val="24"/>
        </w:rPr>
        <w:t>2017</w:t>
      </w:r>
      <w:r>
        <w:rPr>
          <w:rFonts w:hint="eastAsia" w:ascii="宋体" w:hAnsi="宋体" w:eastAsia="宋体" w:cs="宋体"/>
          <w:sz w:val="24"/>
        </w:rPr>
        <w:t>〕</w:t>
      </w:r>
      <w:r>
        <w:rPr>
          <w:rFonts w:ascii="宋体" w:hAnsi="宋体" w:eastAsia="宋体" w:cs="宋体"/>
          <w:sz w:val="24"/>
        </w:rPr>
        <w:t>141</w:t>
      </w:r>
      <w:r>
        <w:rPr>
          <w:rFonts w:hint="eastAsia" w:ascii="宋体" w:hAnsi="宋体" w:eastAsia="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EB36F97">
      <w:pPr>
        <w:keepNext w:val="0"/>
        <w:keepLines w:val="0"/>
        <w:pageBreakBefore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ascii="Times New Roman" w:hAnsi="Times New Roman" w:eastAsia="宋体" w:cs="Times New Roman"/>
          <w:sz w:val="24"/>
        </w:rPr>
      </w:pPr>
      <w:r>
        <w:rPr>
          <w:rFonts w:hint="eastAsia" w:ascii="宋体" w:hAnsi="宋体" w:eastAsia="宋体" w:cs="宋体"/>
          <w:sz w:val="24"/>
        </w:rPr>
        <w:t>4）鼓励节能、环保政策：依据《财政部发展改革委生态环境部市场监管总局关于调整优化节能产品、环境标志产品政府采购执行机制的通知（财库（</w:t>
      </w:r>
      <w:r>
        <w:rPr>
          <w:rFonts w:ascii="宋体" w:hAnsi="宋体" w:eastAsia="宋体" w:cs="宋体"/>
          <w:sz w:val="24"/>
        </w:rPr>
        <w:t>2019</w:t>
      </w:r>
      <w:r>
        <w:rPr>
          <w:rFonts w:hint="eastAsia" w:ascii="宋体" w:hAnsi="宋体" w:eastAsia="宋体" w:cs="宋体"/>
          <w:sz w:val="24"/>
        </w:rPr>
        <w:t>）</w:t>
      </w:r>
      <w:r>
        <w:rPr>
          <w:rFonts w:ascii="宋体" w:hAnsi="宋体" w:eastAsia="宋体" w:cs="宋体"/>
          <w:sz w:val="24"/>
        </w:rPr>
        <w:t>9</w:t>
      </w:r>
      <w:r>
        <w:rPr>
          <w:rFonts w:hint="eastAsia" w:ascii="宋体" w:hAnsi="宋体" w:eastAsia="宋体" w:cs="宋体"/>
          <w:sz w:val="24"/>
        </w:rPr>
        <w:t>号）》执行。</w:t>
      </w:r>
    </w:p>
    <w:p w14:paraId="37D0EB1D">
      <w:pPr>
        <w:keepNext w:val="0"/>
        <w:keepLines w:val="0"/>
        <w:pageBreakBefore w:val="0"/>
        <w:widowControl/>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宋体" w:hAnsi="宋体" w:eastAsia="宋体" w:cs="宋体"/>
          <w:sz w:val="24"/>
          <w:szCs w:val="24"/>
        </w:rPr>
      </w:pPr>
      <w:r>
        <w:rPr>
          <w:rFonts w:hint="eastAsia" w:ascii="Times New Roman" w:hAnsi="Times New Roman" w:eastAsia="宋体" w:cs="Times New Roman"/>
          <w:sz w:val="24"/>
        </w:rPr>
        <w:t>3</w:t>
      </w:r>
      <w:r>
        <w:rPr>
          <w:rFonts w:ascii="Times New Roman" w:hAnsi="Times New Roman" w:eastAsia="宋体" w:cs="Times New Roman"/>
          <w:sz w:val="24"/>
        </w:rPr>
        <w:t>.4</w:t>
      </w:r>
      <w:r>
        <w:rPr>
          <w:rFonts w:hint="eastAsia" w:ascii="宋体" w:hAnsi="宋体" w:eastAsia="宋体" w:cs="宋体"/>
          <w:sz w:val="24"/>
          <w:szCs w:val="24"/>
        </w:rPr>
        <w:t>采购标的的其他技术、服务等要求；</w:t>
      </w:r>
    </w:p>
    <w:p w14:paraId="2306AD9F">
      <w:pPr>
        <w:widowControl w:val="0"/>
        <w:autoSpaceDE w:val="0"/>
        <w:autoSpaceDN w:val="0"/>
        <w:adjustRightInd w:val="0"/>
        <w:spacing w:line="360" w:lineRule="auto"/>
        <w:rPr>
          <w:rFonts w:hint="default" w:ascii="Symbol" w:hAnsi="Symbol" w:eastAsia="宋体" w:cs="Symbol"/>
          <w:b/>
          <w:bCs/>
          <w:color w:val="000000"/>
          <w:sz w:val="24"/>
          <w:szCs w:val="24"/>
          <w:lang w:val="en-US" w:eastAsia="zh-CN" w:bidi="ar-SA"/>
        </w:rPr>
      </w:pPr>
      <w:r>
        <w:rPr>
          <w:rFonts w:hint="eastAsia" w:ascii="Symbol" w:hAnsi="Symbol" w:eastAsia="宋体" w:cs="Symbol"/>
          <w:b/>
          <w:bCs/>
          <w:color w:val="000000"/>
          <w:sz w:val="24"/>
          <w:szCs w:val="24"/>
          <w:lang w:val="en-US" w:eastAsia="zh-CN" w:bidi="ar-SA"/>
        </w:rPr>
        <w:t>品目1-1：</w:t>
      </w:r>
      <w:r>
        <w:rPr>
          <w:rFonts w:hint="eastAsia" w:ascii="宋体" w:hAnsi="宋体" w:eastAsia="宋体" w:cs="宋体"/>
          <w:b/>
          <w:bCs/>
          <w:i w:val="0"/>
          <w:iCs w:val="0"/>
          <w:color w:val="000000"/>
          <w:kern w:val="0"/>
          <w:sz w:val="24"/>
          <w:szCs w:val="24"/>
          <w:u w:val="none"/>
          <w:lang w:val="en-US" w:eastAsia="zh-CN" w:bidi="ar"/>
        </w:rPr>
        <w:t>电子超声内镜</w:t>
      </w:r>
    </w:p>
    <w:p w14:paraId="7009B105">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hint="eastAsia" w:ascii="Symbol" w:hAnsi="Symbol" w:eastAsia="宋体" w:cs="Symbol"/>
          <w:color w:val="000000"/>
          <w:sz w:val="24"/>
          <w:szCs w:val="24"/>
          <w:lang w:val="en-US" w:eastAsia="zh-CN" w:bidi="ar-SA"/>
        </w:rPr>
        <w:t>一、扇扫型超声内镜</w:t>
      </w:r>
      <w:r>
        <w:rPr>
          <w:rFonts w:ascii="Symbol" w:hAnsi="Symbol" w:eastAsia="宋体" w:cs="Symbol"/>
          <w:color w:val="000000"/>
          <w:sz w:val="24"/>
          <w:szCs w:val="24"/>
          <w:lang w:val="en-US" w:eastAsia="zh-CN" w:bidi="ar-SA"/>
        </w:rPr>
        <w:t></w:t>
      </w:r>
    </w:p>
    <w:p w14:paraId="55D64210">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、视野角度≥</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0B951C95">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、视野方向≥</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前方斜视</w:t>
      </w:r>
    </w:p>
    <w:p w14:paraId="137E708B">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、景深</w:t>
      </w:r>
      <w:r>
        <w:rPr>
          <w:rFonts w:ascii="Symbol" w:hAnsi="Symbol" w:eastAsia="宋体" w:cs="Symbol"/>
          <w:b w:val="0"/>
          <w:bCs w:val="0"/>
          <w:color w:val="000000"/>
          <w:sz w:val="24"/>
          <w:szCs w:val="24"/>
          <w:lang w:val="en-US" w:eastAsia="zh-CN" w:bidi="ar-SA"/>
        </w:rPr>
        <w:t></w:t>
      </w:r>
      <w:r>
        <w:rPr>
          <w:rFonts w:hint="eastAsia" w:ascii="宋体" w:hAnsi="宋体" w:eastAsia="宋体" w:cs="宋体"/>
          <w:b w:val="0"/>
          <w:bCs w:val="0"/>
          <w:color w:val="000000"/>
          <w:sz w:val="24"/>
          <w:szCs w:val="21"/>
          <w:lang w:val="en-US" w:eastAsia="zh-CN" w:bidi="ar-SA"/>
        </w:rPr>
        <w:t>mm</w:t>
      </w:r>
      <w:r>
        <w:rPr>
          <w:rFonts w:hint="eastAsia" w:ascii="Symbol" w:hAnsi="Symbol" w:eastAsia="宋体" w:cs="Symbol"/>
          <w:b w:val="0"/>
          <w:bCs w:val="0"/>
          <w:color w:val="000000"/>
          <w:sz w:val="24"/>
          <w:szCs w:val="24"/>
          <w:lang w:val="en-US" w:eastAsia="zh-CN" w:bidi="ar-SA"/>
        </w:rPr>
        <w:t>、最小可视距离≤</w:t>
      </w:r>
      <w:r>
        <w:rPr>
          <w:rFonts w:ascii="Symbol" w:hAnsi="Symbol" w:eastAsia="宋体" w:cs="Symbol"/>
          <w:b w:val="0"/>
          <w:bCs w:val="0"/>
          <w:color w:val="000000"/>
          <w:sz w:val="24"/>
          <w:szCs w:val="24"/>
          <w:lang w:val="en-US" w:eastAsia="zh-CN" w:bidi="ar-SA"/>
        </w:rPr>
        <w:t></w:t>
      </w:r>
      <w:r>
        <w:rPr>
          <w:rFonts w:hint="eastAsia" w:ascii="宋体" w:hAnsi="宋体" w:eastAsia="宋体" w:cs="宋体"/>
          <w:b w:val="0"/>
          <w:bCs w:val="0"/>
          <w:color w:val="000000"/>
          <w:sz w:val="24"/>
          <w:szCs w:val="21"/>
          <w:lang w:val="en-US" w:eastAsia="zh-CN" w:bidi="ar-SA"/>
        </w:rPr>
        <w:t>mm</w:t>
      </w:r>
    </w:p>
    <w:p w14:paraId="4F1A7721">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、先端部直径≤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hint="eastAsia" w:ascii="Symbol" w:hAnsi="Symbol" w:eastAsia="宋体" w:cs="Symbol"/>
          <w:color w:val="000000"/>
          <w:sz w:val="24"/>
          <w:szCs w:val="24"/>
          <w:lang w:val="en-US" w:eastAsia="zh-CN" w:bidi="ar-SA"/>
        </w:rPr>
        <w:t>、插入部直径≤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3CDE8EA8">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、弯曲角度上≥</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°，下≥</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°，右≥</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°，左≥</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4CF413FC">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、有效长度≥</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hint="eastAsia" w:ascii="Symbol" w:hAnsi="Symbol" w:eastAsia="宋体" w:cs="Symbol"/>
          <w:color w:val="000000"/>
          <w:sz w:val="24"/>
          <w:szCs w:val="24"/>
          <w:lang w:val="en-US" w:eastAsia="zh-CN" w:bidi="ar-SA"/>
        </w:rPr>
        <w:t>、全长≥</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36C31DF1">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、钳子管道直径≥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3AB279FD">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、操作模式：</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模式，血流模式，能量血流模式，脉冲多普勒模式，组织谐波模式，弹性成像模式，造影谐波模式</w:t>
      </w:r>
      <w:r>
        <w:rPr>
          <w:rFonts w:ascii="Symbol" w:hAnsi="Symbol" w:eastAsia="宋体" w:cs="Symbol"/>
          <w:color w:val="000000"/>
          <w:sz w:val="24"/>
          <w:szCs w:val="24"/>
          <w:lang w:val="en-US" w:eastAsia="zh-CN" w:bidi="ar-SA"/>
        </w:rPr>
        <w:t>等</w:t>
      </w:r>
    </w:p>
    <w:p w14:paraId="536DECEC">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、扫描方式：电子凸阵扫描</w:t>
      </w:r>
    </w:p>
    <w:p w14:paraId="5955D89B">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、扫描方向：平行于插入方向</w:t>
      </w:r>
    </w:p>
    <w:p w14:paraId="768D0384">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hint="eastAsia" w:ascii="Symbol" w:hAnsi="Symbol" w:eastAsia="宋体" w:cs="Symbol"/>
          <w:color w:val="000000"/>
          <w:sz w:val="24"/>
          <w:szCs w:val="24"/>
          <w:lang w:val="en-US" w:eastAsia="zh-CN" w:bidi="ar-SA"/>
        </w:rPr>
        <w:t>二、电子胃镜</w:t>
      </w:r>
    </w:p>
    <w:p w14:paraId="37FA8713">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具有</w:t>
      </w:r>
      <w:r>
        <w:rPr>
          <w:rFonts w:hint="eastAsia" w:ascii="Symbol" w:hAnsi="Symbol" w:eastAsia="宋体" w:cs="Symbol"/>
          <w:color w:val="000000"/>
          <w:sz w:val="24"/>
          <w:szCs w:val="24"/>
          <w:lang w:val="en-US" w:eastAsia="zh-CN" w:bidi="ar-SA"/>
        </w:rPr>
        <w:t>高清图像</w:t>
      </w:r>
      <w:r>
        <w:rPr>
          <w:rFonts w:ascii="Symbol" w:hAnsi="Symbol" w:eastAsia="宋体" w:cs="Symbol"/>
          <w:color w:val="000000"/>
          <w:sz w:val="24"/>
          <w:szCs w:val="24"/>
          <w:lang w:val="en-US" w:eastAsia="zh-CN" w:bidi="ar-SA"/>
        </w:rPr>
        <w:t>功能</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分辨率</w:t>
      </w:r>
      <w:r>
        <w:rPr>
          <w:rFonts w:hint="eastAsia" w:ascii="宋体" w:hAnsi="宋体"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Batang" w:hAnsi="Batang" w:eastAsia="Batang" w:cs="Symbol"/>
          <w:color w:val="000000"/>
          <w:sz w:val="24"/>
          <w:szCs w:val="24"/>
          <w:lang w:val="en-US" w:eastAsia="zh-CN" w:bidi="ar-SA"/>
        </w:rPr>
        <w:t>x</w:t>
      </w:r>
      <w:r>
        <w:rPr>
          <w:rFonts w:ascii="Symbol" w:hAnsi="Symbol" w:eastAsia="宋体" w:cs="Symbol"/>
          <w:color w:val="000000"/>
          <w:sz w:val="24"/>
          <w:szCs w:val="24"/>
          <w:lang w:val="en-US" w:eastAsia="zh-CN" w:bidi="ar-SA"/>
        </w:rPr>
        <w:t></w:t>
      </w:r>
      <w:r>
        <w:rPr>
          <w:rFonts w:hint="eastAsia" w:ascii="Batang" w:hAnsi="Batang" w:eastAsia="Batang" w:cs="Symbol"/>
          <w:color w:val="000000"/>
          <w:sz w:val="24"/>
          <w:szCs w:val="24"/>
          <w:lang w:val="en-US" w:eastAsia="zh-CN" w:bidi="ar-SA"/>
        </w:rPr>
        <w:t>p</w:t>
      </w:r>
      <w:r>
        <w:rPr>
          <w:rFonts w:hint="eastAsia" w:ascii="Batang" w:hAnsi="Batang"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具有特殊光观察功能</w:t>
      </w:r>
    </w:p>
    <w:p w14:paraId="245A39D9">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导光插头一键插拔功能，全防水设计</w:t>
      </w:r>
    </w:p>
    <w:p w14:paraId="639A6B16">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先端外径≤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hint="eastAsia" w:ascii="Symbol" w:hAnsi="Symbol" w:eastAsia="宋体" w:cs="Symbol"/>
          <w:color w:val="000000"/>
          <w:sz w:val="24"/>
          <w:szCs w:val="24"/>
          <w:lang w:val="en-US" w:eastAsia="zh-CN" w:bidi="ar-SA"/>
        </w:rPr>
        <w:t>，插入部外径≤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1F5A812D">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弯曲角度上≥</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度，下≥</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度，左≥</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度，右≥</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w:t>
      </w:r>
    </w:p>
    <w:p w14:paraId="5C0387BA">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视野角≥</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w:t>
      </w:r>
    </w:p>
    <w:p w14:paraId="163021E3">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景深≥</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3168B661">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钳子管道内径≥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65BFF6A8">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最小可视距离</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hint="eastAsia" w:ascii="Symbol" w:hAnsi="Symbol" w:eastAsia="宋体" w:cs="Symbol"/>
          <w:color w:val="000000"/>
          <w:sz w:val="24"/>
          <w:szCs w:val="24"/>
          <w:lang w:val="en-US" w:eastAsia="zh-CN" w:bidi="ar-SA"/>
        </w:rPr>
        <w:t>；</w:t>
      </w:r>
    </w:p>
    <w:p w14:paraId="247E1DC4">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hint="eastAsia" w:ascii="Symbol" w:hAnsi="Symbol" w:eastAsia="宋体" w:cs="Symbol"/>
          <w:color w:val="000000"/>
          <w:sz w:val="24"/>
          <w:szCs w:val="24"/>
          <w:lang w:val="en-US" w:eastAsia="zh-CN" w:bidi="ar-SA"/>
        </w:rPr>
        <w:t>三、高清肠镜</w:t>
      </w:r>
    </w:p>
    <w:p w14:paraId="45964516">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具有</w:t>
      </w:r>
      <w:r>
        <w:rPr>
          <w:rFonts w:hint="eastAsia" w:ascii="Symbol" w:hAnsi="Symbol" w:eastAsia="宋体" w:cs="Symbol"/>
          <w:color w:val="000000"/>
          <w:sz w:val="24"/>
          <w:szCs w:val="24"/>
          <w:lang w:val="en-US" w:eastAsia="zh-CN" w:bidi="ar-SA"/>
        </w:rPr>
        <w:t>高清图像，</w:t>
      </w:r>
      <w:bookmarkStart w:id="4" w:name="OLE_LINK5"/>
      <w:bookmarkStart w:id="5" w:name="OLE_LINK6"/>
      <w:r>
        <w:rPr>
          <w:rFonts w:ascii="Symbol" w:hAnsi="Symbol" w:eastAsia="宋体" w:cs="Symbol"/>
          <w:color w:val="000000"/>
          <w:sz w:val="24"/>
          <w:szCs w:val="24"/>
          <w:lang w:val="en-US" w:eastAsia="zh-CN" w:bidi="ar-SA"/>
        </w:rPr>
        <w:t>分辨率</w:t>
      </w:r>
      <w:r>
        <w:rPr>
          <w:rFonts w:hint="eastAsia" w:ascii="宋体" w:hAnsi="宋体"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Batang" w:hAnsi="Batang" w:eastAsia="Batang" w:cs="Symbol"/>
          <w:color w:val="000000"/>
          <w:sz w:val="24"/>
          <w:szCs w:val="24"/>
          <w:lang w:val="en-US" w:eastAsia="zh-CN" w:bidi="ar-SA"/>
        </w:rPr>
        <w:t>x</w:t>
      </w:r>
      <w:r>
        <w:rPr>
          <w:rFonts w:ascii="Symbol" w:hAnsi="Symbol" w:eastAsia="宋体" w:cs="Symbol"/>
          <w:color w:val="000000"/>
          <w:sz w:val="24"/>
          <w:szCs w:val="24"/>
          <w:lang w:val="en-US" w:eastAsia="zh-CN" w:bidi="ar-SA"/>
        </w:rPr>
        <w:t></w:t>
      </w:r>
      <w:r>
        <w:rPr>
          <w:rFonts w:hint="eastAsia" w:ascii="Batang" w:hAnsi="Batang" w:eastAsia="Batang" w:cs="Symbol"/>
          <w:color w:val="000000"/>
          <w:sz w:val="24"/>
          <w:szCs w:val="24"/>
          <w:lang w:val="en-US" w:eastAsia="zh-CN" w:bidi="ar-SA"/>
        </w:rPr>
        <w:t>p</w:t>
      </w:r>
      <w:bookmarkEnd w:id="4"/>
      <w:bookmarkEnd w:id="5"/>
      <w:r>
        <w:rPr>
          <w:rFonts w:hint="eastAsia" w:ascii="Batang" w:hAnsi="Batang" w:eastAsia="Batang" w:cs="Symbol"/>
          <w:color w:val="000000"/>
          <w:sz w:val="24"/>
          <w:szCs w:val="24"/>
          <w:lang w:val="en-US" w:eastAsia="zh-CN" w:bidi="ar-SA"/>
        </w:rPr>
        <w:t>；</w:t>
      </w:r>
      <w:r>
        <w:rPr>
          <w:rFonts w:hint="eastAsia" w:ascii="Symbol" w:hAnsi="Symbol" w:eastAsia="宋体" w:cs="Symbol"/>
          <w:color w:val="000000"/>
          <w:sz w:val="24"/>
          <w:szCs w:val="24"/>
          <w:lang w:val="en-US" w:eastAsia="zh-CN" w:bidi="ar-SA"/>
        </w:rPr>
        <w:t>具有特殊光观察功能</w:t>
      </w:r>
    </w:p>
    <w:p w14:paraId="397AC9CE">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具有副送水功能</w:t>
      </w:r>
    </w:p>
    <w:p w14:paraId="29F1E70F">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具有智能弯曲、强力传导、可变硬度功能</w:t>
      </w:r>
    </w:p>
    <w:p w14:paraId="481B03B6">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导光插头一键插拔功能，全防水设计</w:t>
      </w:r>
    </w:p>
    <w:p w14:paraId="19372F99">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视野角≥</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w:t>
      </w:r>
    </w:p>
    <w:p w14:paraId="0DDC4356">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hint="eastAsia" w:ascii="宋体" w:hAnsi="宋体" w:eastAsia="宋体" w:cs="宋体"/>
          <w:color w:val="333333"/>
          <w:sz w:val="24"/>
          <w:szCs w:val="24"/>
          <w:shd w:val="clear" w:color="auto" w:fill="FFFFFF"/>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弯曲角度上≥</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度，下≥</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度，左≥</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度，右≥</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度</w:t>
      </w:r>
    </w:p>
    <w:p w14:paraId="38F6C2DA">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先端外径≤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插入部外径≤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735C1C7A">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景深≥</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3E5C2D78">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钳子管道内径≥</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最小可视距离</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3A11650E">
      <w:pPr>
        <w:widowControl w:val="0"/>
        <w:autoSpaceDE w:val="0"/>
        <w:autoSpaceDN w:val="0"/>
        <w:adjustRightInd w:val="0"/>
        <w:spacing w:line="360" w:lineRule="auto"/>
        <w:rPr>
          <w:rFonts w:hint="eastAsia"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插入部有效长度≥</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r>
        <w:rPr>
          <w:rFonts w:hint="eastAsia" w:ascii="Symbol" w:hAnsi="Symbol" w:eastAsia="宋体" w:cs="Symbol"/>
          <w:color w:val="000000"/>
          <w:sz w:val="24"/>
          <w:szCs w:val="24"/>
          <w:lang w:val="en-US" w:eastAsia="zh-CN" w:bidi="ar-SA"/>
        </w:rPr>
        <w:t>，全长≥</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mm</w:t>
      </w:r>
    </w:p>
    <w:p w14:paraId="7661ECDD">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7188E875">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bookmarkStart w:id="6" w:name="_Toc809"/>
      <w:r>
        <w:rPr>
          <w:rFonts w:hint="eastAsia" w:ascii="宋体" w:hAnsi="宋体" w:eastAsia="宋体" w:cs="宋体"/>
          <w:b/>
          <w:bCs/>
          <w:kern w:val="0"/>
          <w:sz w:val="24"/>
          <w:szCs w:val="24"/>
          <w:highlight w:val="none"/>
          <w:lang w:val="en-US" w:eastAsia="zh-CN"/>
        </w:rPr>
        <w:t>品目1-2</w:t>
      </w:r>
      <w:r>
        <w:rPr>
          <w:rFonts w:hint="eastAsia" w:ascii="宋体" w:hAnsi="宋体" w:eastAsia="宋体" w:cs="宋体"/>
          <w:b/>
          <w:bCs/>
          <w:color w:val="000000"/>
          <w:kern w:val="0"/>
          <w:sz w:val="24"/>
          <w:szCs w:val="24"/>
          <w:lang w:val="en-US" w:eastAsia="zh-CN" w:bidi="ar"/>
        </w:rPr>
        <w:t>：肌骨超声仪</w:t>
      </w:r>
      <w:bookmarkEnd w:id="6"/>
    </w:p>
    <w:p w14:paraId="2129D9EE">
      <w:pPr>
        <w:widowControl w:val="0"/>
        <w:spacing w:line="360" w:lineRule="auto"/>
        <w:ind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（一）用途</w:t>
      </w:r>
    </w:p>
    <w:p w14:paraId="52A3F750">
      <w:pPr>
        <w:widowControl w:val="0"/>
        <w:spacing w:line="360" w:lineRule="auto"/>
        <w:ind w:firstLine="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主要用于肌骨、神经、腹部、血管（外周、颅脑、腹部）、小器官、骨骼肌肉等方面的临床诊断和科研教学</w:t>
      </w:r>
    </w:p>
    <w:p w14:paraId="6F8485D9">
      <w:pPr>
        <w:widowControl w:val="0"/>
        <w:spacing w:line="360" w:lineRule="auto"/>
        <w:ind w:firstLine="0" w:firstLineChars="0"/>
        <w:jc w:val="both"/>
        <w:outlineLvl w:val="2"/>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（二）技术参数</w:t>
      </w:r>
    </w:p>
    <w:p w14:paraId="07412D30">
      <w:pPr>
        <w:widowControl w:val="0"/>
        <w:spacing w:line="360" w:lineRule="auto"/>
        <w:ind w:firstLine="0" w:firstLineChars="0"/>
        <w:jc w:val="both"/>
        <w:outlineLvl w:val="2"/>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一、主机成像系统：</w:t>
      </w:r>
    </w:p>
    <w:p w14:paraId="4710D2A1">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▲1.1具备液晶显示器≥24英寸；分辨率≥1920×1080，可上下左右任意旋转。</w:t>
      </w:r>
    </w:p>
    <w:p w14:paraId="33266AEA">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▲1.2操作面板具备触摸屏≥12英寸，点击触摸屏调节的参数，可上下左右进行高度调整及旋转，最大旋转角度≥270度。</w:t>
      </w:r>
    </w:p>
    <w:p w14:paraId="0C5F07F7">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1.3具备集束发射功能，全程动态聚焦发射声束、脉冲优化处理功能、自适应增益补偿功能、数字化二维灰阶成像及M型显像单元；解剖M型功能，可360度旋转M型取样线角度进行测量。</w:t>
      </w:r>
    </w:p>
    <w:p w14:paraId="7B24BE3D">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1.4脉冲反向谐波成像单元；具备彩色多普勒成像功能；彩色多普勒能量图功能；方向性能量图功能。</w:t>
      </w:r>
    </w:p>
    <w:p w14:paraId="52191C9A">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1.5智能全程聚焦功能；焦点区域随深度调节按图像比例自动优化聚焦区域；不同模式切换后，聚焦区域保持原有模式深度。</w:t>
      </w:r>
    </w:p>
    <w:p w14:paraId="2C7799AE">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1.6智能实时图像优化功能：实时监测优化图像像素曝光度。</w:t>
      </w:r>
    </w:p>
    <w:p w14:paraId="2C965399">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1.6.1具备自动优化远场图像功能；多级可调，范围≥±20dB。</w:t>
      </w:r>
    </w:p>
    <w:p w14:paraId="22EF4200">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1.6.2具备自动补偿声影后方图像功能；多级可调，范围≥±10dB。</w:t>
      </w:r>
    </w:p>
    <w:p w14:paraId="6C433373">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1.7空间复合成像功能，同时作用于发射和接收，偏转 ≥9线，支持所有凸阵、微凸阵和线阵成像探头。</w:t>
      </w:r>
    </w:p>
    <w:p w14:paraId="031A1CDE">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1.8具备自适应核磁像素优化功能，支持所有成像探头，可分级调节≥5级。</w:t>
      </w:r>
    </w:p>
    <w:p w14:paraId="11F61984">
      <w:pPr>
        <w:widowControl w:val="0"/>
        <w:spacing w:line="360" w:lineRule="auto"/>
        <w:ind w:firstLine="0" w:firstLineChars="0"/>
        <w:jc w:val="both"/>
        <w:outlineLvl w:val="2"/>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二、成像要求：</w:t>
      </w:r>
    </w:p>
    <w:p w14:paraId="737069C1">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2.1具备诊断功能含：自动记录颈总动脉和颈内动脉的近端、中端、远端的血流速度测量结果；自动获得颈总动脉和颈内动脉血流速度峰值；计算出颈内动脉和颈总动脉的血流速度峰值速度比。</w:t>
      </w:r>
    </w:p>
    <w:p w14:paraId="1E16C9A8">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2.2具备超声声速自动校正功能可调整级别；扩展成像功能：支持凸阵、微凸阵、线阵探头，空间复合成像功能及斑点噪声抑制功能支持扩展区域。</w:t>
      </w:r>
    </w:p>
    <w:p w14:paraId="6BE9B2BC">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2.3组织多普勒功能（TDI/或DTI），具有彩色，谐波，PW，M型等多种模式，具备在机应变及应变率定量分析工具。</w:t>
      </w:r>
    </w:p>
    <w:p w14:paraId="4683F466">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▲2.4具备多影像实时对比联合诊断功能：可直接获取、浏览CT/NM/MR，乳房X线/超声的DICOM图像，具备同屏对比既往和当前超声图像进行对比诊断功能 。</w:t>
      </w:r>
    </w:p>
    <w:p w14:paraId="2C90A042">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具有微细血流成像功能：可捕捉超微细血流及超低速血流信号，支持凸阵、线阵探头，可用于腹部、浅表、肌骨、儿科、血管等应用，具有单独模式、增强模式及2D对比模式，具有≥8种map图可选，可进行血流速度测量 。</w:t>
      </w:r>
    </w:p>
    <w:p w14:paraId="2B5F4C1E">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▲2.6双屏显示模式，可实时双屏显示，主屏幕与触摸屏实时同步显示扫描图像。</w:t>
      </w:r>
    </w:p>
    <w:p w14:paraId="346CCA1A">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2.7弹性成像功能：具备实时软组织弹性成像功能，具有灰阶，反转及彩色多普勒等显像方式；具备囊实性结构鉴别弹性成像功能，具备浅表及腔内弹性成像。</w:t>
      </w:r>
    </w:p>
    <w:p w14:paraId="641E6751">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2.8肝脏剪切波定量功能：支持结合常规超声图像检测特定区域组织的弹性硬度；具有肝纤维化分级指示，自动将获得的剪切波数值和肝纤维化分级关联显示；测量值支持两种单位显示，KPa及m/s</w:t>
      </w:r>
    </w:p>
    <w:p w14:paraId="6D0E2AD9">
      <w:pPr>
        <w:widowControl w:val="0"/>
        <w:spacing w:line="360" w:lineRule="auto"/>
        <w:ind w:firstLine="0" w:firstLineChars="0"/>
        <w:jc w:val="both"/>
        <w:outlineLvl w:val="2"/>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三、测量和分析：（B型、M型、D型、彩色模式）</w:t>
      </w:r>
    </w:p>
    <w:p w14:paraId="3C34A829">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3.1一般测量：距离、面积、周长等；外周血管测量和计算功能；多普勒血流测量与分析（含自动多普勒频谱包络计算）；心脏功能测量；</w:t>
      </w:r>
    </w:p>
    <w:p w14:paraId="29C85DC1">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3.2具备图像数据存储；硬盘≥1T（1024G），病案管理包括病人资料、报告、图像等的存储、修改、检索和打印等；</w:t>
      </w:r>
    </w:p>
    <w:p w14:paraId="056A440F">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3.3输入/输出信号：输入：DICOM DATA；输出：S－视频、高清数字化输出等</w:t>
      </w:r>
    </w:p>
    <w:p w14:paraId="46CAD7E8">
      <w:pPr>
        <w:widowControl w:val="0"/>
        <w:spacing w:line="360" w:lineRule="auto"/>
        <w:ind w:firstLine="0" w:firstLineChars="0"/>
        <w:jc w:val="both"/>
        <w:outlineLvl w:val="2"/>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四、主机技术参数及要求：</w:t>
      </w:r>
    </w:p>
    <w:p w14:paraId="1D1A15A0">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4.1探头接口选择：≥4个，微型非针式，并激活可互换通用，接口具备照明系统</w:t>
      </w:r>
    </w:p>
    <w:p w14:paraId="79606BA7">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4.2预设扫描条件设置功能： 具备。</w:t>
      </w:r>
    </w:p>
    <w:p w14:paraId="22235A3F">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4.3探头频率：超宽频带探头，最高频率≥22MHz，从2MHz到22MHz。</w:t>
      </w:r>
    </w:p>
    <w:p w14:paraId="0B3A5679">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▲4.4主机支持单晶体探头数量≥5把，含腹部、心脏，浅表、腔内、经食道等单晶体探头。</w:t>
      </w:r>
    </w:p>
    <w:p w14:paraId="376CB90E">
      <w:pPr>
        <w:widowControl w:val="0"/>
        <w:spacing w:line="360" w:lineRule="auto"/>
        <w:ind w:firstLine="0"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▲4.5配备探头数量≥4支；含：</w:t>
      </w:r>
    </w:p>
    <w:p w14:paraId="448AF7C8">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单晶体腹部探头，频率1.0-5.0MHz、</w:t>
      </w:r>
    </w:p>
    <w:p w14:paraId="63181A87">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线阵探头，频率3.0-12.0MHz、</w:t>
      </w:r>
    </w:p>
    <w:p w14:paraId="4D167443">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单晶体心脏探头，频率：1.0-5.0MHz、</w:t>
      </w:r>
    </w:p>
    <w:p w14:paraId="62750B87">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高频肌骨线阵探头，频率：5.0-12.0MHz。</w:t>
      </w:r>
    </w:p>
    <w:p w14:paraId="7034A85E">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▲4.6最大扫描深度：凸阵探头≥55cm，线阵探头≥14cm。</w:t>
      </w:r>
    </w:p>
    <w:p w14:paraId="6E8C34F0">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▲4.7单晶体高频线阵探头有效阵元数：≥1000个。</w:t>
      </w:r>
    </w:p>
    <w:p w14:paraId="434FF893">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▲4.8增益调节：TGC增益补偿≥8段，LGC侧向增益补偿≥8段，B/M可独立调节。</w:t>
      </w:r>
    </w:p>
    <w:p w14:paraId="234C2009">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4.9接收方式：独立接收和发射通道数，多倍信号并行处理；动态范围≥300dB。</w:t>
      </w:r>
    </w:p>
    <w:p w14:paraId="50F77DBC">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4.10频谱多普勒显示模式：脉冲多普勒（PWD）、高脉冲重复频率（HPRF）、连续波多普勒（CW）等；</w:t>
      </w:r>
    </w:p>
    <w:p w14:paraId="29FFBBCE">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4.11发射频率：电子相控阵：PWD,CWD1.6-1.8MHz，电子凸阵：PWD:2.0-2.2MHz，电子线阵：PWD:5.75-7.0MHz。</w:t>
      </w:r>
    </w:p>
    <w:p w14:paraId="4A5CF7EE">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4.12</w:t>
      </w:r>
      <w:r>
        <w:rPr>
          <w:rFonts w:hint="eastAsia" w:ascii="宋体" w:hAnsi="宋体" w:eastAsia="宋体" w:cs="宋体"/>
          <w:b w:val="0"/>
          <w:bCs w:val="0"/>
          <w:kern w:val="2"/>
          <w:sz w:val="24"/>
          <w:szCs w:val="24"/>
          <w:lang w:val="en-US" w:eastAsia="zh-CN" w:bidi="ar-SA"/>
        </w:rPr>
        <w:t>最大测量速度：</w:t>
      </w:r>
      <w:r>
        <w:rPr>
          <w:rFonts w:ascii="宋体" w:hAnsi="宋体" w:eastAsia="宋体" w:cs="宋体"/>
          <w:b w:val="0"/>
          <w:bCs w:val="0"/>
          <w:kern w:val="2"/>
          <w:sz w:val="24"/>
          <w:szCs w:val="24"/>
          <w:lang w:val="en-US" w:eastAsia="zh-CN" w:bidi="ar-SA"/>
        </w:rPr>
        <w:t>PWD</w:t>
      </w:r>
      <w:r>
        <w:rPr>
          <w:rFonts w:hint="eastAsia" w:ascii="宋体" w:hAnsi="宋体" w:eastAsia="宋体" w:cs="宋体"/>
          <w:b w:val="0"/>
          <w:bCs w:val="0"/>
          <w:kern w:val="2"/>
          <w:sz w:val="24"/>
          <w:szCs w:val="24"/>
          <w:lang w:val="en-US" w:eastAsia="zh-CN" w:bidi="ar-SA"/>
        </w:rPr>
        <w:t>正、反向血流速度：≥</w:t>
      </w:r>
      <w:r>
        <w:rPr>
          <w:rFonts w:ascii="宋体" w:hAnsi="宋体" w:eastAsia="宋体" w:cs="宋体"/>
          <w:b w:val="0"/>
          <w:bCs w:val="0"/>
          <w:kern w:val="2"/>
          <w:sz w:val="24"/>
          <w:szCs w:val="24"/>
          <w:lang w:val="en-US" w:eastAsia="zh-CN" w:bidi="ar-SA"/>
        </w:rPr>
        <w:t>10.0m/s</w:t>
      </w:r>
      <w:r>
        <w:rPr>
          <w:rFonts w:hint="eastAsia" w:ascii="宋体" w:hAnsi="宋体" w:eastAsia="宋体" w:cs="宋体"/>
          <w:b w:val="0"/>
          <w:bCs w:val="0"/>
          <w:kern w:val="2"/>
          <w:sz w:val="24"/>
          <w:szCs w:val="24"/>
          <w:lang w:val="en-US" w:eastAsia="zh-CN" w:bidi="ar-SA"/>
        </w:rPr>
        <w:t>（</w:t>
      </w:r>
      <w:r>
        <w:rPr>
          <w:rFonts w:ascii="宋体" w:hAnsi="宋体" w:eastAsia="宋体" w:cs="宋体"/>
          <w:b w:val="0"/>
          <w:bCs w:val="0"/>
          <w:kern w:val="2"/>
          <w:sz w:val="24"/>
          <w:szCs w:val="24"/>
          <w:lang w:val="en-US" w:eastAsia="zh-CN" w:bidi="ar-SA"/>
        </w:rPr>
        <w:t>0</w:t>
      </w:r>
      <w:r>
        <w:rPr>
          <w:rFonts w:hint="eastAsia" w:ascii="宋体" w:hAnsi="宋体" w:eastAsia="宋体" w:cs="宋体"/>
          <w:b w:val="0"/>
          <w:bCs w:val="0"/>
          <w:kern w:val="2"/>
          <w:sz w:val="24"/>
          <w:szCs w:val="24"/>
          <w:lang w:val="en-US" w:eastAsia="zh-CN" w:bidi="ar-SA"/>
        </w:rPr>
        <w:t>度夹角）；</w:t>
      </w:r>
      <w:r>
        <w:rPr>
          <w:rFonts w:ascii="宋体" w:hAnsi="宋体" w:eastAsia="宋体" w:cs="宋体"/>
          <w:b w:val="0"/>
          <w:bCs w:val="0"/>
          <w:kern w:val="2"/>
          <w:sz w:val="24"/>
          <w:szCs w:val="24"/>
          <w:lang w:val="en-US" w:eastAsia="zh-CN" w:bidi="ar-SA"/>
        </w:rPr>
        <w:t>CWD</w:t>
      </w:r>
      <w:r>
        <w:rPr>
          <w:rFonts w:hint="eastAsia" w:ascii="宋体" w:hAnsi="宋体" w:eastAsia="宋体" w:cs="宋体"/>
          <w:b w:val="0"/>
          <w:bCs w:val="0"/>
          <w:kern w:val="2"/>
          <w:sz w:val="24"/>
          <w:szCs w:val="24"/>
          <w:lang w:val="en-US" w:eastAsia="zh-CN" w:bidi="ar-SA"/>
        </w:rPr>
        <w:t>：血流速度≥</w:t>
      </w:r>
      <w:r>
        <w:rPr>
          <w:rFonts w:ascii="宋体" w:hAnsi="宋体" w:eastAsia="宋体" w:cs="宋体"/>
          <w:b w:val="0"/>
          <w:bCs w:val="0"/>
          <w:kern w:val="2"/>
          <w:sz w:val="24"/>
          <w:szCs w:val="24"/>
          <w:lang w:val="en-US" w:eastAsia="zh-CN" w:bidi="ar-SA"/>
        </w:rPr>
        <w:t>28.0m/s</w:t>
      </w:r>
      <w:r>
        <w:rPr>
          <w:rFonts w:hint="eastAsia" w:ascii="宋体" w:hAnsi="宋体" w:eastAsia="宋体" w:cs="宋体"/>
          <w:b w:val="0"/>
          <w:bCs w:val="0"/>
          <w:kern w:val="2"/>
          <w:sz w:val="24"/>
          <w:szCs w:val="24"/>
          <w:lang w:val="en-US" w:eastAsia="zh-CN" w:bidi="ar-SA"/>
        </w:rPr>
        <w:t>；最低测量速度：≤</w:t>
      </w:r>
      <w:r>
        <w:rPr>
          <w:rFonts w:ascii="宋体" w:hAnsi="宋体" w:eastAsia="宋体" w:cs="宋体"/>
          <w:b w:val="0"/>
          <w:bCs w:val="0"/>
          <w:kern w:val="2"/>
          <w:sz w:val="24"/>
          <w:szCs w:val="24"/>
          <w:lang w:val="en-US" w:eastAsia="zh-CN" w:bidi="ar-SA"/>
        </w:rPr>
        <w:t>0.25mm/s</w:t>
      </w:r>
      <w:r>
        <w:rPr>
          <w:rFonts w:hint="eastAsia" w:ascii="宋体" w:hAnsi="宋体" w:eastAsia="宋体" w:cs="宋体"/>
          <w:b w:val="0"/>
          <w:bCs w:val="0"/>
          <w:kern w:val="2"/>
          <w:sz w:val="24"/>
          <w:szCs w:val="24"/>
          <w:lang w:val="en-US" w:eastAsia="zh-CN" w:bidi="ar-SA"/>
        </w:rPr>
        <w:t>（非噪音信号）；</w:t>
      </w:r>
    </w:p>
    <w:p w14:paraId="6817599A">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4.13</w:t>
      </w:r>
      <w:r>
        <w:rPr>
          <w:rFonts w:hint="eastAsia" w:ascii="宋体" w:hAnsi="宋体" w:eastAsia="宋体" w:cs="宋体"/>
          <w:b w:val="0"/>
          <w:bCs w:val="0"/>
          <w:kern w:val="2"/>
          <w:sz w:val="24"/>
          <w:szCs w:val="24"/>
          <w:lang w:val="en-US" w:eastAsia="zh-CN" w:bidi="ar-SA"/>
        </w:rPr>
        <w:t>取样宽度及位置范围：宽度</w:t>
      </w:r>
      <w:r>
        <w:rPr>
          <w:rFonts w:ascii="宋体" w:hAnsi="宋体" w:eastAsia="宋体" w:cs="宋体"/>
          <w:b w:val="0"/>
          <w:bCs w:val="0"/>
          <w:kern w:val="2"/>
          <w:sz w:val="24"/>
          <w:szCs w:val="24"/>
          <w:lang w:val="en-US" w:eastAsia="zh-CN" w:bidi="ar-SA"/>
        </w:rPr>
        <w:t>0.5mm</w:t>
      </w:r>
      <w:r>
        <w:rPr>
          <w:rFonts w:hint="eastAsia" w:ascii="宋体" w:hAnsi="宋体" w:eastAsia="宋体" w:cs="宋体"/>
          <w:b w:val="0"/>
          <w:bCs w:val="0"/>
          <w:kern w:val="2"/>
          <w:sz w:val="24"/>
          <w:szCs w:val="24"/>
          <w:lang w:val="en-US" w:eastAsia="zh-CN" w:bidi="ar-SA"/>
        </w:rPr>
        <w:t>～</w:t>
      </w:r>
      <w:r>
        <w:rPr>
          <w:rFonts w:ascii="宋体" w:hAnsi="宋体" w:eastAsia="宋体" w:cs="宋体"/>
          <w:b w:val="0"/>
          <w:bCs w:val="0"/>
          <w:kern w:val="2"/>
          <w:sz w:val="24"/>
          <w:szCs w:val="24"/>
          <w:lang w:val="en-US" w:eastAsia="zh-CN" w:bidi="ar-SA"/>
        </w:rPr>
        <w:t>20mm</w:t>
      </w:r>
      <w:r>
        <w:rPr>
          <w:rFonts w:hint="eastAsia" w:ascii="宋体" w:hAnsi="宋体" w:eastAsia="宋体" w:cs="宋体"/>
          <w:b w:val="0"/>
          <w:bCs w:val="0"/>
          <w:kern w:val="2"/>
          <w:sz w:val="24"/>
          <w:szCs w:val="24"/>
          <w:lang w:val="en-US" w:eastAsia="zh-CN" w:bidi="ar-SA"/>
        </w:rPr>
        <w:t>多级可调；零位移动：≥</w:t>
      </w:r>
      <w:r>
        <w:rPr>
          <w:rFonts w:ascii="宋体" w:hAnsi="宋体" w:eastAsia="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级；显示控制：反转显示（上/下）、零移位、B－刷新、D扩展、B/D扩展，局放及移位等；</w:t>
      </w:r>
    </w:p>
    <w:p w14:paraId="64A02DBA">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4.14彩色多普勒：显示方式：速度图（CDV）、能量图（CPA）、方向性能量图（DCPA）；彩色增强功能：彩色多普勒能量图（CDE/CPI）；组织多普勒（TDI）；具有双同步/三同步显示（B/D/CDV）</w:t>
      </w:r>
    </w:p>
    <w:p w14:paraId="293E50F5">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4.15彩色显示速度：最低平均血流显示速度≤5mm/s（非噪声信号）；显示位置调整：线阵扫描感兴趣的图像范围：-20°～+20°；</w:t>
      </w:r>
    </w:p>
    <w:p w14:paraId="6879030B">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5.内置一体化超声工作站：数字化储存静态及动态图像，动态图像及静态图像支持以AVI、BMP、JPEG等格式储存。</w:t>
      </w:r>
    </w:p>
    <w:p w14:paraId="6A993288">
      <w:pPr>
        <w:widowControl w:val="0"/>
        <w:spacing w:line="360" w:lineRule="auto"/>
        <w:ind w:firstLine="0" w:firstLineChars="0"/>
        <w:jc w:val="both"/>
        <w:rPr>
          <w:rFonts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▲6.超声主机使用年限≥10年（提供机身铭牌照片）</w:t>
      </w:r>
    </w:p>
    <w:p w14:paraId="7FDF86F9">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000000"/>
          <w:kern w:val="0"/>
          <w:sz w:val="24"/>
          <w:szCs w:val="24"/>
          <w:lang w:val="en-US" w:eastAsia="zh-CN" w:bidi="ar"/>
        </w:rPr>
      </w:pPr>
    </w:p>
    <w:p w14:paraId="08F6F45D">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0"/>
        <w:rPr>
          <w:rFonts w:hint="eastAsia" w:ascii="宋体" w:hAnsi="宋体" w:eastAsia="宋体" w:cs="宋体"/>
          <w:b/>
          <w:bCs/>
          <w:color w:val="000000"/>
          <w:kern w:val="0"/>
          <w:sz w:val="24"/>
          <w:szCs w:val="24"/>
          <w:lang w:val="en-US" w:eastAsia="zh-CN" w:bidi="ar"/>
        </w:rPr>
      </w:pPr>
      <w:bookmarkStart w:id="7" w:name="_Toc17208"/>
      <w:r>
        <w:rPr>
          <w:rFonts w:hint="eastAsia" w:ascii="宋体" w:hAnsi="宋体" w:eastAsia="宋体" w:cs="宋体"/>
          <w:b/>
          <w:bCs/>
          <w:kern w:val="0"/>
          <w:sz w:val="24"/>
          <w:szCs w:val="24"/>
          <w:highlight w:val="none"/>
          <w:lang w:val="en-US" w:eastAsia="zh-CN"/>
        </w:rPr>
        <w:t>品目1-3</w:t>
      </w:r>
      <w:r>
        <w:rPr>
          <w:rFonts w:hint="eastAsia" w:ascii="宋体" w:hAnsi="宋体" w:eastAsia="宋体" w:cs="宋体"/>
          <w:b/>
          <w:bCs/>
          <w:color w:val="000000"/>
          <w:kern w:val="0"/>
          <w:sz w:val="24"/>
          <w:szCs w:val="24"/>
          <w:lang w:val="en-US" w:eastAsia="zh-CN" w:bidi="ar"/>
        </w:rPr>
        <w:t>：子午流注仪</w:t>
      </w:r>
      <w:bookmarkEnd w:id="7"/>
    </w:p>
    <w:p w14:paraId="73804660">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工作频率：</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KHz</w:t>
      </w:r>
      <w:r>
        <w:rPr>
          <w:rFonts w:hint="eastAsia" w:ascii="Symbol" w:hAnsi="Symbol" w:eastAsia="宋体" w:cs="Symbol"/>
          <w:color w:val="000000"/>
          <w:sz w:val="24"/>
          <w:szCs w:val="24"/>
          <w:lang w:val="en-US" w:eastAsia="zh-CN" w:bidi="ar-SA"/>
        </w:rPr>
        <w:t>，允差</w:t>
      </w:r>
      <w:r>
        <w:rPr>
          <w:rFonts w:hint="eastAsia" w:ascii="宋体" w:hAnsi="宋体"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7744885B">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输出幅度：治疗仪≥</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档可调，最大输出幅度为</w:t>
      </w:r>
      <w:r>
        <w:rPr>
          <w:rFonts w:ascii="Symbol" w:hAnsi="Symbol" w:eastAsia="宋体" w:cs="Symbol"/>
          <w:color w:val="000000"/>
          <w:sz w:val="24"/>
          <w:szCs w:val="24"/>
          <w:lang w:val="en-US" w:eastAsia="zh-CN" w:bidi="ar-SA"/>
        </w:rPr>
        <w:t></w:t>
      </w:r>
      <w:r>
        <w:rPr>
          <w:rFonts w:ascii="Shruti" w:hAnsi="Shruti" w:eastAsia="宋体" w:cs="Shruti"/>
          <w:color w:val="000000"/>
          <w:sz w:val="24"/>
          <w:szCs w:val="24"/>
          <w:lang w:val="en-US" w:eastAsia="zh-CN" w:bidi="ar-SA"/>
        </w:rPr>
        <w:t>v</w:t>
      </w:r>
      <w:r>
        <w:rPr>
          <w:rFonts w:hint="eastAsia" w:ascii="Symbol" w:hAnsi="Symbol" w:eastAsia="宋体" w:cs="Symbol"/>
          <w:color w:val="000000"/>
          <w:sz w:val="24"/>
          <w:szCs w:val="24"/>
          <w:lang w:val="en-US" w:eastAsia="zh-CN" w:bidi="ar-SA"/>
        </w:rPr>
        <w:t>，允差</w:t>
      </w:r>
      <w:r>
        <w:rPr>
          <w:rFonts w:hint="eastAsia" w:ascii="宋体" w:hAnsi="宋体"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084FEE81">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载波波形：双向对称方波，脉冲宽度</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ｍs</w:t>
      </w:r>
      <w:r>
        <w:rPr>
          <w:rFonts w:hint="eastAsia" w:ascii="Symbol" w:hAnsi="Symbol" w:eastAsia="宋体" w:cs="Symbol"/>
          <w:color w:val="000000"/>
          <w:sz w:val="24"/>
          <w:szCs w:val="24"/>
          <w:lang w:val="en-US" w:eastAsia="zh-CN" w:bidi="ar-SA"/>
        </w:rPr>
        <w:t>，允差</w:t>
      </w:r>
      <w:r>
        <w:rPr>
          <w:rFonts w:hint="eastAsia" w:ascii="宋体" w:hAnsi="宋体"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7D88E55B">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调制波：调制波波形为双向方波；≥</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个处方，调制频率</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，允差</w:t>
      </w:r>
      <w:r>
        <w:rPr>
          <w:rFonts w:hint="eastAsia" w:ascii="宋体" w:hAnsi="宋体"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34257167">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调幅度：调幅度为</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％，允差</w:t>
      </w:r>
      <w:r>
        <w:rPr>
          <w:rFonts w:hint="eastAsia" w:ascii="宋体" w:hAnsi="宋体"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6612F8FA">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输出电流：在</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Ω的负载下，输出电流</w:t>
      </w:r>
      <w:r>
        <w:rPr>
          <w:rFonts w:hint="eastAsia" w:ascii="宋体" w:hAnsi="宋体"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6130DDE1">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输出电流稳定度：不同负载下的输出电流变化率</w:t>
      </w:r>
      <w:r>
        <w:rPr>
          <w:rFonts w:hint="eastAsia" w:ascii="宋体" w:hAnsi="宋体"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084EA375">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治疗时间：</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ascii="Tahoma" w:hAnsi="Tahoma" w:eastAsia="宋体" w:cs="Tahoma"/>
          <w:color w:val="000000"/>
          <w:sz w:val="24"/>
          <w:szCs w:val="24"/>
          <w:lang w:val="en-US" w:eastAsia="zh-CN" w:bidi="ar-SA"/>
        </w:rPr>
        <w:t>min</w:t>
      </w:r>
      <w:r>
        <w:rPr>
          <w:rFonts w:hint="eastAsia" w:ascii="Symbol" w:hAnsi="Symbol" w:eastAsia="宋体" w:cs="Symbol"/>
          <w:color w:val="000000"/>
          <w:sz w:val="24"/>
          <w:szCs w:val="24"/>
          <w:lang w:val="en-US" w:eastAsia="zh-CN" w:bidi="ar-SA"/>
        </w:rPr>
        <w:t>可调，步进</w:t>
      </w:r>
      <w:r>
        <w:rPr>
          <w:rFonts w:ascii="Symbol" w:hAnsi="Symbol" w:eastAsia="宋体" w:cs="Symbol"/>
          <w:color w:val="000000"/>
          <w:sz w:val="24"/>
          <w:szCs w:val="24"/>
          <w:lang w:val="en-US" w:eastAsia="zh-CN" w:bidi="ar-SA"/>
        </w:rPr>
        <w:t></w:t>
      </w:r>
      <w:r>
        <w:rPr>
          <w:rFonts w:ascii="Tahoma" w:hAnsi="Tahoma" w:eastAsia="宋体" w:cs="Tahoma"/>
          <w:color w:val="000000"/>
          <w:sz w:val="24"/>
          <w:szCs w:val="24"/>
          <w:lang w:val="en-US" w:eastAsia="zh-CN" w:bidi="ar-SA"/>
        </w:rPr>
        <w:t>min</w:t>
      </w:r>
      <w:r>
        <w:rPr>
          <w:rFonts w:hint="eastAsia" w:ascii="Symbol" w:hAnsi="Symbol" w:eastAsia="宋体" w:cs="Symbol"/>
          <w:color w:val="000000"/>
          <w:sz w:val="24"/>
          <w:szCs w:val="24"/>
          <w:lang w:val="en-US" w:eastAsia="zh-CN" w:bidi="ar-SA"/>
        </w:rPr>
        <w:t>，允差</w:t>
      </w:r>
      <w:r>
        <w:rPr>
          <w:rFonts w:hint="eastAsia" w:ascii="宋体" w:hAnsi="宋体"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宋体" w:hAnsi="宋体" w:eastAsia="宋体" w:cs="Symbol"/>
          <w:color w:val="000000"/>
          <w:sz w:val="24"/>
          <w:szCs w:val="24"/>
          <w:lang w:val="en-US" w:eastAsia="zh-CN" w:bidi="ar-SA"/>
        </w:rPr>
        <w:t>s</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p>
    <w:p w14:paraId="0A679852">
      <w:pPr>
        <w:widowControl w:val="0"/>
        <w:autoSpaceDE w:val="0"/>
        <w:autoSpaceDN w:val="0"/>
        <w:adjustRightInd w:val="0"/>
        <w:spacing w:line="360" w:lineRule="auto"/>
        <w:rPr>
          <w:rFonts w:ascii="Symbol" w:hAnsi="Symbol" w:eastAsia="宋体" w:cs="Symbol"/>
          <w:color w:val="000000"/>
          <w:sz w:val="24"/>
          <w:szCs w:val="24"/>
          <w:lang w:val="en-US" w:eastAsia="zh-CN" w:bidi="ar-SA"/>
        </w:rPr>
      </w:pP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组成：由主机（含电脉冲、子午流注开穴法选穴功能模块）、电极和导线组成。</w:t>
      </w:r>
    </w:p>
    <w:p w14:paraId="1AEDC15D">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.通道≥</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路、输出≥</w:t>
      </w:r>
      <w:r>
        <w:rPr>
          <w:rFonts w:ascii="Symbol" w:hAnsi="Symbol" w:eastAsia="宋体" w:cs="Symbol"/>
          <w:color w:val="000000"/>
          <w:sz w:val="24"/>
          <w:szCs w:val="24"/>
          <w:lang w:val="en-US" w:eastAsia="zh-CN" w:bidi="ar-SA"/>
        </w:rPr>
        <w:t></w:t>
      </w:r>
      <w:r>
        <w:rPr>
          <w:rFonts w:hint="eastAsia" w:ascii="Symbol" w:hAnsi="Symbol" w:eastAsia="宋体" w:cs="Symbol"/>
          <w:color w:val="000000"/>
          <w:sz w:val="24"/>
          <w:szCs w:val="24"/>
          <w:lang w:val="en-US" w:eastAsia="zh-CN" w:bidi="ar-SA"/>
        </w:rPr>
        <w:t>路、可同时治疗多位患者。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roman"/>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Shruti">
    <w:altName w:val="Segoe UI Symbol"/>
    <w:panose1 w:val="020B0502040204020203"/>
    <w:charset w:val="00"/>
    <w:family w:val="swiss"/>
    <w:pitch w:val="default"/>
    <w:sig w:usb0="00000000" w:usb1="00000000" w:usb2="00000000" w:usb3="00000000" w:csb0="00000001" w:csb1="00000000"/>
  </w:font>
  <w:font w:name="Tahoma">
    <w:panose1 w:val="020B0604030504040204"/>
    <w:charset w:val="00"/>
    <w:family w:val="roman"/>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9EB9"/>
    <w:multiLevelType w:val="singleLevel"/>
    <w:tmpl w:val="E6629EB9"/>
    <w:lvl w:ilvl="0" w:tentative="0">
      <w:start w:val="2"/>
      <w:numFmt w:val="decimal"/>
      <w:suff w:val="space"/>
      <w:lvlText w:val="%1."/>
      <w:lvlJc w:val="left"/>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F36A7"/>
    <w:rsid w:val="4FBF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2026-01-05T03:13:00Z</dcterms:created>
  <dc:creator>Betsy.</dc:creator>
  <cp:lastModifiedBy>Betsy.</cp:lastModifiedBy>
  <dcterms:modified xsi:type="dcterms:W3CDTF">2026-01-05T03:14:54Z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B7048DAC95C84ABEB030226A02E88D45_11</vt:lpwstr>
  </property>
  <property fmtid="{D5CDD505-2E9C-101B-9397-08002B2CF9AE}" pid="4" name="KSOTemplateDocerSaveRecord">
    <vt:lpwstr>eyJoZGlkIjoiYzJkNmQ0NDE4YzEzNGRmM2Y2YjQ4M2I3YzVkZjVlNzUiLCJ1c2VySWQiOiI4NDk5MDcwMTEifQ==</vt:lpwstr>
  </property>
</Properties>
</file>