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DDBAB">
      <w:pPr>
        <w:widowControl/>
        <w:jc w:val="left"/>
        <w:rPr>
          <w:rFonts w:hint="eastAsia" w:asciiTheme="minorEastAsia" w:hAnsiTheme="minorEastAsia" w:eastAsiaTheme="minorEastAsia" w:cstheme="minorEastAsia"/>
          <w:sz w:val="28"/>
          <w:szCs w:val="28"/>
        </w:rPr>
      </w:pPr>
    </w:p>
    <w:p w14:paraId="044327C2">
      <w:pPr>
        <w:pStyle w:val="3"/>
        <w:tabs>
          <w:tab w:val="left" w:pos="0"/>
        </w:tabs>
        <w:autoSpaceDE w:val="0"/>
        <w:autoSpaceDN w:val="0"/>
        <w:adjustRightInd w:val="0"/>
        <w:spacing w:before="0" w:after="0" w:line="360" w:lineRule="auto"/>
        <w:jc w:val="center"/>
        <w:rPr>
          <w:rFonts w:hint="eastAsia" w:asciiTheme="minorEastAsia" w:hAnsiTheme="minorEastAsia" w:eastAsiaTheme="minorEastAsia" w:cstheme="minorEastAsia"/>
        </w:rPr>
      </w:pPr>
      <w:bookmarkStart w:id="0" w:name="_Toc35393797"/>
      <w:bookmarkStart w:id="1" w:name="_Toc28359011"/>
      <w:r>
        <w:rPr>
          <w:rFonts w:hint="eastAsia" w:asciiTheme="minorEastAsia" w:hAnsiTheme="minorEastAsia" w:eastAsiaTheme="minorEastAsia" w:cstheme="minorEastAsia"/>
        </w:rPr>
        <w:t>竞争性磋商公告</w:t>
      </w:r>
      <w:bookmarkEnd w:id="0"/>
      <w:bookmarkEnd w:id="1"/>
    </w:p>
    <w:p w14:paraId="3FA8738C">
      <w:pPr>
        <w:rPr>
          <w:rFonts w:hint="eastAsia" w:asciiTheme="minorEastAsia" w:hAnsiTheme="minorEastAsia" w:eastAsiaTheme="minorEastAsia" w:cstheme="minorEastAsia"/>
        </w:rPr>
      </w:pPr>
    </w:p>
    <w:p w14:paraId="0DE46AE4">
      <w:pPr>
        <w:pBdr>
          <w:top w:val="single" w:color="auto" w:sz="4" w:space="1"/>
          <w:left w:val="single" w:color="auto" w:sz="4" w:space="4"/>
          <w:bottom w:val="single" w:color="auto" w:sz="4" w:space="1"/>
          <w:right w:val="single" w:color="auto" w:sz="4" w:space="4"/>
        </w:pBdr>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项目概况</w:t>
      </w:r>
    </w:p>
    <w:p w14:paraId="5715FC16">
      <w:pPr>
        <w:pBdr>
          <w:top w:val="single" w:color="auto" w:sz="4" w:space="1"/>
          <w:left w:val="single" w:color="auto" w:sz="4" w:space="4"/>
          <w:bottom w:val="single" w:color="auto" w:sz="4" w:space="1"/>
          <w:right w:val="single" w:color="auto" w:sz="4" w:space="4"/>
        </w:pBdr>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u w:val="single"/>
          <w:lang w:eastAsia="zh-CN"/>
        </w:rPr>
        <w:t>2026-2027大兴区高米店街道办事处物业管理服务采购项目</w:t>
      </w:r>
      <w:r>
        <w:rPr>
          <w:rFonts w:hint="eastAsia" w:asciiTheme="minorEastAsia" w:hAnsiTheme="minorEastAsia" w:eastAsiaTheme="minorEastAsia" w:cstheme="minorEastAsia"/>
          <w:sz w:val="24"/>
          <w:szCs w:val="24"/>
        </w:rPr>
        <w:t xml:space="preserve"> 采购项目的潜在供应商应在</w:t>
      </w:r>
      <w:r>
        <w:rPr>
          <w:rFonts w:hint="eastAsia" w:asciiTheme="minorEastAsia" w:hAnsiTheme="minorEastAsia" w:eastAsiaTheme="minorEastAsia" w:cstheme="minorEastAsia"/>
          <w:sz w:val="24"/>
          <w:szCs w:val="24"/>
          <w:u w:val="single"/>
        </w:rPr>
        <w:t>北京市政府采购电子交易平台</w:t>
      </w:r>
      <w:r>
        <w:rPr>
          <w:rFonts w:hint="eastAsia" w:asciiTheme="minorEastAsia" w:hAnsiTheme="minorEastAsia" w:eastAsiaTheme="minorEastAsia" w:cstheme="minorEastAsia"/>
          <w:sz w:val="24"/>
          <w:szCs w:val="24"/>
        </w:rPr>
        <w:t>获取采购</w:t>
      </w:r>
      <w:r>
        <w:rPr>
          <w:rFonts w:hint="eastAsia" w:asciiTheme="minorEastAsia" w:hAnsiTheme="minorEastAsia" w:eastAsiaTheme="minorEastAsia" w:cstheme="minorEastAsia"/>
          <w:color w:val="auto"/>
          <w:sz w:val="24"/>
          <w:szCs w:val="24"/>
        </w:rPr>
        <w:t>文件，并于</w:t>
      </w:r>
      <w:r>
        <w:rPr>
          <w:rFonts w:hint="eastAsia" w:asciiTheme="minorEastAsia" w:hAnsiTheme="minorEastAsia" w:eastAsiaTheme="minorEastAsia" w:cstheme="minorEastAsia"/>
          <w:color w:val="auto"/>
          <w:sz w:val="24"/>
          <w:szCs w:val="24"/>
          <w:u w:val="single"/>
          <w:lang w:val="en-US" w:eastAsia="zh-CN"/>
        </w:rPr>
        <w:t>2026</w:t>
      </w:r>
      <w:r>
        <w:rPr>
          <w:rFonts w:hint="eastAsia" w:asciiTheme="minorEastAsia" w:hAnsiTheme="minorEastAsia" w:eastAsiaTheme="minorEastAsia" w:cstheme="minorEastAsia"/>
          <w:bCs/>
          <w:color w:val="auto"/>
          <w:sz w:val="24"/>
          <w:szCs w:val="24"/>
          <w:u w:val="single"/>
        </w:rPr>
        <w:t xml:space="preserve">年 </w:t>
      </w:r>
      <w:r>
        <w:rPr>
          <w:rFonts w:hint="eastAsia" w:asciiTheme="minorEastAsia" w:hAnsiTheme="minorEastAsia" w:eastAsiaTheme="minorEastAsia" w:cstheme="minorEastAsia"/>
          <w:bCs/>
          <w:color w:val="auto"/>
          <w:sz w:val="24"/>
          <w:szCs w:val="24"/>
          <w:u w:val="single"/>
          <w:lang w:val="en-US" w:eastAsia="zh-CN"/>
        </w:rPr>
        <w:t>10</w:t>
      </w:r>
      <w:r>
        <w:rPr>
          <w:rFonts w:hint="eastAsia" w:asciiTheme="minorEastAsia" w:hAnsiTheme="minorEastAsia" w:eastAsiaTheme="minorEastAsia" w:cstheme="minorEastAsia"/>
          <w:bCs/>
          <w:color w:val="auto"/>
          <w:sz w:val="24"/>
          <w:szCs w:val="24"/>
          <w:u w:val="single"/>
        </w:rPr>
        <w:t>月</w:t>
      </w:r>
      <w:r>
        <w:rPr>
          <w:rFonts w:hint="eastAsia" w:asciiTheme="minorEastAsia" w:hAnsiTheme="minorEastAsia" w:eastAsiaTheme="minorEastAsia" w:cstheme="minorEastAsia"/>
          <w:bCs/>
          <w:color w:val="auto"/>
          <w:sz w:val="24"/>
          <w:szCs w:val="24"/>
          <w:u w:val="single"/>
          <w:lang w:val="en-US" w:eastAsia="zh-CN"/>
        </w:rPr>
        <w:t>26</w:t>
      </w:r>
      <w:r>
        <w:rPr>
          <w:rFonts w:hint="eastAsia" w:asciiTheme="minorEastAsia" w:hAnsiTheme="minorEastAsia" w:eastAsiaTheme="minorEastAsia" w:cstheme="minorEastAsia"/>
          <w:bCs/>
          <w:color w:val="auto"/>
          <w:sz w:val="24"/>
          <w:szCs w:val="24"/>
          <w:u w:val="single"/>
        </w:rPr>
        <w:t xml:space="preserve">日 </w:t>
      </w:r>
      <w:r>
        <w:rPr>
          <w:rFonts w:hint="eastAsia" w:asciiTheme="minorEastAsia" w:hAnsiTheme="minorEastAsia" w:eastAsiaTheme="minorEastAsia" w:cstheme="minorEastAsia"/>
          <w:bCs/>
          <w:color w:val="auto"/>
          <w:sz w:val="24"/>
          <w:szCs w:val="24"/>
          <w:u w:val="single"/>
          <w:lang w:val="en-US" w:eastAsia="zh-CN"/>
        </w:rPr>
        <w:t>9</w:t>
      </w:r>
      <w:r>
        <w:rPr>
          <w:rFonts w:hint="eastAsia" w:asciiTheme="minorEastAsia" w:hAnsiTheme="minorEastAsia" w:eastAsiaTheme="minorEastAsia" w:cstheme="minorEastAsia"/>
          <w:bCs/>
          <w:color w:val="auto"/>
          <w:sz w:val="24"/>
          <w:szCs w:val="24"/>
          <w:u w:val="single"/>
        </w:rPr>
        <w:t xml:space="preserve"> 点 </w:t>
      </w:r>
      <w:r>
        <w:rPr>
          <w:rFonts w:hint="eastAsia" w:asciiTheme="minorEastAsia" w:hAnsiTheme="minorEastAsia" w:eastAsiaTheme="minorEastAsia" w:cstheme="minorEastAsia"/>
          <w:bCs/>
          <w:color w:val="auto"/>
          <w:sz w:val="24"/>
          <w:szCs w:val="24"/>
          <w:u w:val="single"/>
          <w:lang w:val="en-US" w:eastAsia="zh-CN"/>
        </w:rPr>
        <w:t>30</w:t>
      </w:r>
      <w:r>
        <w:rPr>
          <w:rFonts w:hint="eastAsia" w:asciiTheme="minorEastAsia" w:hAnsiTheme="minorEastAsia" w:eastAsiaTheme="minorEastAsia" w:cstheme="minorEastAsia"/>
          <w:bCs/>
          <w:color w:val="auto"/>
          <w:sz w:val="24"/>
          <w:szCs w:val="24"/>
          <w:u w:val="single"/>
        </w:rPr>
        <w:t>分</w:t>
      </w:r>
      <w:r>
        <w:rPr>
          <w:rFonts w:hint="eastAsia" w:asciiTheme="minorEastAsia" w:hAnsiTheme="minorEastAsia" w:eastAsiaTheme="minorEastAsia" w:cstheme="minorEastAsia"/>
          <w:bCs/>
          <w:color w:val="auto"/>
          <w:sz w:val="24"/>
          <w:szCs w:val="24"/>
        </w:rPr>
        <w:t>（北京时间）前提交响应文件</w:t>
      </w:r>
      <w:r>
        <w:rPr>
          <w:rFonts w:hint="eastAsia" w:asciiTheme="minorEastAsia" w:hAnsiTheme="minorEastAsia" w:eastAsiaTheme="minorEastAsia" w:cstheme="minorEastAsia"/>
          <w:color w:val="auto"/>
          <w:sz w:val="24"/>
          <w:szCs w:val="24"/>
        </w:rPr>
        <w:t>。</w:t>
      </w:r>
    </w:p>
    <w:p w14:paraId="3408423C">
      <w:pPr>
        <w:rPr>
          <w:rFonts w:hint="eastAsia" w:asciiTheme="minorEastAsia" w:hAnsiTheme="minorEastAsia" w:eastAsiaTheme="minorEastAsia" w:cstheme="minorEastAsia"/>
          <w:color w:val="auto"/>
          <w:sz w:val="24"/>
          <w:szCs w:val="24"/>
        </w:rPr>
      </w:pPr>
    </w:p>
    <w:p w14:paraId="32E1D17B">
      <w:pPr>
        <w:pStyle w:val="4"/>
        <w:spacing w:line="360" w:lineRule="auto"/>
        <w:rPr>
          <w:rFonts w:hint="eastAsia" w:asciiTheme="minorEastAsia" w:hAnsiTheme="minorEastAsia" w:eastAsiaTheme="minorEastAsia" w:cstheme="minorEastAsia"/>
          <w:b w:val="0"/>
          <w:color w:val="auto"/>
          <w:sz w:val="24"/>
          <w:szCs w:val="24"/>
        </w:rPr>
      </w:pPr>
      <w:bookmarkStart w:id="2" w:name="_Toc28359089"/>
      <w:bookmarkStart w:id="3" w:name="_Toc35393798"/>
      <w:bookmarkStart w:id="4" w:name="_Toc35393629"/>
      <w:bookmarkStart w:id="5" w:name="_Toc28359012"/>
      <w:r>
        <w:rPr>
          <w:rFonts w:hint="eastAsia" w:asciiTheme="minorEastAsia" w:hAnsiTheme="minorEastAsia" w:eastAsiaTheme="minorEastAsia" w:cstheme="minorEastAsia"/>
          <w:b w:val="0"/>
          <w:color w:val="auto"/>
          <w:sz w:val="24"/>
          <w:szCs w:val="24"/>
        </w:rPr>
        <w:t>一、项目基本情况</w:t>
      </w:r>
      <w:bookmarkEnd w:id="2"/>
      <w:bookmarkEnd w:id="3"/>
      <w:bookmarkEnd w:id="4"/>
      <w:bookmarkEnd w:id="5"/>
    </w:p>
    <w:p w14:paraId="71ABC4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项目编号</w:t>
      </w:r>
      <w:r>
        <w:rPr>
          <w:rFonts w:hint="eastAsia" w:asciiTheme="minorEastAsia" w:hAnsiTheme="minorEastAsia" w:eastAsiaTheme="minorEastAsia" w:cstheme="minorEastAsia"/>
          <w:color w:val="auto"/>
          <w:sz w:val="24"/>
          <w:szCs w:val="24"/>
          <w:lang w:eastAsia="zh-CN"/>
        </w:rPr>
        <w:t>：11011526210200034952-XM001</w:t>
      </w:r>
    </w:p>
    <w:p w14:paraId="044820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u w:val="single"/>
          <w:lang w:eastAsia="zh-CN"/>
        </w:rPr>
      </w:pPr>
      <w:r>
        <w:rPr>
          <w:rFonts w:hint="eastAsia" w:asciiTheme="minorEastAsia" w:hAnsiTheme="minorEastAsia" w:eastAsiaTheme="minorEastAsia" w:cstheme="minorEastAsia"/>
          <w:color w:val="auto"/>
          <w:sz w:val="24"/>
          <w:szCs w:val="24"/>
        </w:rPr>
        <w:t>项目名称：</w:t>
      </w:r>
      <w:r>
        <w:rPr>
          <w:rFonts w:hint="eastAsia" w:asciiTheme="minorEastAsia" w:hAnsiTheme="minorEastAsia" w:eastAsiaTheme="minorEastAsia" w:cstheme="minorEastAsia"/>
          <w:color w:val="auto"/>
          <w:sz w:val="24"/>
          <w:szCs w:val="24"/>
          <w:lang w:eastAsia="zh-CN"/>
        </w:rPr>
        <w:t>2026-2027大兴区高米店街道办事处物业管理服务采购项目</w:t>
      </w:r>
    </w:p>
    <w:p w14:paraId="79834B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采购方式：</w:t>
      </w:r>
      <w:r>
        <w:rPr>
          <w:rFonts w:hint="eastAsia" w:ascii="Times New Roman" w:hAnsi="Times New Roman" w:cs="Times New Roman" w:eastAsiaTheme="minorEastAsia"/>
          <w:kern w:val="2"/>
          <w:sz w:val="21"/>
          <w:szCs w:val="21"/>
          <w:lang w:val="en-US" w:eastAsia="zh-CN" w:bidi="ar-SA"/>
        </w:rPr>
        <w:t>□</w:t>
      </w:r>
      <w:r>
        <w:rPr>
          <w:rFonts w:hint="eastAsia" w:asciiTheme="minorEastAsia" w:hAnsiTheme="minorEastAsia" w:eastAsiaTheme="minorEastAsia" w:cstheme="minorEastAsia"/>
          <w:color w:val="auto"/>
          <w:sz w:val="24"/>
          <w:szCs w:val="24"/>
        </w:rPr>
        <w:t>竞争性谈判</w:t>
      </w:r>
      <w:r>
        <w:rPr>
          <w:rFonts w:hint="eastAsia" w:ascii="Times New Roman" w:hAnsi="Times New Roman" w:cs="Times New Roman" w:eastAsiaTheme="minorEastAsia"/>
          <w:kern w:val="2"/>
          <w:sz w:val="21"/>
          <w:szCs w:val="21"/>
          <w:lang w:val="en-US" w:eastAsia="zh-CN" w:bidi="ar-SA"/>
        </w:rPr>
        <w:t xml:space="preserve"> ■</w:t>
      </w:r>
      <w:r>
        <w:rPr>
          <w:rFonts w:hint="eastAsia" w:asciiTheme="minorEastAsia" w:hAnsiTheme="minorEastAsia" w:eastAsiaTheme="minorEastAsia" w:cstheme="minorEastAsia"/>
          <w:color w:val="auto"/>
          <w:sz w:val="24"/>
          <w:szCs w:val="24"/>
        </w:rPr>
        <w:t>竞争性磋商</w:t>
      </w:r>
      <w:r>
        <w:rPr>
          <w:rFonts w:hint="eastAsia" w:ascii="Times New Roman" w:hAnsi="Times New Roman" w:cs="Times New Roman" w:eastAsiaTheme="minorEastAsia"/>
          <w:kern w:val="2"/>
          <w:sz w:val="21"/>
          <w:szCs w:val="21"/>
          <w:lang w:val="en-US" w:eastAsia="zh-CN" w:bidi="ar-SA"/>
        </w:rPr>
        <w:t xml:space="preserve"> □</w:t>
      </w:r>
      <w:r>
        <w:rPr>
          <w:rFonts w:hint="eastAsia" w:asciiTheme="minorEastAsia" w:hAnsiTheme="minorEastAsia" w:eastAsiaTheme="minorEastAsia" w:cstheme="minorEastAsia"/>
          <w:color w:val="auto"/>
          <w:sz w:val="24"/>
          <w:szCs w:val="24"/>
        </w:rPr>
        <w:t>询价</w:t>
      </w:r>
    </w:p>
    <w:p w14:paraId="4A52B1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预算金额：332万元</w:t>
      </w:r>
    </w:p>
    <w:p w14:paraId="2C2026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最高限价：332万元</w:t>
      </w:r>
    </w:p>
    <w:p w14:paraId="68679B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u w:val="single"/>
          <w:lang w:val="en-US" w:eastAsia="zh-CN"/>
        </w:rPr>
      </w:pPr>
      <w:r>
        <w:rPr>
          <w:rFonts w:hint="eastAsia" w:asciiTheme="minorEastAsia" w:hAnsiTheme="minorEastAsia" w:eastAsiaTheme="minorEastAsia" w:cstheme="minorEastAsia"/>
          <w:color w:val="auto"/>
          <w:sz w:val="24"/>
          <w:szCs w:val="24"/>
        </w:rPr>
        <w:t>采购需求：</w:t>
      </w:r>
      <w:r>
        <w:rPr>
          <w:rFonts w:hint="eastAsia" w:asciiTheme="minorEastAsia" w:hAnsiTheme="minorEastAsia" w:eastAsiaTheme="minorEastAsia" w:cstheme="minorEastAsia"/>
          <w:color w:val="auto"/>
          <w:sz w:val="24"/>
          <w:szCs w:val="24"/>
          <w:lang w:val="en-US" w:eastAsia="zh-CN"/>
        </w:rPr>
        <w:t>详见附件</w:t>
      </w:r>
    </w:p>
    <w:p w14:paraId="377F5C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合同履行期限：一年</w:t>
      </w:r>
    </w:p>
    <w:p w14:paraId="50CE0D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w:t>
      </w:r>
      <w:r>
        <w:rPr>
          <w:rFonts w:hint="eastAsia" w:asciiTheme="minorEastAsia" w:hAnsiTheme="minorEastAsia" w:eastAsiaTheme="minorEastAsia" w:cstheme="minorEastAsia"/>
          <w:sz w:val="24"/>
          <w:szCs w:val="24"/>
          <w:lang w:val="en-US" w:eastAsia="zh-CN"/>
        </w:rPr>
        <w:t>不接受</w:t>
      </w:r>
      <w:r>
        <w:rPr>
          <w:rFonts w:hint="eastAsia" w:asciiTheme="minorEastAsia" w:hAnsiTheme="minorEastAsia" w:eastAsiaTheme="minorEastAsia" w:cstheme="minorEastAsia"/>
          <w:sz w:val="24"/>
          <w:szCs w:val="24"/>
        </w:rPr>
        <w:t>联合体。</w:t>
      </w:r>
    </w:p>
    <w:p w14:paraId="63899B9C">
      <w:pPr>
        <w:pStyle w:val="4"/>
        <w:spacing w:line="360" w:lineRule="auto"/>
        <w:rPr>
          <w:rFonts w:hint="eastAsia" w:asciiTheme="minorEastAsia" w:hAnsiTheme="minorEastAsia" w:eastAsiaTheme="minorEastAsia" w:cstheme="minorEastAsia"/>
          <w:b w:val="0"/>
          <w:sz w:val="24"/>
          <w:szCs w:val="24"/>
        </w:rPr>
      </w:pPr>
      <w:bookmarkStart w:id="6" w:name="_Toc35393799"/>
      <w:bookmarkStart w:id="7" w:name="_Toc28359090"/>
      <w:bookmarkStart w:id="8" w:name="_Toc35393630"/>
      <w:bookmarkStart w:id="9" w:name="_Toc28359013"/>
      <w:r>
        <w:rPr>
          <w:rFonts w:hint="eastAsia" w:asciiTheme="minorEastAsia" w:hAnsiTheme="minorEastAsia" w:eastAsiaTheme="minorEastAsia" w:cstheme="minorEastAsia"/>
          <w:b w:val="0"/>
          <w:sz w:val="24"/>
          <w:szCs w:val="24"/>
        </w:rPr>
        <w:t>二、申请人的资格要求：</w:t>
      </w:r>
      <w:bookmarkEnd w:id="6"/>
      <w:bookmarkEnd w:id="7"/>
      <w:bookmarkEnd w:id="8"/>
      <w:bookmarkEnd w:id="9"/>
    </w:p>
    <w:p w14:paraId="44426A4D">
      <w:pPr>
        <w:pStyle w:val="7"/>
        <w:keepNext w:val="0"/>
        <w:keepLines w:val="0"/>
        <w:pageBreakBefore w:val="0"/>
        <w:wordWrap/>
        <w:overflowPunct/>
        <w:topLinePunct w:val="0"/>
        <w:autoSpaceDE w:val="0"/>
        <w:autoSpaceDN w:val="0"/>
        <w:bidi w:val="0"/>
        <w:adjustRightInd w:val="0"/>
        <w:spacing w:line="360" w:lineRule="auto"/>
        <w:ind w:left="0" w:leftChars="0" w:right="0" w:firstLine="236" w:firstLineChars="100"/>
        <w:rPr>
          <w:rFonts w:hint="eastAsia" w:asciiTheme="minorEastAsia" w:hAnsiTheme="minorEastAsia" w:eastAsiaTheme="minorEastAsia" w:cstheme="minorEastAsia"/>
          <w:sz w:val="24"/>
          <w:szCs w:val="24"/>
        </w:rPr>
      </w:pPr>
      <w:bookmarkStart w:id="10" w:name="_Toc28359091"/>
      <w:bookmarkStart w:id="11" w:name="_Toc28359014"/>
      <w:r>
        <w:rPr>
          <w:rFonts w:hint="eastAsia" w:asciiTheme="minorEastAsia" w:hAnsiTheme="minorEastAsia" w:eastAsiaTheme="minorEastAsia" w:cstheme="minorEastAsia"/>
          <w:spacing w:val="-2"/>
          <w:sz w:val="24"/>
          <w:szCs w:val="24"/>
        </w:rPr>
        <w:t>1.满足《中华人民共和国政府采购法》第二十二</w:t>
      </w:r>
      <w:r>
        <w:rPr>
          <w:rFonts w:hint="eastAsia" w:asciiTheme="minorEastAsia" w:hAnsiTheme="minorEastAsia" w:eastAsiaTheme="minorEastAsia" w:cstheme="minorEastAsia"/>
          <w:spacing w:val="-2"/>
          <w:sz w:val="24"/>
          <w:szCs w:val="24"/>
          <w:lang w:eastAsia="zh-CN"/>
        </w:rPr>
        <w:t>条规定；</w:t>
      </w:r>
    </w:p>
    <w:p w14:paraId="4E105AF3">
      <w:pPr>
        <w:pStyle w:val="7"/>
        <w:keepNext w:val="0"/>
        <w:keepLines w:val="0"/>
        <w:pageBreakBefore w:val="0"/>
        <w:wordWrap/>
        <w:overflowPunct/>
        <w:topLinePunct w:val="0"/>
        <w:autoSpaceDE w:val="0"/>
        <w:autoSpaceDN w:val="0"/>
        <w:bidi w:val="0"/>
        <w:adjustRightInd w:val="0"/>
        <w:spacing w:line="360" w:lineRule="auto"/>
        <w:ind w:left="0" w:leftChars="0" w:right="0" w:firstLine="234"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2.落实政府采购政策需满足的资格要求：</w:t>
      </w:r>
    </w:p>
    <w:p w14:paraId="3E0BA53F">
      <w:pPr>
        <w:pStyle w:val="7"/>
        <w:keepNext w:val="0"/>
        <w:keepLines w:val="0"/>
        <w:pageBreakBefore w:val="0"/>
        <w:wordWrap/>
        <w:overflowPunct/>
        <w:topLinePunct w:val="0"/>
        <w:autoSpaceDE w:val="0"/>
        <w:autoSpaceDN w:val="0"/>
        <w:bidi w:val="0"/>
        <w:adjustRightInd w:val="0"/>
        <w:spacing w:line="360" w:lineRule="auto"/>
        <w:ind w:left="0" w:leftChars="0" w:right="0" w:firstLine="484"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2.1  中小企业政策</w:t>
      </w:r>
    </w:p>
    <w:p w14:paraId="0B6A0DAE">
      <w:pPr>
        <w:pStyle w:val="7"/>
        <w:keepNext w:val="0"/>
        <w:keepLines w:val="0"/>
        <w:pageBreakBefore w:val="0"/>
        <w:wordWrap/>
        <w:overflowPunct/>
        <w:topLinePunct w:val="0"/>
        <w:autoSpaceDE w:val="0"/>
        <w:autoSpaceDN w:val="0"/>
        <w:bidi w:val="0"/>
        <w:adjustRightInd w:val="0"/>
        <w:spacing w:line="360" w:lineRule="auto"/>
        <w:ind w:left="0" w:leftChars="0" w:right="0" w:firstLine="363" w:firstLineChars="173"/>
        <w:rPr>
          <w:rFonts w:hint="eastAsia" w:asciiTheme="minorEastAsia" w:hAnsiTheme="minorEastAsia" w:eastAsiaTheme="minorEastAsia" w:cstheme="minorEastAsia"/>
          <w:sz w:val="24"/>
          <w:szCs w:val="24"/>
        </w:rPr>
      </w:pPr>
      <w:r>
        <w:rPr>
          <w:rFonts w:hint="eastAsia" w:ascii="Times New Roman" w:hAnsi="Times New Roman" w:cs="Times New Roman" w:eastAsiaTheme="minorEastAsia"/>
          <w:kern w:val="2"/>
          <w:sz w:val="21"/>
          <w:szCs w:val="21"/>
          <w:lang w:val="en-US" w:eastAsia="zh-CN" w:bidi="ar-SA"/>
        </w:rPr>
        <w:t>□</w:t>
      </w:r>
      <w:r>
        <w:rPr>
          <w:rFonts w:hint="eastAsia" w:asciiTheme="minorEastAsia" w:hAnsiTheme="minorEastAsia" w:eastAsiaTheme="minorEastAsia" w:cstheme="minorEastAsia"/>
          <w:spacing w:val="1"/>
          <w:sz w:val="24"/>
          <w:szCs w:val="24"/>
        </w:rPr>
        <w:t>本项目不专门面向中小企业预留采购份额。</w:t>
      </w:r>
    </w:p>
    <w:p w14:paraId="1318F199">
      <w:pPr>
        <w:pStyle w:val="7"/>
        <w:keepNext w:val="0"/>
        <w:keepLines w:val="0"/>
        <w:pageBreakBefore w:val="0"/>
        <w:wordWrap/>
        <w:overflowPunct/>
        <w:topLinePunct w:val="0"/>
        <w:autoSpaceDE w:val="0"/>
        <w:autoSpaceDN w:val="0"/>
        <w:bidi w:val="0"/>
        <w:adjustRightInd w:val="0"/>
        <w:spacing w:line="360" w:lineRule="auto"/>
        <w:ind w:left="0" w:leftChars="0" w:right="0" w:firstLine="340" w:firstLineChars="162"/>
        <w:rPr>
          <w:rFonts w:hint="eastAsia" w:asciiTheme="minorEastAsia" w:hAnsiTheme="minorEastAsia" w:eastAsiaTheme="minorEastAsia" w:cstheme="minorEastAsia"/>
          <w:sz w:val="24"/>
          <w:szCs w:val="24"/>
        </w:rPr>
      </w:pPr>
      <w:r>
        <w:rPr>
          <w:rFonts w:hint="eastAsia" w:ascii="Times New Roman" w:hAnsi="Times New Roman" w:cs="Times New Roman" w:eastAsiaTheme="minorEastAsia"/>
          <w:kern w:val="2"/>
          <w:sz w:val="21"/>
          <w:szCs w:val="21"/>
          <w:lang w:val="en-US" w:eastAsia="zh-CN" w:bidi="ar-SA"/>
        </w:rPr>
        <w:t>■</w:t>
      </w:r>
      <w:r>
        <w:rPr>
          <w:rFonts w:hint="eastAsia" w:asciiTheme="minorEastAsia" w:hAnsiTheme="minorEastAsia" w:eastAsiaTheme="minorEastAsia" w:cstheme="minorEastAsia"/>
          <w:spacing w:val="9"/>
          <w:sz w:val="24"/>
          <w:szCs w:val="24"/>
        </w:rPr>
        <w:t xml:space="preserve">本项目专门面向 </w:t>
      </w:r>
      <w:r>
        <w:rPr>
          <w:rFonts w:hint="eastAsia" w:ascii="Times New Roman" w:hAnsi="Times New Roman" w:cs="Times New Roman" w:eastAsiaTheme="minorEastAsia"/>
          <w:kern w:val="2"/>
          <w:sz w:val="21"/>
          <w:szCs w:val="21"/>
          <w:lang w:val="en-US" w:eastAsia="zh-CN" w:bidi="ar-SA"/>
        </w:rPr>
        <w:t>□中小 ■</w:t>
      </w:r>
      <w:r>
        <w:rPr>
          <w:rFonts w:hint="eastAsia" w:asciiTheme="minorEastAsia" w:hAnsiTheme="minorEastAsia" w:eastAsiaTheme="minorEastAsia" w:cstheme="minorEastAsia"/>
          <w:spacing w:val="9"/>
          <w:sz w:val="24"/>
          <w:szCs w:val="24"/>
        </w:rPr>
        <w:t>小微企业采购。即：即提供的货物全部由符合政策要求的小微企业制造、服务全部由符合政策要求的小微企业承接</w:t>
      </w:r>
      <w:r>
        <w:rPr>
          <w:rFonts w:hint="eastAsia" w:asciiTheme="minorEastAsia" w:hAnsiTheme="minorEastAsia" w:eastAsiaTheme="minorEastAsia" w:cstheme="minorEastAsia"/>
          <w:spacing w:val="-1"/>
          <w:sz w:val="24"/>
          <w:szCs w:val="24"/>
        </w:rPr>
        <w:t>。</w:t>
      </w:r>
    </w:p>
    <w:p w14:paraId="4E2E04E8">
      <w:pPr>
        <w:pStyle w:val="7"/>
        <w:keepNext w:val="0"/>
        <w:keepLines w:val="0"/>
        <w:pageBreakBefore w:val="0"/>
        <w:wordWrap/>
        <w:overflowPunct/>
        <w:topLinePunct w:val="0"/>
        <w:autoSpaceDE w:val="0"/>
        <w:autoSpaceDN w:val="0"/>
        <w:bidi w:val="0"/>
        <w:adjustRightInd w:val="0"/>
        <w:spacing w:line="360" w:lineRule="auto"/>
        <w:ind w:left="0" w:leftChars="0" w:right="0" w:firstLine="363" w:firstLineChars="173"/>
        <w:rPr>
          <w:rFonts w:hint="eastAsia" w:asciiTheme="minorEastAsia" w:hAnsiTheme="minorEastAsia" w:eastAsiaTheme="minorEastAsia" w:cstheme="minorEastAsia"/>
          <w:sz w:val="24"/>
          <w:szCs w:val="24"/>
        </w:rPr>
      </w:pPr>
      <w:r>
        <w:rPr>
          <w:rFonts w:hint="eastAsia" w:ascii="Times New Roman" w:hAnsi="Times New Roman" w:cs="Times New Roman" w:eastAsiaTheme="minorEastAsia"/>
          <w:kern w:val="2"/>
          <w:sz w:val="21"/>
          <w:szCs w:val="21"/>
          <w:lang w:val="en-US" w:eastAsia="zh-CN" w:bidi="ar-SA"/>
        </w:rPr>
        <w:t>□</w:t>
      </w:r>
      <w:r>
        <w:rPr>
          <w:rFonts w:hint="eastAsia" w:asciiTheme="minorEastAsia" w:hAnsiTheme="minorEastAsia" w:eastAsiaTheme="minorEastAsia" w:cstheme="minorEastAsia"/>
          <w:spacing w:val="1"/>
          <w:sz w:val="24"/>
          <w:szCs w:val="24"/>
        </w:rPr>
        <w:t>本项目预留部分采购项目预算专门面向中小企业采购</w:t>
      </w:r>
      <w:r>
        <w:rPr>
          <w:rFonts w:hint="eastAsia" w:asciiTheme="minorEastAsia" w:hAnsiTheme="minorEastAsia" w:eastAsiaTheme="minorEastAsia" w:cstheme="minorEastAsia"/>
          <w:sz w:val="24"/>
          <w:szCs w:val="24"/>
        </w:rPr>
        <w:t>。对于预留份额，提供的货</w:t>
      </w:r>
      <w:r>
        <w:rPr>
          <w:rFonts w:hint="eastAsia" w:asciiTheme="minorEastAsia" w:hAnsiTheme="minorEastAsia" w:eastAsiaTheme="minorEastAsia" w:cstheme="minorEastAsia"/>
          <w:spacing w:val="-2"/>
          <w:sz w:val="24"/>
          <w:szCs w:val="24"/>
        </w:rPr>
        <w:t>物由符合政策要求的中小企业制造、服务由符合政策要求的中小企业承接。预留份额通</w:t>
      </w:r>
      <w:r>
        <w:rPr>
          <w:rFonts w:hint="eastAsia" w:asciiTheme="minorEastAsia" w:hAnsiTheme="minorEastAsia" w:eastAsiaTheme="minorEastAsia" w:cstheme="minorEastAsia"/>
          <w:spacing w:val="-1"/>
          <w:sz w:val="24"/>
          <w:szCs w:val="24"/>
        </w:rPr>
        <w:t>过以下措施进行：</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pacing w:val="-1"/>
          <w:sz w:val="24"/>
          <w:szCs w:val="24"/>
        </w:rPr>
        <w:t>。</w:t>
      </w:r>
    </w:p>
    <w:p w14:paraId="46A5FBD8">
      <w:pPr>
        <w:pStyle w:val="7"/>
        <w:keepNext w:val="0"/>
        <w:keepLines w:val="0"/>
        <w:pageBreakBefore w:val="0"/>
        <w:wordWrap/>
        <w:overflowPunct/>
        <w:topLinePunct w:val="0"/>
        <w:autoSpaceDE w:val="0"/>
        <w:autoSpaceDN w:val="0"/>
        <w:bidi w:val="0"/>
        <w:adjustRightInd w:val="0"/>
        <w:spacing w:line="360" w:lineRule="auto"/>
        <w:ind w:left="0" w:leftChars="0" w:right="0" w:firstLine="46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5"/>
          <w:sz w:val="24"/>
          <w:szCs w:val="24"/>
          <w:highlight w:val="none"/>
        </w:rPr>
        <w:t>2.2</w:t>
      </w:r>
      <w:r>
        <w:rPr>
          <w:rFonts w:hint="eastAsia" w:asciiTheme="minorEastAsia" w:hAnsiTheme="minorEastAsia" w:eastAsiaTheme="minorEastAsia" w:cstheme="minorEastAsia"/>
          <w:spacing w:val="-5"/>
          <w:sz w:val="24"/>
          <w:szCs w:val="24"/>
          <w:highlight w:val="none"/>
          <w:lang w:val="en-US" w:eastAsia="zh-CN"/>
        </w:rPr>
        <w:t xml:space="preserve"> </w:t>
      </w:r>
      <w:r>
        <w:rPr>
          <w:rFonts w:hint="eastAsia" w:asciiTheme="minorEastAsia" w:hAnsiTheme="minorEastAsia" w:eastAsiaTheme="minorEastAsia" w:cstheme="minorEastAsia"/>
          <w:spacing w:val="-5"/>
          <w:sz w:val="24"/>
          <w:szCs w:val="24"/>
          <w:highlight w:val="none"/>
        </w:rPr>
        <w:t>其它落实政府采购政策的资格要求（如有</w:t>
      </w:r>
      <w:r>
        <w:rPr>
          <w:rFonts w:hint="eastAsia" w:asciiTheme="minorEastAsia" w:hAnsiTheme="minorEastAsia" w:eastAsiaTheme="minorEastAsia" w:cstheme="minorEastAsia"/>
          <w:spacing w:val="2"/>
          <w:sz w:val="24"/>
          <w:szCs w:val="24"/>
          <w:highlight w:val="none"/>
        </w:rPr>
        <w:t>）：</w:t>
      </w:r>
      <w:r>
        <w:rPr>
          <w:rFonts w:hint="eastAsia" w:asciiTheme="minorEastAsia" w:hAnsiTheme="minorEastAsia" w:eastAsiaTheme="minorEastAsia" w:cstheme="minorEastAsia"/>
          <w:sz w:val="24"/>
          <w:szCs w:val="24"/>
          <w:highlight w:val="none"/>
          <w:u w:val="single" w:color="auto"/>
          <w:lang w:eastAsia="zh-CN"/>
        </w:rPr>
        <w:t>无</w:t>
      </w:r>
      <w:r>
        <w:rPr>
          <w:rFonts w:hint="eastAsia" w:asciiTheme="minorEastAsia" w:hAnsiTheme="minorEastAsia" w:eastAsiaTheme="minorEastAsia" w:cstheme="minorEastAsia"/>
          <w:spacing w:val="-5"/>
          <w:sz w:val="24"/>
          <w:szCs w:val="24"/>
          <w:highlight w:val="none"/>
        </w:rPr>
        <w:t>。</w:t>
      </w:r>
    </w:p>
    <w:p w14:paraId="64E2C83D">
      <w:pPr>
        <w:pStyle w:val="7"/>
        <w:keepNext w:val="0"/>
        <w:keepLines w:val="0"/>
        <w:pageBreakBefore w:val="0"/>
        <w:wordWrap/>
        <w:overflowPunct/>
        <w:topLinePunct w:val="0"/>
        <w:autoSpaceDE w:val="0"/>
        <w:autoSpaceDN w:val="0"/>
        <w:bidi w:val="0"/>
        <w:adjustRightInd w:val="0"/>
        <w:spacing w:line="360" w:lineRule="auto"/>
        <w:ind w:left="0" w:leftChars="0" w:right="0" w:firstLine="232" w:firstLineChars="100"/>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3.本项目的特定资格要求：</w:t>
      </w:r>
    </w:p>
    <w:p w14:paraId="00D8D25E">
      <w:pPr>
        <w:pStyle w:val="7"/>
        <w:keepNext w:val="0"/>
        <w:keepLines w:val="0"/>
        <w:pageBreakBefore w:val="0"/>
        <w:wordWrap/>
        <w:overflowPunct/>
        <w:topLinePunct w:val="0"/>
        <w:autoSpaceDE w:val="0"/>
        <w:autoSpaceDN w:val="0"/>
        <w:bidi w:val="0"/>
        <w:adjustRightInd w:val="0"/>
        <w:spacing w:line="360" w:lineRule="auto"/>
        <w:ind w:left="0" w:leftChars="0" w:right="0" w:firstLine="460" w:firstLineChars="200"/>
        <w:rPr>
          <w:rFonts w:hint="eastAsia" w:asciiTheme="minorEastAsia" w:hAnsiTheme="minorEastAsia" w:eastAsiaTheme="minorEastAsia" w:cstheme="minorEastAsia"/>
          <w:spacing w:val="-5"/>
          <w:sz w:val="24"/>
          <w:szCs w:val="24"/>
          <w:highlight w:val="none"/>
        </w:rPr>
      </w:pPr>
      <w:r>
        <w:rPr>
          <w:rFonts w:hint="eastAsia" w:asciiTheme="minorEastAsia" w:hAnsiTheme="minorEastAsia" w:eastAsiaTheme="minorEastAsia" w:cstheme="minorEastAsia"/>
          <w:spacing w:val="-5"/>
          <w:sz w:val="24"/>
          <w:szCs w:val="24"/>
          <w:highlight w:val="none"/>
        </w:rPr>
        <w:t>3.1 本项目是否属于政府购买</w:t>
      </w:r>
      <w:r>
        <w:rPr>
          <w:rFonts w:hint="eastAsia" w:asciiTheme="minorEastAsia" w:hAnsiTheme="minorEastAsia" w:eastAsiaTheme="minorEastAsia" w:cstheme="minorEastAsia"/>
          <w:spacing w:val="-5"/>
          <w:sz w:val="24"/>
          <w:szCs w:val="24"/>
          <w:highlight w:val="none"/>
          <w:lang w:val="en-US" w:eastAsia="zh-CN"/>
        </w:rPr>
        <w:t>服务</w:t>
      </w:r>
      <w:r>
        <w:rPr>
          <w:rFonts w:hint="eastAsia" w:asciiTheme="minorEastAsia" w:hAnsiTheme="minorEastAsia" w:eastAsiaTheme="minorEastAsia" w:cstheme="minorEastAsia"/>
          <w:spacing w:val="-5"/>
          <w:sz w:val="24"/>
          <w:szCs w:val="24"/>
          <w:highlight w:val="none"/>
        </w:rPr>
        <w:t xml:space="preserve">： </w:t>
      </w:r>
    </w:p>
    <w:p w14:paraId="74EB0140">
      <w:pPr>
        <w:pStyle w:val="7"/>
        <w:keepNext w:val="0"/>
        <w:keepLines w:val="0"/>
        <w:pageBreakBefore w:val="0"/>
        <w:wordWrap/>
        <w:overflowPunct/>
        <w:topLinePunct w:val="0"/>
        <w:autoSpaceDE w:val="0"/>
        <w:autoSpaceDN w:val="0"/>
        <w:bidi w:val="0"/>
        <w:adjustRightInd w:val="0"/>
        <w:spacing w:line="360" w:lineRule="auto"/>
        <w:ind w:left="0" w:leftChars="0" w:right="0" w:firstLine="382" w:firstLineChars="182"/>
        <w:rPr>
          <w:rFonts w:hint="eastAsia" w:asciiTheme="minorEastAsia" w:hAnsiTheme="minorEastAsia" w:eastAsiaTheme="minorEastAsia" w:cstheme="minorEastAsia"/>
          <w:spacing w:val="-5"/>
          <w:sz w:val="24"/>
          <w:szCs w:val="24"/>
          <w:highlight w:val="none"/>
        </w:rPr>
      </w:pPr>
      <w:r>
        <w:rPr>
          <w:rFonts w:hint="eastAsia" w:ascii="Times New Roman" w:hAnsi="Times New Roman" w:cs="Times New Roman" w:eastAsiaTheme="minorEastAsia"/>
          <w:kern w:val="2"/>
          <w:sz w:val="21"/>
          <w:szCs w:val="21"/>
          <w:lang w:val="en-US" w:eastAsia="zh-CN" w:bidi="ar-SA"/>
        </w:rPr>
        <w:t>□</w:t>
      </w:r>
      <w:r>
        <w:rPr>
          <w:rFonts w:hint="eastAsia" w:asciiTheme="minorEastAsia" w:hAnsiTheme="minorEastAsia" w:eastAsiaTheme="minorEastAsia" w:cstheme="minorEastAsia"/>
          <w:spacing w:val="-5"/>
          <w:sz w:val="24"/>
          <w:szCs w:val="24"/>
          <w:highlight w:val="none"/>
        </w:rPr>
        <w:t>否</w:t>
      </w:r>
    </w:p>
    <w:p w14:paraId="4BEB13CF">
      <w:pPr>
        <w:pStyle w:val="7"/>
        <w:keepNext w:val="0"/>
        <w:keepLines w:val="0"/>
        <w:pageBreakBefore w:val="0"/>
        <w:wordWrap/>
        <w:overflowPunct/>
        <w:topLinePunct w:val="0"/>
        <w:autoSpaceDE w:val="0"/>
        <w:autoSpaceDN w:val="0"/>
        <w:bidi w:val="0"/>
        <w:adjustRightInd w:val="0"/>
        <w:spacing w:line="360" w:lineRule="auto"/>
        <w:ind w:left="0" w:leftChars="0" w:right="0" w:firstLine="380" w:firstLineChars="181"/>
        <w:rPr>
          <w:rFonts w:hint="eastAsia" w:asciiTheme="minorEastAsia" w:hAnsiTheme="minorEastAsia" w:eastAsiaTheme="minorEastAsia" w:cstheme="minorEastAsia"/>
          <w:sz w:val="24"/>
          <w:szCs w:val="24"/>
        </w:rPr>
      </w:pPr>
      <w:r>
        <w:rPr>
          <w:rFonts w:hint="eastAsia" w:ascii="Times New Roman" w:hAnsi="Times New Roman" w:cs="Times New Roman" w:eastAsiaTheme="minorEastAsia"/>
          <w:kern w:val="2"/>
          <w:sz w:val="21"/>
          <w:szCs w:val="21"/>
          <w:lang w:val="en-US" w:eastAsia="zh-CN" w:bidi="ar-SA"/>
        </w:rPr>
        <w:t>■</w:t>
      </w:r>
      <w:r>
        <w:rPr>
          <w:rFonts w:hint="eastAsia" w:asciiTheme="minorEastAsia" w:hAnsiTheme="minorEastAsia" w:eastAsiaTheme="minorEastAsia" w:cstheme="minorEastAsia"/>
          <w:spacing w:val="-4"/>
          <w:sz w:val="24"/>
          <w:szCs w:val="24"/>
        </w:rPr>
        <w:t>是，公益一类事业单位、使用事业编制且由财政拨款保障的群团组织，不</w:t>
      </w:r>
      <w:r>
        <w:rPr>
          <w:rFonts w:hint="eastAsia" w:asciiTheme="minorEastAsia" w:hAnsiTheme="minorEastAsia" w:eastAsiaTheme="minorEastAsia" w:cstheme="minorEastAsia"/>
          <w:sz w:val="24"/>
          <w:szCs w:val="24"/>
        </w:rPr>
        <w:t>得</w:t>
      </w:r>
      <w:r>
        <w:rPr>
          <w:rFonts w:hint="eastAsia" w:asciiTheme="minorEastAsia" w:hAnsiTheme="minorEastAsia" w:eastAsiaTheme="minorEastAsia" w:cstheme="minorEastAsia"/>
          <w:spacing w:val="-9"/>
          <w:sz w:val="24"/>
          <w:szCs w:val="24"/>
        </w:rPr>
        <w:t>作为承接主体；</w:t>
      </w:r>
    </w:p>
    <w:p w14:paraId="58F376C5">
      <w:pPr>
        <w:pStyle w:val="15"/>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360" w:lineRule="auto"/>
        <w:ind w:left="0" w:leftChars="0" w:right="0" w:firstLine="418" w:firstLineChars="173"/>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spacing w:val="1"/>
          <w:sz w:val="24"/>
          <w:szCs w:val="24"/>
        </w:rPr>
        <w:t>3.2 其他特定资格要求：</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w:t>
      </w:r>
    </w:p>
    <w:p w14:paraId="333704C0">
      <w:pPr>
        <w:ind w:firstLine="480" w:firstLineChars="200"/>
        <w:rPr>
          <w:rFonts w:hint="eastAsia" w:asciiTheme="minorEastAsia" w:hAnsiTheme="minorEastAsia" w:eastAsiaTheme="minorEastAsia" w:cstheme="minorEastAsia"/>
          <w:i/>
          <w:iCs/>
          <w:sz w:val="24"/>
          <w:szCs w:val="24"/>
          <w:u w:val="single"/>
          <w:lang w:val="en-US" w:eastAsia="zh-CN"/>
        </w:rPr>
      </w:pPr>
    </w:p>
    <w:p w14:paraId="099580B6">
      <w:pPr>
        <w:pStyle w:val="4"/>
        <w:spacing w:line="360" w:lineRule="auto"/>
        <w:rPr>
          <w:rFonts w:hint="eastAsia" w:asciiTheme="minorEastAsia" w:hAnsiTheme="minorEastAsia" w:eastAsiaTheme="minorEastAsia" w:cstheme="minorEastAsia"/>
          <w:b w:val="0"/>
          <w:sz w:val="24"/>
          <w:szCs w:val="24"/>
        </w:rPr>
      </w:pPr>
      <w:bookmarkStart w:id="12" w:name="_Toc35393631"/>
      <w:bookmarkStart w:id="13" w:name="_Toc35393800"/>
      <w:r>
        <w:rPr>
          <w:rFonts w:hint="eastAsia" w:asciiTheme="minorEastAsia" w:hAnsiTheme="minorEastAsia" w:eastAsiaTheme="minorEastAsia" w:cstheme="minorEastAsia"/>
          <w:b w:val="0"/>
          <w:sz w:val="24"/>
          <w:szCs w:val="24"/>
        </w:rPr>
        <w:t>三、获取采购文件</w:t>
      </w:r>
      <w:bookmarkEnd w:id="10"/>
      <w:bookmarkEnd w:id="11"/>
      <w:bookmarkEnd w:id="12"/>
      <w:bookmarkEnd w:id="13"/>
    </w:p>
    <w:p w14:paraId="491D7435">
      <w:pPr>
        <w:spacing w:line="360" w:lineRule="auto"/>
        <w:ind w:firstLine="54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时间：</w:t>
      </w:r>
      <w:r>
        <w:rPr>
          <w:rFonts w:hint="eastAsia" w:asciiTheme="minorEastAsia" w:hAnsiTheme="minorEastAsia" w:eastAsiaTheme="minorEastAsia" w:cstheme="minorEastAsia"/>
          <w:color w:val="auto"/>
          <w:sz w:val="24"/>
          <w:szCs w:val="24"/>
          <w:u w:val="single"/>
          <w:lang w:val="en-US" w:eastAsia="zh-CN"/>
        </w:rPr>
        <w:t>2026</w:t>
      </w:r>
      <w:r>
        <w:rPr>
          <w:rFonts w:hint="eastAsia" w:asciiTheme="minorEastAsia" w:hAnsiTheme="minorEastAsia" w:eastAsiaTheme="minorEastAsia" w:cstheme="minorEastAsia"/>
          <w:color w:val="auto"/>
          <w:sz w:val="24"/>
          <w:szCs w:val="24"/>
          <w:u w:val="single"/>
        </w:rPr>
        <w:t>年</w:t>
      </w:r>
      <w:r>
        <w:rPr>
          <w:rFonts w:hint="eastAsia" w:asciiTheme="minorEastAsia" w:hAnsiTheme="minorEastAsia" w:eastAsiaTheme="minorEastAsia" w:cstheme="minorEastAsia"/>
          <w:color w:val="auto"/>
          <w:sz w:val="24"/>
          <w:szCs w:val="24"/>
          <w:u w:val="single"/>
          <w:lang w:val="en-US" w:eastAsia="zh-CN"/>
        </w:rPr>
        <w:t>10</w:t>
      </w:r>
      <w:r>
        <w:rPr>
          <w:rFonts w:hint="eastAsia" w:asciiTheme="minorEastAsia" w:hAnsiTheme="minorEastAsia" w:eastAsiaTheme="minorEastAsia" w:cstheme="minorEastAsia"/>
          <w:color w:val="auto"/>
          <w:sz w:val="24"/>
          <w:szCs w:val="24"/>
          <w:u w:val="single"/>
        </w:rPr>
        <w:t>月</w:t>
      </w:r>
      <w:r>
        <w:rPr>
          <w:rFonts w:hint="eastAsia" w:asciiTheme="minorEastAsia" w:hAnsiTheme="minorEastAsia" w:eastAsiaTheme="minorEastAsia" w:cstheme="minorEastAsia"/>
          <w:color w:val="auto"/>
          <w:sz w:val="24"/>
          <w:szCs w:val="24"/>
          <w:u w:val="single"/>
          <w:lang w:val="en-US" w:eastAsia="zh-CN"/>
        </w:rPr>
        <w:t>13</w:t>
      </w:r>
      <w:r>
        <w:rPr>
          <w:rFonts w:hint="eastAsia" w:asciiTheme="minorEastAsia" w:hAnsiTheme="minorEastAsia" w:eastAsiaTheme="minorEastAsia" w:cstheme="minorEastAsia"/>
          <w:color w:val="auto"/>
          <w:sz w:val="24"/>
          <w:szCs w:val="24"/>
          <w:u w:val="single"/>
        </w:rPr>
        <w:t>日</w:t>
      </w:r>
      <w:r>
        <w:rPr>
          <w:rFonts w:hint="eastAsia" w:asciiTheme="minorEastAsia" w:hAnsiTheme="minorEastAsia" w:eastAsiaTheme="minorEastAsia" w:cstheme="minorEastAsia"/>
          <w:color w:val="auto"/>
          <w:sz w:val="24"/>
          <w:szCs w:val="24"/>
        </w:rPr>
        <w:t>至</w:t>
      </w:r>
      <w:r>
        <w:rPr>
          <w:rFonts w:hint="eastAsia" w:asciiTheme="minorEastAsia" w:hAnsiTheme="minorEastAsia" w:eastAsiaTheme="minorEastAsia" w:cstheme="minorEastAsia"/>
          <w:color w:val="auto"/>
          <w:sz w:val="24"/>
          <w:szCs w:val="24"/>
          <w:u w:val="single"/>
          <w:lang w:val="en-US" w:eastAsia="zh-CN"/>
        </w:rPr>
        <w:t>2026</w:t>
      </w:r>
      <w:r>
        <w:rPr>
          <w:rFonts w:hint="eastAsia" w:asciiTheme="minorEastAsia" w:hAnsiTheme="minorEastAsia" w:eastAsiaTheme="minorEastAsia" w:cstheme="minorEastAsia"/>
          <w:color w:val="auto"/>
          <w:sz w:val="24"/>
          <w:szCs w:val="24"/>
          <w:u w:val="single"/>
        </w:rPr>
        <w:t>年</w:t>
      </w:r>
      <w:r>
        <w:rPr>
          <w:rFonts w:hint="eastAsia" w:asciiTheme="minorEastAsia" w:hAnsiTheme="minorEastAsia" w:eastAsiaTheme="minorEastAsia" w:cstheme="minorEastAsia"/>
          <w:color w:val="auto"/>
          <w:sz w:val="24"/>
          <w:szCs w:val="24"/>
          <w:u w:val="single"/>
          <w:lang w:val="en-US" w:eastAsia="zh-CN"/>
        </w:rPr>
        <w:t>10</w:t>
      </w:r>
      <w:r>
        <w:rPr>
          <w:rFonts w:hint="eastAsia" w:asciiTheme="minorEastAsia" w:hAnsiTheme="minorEastAsia" w:eastAsiaTheme="minorEastAsia" w:cstheme="minorEastAsia"/>
          <w:color w:val="auto"/>
          <w:sz w:val="24"/>
          <w:szCs w:val="24"/>
          <w:u w:val="single"/>
        </w:rPr>
        <w:t>月</w:t>
      </w:r>
      <w:r>
        <w:rPr>
          <w:rFonts w:hint="eastAsia" w:asciiTheme="minorEastAsia" w:hAnsiTheme="minorEastAsia" w:eastAsiaTheme="minorEastAsia" w:cstheme="minorEastAsia"/>
          <w:color w:val="auto"/>
          <w:sz w:val="24"/>
          <w:szCs w:val="24"/>
          <w:u w:val="single"/>
          <w:lang w:val="en-US" w:eastAsia="zh-CN"/>
        </w:rPr>
        <w:t>19</w:t>
      </w:r>
      <w:r>
        <w:rPr>
          <w:rFonts w:hint="eastAsia" w:asciiTheme="minorEastAsia" w:hAnsiTheme="minorEastAsia" w:eastAsiaTheme="minorEastAsia" w:cstheme="minorEastAsia"/>
          <w:color w:val="auto"/>
          <w:sz w:val="24"/>
          <w:szCs w:val="24"/>
          <w:u w:val="single"/>
        </w:rPr>
        <w:t>日</w:t>
      </w:r>
      <w:r>
        <w:rPr>
          <w:rFonts w:hint="eastAsia" w:asciiTheme="minorEastAsia" w:hAnsiTheme="minorEastAsia" w:eastAsiaTheme="minorEastAsia" w:cstheme="minorEastAsia"/>
          <w:color w:val="auto"/>
          <w:sz w:val="24"/>
          <w:szCs w:val="24"/>
        </w:rPr>
        <w:t>，每天上午</w:t>
      </w:r>
      <w:r>
        <w:rPr>
          <w:rFonts w:hint="eastAsia" w:asciiTheme="minorEastAsia" w:hAnsiTheme="minorEastAsia" w:eastAsiaTheme="minorEastAsia" w:cstheme="minorEastAsia"/>
          <w:color w:val="auto"/>
          <w:sz w:val="24"/>
          <w:szCs w:val="24"/>
          <w:u w:val="single"/>
          <w:lang w:val="en-US" w:eastAsia="zh-CN"/>
        </w:rPr>
        <w:t>9:30</w:t>
      </w:r>
      <w:r>
        <w:rPr>
          <w:rFonts w:hint="eastAsia" w:asciiTheme="minorEastAsia" w:hAnsiTheme="minorEastAsia" w:eastAsiaTheme="minorEastAsia" w:cstheme="minorEastAsia"/>
          <w:color w:val="auto"/>
          <w:sz w:val="24"/>
          <w:szCs w:val="24"/>
        </w:rPr>
        <w:t>至</w:t>
      </w:r>
      <w:r>
        <w:rPr>
          <w:rFonts w:hint="eastAsia" w:asciiTheme="minorEastAsia" w:hAnsiTheme="minorEastAsia" w:eastAsiaTheme="minorEastAsia" w:cstheme="minorEastAsia"/>
          <w:color w:val="auto"/>
          <w:sz w:val="24"/>
          <w:szCs w:val="24"/>
          <w:u w:val="single"/>
          <w:lang w:val="en-US" w:eastAsia="zh-CN"/>
        </w:rPr>
        <w:t>12:00</w:t>
      </w:r>
      <w:r>
        <w:rPr>
          <w:rFonts w:hint="eastAsia" w:asciiTheme="minorEastAsia" w:hAnsiTheme="minorEastAsia" w:eastAsiaTheme="minorEastAsia" w:cstheme="minorEastAsia"/>
          <w:color w:val="auto"/>
          <w:sz w:val="24"/>
          <w:szCs w:val="24"/>
        </w:rPr>
        <w:t>，下午</w:t>
      </w:r>
      <w:r>
        <w:rPr>
          <w:rFonts w:hint="eastAsia" w:asciiTheme="minorEastAsia" w:hAnsiTheme="minorEastAsia" w:eastAsiaTheme="minorEastAsia" w:cstheme="minorEastAsia"/>
          <w:color w:val="auto"/>
          <w:sz w:val="24"/>
          <w:szCs w:val="24"/>
          <w:u w:val="single"/>
          <w:lang w:val="en-US" w:eastAsia="zh-CN"/>
        </w:rPr>
        <w:t>12:00</w:t>
      </w:r>
      <w:r>
        <w:rPr>
          <w:rFonts w:hint="eastAsia" w:asciiTheme="minorEastAsia" w:hAnsiTheme="minorEastAsia" w:eastAsiaTheme="minorEastAsia" w:cstheme="minorEastAsia"/>
          <w:color w:val="auto"/>
          <w:sz w:val="24"/>
          <w:szCs w:val="24"/>
        </w:rPr>
        <w:t>至</w:t>
      </w:r>
      <w:r>
        <w:rPr>
          <w:rFonts w:hint="eastAsia" w:asciiTheme="minorEastAsia" w:hAnsiTheme="minorEastAsia" w:eastAsiaTheme="minorEastAsia" w:cstheme="minorEastAsia"/>
          <w:color w:val="auto"/>
          <w:sz w:val="24"/>
          <w:szCs w:val="24"/>
          <w:u w:val="single"/>
          <w:lang w:val="en-US" w:eastAsia="zh-CN"/>
        </w:rPr>
        <w:t>17:00</w:t>
      </w:r>
      <w:r>
        <w:rPr>
          <w:rFonts w:hint="eastAsia" w:asciiTheme="minorEastAsia" w:hAnsiTheme="minorEastAsia" w:eastAsiaTheme="minorEastAsia" w:cstheme="minorEastAsia"/>
          <w:color w:val="auto"/>
          <w:sz w:val="24"/>
          <w:szCs w:val="24"/>
        </w:rPr>
        <w:t>（北京时间，法定节假日除外 ）</w:t>
      </w:r>
    </w:p>
    <w:p w14:paraId="68107A21">
      <w:pPr>
        <w:spacing w:line="360" w:lineRule="auto"/>
        <w:ind w:firstLine="54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地点：北京市政府采购电子交易平台</w:t>
      </w:r>
    </w:p>
    <w:p w14:paraId="5D52C434">
      <w:pPr>
        <w:keepNext w:val="0"/>
        <w:keepLines w:val="0"/>
        <w:pageBreakBefore w:val="0"/>
        <w:widowControl w:val="0"/>
        <w:kinsoku/>
        <w:wordWrap w:val="0"/>
        <w:overflowPunct/>
        <w:topLinePunct w:val="0"/>
        <w:autoSpaceDE/>
        <w:autoSpaceDN/>
        <w:bidi w:val="0"/>
        <w:adjustRightInd/>
        <w:snapToGrid/>
        <w:spacing w:line="360" w:lineRule="auto"/>
        <w:ind w:firstLine="539"/>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方式：本项目采用全流程电子化采购方式，线上下载招标文件。供应商按照规定办理 CA 数字认证证书（北京一证通数字证书）或电子营业执照后，自磋商公告发布之日起持供应商自身数字证书或电子营业执照登录北京市政府采购电子交易平台（https://zbcg-bjzc.zhongcy.com/bjczj-portal-site/#/home</w:t>
      </w:r>
      <w:bookmarkStart w:id="45" w:name="_GoBack"/>
      <w:bookmarkEnd w:id="45"/>
      <w:r>
        <w:rPr>
          <w:rFonts w:hint="eastAsia" w:asciiTheme="minorEastAsia" w:hAnsiTheme="minorEastAsia" w:eastAsiaTheme="minorEastAsia" w:cstheme="minorEastAsia"/>
          <w:sz w:val="24"/>
          <w:szCs w:val="24"/>
        </w:rPr>
        <w:t>）免费获取电子版磋商文件，未在规定期限内通过北京市政府采购电子交易平台获取磋商文件的投标无效。</w:t>
      </w:r>
    </w:p>
    <w:p w14:paraId="7256B79E">
      <w:pPr>
        <w:spacing w:line="360" w:lineRule="auto"/>
        <w:ind w:firstLine="5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售价：0元。</w:t>
      </w:r>
    </w:p>
    <w:p w14:paraId="3B4683B9">
      <w:pPr>
        <w:pStyle w:val="4"/>
        <w:spacing w:line="360" w:lineRule="auto"/>
        <w:rPr>
          <w:rFonts w:hint="eastAsia" w:asciiTheme="minorEastAsia" w:hAnsiTheme="minorEastAsia" w:eastAsiaTheme="minorEastAsia" w:cstheme="minorEastAsia"/>
          <w:b w:val="0"/>
          <w:sz w:val="24"/>
          <w:szCs w:val="24"/>
        </w:rPr>
      </w:pPr>
      <w:bookmarkStart w:id="14" w:name="_Toc35393632"/>
      <w:bookmarkStart w:id="15" w:name="_Toc28359092"/>
      <w:bookmarkStart w:id="16" w:name="_Toc35393801"/>
      <w:bookmarkStart w:id="17" w:name="_Toc28359015"/>
      <w:r>
        <w:rPr>
          <w:rFonts w:hint="eastAsia" w:asciiTheme="minorEastAsia" w:hAnsiTheme="minorEastAsia" w:eastAsiaTheme="minorEastAsia" w:cstheme="minorEastAsia"/>
          <w:b w:val="0"/>
          <w:sz w:val="24"/>
          <w:szCs w:val="24"/>
        </w:rPr>
        <w:t>四、响应文件提交</w:t>
      </w:r>
      <w:bookmarkEnd w:id="14"/>
      <w:bookmarkEnd w:id="15"/>
      <w:bookmarkEnd w:id="16"/>
      <w:bookmarkEnd w:id="17"/>
    </w:p>
    <w:p w14:paraId="79B9DF4D">
      <w:pPr>
        <w:ind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截止时间：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2026</w:t>
      </w:r>
      <w:r>
        <w:rPr>
          <w:rFonts w:hint="eastAsia" w:asciiTheme="minorEastAsia" w:hAnsiTheme="minorEastAsia" w:eastAsiaTheme="minorEastAsia" w:cstheme="minorEastAsia"/>
          <w:bCs/>
          <w:sz w:val="24"/>
          <w:szCs w:val="24"/>
          <w:u w:val="single"/>
        </w:rPr>
        <w:t xml:space="preserve">年 </w:t>
      </w:r>
      <w:r>
        <w:rPr>
          <w:rFonts w:hint="eastAsia" w:asciiTheme="minorEastAsia" w:hAnsiTheme="minorEastAsia" w:eastAsiaTheme="minorEastAsia" w:cstheme="minorEastAsia"/>
          <w:bCs/>
          <w:sz w:val="24"/>
          <w:szCs w:val="24"/>
          <w:u w:val="single"/>
          <w:lang w:val="en-US" w:eastAsia="zh-CN"/>
        </w:rPr>
        <w:t>10</w:t>
      </w:r>
      <w:r>
        <w:rPr>
          <w:rFonts w:hint="eastAsia" w:asciiTheme="minorEastAsia" w:hAnsiTheme="minorEastAsia" w:eastAsiaTheme="minorEastAsia" w:cstheme="minorEastAsia"/>
          <w:bCs/>
          <w:sz w:val="24"/>
          <w:szCs w:val="24"/>
          <w:u w:val="single"/>
        </w:rPr>
        <w:t>月</w:t>
      </w:r>
      <w:r>
        <w:rPr>
          <w:rFonts w:hint="eastAsia" w:asciiTheme="minorEastAsia" w:hAnsiTheme="minorEastAsia" w:eastAsiaTheme="minorEastAsia" w:cstheme="minorEastAsia"/>
          <w:bCs/>
          <w:sz w:val="24"/>
          <w:szCs w:val="24"/>
          <w:u w:val="single"/>
          <w:lang w:val="en-US" w:eastAsia="zh-CN"/>
        </w:rPr>
        <w:t>26</w:t>
      </w:r>
      <w:r>
        <w:rPr>
          <w:rFonts w:hint="eastAsia" w:asciiTheme="minorEastAsia" w:hAnsiTheme="minorEastAsia" w:eastAsiaTheme="minorEastAsia" w:cstheme="minorEastAsia"/>
          <w:bCs/>
          <w:sz w:val="24"/>
          <w:szCs w:val="24"/>
          <w:u w:val="single"/>
        </w:rPr>
        <w:t>日</w:t>
      </w:r>
      <w:r>
        <w:rPr>
          <w:rFonts w:hint="eastAsia" w:asciiTheme="minorEastAsia" w:hAnsiTheme="minorEastAsia" w:eastAsiaTheme="minorEastAsia" w:cstheme="minorEastAsia"/>
          <w:bCs/>
          <w:sz w:val="24"/>
          <w:szCs w:val="24"/>
          <w:u w:val="single"/>
          <w:lang w:val="en-US" w:eastAsia="zh-CN"/>
        </w:rPr>
        <w:t>9</w:t>
      </w:r>
      <w:r>
        <w:rPr>
          <w:rFonts w:hint="eastAsia" w:asciiTheme="minorEastAsia" w:hAnsiTheme="minorEastAsia" w:eastAsiaTheme="minorEastAsia" w:cstheme="minorEastAsia"/>
          <w:bCs/>
          <w:sz w:val="24"/>
          <w:szCs w:val="24"/>
          <w:u w:val="single"/>
        </w:rPr>
        <w:t>点</w:t>
      </w:r>
      <w:r>
        <w:rPr>
          <w:rFonts w:hint="eastAsia" w:asciiTheme="minorEastAsia" w:hAnsiTheme="minorEastAsia" w:eastAsiaTheme="minorEastAsia" w:cstheme="minorEastAsia"/>
          <w:bCs/>
          <w:sz w:val="24"/>
          <w:szCs w:val="24"/>
          <w:u w:val="single"/>
          <w:lang w:val="en-US" w:eastAsia="zh-CN"/>
        </w:rPr>
        <w:t>30</w:t>
      </w:r>
      <w:r>
        <w:rPr>
          <w:rFonts w:hint="eastAsia" w:asciiTheme="minorEastAsia" w:hAnsiTheme="minorEastAsia" w:eastAsiaTheme="minorEastAsia" w:cstheme="minorEastAsia"/>
          <w:bCs/>
          <w:sz w:val="24"/>
          <w:szCs w:val="24"/>
          <w:u w:val="single"/>
        </w:rPr>
        <w:t>分</w:t>
      </w:r>
      <w:r>
        <w:rPr>
          <w:rFonts w:hint="eastAsia" w:asciiTheme="minorEastAsia" w:hAnsiTheme="minorEastAsia" w:eastAsiaTheme="minorEastAsia" w:cstheme="minorEastAsia"/>
          <w:bCs/>
          <w:sz w:val="24"/>
          <w:szCs w:val="24"/>
        </w:rPr>
        <w:t>（北京时间）</w:t>
      </w:r>
    </w:p>
    <w:p w14:paraId="5EC90977">
      <w:pPr>
        <w:ind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地点：</w:t>
      </w:r>
      <w:r>
        <w:rPr>
          <w:rFonts w:hint="eastAsia" w:asciiTheme="minorEastAsia" w:hAnsiTheme="minorEastAsia" w:eastAsiaTheme="minorEastAsia" w:cstheme="minorEastAsia"/>
          <w:sz w:val="24"/>
          <w:szCs w:val="24"/>
          <w:u w:val="single"/>
        </w:rPr>
        <w:t>北京市大兴区公共资源交易分中心三层。</w:t>
      </w:r>
    </w:p>
    <w:p w14:paraId="44511E06">
      <w:pPr>
        <w:pStyle w:val="4"/>
        <w:spacing w:line="360" w:lineRule="auto"/>
        <w:rPr>
          <w:rFonts w:hint="eastAsia" w:asciiTheme="minorEastAsia" w:hAnsiTheme="minorEastAsia" w:eastAsiaTheme="minorEastAsia" w:cstheme="minorEastAsia"/>
          <w:b w:val="0"/>
          <w:sz w:val="24"/>
          <w:szCs w:val="24"/>
        </w:rPr>
      </w:pPr>
      <w:bookmarkStart w:id="18" w:name="_Toc28359093"/>
      <w:bookmarkStart w:id="19" w:name="_Toc28359016"/>
      <w:bookmarkStart w:id="20" w:name="_Toc35393802"/>
      <w:bookmarkStart w:id="21" w:name="_Toc35393633"/>
      <w:r>
        <w:rPr>
          <w:rFonts w:hint="eastAsia" w:asciiTheme="minorEastAsia" w:hAnsiTheme="minorEastAsia" w:eastAsiaTheme="minorEastAsia" w:cstheme="minorEastAsia"/>
          <w:b w:val="0"/>
          <w:sz w:val="24"/>
          <w:szCs w:val="24"/>
        </w:rPr>
        <w:t>五、开启</w:t>
      </w:r>
      <w:bookmarkEnd w:id="18"/>
      <w:bookmarkEnd w:id="19"/>
      <w:bookmarkEnd w:id="20"/>
      <w:bookmarkEnd w:id="21"/>
    </w:p>
    <w:p w14:paraId="0C05D95C">
      <w:pPr>
        <w:ind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时间：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2026</w:t>
      </w:r>
      <w:r>
        <w:rPr>
          <w:rFonts w:hint="eastAsia" w:asciiTheme="minorEastAsia" w:hAnsiTheme="minorEastAsia" w:eastAsiaTheme="minorEastAsia" w:cstheme="minorEastAsia"/>
          <w:bCs/>
          <w:sz w:val="24"/>
          <w:szCs w:val="24"/>
          <w:u w:val="single"/>
        </w:rPr>
        <w:t xml:space="preserve">年 </w:t>
      </w:r>
      <w:r>
        <w:rPr>
          <w:rFonts w:hint="eastAsia" w:asciiTheme="minorEastAsia" w:hAnsiTheme="minorEastAsia" w:eastAsiaTheme="minorEastAsia" w:cstheme="minorEastAsia"/>
          <w:bCs/>
          <w:sz w:val="24"/>
          <w:szCs w:val="24"/>
          <w:u w:val="single"/>
          <w:lang w:val="en-US" w:eastAsia="zh-CN"/>
        </w:rPr>
        <w:t>10</w:t>
      </w:r>
      <w:r>
        <w:rPr>
          <w:rFonts w:hint="eastAsia" w:asciiTheme="minorEastAsia" w:hAnsiTheme="minorEastAsia" w:eastAsiaTheme="minorEastAsia" w:cstheme="minorEastAsia"/>
          <w:bCs/>
          <w:sz w:val="24"/>
          <w:szCs w:val="24"/>
          <w:u w:val="single"/>
        </w:rPr>
        <w:t>月</w:t>
      </w:r>
      <w:r>
        <w:rPr>
          <w:rFonts w:hint="eastAsia" w:asciiTheme="minorEastAsia" w:hAnsiTheme="minorEastAsia" w:eastAsiaTheme="minorEastAsia" w:cstheme="minorEastAsia"/>
          <w:bCs/>
          <w:sz w:val="24"/>
          <w:szCs w:val="24"/>
          <w:u w:val="single"/>
          <w:lang w:val="en-US" w:eastAsia="zh-CN"/>
        </w:rPr>
        <w:t>26</w:t>
      </w:r>
      <w:r>
        <w:rPr>
          <w:rFonts w:hint="eastAsia" w:asciiTheme="minorEastAsia" w:hAnsiTheme="minorEastAsia" w:eastAsiaTheme="minorEastAsia" w:cstheme="minorEastAsia"/>
          <w:bCs/>
          <w:sz w:val="24"/>
          <w:szCs w:val="24"/>
          <w:u w:val="single"/>
        </w:rPr>
        <w:t>日</w:t>
      </w:r>
      <w:r>
        <w:rPr>
          <w:rFonts w:hint="eastAsia" w:asciiTheme="minorEastAsia" w:hAnsiTheme="minorEastAsia" w:eastAsiaTheme="minorEastAsia" w:cstheme="minorEastAsia"/>
          <w:bCs/>
          <w:sz w:val="24"/>
          <w:szCs w:val="24"/>
          <w:u w:val="single"/>
          <w:lang w:val="en-US" w:eastAsia="zh-CN"/>
        </w:rPr>
        <w:t>9</w:t>
      </w:r>
      <w:r>
        <w:rPr>
          <w:rFonts w:hint="eastAsia" w:asciiTheme="minorEastAsia" w:hAnsiTheme="minorEastAsia" w:eastAsiaTheme="minorEastAsia" w:cstheme="minorEastAsia"/>
          <w:bCs/>
          <w:sz w:val="24"/>
          <w:szCs w:val="24"/>
          <w:u w:val="single"/>
        </w:rPr>
        <w:t>点</w:t>
      </w:r>
      <w:r>
        <w:rPr>
          <w:rFonts w:hint="eastAsia" w:asciiTheme="minorEastAsia" w:hAnsiTheme="minorEastAsia" w:eastAsiaTheme="minorEastAsia" w:cstheme="minorEastAsia"/>
          <w:bCs/>
          <w:sz w:val="24"/>
          <w:szCs w:val="24"/>
          <w:u w:val="single"/>
          <w:lang w:val="en-US" w:eastAsia="zh-CN"/>
        </w:rPr>
        <w:t>30</w:t>
      </w:r>
      <w:r>
        <w:rPr>
          <w:rFonts w:hint="eastAsia" w:asciiTheme="minorEastAsia" w:hAnsiTheme="minorEastAsia" w:eastAsiaTheme="minorEastAsia" w:cstheme="minorEastAsia"/>
          <w:bCs/>
          <w:sz w:val="24"/>
          <w:szCs w:val="24"/>
          <w:u w:val="single"/>
        </w:rPr>
        <w:t>分</w:t>
      </w:r>
      <w:r>
        <w:rPr>
          <w:rFonts w:hint="eastAsia" w:asciiTheme="minorEastAsia" w:hAnsiTheme="minorEastAsia" w:eastAsiaTheme="minorEastAsia" w:cstheme="minorEastAsia"/>
          <w:bCs/>
          <w:sz w:val="24"/>
          <w:szCs w:val="24"/>
        </w:rPr>
        <w:t>（北京时间）</w:t>
      </w:r>
    </w:p>
    <w:p w14:paraId="1E0FA2AF">
      <w:pPr>
        <w:ind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地点：</w:t>
      </w:r>
      <w:r>
        <w:rPr>
          <w:rFonts w:hint="eastAsia" w:asciiTheme="minorEastAsia" w:hAnsiTheme="minorEastAsia" w:eastAsiaTheme="minorEastAsia" w:cstheme="minorEastAsia"/>
          <w:sz w:val="24"/>
          <w:szCs w:val="24"/>
          <w:u w:val="single"/>
        </w:rPr>
        <w:t>北京市大兴区公共资源交易分中心三层。</w:t>
      </w:r>
    </w:p>
    <w:p w14:paraId="0411D56C">
      <w:pPr>
        <w:pStyle w:val="4"/>
        <w:spacing w:line="360" w:lineRule="auto"/>
        <w:rPr>
          <w:rFonts w:hint="eastAsia" w:asciiTheme="minorEastAsia" w:hAnsiTheme="minorEastAsia" w:eastAsiaTheme="minorEastAsia" w:cstheme="minorEastAsia"/>
          <w:b w:val="0"/>
          <w:sz w:val="24"/>
          <w:szCs w:val="24"/>
        </w:rPr>
      </w:pPr>
      <w:bookmarkStart w:id="22" w:name="_Toc28359094"/>
      <w:bookmarkStart w:id="23" w:name="_Toc35393803"/>
      <w:bookmarkStart w:id="24" w:name="_Toc28359017"/>
      <w:bookmarkStart w:id="25" w:name="_Toc35393634"/>
      <w:r>
        <w:rPr>
          <w:rFonts w:hint="eastAsia" w:asciiTheme="minorEastAsia" w:hAnsiTheme="minorEastAsia" w:eastAsiaTheme="minorEastAsia" w:cstheme="minorEastAsia"/>
          <w:b w:val="0"/>
          <w:sz w:val="24"/>
          <w:szCs w:val="24"/>
        </w:rPr>
        <w:t>六、公告期限</w:t>
      </w:r>
      <w:bookmarkEnd w:id="22"/>
      <w:bookmarkEnd w:id="23"/>
      <w:bookmarkEnd w:id="24"/>
      <w:bookmarkEnd w:id="25"/>
    </w:p>
    <w:p w14:paraId="53862549">
      <w:pPr>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自本公告发布之日起3个工作日。</w:t>
      </w:r>
    </w:p>
    <w:p w14:paraId="00663AD7">
      <w:pPr>
        <w:pStyle w:val="4"/>
        <w:spacing w:line="360" w:lineRule="auto"/>
        <w:rPr>
          <w:rFonts w:hint="eastAsia" w:asciiTheme="minorEastAsia" w:hAnsiTheme="minorEastAsia" w:eastAsiaTheme="minorEastAsia" w:cstheme="minorEastAsia"/>
          <w:b w:val="0"/>
          <w:sz w:val="24"/>
          <w:szCs w:val="24"/>
        </w:rPr>
      </w:pPr>
      <w:bookmarkStart w:id="26" w:name="_Toc35393804"/>
      <w:bookmarkStart w:id="27" w:name="_Toc35393635"/>
      <w:r>
        <w:rPr>
          <w:rFonts w:hint="eastAsia" w:asciiTheme="minorEastAsia" w:hAnsiTheme="minorEastAsia" w:eastAsiaTheme="minorEastAsia" w:cstheme="minorEastAsia"/>
          <w:b w:val="0"/>
          <w:sz w:val="24"/>
          <w:szCs w:val="24"/>
        </w:rPr>
        <w:t>七、其他补充事宜</w:t>
      </w:r>
      <w:bookmarkEnd w:id="26"/>
      <w:bookmarkEnd w:id="27"/>
    </w:p>
    <w:p w14:paraId="3EF1F582">
      <w:pPr>
        <w:spacing w:line="360" w:lineRule="auto"/>
        <w:ind w:firstLine="480" w:firstLineChars="200"/>
        <w:rPr>
          <w:rFonts w:eastAsiaTheme="minorEastAsia"/>
          <w:sz w:val="24"/>
        </w:rPr>
      </w:pPr>
      <w:r>
        <w:rPr>
          <w:rFonts w:eastAsiaTheme="minorEastAsia"/>
          <w:sz w:val="24"/>
        </w:rPr>
        <w:t>1.本项目需要落实的政府采购政策：</w:t>
      </w:r>
      <w:r>
        <w:rPr>
          <w:rFonts w:hint="eastAsia"/>
          <w:sz w:val="24"/>
          <w:u w:val="single"/>
          <w:lang w:bidi="ar"/>
        </w:rPr>
        <w:t>如涉及的详见竞争性磋商文件各章对应条款要求</w:t>
      </w:r>
      <w:r>
        <w:rPr>
          <w:sz w:val="24"/>
          <w:lang w:bidi="ar"/>
        </w:rPr>
        <w:t>____</w:t>
      </w:r>
      <w:r>
        <w:rPr>
          <w:rFonts w:eastAsiaTheme="minorEastAsia"/>
          <w:sz w:val="24"/>
          <w:lang w:bidi="ar"/>
        </w:rPr>
        <w:t>。</w:t>
      </w:r>
    </w:p>
    <w:p w14:paraId="342822DD">
      <w:pPr>
        <w:widowControl/>
        <w:adjustRightInd w:val="0"/>
        <w:snapToGrid w:val="0"/>
        <w:spacing w:line="360" w:lineRule="auto"/>
        <w:ind w:firstLine="480" w:firstLineChars="200"/>
        <w:jc w:val="left"/>
        <w:rPr>
          <w:rFonts w:eastAsiaTheme="minorEastAsia"/>
          <w:bCs/>
          <w:sz w:val="24"/>
          <w:lang w:bidi="ar"/>
        </w:rPr>
      </w:pPr>
      <w:r>
        <w:rPr>
          <w:rFonts w:hint="eastAsia" w:eastAsiaTheme="minorEastAsia"/>
          <w:sz w:val="24"/>
          <w:lang w:val="en-US" w:eastAsia="zh-CN" w:bidi="ar"/>
        </w:rPr>
        <w:t>2</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7F409470">
      <w:pPr>
        <w:adjustRightInd w:val="0"/>
        <w:snapToGrid w:val="0"/>
        <w:spacing w:line="360" w:lineRule="auto"/>
        <w:ind w:firstLine="480" w:firstLineChars="200"/>
        <w:rPr>
          <w:sz w:val="24"/>
          <w:lang w:bidi="ar"/>
        </w:rPr>
      </w:pPr>
      <w:r>
        <w:rPr>
          <w:sz w:val="24"/>
          <w:lang w:bidi="ar"/>
        </w:rPr>
        <w:t>CA数字证书服务热线 010-58511086</w:t>
      </w:r>
    </w:p>
    <w:p w14:paraId="4C4772F0">
      <w:pPr>
        <w:adjustRightInd w:val="0"/>
        <w:snapToGrid w:val="0"/>
        <w:spacing w:line="360" w:lineRule="auto"/>
        <w:ind w:firstLine="480" w:firstLineChars="200"/>
        <w:rPr>
          <w:sz w:val="24"/>
          <w:lang w:bidi="ar"/>
        </w:rPr>
      </w:pPr>
      <w:r>
        <w:rPr>
          <w:sz w:val="24"/>
          <w:lang w:bidi="ar"/>
        </w:rPr>
        <w:t>电子营业执照服务热线 400-699-7000</w:t>
      </w:r>
    </w:p>
    <w:p w14:paraId="73717B3B">
      <w:pPr>
        <w:adjustRightInd w:val="0"/>
        <w:snapToGrid w:val="0"/>
        <w:spacing w:line="360" w:lineRule="auto"/>
        <w:ind w:firstLine="480" w:firstLineChars="200"/>
        <w:rPr>
          <w:color w:val="auto"/>
          <w:sz w:val="24"/>
          <w:lang w:bidi="ar"/>
        </w:rPr>
      </w:pPr>
      <w:r>
        <w:rPr>
          <w:rFonts w:hint="eastAsia"/>
          <w:color w:val="auto"/>
          <w:sz w:val="24"/>
          <w:lang w:bidi="ar"/>
        </w:rPr>
        <w:t>数字证书服务热线     010-58515511</w:t>
      </w:r>
    </w:p>
    <w:p w14:paraId="1BDA777D">
      <w:pPr>
        <w:adjustRightInd w:val="0"/>
        <w:snapToGrid w:val="0"/>
        <w:spacing w:line="360" w:lineRule="auto"/>
        <w:ind w:firstLine="480" w:firstLineChars="200"/>
        <w:rPr>
          <w:rFonts w:eastAsiaTheme="minorEastAsia"/>
          <w:sz w:val="24"/>
        </w:rPr>
      </w:pPr>
      <w:r>
        <w:rPr>
          <w:sz w:val="24"/>
          <w:lang w:bidi="ar"/>
        </w:rPr>
        <w:t xml:space="preserve">技术支持服务热线    </w:t>
      </w:r>
      <w:r>
        <w:rPr>
          <w:rFonts w:hint="eastAsia"/>
          <w:sz w:val="24"/>
          <w:lang w:val="en-US" w:eastAsia="zh-CN" w:bidi="ar"/>
        </w:rPr>
        <w:t xml:space="preserve"> </w:t>
      </w:r>
      <w:r>
        <w:rPr>
          <w:sz w:val="24"/>
          <w:lang w:bidi="ar"/>
        </w:rPr>
        <w:t>010-86483801</w:t>
      </w:r>
      <w:r>
        <w:rPr>
          <w:rFonts w:eastAsiaTheme="minorEastAsia"/>
          <w:sz w:val="24"/>
          <w:lang w:bidi="ar"/>
        </w:rPr>
        <w:t xml:space="preserve">    </w:t>
      </w:r>
    </w:p>
    <w:p w14:paraId="716C083B">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.1办理CA数字证书</w:t>
      </w:r>
      <w:r>
        <w:rPr>
          <w:sz w:val="24"/>
          <w:lang w:bidi="ar"/>
        </w:rPr>
        <w:t>或电子营业执照</w:t>
      </w:r>
    </w:p>
    <w:p w14:paraId="3B8AF649">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40EF62F2">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.2注册</w:t>
      </w:r>
    </w:p>
    <w:p w14:paraId="6A2D8D42">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73CB1346">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.3驱动、客户端下载</w:t>
      </w:r>
    </w:p>
    <w:p w14:paraId="208884FB">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766C7DED">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49BFA3AA">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.4 获取电子竞争性磋商文件</w:t>
      </w:r>
    </w:p>
    <w:p w14:paraId="25089ECF">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38731324">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784B2AA7">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.5编制电子响应文件</w:t>
      </w:r>
    </w:p>
    <w:p w14:paraId="32CB3799">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2EBEA1CA">
      <w:pPr>
        <w:widowControl/>
        <w:spacing w:line="360" w:lineRule="auto"/>
        <w:ind w:firstLine="480" w:firstLineChars="200"/>
        <w:jc w:val="left"/>
        <w:rPr>
          <w:rFonts w:eastAsiaTheme="minorEastAsia"/>
          <w:sz w:val="24"/>
          <w:lang w:val="zh-TW" w:bidi="ar"/>
        </w:rPr>
      </w:pPr>
      <w:r>
        <w:rPr>
          <w:rFonts w:hint="eastAsia" w:eastAsiaTheme="minorEastAsia"/>
          <w:sz w:val="24"/>
          <w:lang w:val="en-US" w:eastAsia="zh-CN" w:bidi="ar"/>
        </w:rPr>
        <w:t>2</w:t>
      </w:r>
      <w:r>
        <w:rPr>
          <w:rFonts w:eastAsiaTheme="minorEastAsia"/>
          <w:sz w:val="24"/>
          <w:lang w:val="zh-TW" w:eastAsia="zh-TW" w:bidi="ar"/>
        </w:rPr>
        <w:t>.6</w:t>
      </w:r>
      <w:r>
        <w:rPr>
          <w:rFonts w:eastAsiaTheme="minorEastAsia"/>
          <w:sz w:val="24"/>
          <w:lang w:val="zh-TW" w:bidi="ar"/>
        </w:rPr>
        <w:t>提交电子响应文件</w:t>
      </w:r>
    </w:p>
    <w:p w14:paraId="0005766E">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06E88092">
      <w:pPr>
        <w:spacing w:line="360" w:lineRule="auto"/>
        <w:ind w:firstLine="480" w:firstLineChars="200"/>
        <w:rPr>
          <w:rFonts w:eastAsiaTheme="minorEastAsia"/>
          <w:sz w:val="24"/>
          <w:lang w:eastAsia="zh-TW"/>
        </w:rPr>
      </w:pPr>
      <w:r>
        <w:rPr>
          <w:rFonts w:hint="eastAsia" w:eastAsiaTheme="minorEastAsia"/>
          <w:sz w:val="24"/>
          <w:lang w:val="en-US" w:eastAsia="zh-CN"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14:paraId="5E2B24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kern w:val="0"/>
          <w:sz w:val="24"/>
          <w:szCs w:val="24"/>
          <w:lang w:val="en-US" w:eastAsia="zh-CN"/>
        </w:rPr>
      </w:pPr>
      <w:r>
        <w:rPr>
          <w:rFonts w:eastAsiaTheme="minorEastAsia"/>
          <w:sz w:val="24"/>
        </w:rPr>
        <w:t>供应商于</w:t>
      </w:r>
      <w:r>
        <w:rPr>
          <w:rFonts w:eastAsiaTheme="minorEastAsia"/>
          <w:sz w:val="24"/>
          <w:lang w:val="zh-TW" w:bidi="ar"/>
        </w:rPr>
        <w:t>磋商文件规定的开启时间、在开启地点</w:t>
      </w:r>
      <w:r>
        <w:rPr>
          <w:rFonts w:eastAsiaTheme="minorEastAsia"/>
          <w:sz w:val="24"/>
          <w:lang w:bidi="ar"/>
        </w:rPr>
        <w:t>开启响应文件。</w:t>
      </w:r>
      <w:r>
        <w:rPr>
          <w:rFonts w:hint="eastAsia" w:ascii="Times New Roman" w:hAnsi="Times New Roman" w:eastAsia="宋体" w:cs="Times New Roman"/>
          <w:sz w:val="24"/>
          <w:lang w:val="zh-TW" w:eastAsia="zh-TW" w:bidi="ar"/>
        </w:rPr>
        <w:t>投标单位法人或授权人参加开标会（地点：北京市大兴区公共资源交易分中心三层）</w:t>
      </w:r>
      <w:r>
        <w:rPr>
          <w:rFonts w:hint="eastAsia" w:cs="Times New Roman"/>
          <w:sz w:val="24"/>
          <w:lang w:val="zh-TW" w:eastAsia="zh-CN" w:bidi="ar"/>
        </w:rPr>
        <w:t>，</w:t>
      </w:r>
      <w:r>
        <w:rPr>
          <w:rFonts w:hint="eastAsia" w:eastAsiaTheme="minorEastAsia"/>
          <w:sz w:val="24"/>
          <w:lang w:bidi="ar"/>
        </w:rPr>
        <w:t>届时应提供以下资料：1、携带制作电子版《竞争性磋商文件》的CA证书（钥匙）。2、法人代表授权书1份。以上资料需开标当日现场递交，大兴区政府采购中心不接受现场递交以外的投递形式，供应商采取其他投递形式致使投标无效，大兴区政府采购中心不承担任何责任。（现场递交系指供应商将投标文件相关资料直接递交给采购中心联系人，并签字确认）</w:t>
      </w:r>
      <w:r>
        <w:rPr>
          <w:rFonts w:eastAsiaTheme="minorEastAsia"/>
          <w:sz w:val="24"/>
          <w:lang w:bidi="ar"/>
        </w:rPr>
        <w:t>如因供应商问题，解密不成功，则</w:t>
      </w:r>
      <w:r>
        <w:rPr>
          <w:rFonts w:eastAsiaTheme="minorEastAsia"/>
          <w:b/>
          <w:sz w:val="24"/>
          <w:lang w:bidi="ar"/>
        </w:rPr>
        <w:t>响应无效</w:t>
      </w:r>
      <w:r>
        <w:rPr>
          <w:rFonts w:eastAsiaTheme="minorEastAsia"/>
          <w:sz w:val="24"/>
          <w:lang w:bidi="ar"/>
        </w:rPr>
        <w:t>。</w:t>
      </w:r>
    </w:p>
    <w:p w14:paraId="00DFACF2">
      <w:pPr>
        <w:pStyle w:val="4"/>
        <w:spacing w:line="360" w:lineRule="auto"/>
        <w:rPr>
          <w:rFonts w:hint="eastAsia" w:asciiTheme="minorEastAsia" w:hAnsiTheme="minorEastAsia" w:eastAsiaTheme="minorEastAsia" w:cstheme="minorEastAsia"/>
          <w:b w:val="0"/>
          <w:sz w:val="24"/>
          <w:szCs w:val="24"/>
        </w:rPr>
      </w:pPr>
      <w:bookmarkStart w:id="28" w:name="_Toc28359018"/>
      <w:bookmarkStart w:id="29" w:name="_Toc28359095"/>
      <w:bookmarkStart w:id="30" w:name="_Toc35393805"/>
      <w:bookmarkStart w:id="31" w:name="_Toc35393636"/>
      <w:r>
        <w:rPr>
          <w:rFonts w:hint="eastAsia" w:asciiTheme="minorEastAsia" w:hAnsiTheme="minorEastAsia" w:eastAsiaTheme="minorEastAsia" w:cstheme="minorEastAsia"/>
          <w:b w:val="0"/>
          <w:sz w:val="24"/>
          <w:szCs w:val="24"/>
        </w:rPr>
        <w:t>八、凡对本次采购提出询问，请按以下方式联系。</w:t>
      </w:r>
      <w:bookmarkEnd w:id="28"/>
      <w:bookmarkEnd w:id="29"/>
      <w:bookmarkEnd w:id="30"/>
      <w:bookmarkEnd w:id="31"/>
    </w:p>
    <w:p w14:paraId="7642DA98">
      <w:pPr>
        <w:pStyle w:val="4"/>
        <w:pageBreakBefore w:val="0"/>
        <w:widowControl w:val="0"/>
        <w:kinsoku/>
        <w:wordWrap/>
        <w:overflowPunct/>
        <w:topLinePunct w:val="0"/>
        <w:autoSpaceDE/>
        <w:autoSpaceDN/>
        <w:bidi w:val="0"/>
        <w:adjustRightInd/>
        <w:snapToGrid/>
        <w:spacing w:line="240" w:lineRule="auto"/>
        <w:ind w:firstLine="720" w:firstLineChars="300"/>
        <w:textAlignment w:val="auto"/>
        <w:rPr>
          <w:rFonts w:hint="eastAsia" w:asciiTheme="minorEastAsia" w:hAnsiTheme="minorEastAsia" w:eastAsiaTheme="minorEastAsia" w:cstheme="minorEastAsia"/>
          <w:b w:val="0"/>
          <w:sz w:val="24"/>
          <w:szCs w:val="24"/>
        </w:rPr>
      </w:pPr>
      <w:bookmarkStart w:id="32" w:name="_Toc35393806"/>
      <w:bookmarkStart w:id="33" w:name="_Toc28359096"/>
      <w:bookmarkStart w:id="34" w:name="_Toc35393637"/>
      <w:bookmarkStart w:id="35" w:name="_Toc28359019"/>
      <w:r>
        <w:rPr>
          <w:rFonts w:hint="eastAsia" w:asciiTheme="minorEastAsia" w:hAnsiTheme="minorEastAsia" w:eastAsiaTheme="minorEastAsia" w:cstheme="minorEastAsia"/>
          <w:b w:val="0"/>
          <w:sz w:val="24"/>
          <w:szCs w:val="24"/>
        </w:rPr>
        <w:t>1.采购人信息</w:t>
      </w:r>
      <w:bookmarkEnd w:id="32"/>
      <w:bookmarkEnd w:id="33"/>
      <w:bookmarkEnd w:id="34"/>
      <w:bookmarkEnd w:id="35"/>
    </w:p>
    <w:p w14:paraId="241BAD97">
      <w:pPr>
        <w:keepNext w:val="0"/>
        <w:keepLines w:val="0"/>
        <w:pageBreakBefore w:val="0"/>
        <w:widowControl w:val="0"/>
        <w:kinsoku/>
        <w:wordWrap/>
        <w:overflowPunct/>
        <w:topLinePunct w:val="0"/>
        <w:autoSpaceDE/>
        <w:autoSpaceDN/>
        <w:bidi w:val="0"/>
        <w:adjustRightInd/>
        <w:snapToGrid/>
        <w:spacing w:line="360" w:lineRule="auto"/>
        <w:ind w:left="1079" w:leftChars="371" w:hanging="300" w:hangingChars="125"/>
        <w:jc w:val="left"/>
        <w:textAlignment w:val="auto"/>
        <w:rPr>
          <w:rFonts w:hint="eastAsia" w:asciiTheme="minorEastAsia" w:hAnsiTheme="minorEastAsia" w:eastAsiaTheme="minorEastAsia" w:cstheme="minorEastAsia"/>
          <w:color w:val="auto"/>
          <w:sz w:val="24"/>
          <w:szCs w:val="24"/>
          <w:u w:val="none"/>
        </w:rPr>
      </w:pPr>
      <w:r>
        <w:rPr>
          <w:rFonts w:hint="eastAsia" w:asciiTheme="minorEastAsia" w:hAnsiTheme="minorEastAsia" w:eastAsiaTheme="minorEastAsia" w:cstheme="minorEastAsia"/>
          <w:color w:val="auto"/>
          <w:sz w:val="24"/>
          <w:szCs w:val="24"/>
          <w:u w:val="none"/>
        </w:rPr>
        <w:t>名    称：　北京市大兴区高米店街道办事处</w:t>
      </w:r>
    </w:p>
    <w:p w14:paraId="45276192">
      <w:pPr>
        <w:keepNext w:val="0"/>
        <w:keepLines w:val="0"/>
        <w:pageBreakBefore w:val="0"/>
        <w:widowControl w:val="0"/>
        <w:kinsoku/>
        <w:wordWrap/>
        <w:overflowPunct/>
        <w:topLinePunct w:val="0"/>
        <w:autoSpaceDE/>
        <w:autoSpaceDN/>
        <w:bidi w:val="0"/>
        <w:adjustRightInd/>
        <w:snapToGrid/>
        <w:spacing w:line="360" w:lineRule="auto"/>
        <w:ind w:left="1079" w:leftChars="371" w:hanging="300" w:hangingChars="125"/>
        <w:jc w:val="left"/>
        <w:textAlignment w:val="auto"/>
        <w:rPr>
          <w:rFonts w:hint="eastAsia" w:asciiTheme="minorEastAsia" w:hAnsiTheme="minorEastAsia" w:eastAsiaTheme="minorEastAsia" w:cstheme="minorEastAsia"/>
          <w:color w:val="auto"/>
          <w:sz w:val="24"/>
          <w:szCs w:val="24"/>
          <w:u w:val="none"/>
        </w:rPr>
      </w:pPr>
      <w:r>
        <w:rPr>
          <w:rFonts w:hint="eastAsia" w:asciiTheme="minorEastAsia" w:hAnsiTheme="minorEastAsia" w:eastAsiaTheme="minorEastAsia" w:cstheme="minorEastAsia"/>
          <w:color w:val="auto"/>
          <w:sz w:val="24"/>
          <w:szCs w:val="24"/>
          <w:u w:val="none"/>
        </w:rPr>
        <w:t>地    址：　北京市大兴区乐园路22号院7号楼　　　　　　　　　　　</w:t>
      </w:r>
    </w:p>
    <w:p w14:paraId="13CB990C">
      <w:pPr>
        <w:keepNext w:val="0"/>
        <w:keepLines w:val="0"/>
        <w:pageBreakBefore w:val="0"/>
        <w:widowControl w:val="0"/>
        <w:kinsoku/>
        <w:wordWrap/>
        <w:overflowPunct/>
        <w:topLinePunct w:val="0"/>
        <w:autoSpaceDE/>
        <w:autoSpaceDN/>
        <w:bidi w:val="0"/>
        <w:adjustRightInd/>
        <w:snapToGrid/>
        <w:spacing w:line="360" w:lineRule="auto"/>
        <w:ind w:left="1079" w:leftChars="371" w:hanging="300" w:hangingChars="125"/>
        <w:jc w:val="left"/>
        <w:textAlignment w:val="auto"/>
        <w:rPr>
          <w:rFonts w:hint="eastAsia" w:asciiTheme="minorEastAsia" w:hAnsiTheme="minorEastAsia" w:eastAsiaTheme="minorEastAsia" w:cstheme="minorEastAsia"/>
          <w:color w:val="auto"/>
          <w:sz w:val="24"/>
          <w:szCs w:val="24"/>
          <w:u w:val="none"/>
        </w:rPr>
      </w:pPr>
      <w:r>
        <w:rPr>
          <w:rFonts w:hint="eastAsia" w:asciiTheme="minorEastAsia" w:hAnsiTheme="minorEastAsia" w:eastAsiaTheme="minorEastAsia" w:cstheme="minorEastAsia"/>
          <w:color w:val="auto"/>
          <w:sz w:val="24"/>
          <w:szCs w:val="24"/>
          <w:u w:val="none"/>
        </w:rPr>
        <w:t xml:space="preserve">联系方式：　010--69257800　　　　　　　 　　　 </w:t>
      </w:r>
    </w:p>
    <w:p w14:paraId="1DD3EA1E">
      <w:pPr>
        <w:pStyle w:val="4"/>
        <w:pageBreakBefore w:val="0"/>
        <w:widowControl w:val="0"/>
        <w:kinsoku/>
        <w:wordWrap/>
        <w:overflowPunct/>
        <w:topLinePunct w:val="0"/>
        <w:autoSpaceDE/>
        <w:autoSpaceDN/>
        <w:bidi w:val="0"/>
        <w:adjustRightInd/>
        <w:snapToGrid/>
        <w:spacing w:line="240" w:lineRule="auto"/>
        <w:ind w:firstLine="720" w:firstLineChars="300"/>
        <w:textAlignment w:val="auto"/>
        <w:rPr>
          <w:rFonts w:hint="eastAsia" w:asciiTheme="minorEastAsia" w:hAnsiTheme="minorEastAsia" w:eastAsiaTheme="minorEastAsia" w:cstheme="minorEastAsia"/>
          <w:b w:val="0"/>
          <w:sz w:val="24"/>
          <w:szCs w:val="24"/>
        </w:rPr>
      </w:pPr>
      <w:bookmarkStart w:id="36" w:name="_Toc28359097"/>
      <w:bookmarkStart w:id="37" w:name="_Toc35393638"/>
      <w:bookmarkStart w:id="38" w:name="_Toc35393807"/>
      <w:bookmarkStart w:id="39" w:name="_Toc28359020"/>
      <w:r>
        <w:rPr>
          <w:rFonts w:hint="eastAsia" w:asciiTheme="minorEastAsia" w:hAnsiTheme="minorEastAsia" w:eastAsiaTheme="minorEastAsia" w:cstheme="minorEastAsia"/>
          <w:b w:val="0"/>
          <w:sz w:val="24"/>
          <w:szCs w:val="24"/>
        </w:rPr>
        <w:t>2.采购代理机构信息</w:t>
      </w:r>
      <w:bookmarkEnd w:id="36"/>
      <w:bookmarkEnd w:id="37"/>
      <w:bookmarkEnd w:id="38"/>
      <w:bookmarkEnd w:id="39"/>
    </w:p>
    <w:p w14:paraId="6553BC89">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名    称：　北京市大兴区政府采购中心　</w:t>
      </w:r>
      <w:r>
        <w:rPr>
          <w:rFonts w:hint="eastAsia" w:asciiTheme="minorEastAsia" w:hAnsiTheme="minorEastAsia" w:eastAsiaTheme="minorEastAsia" w:cstheme="minorEastAsia"/>
          <w:sz w:val="24"/>
          <w:szCs w:val="24"/>
          <w:u w:val="none"/>
          <w:lang w:val="en-US" w:eastAsia="zh-CN"/>
        </w:rPr>
        <w:t xml:space="preserve">     </w:t>
      </w:r>
      <w:r>
        <w:rPr>
          <w:rFonts w:hint="eastAsia" w:asciiTheme="minorEastAsia" w:hAnsiTheme="minorEastAsia" w:eastAsiaTheme="minorEastAsia" w:cstheme="minorEastAsia"/>
          <w:sz w:val="24"/>
          <w:szCs w:val="24"/>
          <w:u w:val="none"/>
        </w:rPr>
        <w:t>　</w:t>
      </w:r>
    </w:p>
    <w:p w14:paraId="29331FA3">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地　　址：　北京市大兴区公共资源交易分中心三层</w:t>
      </w:r>
    </w:p>
    <w:p w14:paraId="1576D672">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联系方式：　010-69231333、69231339　　　　　　</w:t>
      </w:r>
    </w:p>
    <w:p w14:paraId="6FC66082">
      <w:pPr>
        <w:pStyle w:val="4"/>
        <w:pageBreakBefore w:val="0"/>
        <w:widowControl w:val="0"/>
        <w:kinsoku/>
        <w:wordWrap/>
        <w:overflowPunct/>
        <w:topLinePunct w:val="0"/>
        <w:autoSpaceDE/>
        <w:autoSpaceDN/>
        <w:bidi w:val="0"/>
        <w:adjustRightInd/>
        <w:snapToGrid/>
        <w:spacing w:line="240" w:lineRule="auto"/>
        <w:ind w:firstLine="720" w:firstLineChars="300"/>
        <w:textAlignment w:val="auto"/>
        <w:rPr>
          <w:rFonts w:hint="eastAsia" w:asciiTheme="minorEastAsia" w:hAnsiTheme="minorEastAsia" w:eastAsiaTheme="minorEastAsia" w:cstheme="minorEastAsia"/>
          <w:b w:val="0"/>
          <w:sz w:val="24"/>
          <w:szCs w:val="24"/>
        </w:rPr>
      </w:pPr>
      <w:bookmarkStart w:id="40" w:name="_Toc28359098"/>
      <w:bookmarkStart w:id="41" w:name="_Toc28359021"/>
      <w:bookmarkStart w:id="42" w:name="_Toc35393808"/>
      <w:bookmarkStart w:id="43" w:name="_Toc35393639"/>
      <w:r>
        <w:rPr>
          <w:rFonts w:hint="eastAsia" w:asciiTheme="minorEastAsia" w:hAnsiTheme="minorEastAsia" w:eastAsiaTheme="minorEastAsia" w:cstheme="minorEastAsia"/>
          <w:b w:val="0"/>
          <w:sz w:val="24"/>
          <w:szCs w:val="24"/>
        </w:rPr>
        <w:t>3.项目联系方式</w:t>
      </w:r>
      <w:bookmarkEnd w:id="40"/>
      <w:bookmarkEnd w:id="41"/>
      <w:bookmarkEnd w:id="42"/>
      <w:bookmarkEnd w:id="43"/>
    </w:p>
    <w:p w14:paraId="53FF2DFE">
      <w:pPr>
        <w:pStyle w:val="9"/>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项目联系人：</w:t>
      </w:r>
      <w:r>
        <w:rPr>
          <w:rFonts w:hint="eastAsia" w:asciiTheme="minorEastAsia" w:hAnsiTheme="minorEastAsia" w:cstheme="minorEastAsia"/>
          <w:sz w:val="24"/>
          <w:szCs w:val="24"/>
          <w:u w:val="none"/>
          <w:lang w:val="en-US" w:eastAsia="zh-CN"/>
        </w:rPr>
        <w:t>赵</w:t>
      </w:r>
      <w:r>
        <w:rPr>
          <w:rFonts w:hint="eastAsia" w:asciiTheme="minorEastAsia" w:hAnsiTheme="minorEastAsia" w:eastAsiaTheme="minorEastAsia" w:cstheme="minorEastAsia"/>
          <w:sz w:val="24"/>
          <w:szCs w:val="24"/>
          <w:u w:val="none"/>
          <w:lang w:val="en-US" w:eastAsia="zh-CN"/>
        </w:rPr>
        <w:t>老师</w:t>
      </w:r>
    </w:p>
    <w:p w14:paraId="1EE89746">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sz w:val="24"/>
          <w:szCs w:val="24"/>
        </w:rPr>
        <w:t>电　　 话：010-69231333转20</w:t>
      </w:r>
      <w:r>
        <w:rPr>
          <w:rFonts w:hint="eastAsia" w:asciiTheme="minorEastAsia" w:hAnsiTheme="minorEastAsia" w:eastAsiaTheme="minorEastAsia" w:cstheme="minorEastAsia"/>
          <w:sz w:val="24"/>
          <w:szCs w:val="24"/>
          <w:lang w:val="en-US" w:eastAsia="zh-CN"/>
        </w:rPr>
        <w:t>6</w:t>
      </w:r>
    </w:p>
    <w:p w14:paraId="29DFB97F">
      <w:pPr>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br w:type="page"/>
      </w:r>
    </w:p>
    <w:p w14:paraId="547D3189">
      <w:pPr>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附件：</w:t>
      </w:r>
    </w:p>
    <w:p w14:paraId="2B243775">
      <w:pPr>
        <w:jc w:val="center"/>
        <w:rPr>
          <w:rFonts w:hint="eastAsia" w:ascii="黑体" w:hAnsi="宋体" w:eastAsia="黑体" w:cs="宋体"/>
          <w:kern w:val="0"/>
          <w:sz w:val="36"/>
          <w:szCs w:val="36"/>
        </w:rPr>
      </w:pPr>
      <w:r>
        <w:rPr>
          <w:rFonts w:hint="eastAsia" w:ascii="黑体" w:hAnsi="宋体" w:eastAsia="黑体" w:cs="宋体"/>
          <w:kern w:val="0"/>
          <w:sz w:val="36"/>
          <w:szCs w:val="36"/>
        </w:rPr>
        <w:t>采购需求</w:t>
      </w:r>
    </w:p>
    <w:p w14:paraId="70FF54DF">
      <w:pPr>
        <w:jc w:val="center"/>
        <w:rPr>
          <w:rFonts w:hint="eastAsia" w:ascii="黑体" w:hAnsi="宋体" w:eastAsia="黑体" w:cs="宋体"/>
          <w:kern w:val="0"/>
          <w:sz w:val="36"/>
          <w:szCs w:val="36"/>
          <w:u w:val="single"/>
        </w:rPr>
      </w:pPr>
    </w:p>
    <w:p w14:paraId="0E9AA971">
      <w:pPr>
        <w:numPr>
          <w:ilvl w:val="0"/>
          <w:numId w:val="1"/>
        </w:numPr>
        <w:adjustRightInd w:val="0"/>
        <w:spacing w:line="360" w:lineRule="atLeast"/>
        <w:jc w:val="left"/>
        <w:textAlignment w:val="baseline"/>
        <w:rPr>
          <w:b/>
          <w:sz w:val="24"/>
        </w:rPr>
      </w:pPr>
      <w:r>
        <w:rPr>
          <w:rFonts w:hint="eastAsia"/>
          <w:b/>
          <w:sz w:val="24"/>
        </w:rPr>
        <w:t>采购清单</w:t>
      </w:r>
    </w:p>
    <w:tbl>
      <w:tblPr>
        <w:tblStyle w:val="11"/>
        <w:tblpPr w:leftFromText="180" w:rightFromText="180" w:vertAnchor="text" w:horzAnchor="page" w:tblpX="902" w:tblpY="75"/>
        <w:tblOverlap w:val="never"/>
        <w:tblW w:w="9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
        <w:gridCol w:w="4378"/>
        <w:gridCol w:w="1384"/>
        <w:gridCol w:w="1396"/>
        <w:gridCol w:w="1366"/>
      </w:tblGrid>
      <w:tr w14:paraId="01738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996" w:type="dxa"/>
            <w:vAlign w:val="center"/>
          </w:tcPr>
          <w:p w14:paraId="59B7C9E9">
            <w:pPr>
              <w:jc w:val="center"/>
            </w:pPr>
            <w:r>
              <w:rPr>
                <w:rFonts w:hint="eastAsia"/>
                <w:b/>
                <w:sz w:val="24"/>
              </w:rPr>
              <w:t>序号</w:t>
            </w:r>
          </w:p>
        </w:tc>
        <w:tc>
          <w:tcPr>
            <w:tcW w:w="4378" w:type="dxa"/>
            <w:vAlign w:val="center"/>
          </w:tcPr>
          <w:p w14:paraId="012BF6E5">
            <w:pPr>
              <w:jc w:val="center"/>
            </w:pPr>
            <w:r>
              <w:rPr>
                <w:rFonts w:hint="eastAsia"/>
                <w:b/>
                <w:sz w:val="24"/>
              </w:rPr>
              <w:t>货物或服务名称</w:t>
            </w:r>
          </w:p>
        </w:tc>
        <w:tc>
          <w:tcPr>
            <w:tcW w:w="1384" w:type="dxa"/>
            <w:vAlign w:val="center"/>
          </w:tcPr>
          <w:p w14:paraId="38628C79">
            <w:pPr>
              <w:jc w:val="center"/>
            </w:pPr>
            <w:r>
              <w:rPr>
                <w:rFonts w:hint="eastAsia"/>
                <w:b/>
                <w:sz w:val="24"/>
              </w:rPr>
              <w:t>数量</w:t>
            </w:r>
          </w:p>
        </w:tc>
        <w:tc>
          <w:tcPr>
            <w:tcW w:w="1396" w:type="dxa"/>
            <w:vAlign w:val="center"/>
          </w:tcPr>
          <w:p w14:paraId="77AE89D0">
            <w:pPr>
              <w:jc w:val="center"/>
            </w:pPr>
            <w:r>
              <w:rPr>
                <w:rFonts w:hint="eastAsia"/>
                <w:b/>
                <w:sz w:val="24"/>
              </w:rPr>
              <w:t>单位</w:t>
            </w:r>
          </w:p>
        </w:tc>
        <w:tc>
          <w:tcPr>
            <w:tcW w:w="1366" w:type="dxa"/>
            <w:vAlign w:val="center"/>
          </w:tcPr>
          <w:p w14:paraId="7A1E3546">
            <w:pPr>
              <w:jc w:val="center"/>
            </w:pPr>
            <w:r>
              <w:rPr>
                <w:rFonts w:hint="eastAsia"/>
                <w:b/>
                <w:sz w:val="24"/>
              </w:rPr>
              <w:t>备注（核心产品）</w:t>
            </w:r>
          </w:p>
        </w:tc>
      </w:tr>
      <w:tr w14:paraId="3169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996" w:type="dxa"/>
            <w:vAlign w:val="top"/>
          </w:tcPr>
          <w:p w14:paraId="0FD82146">
            <w:pPr>
              <w:pStyle w:val="16"/>
              <w:spacing w:before="122" w:line="238" w:lineRule="auto"/>
              <w:ind w:left="345" w:leftChars="0"/>
            </w:pPr>
            <w:r>
              <w:t>1</w:t>
            </w:r>
          </w:p>
        </w:tc>
        <w:tc>
          <w:tcPr>
            <w:tcW w:w="4378" w:type="dxa"/>
            <w:vAlign w:val="top"/>
          </w:tcPr>
          <w:p w14:paraId="01C977E7">
            <w:pPr>
              <w:pStyle w:val="16"/>
              <w:spacing w:before="99" w:line="219" w:lineRule="auto"/>
              <w:ind w:left="101" w:leftChars="0"/>
            </w:pPr>
            <w:r>
              <w:rPr>
                <w:spacing w:val="-2"/>
              </w:rPr>
              <w:t>用户服务管理</w:t>
            </w:r>
          </w:p>
        </w:tc>
        <w:tc>
          <w:tcPr>
            <w:tcW w:w="1384" w:type="dxa"/>
            <w:vAlign w:val="top"/>
          </w:tcPr>
          <w:p w14:paraId="32EE5BE4">
            <w:pPr>
              <w:pStyle w:val="16"/>
              <w:spacing w:before="122" w:line="238" w:lineRule="auto"/>
              <w:ind w:left="516" w:leftChars="0"/>
            </w:pPr>
            <w:r>
              <w:t>1</w:t>
            </w:r>
          </w:p>
        </w:tc>
        <w:tc>
          <w:tcPr>
            <w:tcW w:w="1396" w:type="dxa"/>
            <w:vAlign w:val="top"/>
          </w:tcPr>
          <w:p w14:paraId="15FB223C">
            <w:pPr>
              <w:pStyle w:val="16"/>
              <w:spacing w:before="99" w:line="219" w:lineRule="auto"/>
              <w:ind w:left="467" w:leftChars="0"/>
            </w:pPr>
            <w:r>
              <w:t>年</w:t>
            </w:r>
          </w:p>
        </w:tc>
        <w:tc>
          <w:tcPr>
            <w:tcW w:w="1366" w:type="dxa"/>
            <w:vAlign w:val="top"/>
          </w:tcPr>
          <w:p w14:paraId="6859F36D"/>
        </w:tc>
      </w:tr>
      <w:tr w14:paraId="2D47B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96" w:type="dxa"/>
            <w:vAlign w:val="top"/>
          </w:tcPr>
          <w:p w14:paraId="6C915442">
            <w:pPr>
              <w:pStyle w:val="16"/>
              <w:spacing w:before="133" w:line="237" w:lineRule="auto"/>
              <w:ind w:left="345" w:leftChars="0"/>
              <w:rPr>
                <w:highlight w:val="none"/>
              </w:rPr>
            </w:pPr>
            <w:r>
              <w:rPr>
                <w:highlight w:val="none"/>
              </w:rPr>
              <w:t>2</w:t>
            </w:r>
          </w:p>
        </w:tc>
        <w:tc>
          <w:tcPr>
            <w:tcW w:w="4378" w:type="dxa"/>
            <w:vAlign w:val="top"/>
          </w:tcPr>
          <w:p w14:paraId="42B802D6">
            <w:pPr>
              <w:pStyle w:val="16"/>
              <w:spacing w:before="110" w:line="219" w:lineRule="auto"/>
              <w:ind w:left="101" w:leftChars="0"/>
              <w:rPr>
                <w:highlight w:val="none"/>
              </w:rPr>
            </w:pPr>
            <w:r>
              <w:rPr>
                <w:spacing w:val="1"/>
                <w:highlight w:val="none"/>
              </w:rPr>
              <w:t>日常养护维修服务</w:t>
            </w:r>
          </w:p>
        </w:tc>
        <w:tc>
          <w:tcPr>
            <w:tcW w:w="1384" w:type="dxa"/>
            <w:vAlign w:val="top"/>
          </w:tcPr>
          <w:p w14:paraId="78E514C6">
            <w:pPr>
              <w:pStyle w:val="16"/>
              <w:spacing w:before="133" w:line="237" w:lineRule="auto"/>
              <w:ind w:left="346" w:leftChars="0"/>
              <w:rPr>
                <w:rFonts w:hint="default" w:eastAsia="宋体"/>
                <w:highlight w:val="none"/>
                <w:lang w:val="en-US" w:eastAsia="zh-CN"/>
              </w:rPr>
            </w:pPr>
            <w:r>
              <w:rPr>
                <w:rFonts w:hint="eastAsia" w:eastAsia="宋体"/>
                <w:spacing w:val="-3"/>
                <w:highlight w:val="none"/>
                <w:lang w:val="en-US" w:eastAsia="zh-CN"/>
              </w:rPr>
              <w:t>5042</w:t>
            </w:r>
          </w:p>
        </w:tc>
        <w:tc>
          <w:tcPr>
            <w:tcW w:w="1396" w:type="dxa"/>
            <w:vAlign w:val="top"/>
          </w:tcPr>
          <w:p w14:paraId="75CE9BF1">
            <w:pPr>
              <w:pStyle w:val="16"/>
              <w:spacing w:before="110" w:line="219" w:lineRule="auto"/>
              <w:ind w:left="237" w:leftChars="0"/>
              <w:rPr>
                <w:highlight w:val="none"/>
              </w:rPr>
            </w:pPr>
            <w:r>
              <w:rPr>
                <w:spacing w:val="-2"/>
                <w:highlight w:val="none"/>
              </w:rPr>
              <w:t>平方米</w:t>
            </w:r>
          </w:p>
        </w:tc>
        <w:tc>
          <w:tcPr>
            <w:tcW w:w="1366" w:type="dxa"/>
            <w:vAlign w:val="top"/>
          </w:tcPr>
          <w:p w14:paraId="676253FA">
            <w:pPr>
              <w:rPr>
                <w:highlight w:val="none"/>
              </w:rPr>
            </w:pPr>
          </w:p>
        </w:tc>
      </w:tr>
      <w:tr w14:paraId="589E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96" w:type="dxa"/>
            <w:vAlign w:val="top"/>
          </w:tcPr>
          <w:p w14:paraId="503568BC">
            <w:pPr>
              <w:pStyle w:val="16"/>
              <w:spacing w:before="124" w:line="236" w:lineRule="auto"/>
              <w:ind w:left="345" w:leftChars="0"/>
              <w:rPr>
                <w:highlight w:val="none"/>
              </w:rPr>
            </w:pPr>
            <w:r>
              <w:rPr>
                <w:highlight w:val="none"/>
              </w:rPr>
              <w:t>3</w:t>
            </w:r>
          </w:p>
        </w:tc>
        <w:tc>
          <w:tcPr>
            <w:tcW w:w="4378" w:type="dxa"/>
            <w:vAlign w:val="top"/>
          </w:tcPr>
          <w:p w14:paraId="6A7A276D">
            <w:pPr>
              <w:pStyle w:val="16"/>
              <w:spacing w:before="101" w:line="219" w:lineRule="auto"/>
              <w:ind w:left="101" w:leftChars="0"/>
              <w:rPr>
                <w:highlight w:val="none"/>
              </w:rPr>
            </w:pPr>
            <w:r>
              <w:rPr>
                <w:spacing w:val="1"/>
                <w:highlight w:val="none"/>
              </w:rPr>
              <w:t>给排水系统的维</w:t>
            </w:r>
            <w:r>
              <w:rPr>
                <w:rFonts w:hint="eastAsia"/>
                <w:spacing w:val="1"/>
                <w:highlight w:val="none"/>
                <w:lang w:eastAsia="zh-CN"/>
              </w:rPr>
              <w:t>修</w:t>
            </w:r>
            <w:r>
              <w:rPr>
                <w:spacing w:val="1"/>
                <w:highlight w:val="none"/>
              </w:rPr>
              <w:t>服务</w:t>
            </w:r>
          </w:p>
        </w:tc>
        <w:tc>
          <w:tcPr>
            <w:tcW w:w="1384" w:type="dxa"/>
            <w:vAlign w:val="top"/>
          </w:tcPr>
          <w:p w14:paraId="3BE2DE55">
            <w:pPr>
              <w:pStyle w:val="16"/>
              <w:spacing w:before="124" w:line="236" w:lineRule="auto"/>
              <w:ind w:left="516" w:leftChars="0"/>
              <w:rPr>
                <w:highlight w:val="none"/>
              </w:rPr>
            </w:pPr>
            <w:r>
              <w:rPr>
                <w:highlight w:val="none"/>
              </w:rPr>
              <w:t>6</w:t>
            </w:r>
          </w:p>
        </w:tc>
        <w:tc>
          <w:tcPr>
            <w:tcW w:w="1396" w:type="dxa"/>
            <w:vAlign w:val="top"/>
          </w:tcPr>
          <w:p w14:paraId="35DB21B6">
            <w:pPr>
              <w:pStyle w:val="16"/>
              <w:spacing w:before="102" w:line="220" w:lineRule="auto"/>
              <w:ind w:left="467" w:leftChars="0"/>
              <w:rPr>
                <w:highlight w:val="none"/>
              </w:rPr>
            </w:pPr>
            <w:r>
              <w:rPr>
                <w:highlight w:val="none"/>
              </w:rPr>
              <w:t>套</w:t>
            </w:r>
          </w:p>
        </w:tc>
        <w:tc>
          <w:tcPr>
            <w:tcW w:w="1366" w:type="dxa"/>
            <w:vAlign w:val="top"/>
          </w:tcPr>
          <w:p w14:paraId="45111904">
            <w:pPr>
              <w:rPr>
                <w:highlight w:val="none"/>
              </w:rPr>
            </w:pPr>
          </w:p>
        </w:tc>
      </w:tr>
      <w:tr w14:paraId="7A5E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96" w:type="dxa"/>
            <w:vAlign w:val="top"/>
          </w:tcPr>
          <w:p w14:paraId="76B7207E">
            <w:pPr>
              <w:pStyle w:val="16"/>
              <w:spacing w:before="124" w:line="236" w:lineRule="auto"/>
              <w:ind w:left="345" w:leftChars="0"/>
              <w:rPr>
                <w:highlight w:val="none"/>
              </w:rPr>
            </w:pPr>
            <w:r>
              <w:rPr>
                <w:highlight w:val="none"/>
              </w:rPr>
              <w:t>4</w:t>
            </w:r>
          </w:p>
        </w:tc>
        <w:tc>
          <w:tcPr>
            <w:tcW w:w="4378" w:type="dxa"/>
            <w:vAlign w:val="top"/>
          </w:tcPr>
          <w:p w14:paraId="7DA5F4EF">
            <w:pPr>
              <w:pStyle w:val="16"/>
              <w:spacing w:before="102" w:line="219" w:lineRule="auto"/>
              <w:ind w:left="101" w:leftChars="0"/>
              <w:rPr>
                <w:highlight w:val="none"/>
              </w:rPr>
            </w:pPr>
            <w:r>
              <w:rPr>
                <w:spacing w:val="1"/>
                <w:highlight w:val="none"/>
              </w:rPr>
              <w:t>弱电系统的管理和维</w:t>
            </w:r>
            <w:r>
              <w:rPr>
                <w:rFonts w:hint="eastAsia"/>
                <w:spacing w:val="1"/>
                <w:highlight w:val="none"/>
                <w:lang w:eastAsia="zh-CN"/>
              </w:rPr>
              <w:t>修</w:t>
            </w:r>
          </w:p>
        </w:tc>
        <w:tc>
          <w:tcPr>
            <w:tcW w:w="1384" w:type="dxa"/>
            <w:vAlign w:val="top"/>
          </w:tcPr>
          <w:p w14:paraId="1750D4F4">
            <w:pPr>
              <w:pStyle w:val="16"/>
              <w:spacing w:before="124" w:line="236" w:lineRule="auto"/>
              <w:ind w:left="516" w:leftChars="0"/>
              <w:rPr>
                <w:highlight w:val="none"/>
              </w:rPr>
            </w:pPr>
            <w:r>
              <w:rPr>
                <w:highlight w:val="none"/>
              </w:rPr>
              <w:t>1</w:t>
            </w:r>
          </w:p>
        </w:tc>
        <w:tc>
          <w:tcPr>
            <w:tcW w:w="1396" w:type="dxa"/>
            <w:vAlign w:val="top"/>
          </w:tcPr>
          <w:p w14:paraId="4DBA6DFC">
            <w:pPr>
              <w:pStyle w:val="16"/>
              <w:spacing w:before="103" w:line="220" w:lineRule="auto"/>
              <w:ind w:left="467" w:leftChars="0"/>
              <w:rPr>
                <w:highlight w:val="none"/>
              </w:rPr>
            </w:pPr>
            <w:r>
              <w:rPr>
                <w:highlight w:val="none"/>
              </w:rPr>
              <w:t>套</w:t>
            </w:r>
          </w:p>
        </w:tc>
        <w:tc>
          <w:tcPr>
            <w:tcW w:w="1366" w:type="dxa"/>
            <w:vAlign w:val="top"/>
          </w:tcPr>
          <w:p w14:paraId="0AC37A28">
            <w:pPr>
              <w:rPr>
                <w:highlight w:val="none"/>
              </w:rPr>
            </w:pPr>
          </w:p>
        </w:tc>
      </w:tr>
      <w:tr w14:paraId="5193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996" w:type="dxa"/>
            <w:vAlign w:val="top"/>
          </w:tcPr>
          <w:p w14:paraId="1324FA9A">
            <w:pPr>
              <w:pStyle w:val="16"/>
              <w:spacing w:before="136" w:line="235" w:lineRule="auto"/>
              <w:ind w:left="345" w:leftChars="0"/>
              <w:rPr>
                <w:highlight w:val="none"/>
              </w:rPr>
            </w:pPr>
            <w:r>
              <w:rPr>
                <w:highlight w:val="none"/>
              </w:rPr>
              <w:t>5</w:t>
            </w:r>
          </w:p>
        </w:tc>
        <w:tc>
          <w:tcPr>
            <w:tcW w:w="4378" w:type="dxa"/>
            <w:vAlign w:val="top"/>
          </w:tcPr>
          <w:p w14:paraId="667230A8">
            <w:pPr>
              <w:pStyle w:val="16"/>
              <w:spacing w:before="113" w:line="219" w:lineRule="auto"/>
              <w:ind w:left="101" w:leftChars="0"/>
              <w:rPr>
                <w:highlight w:val="none"/>
              </w:rPr>
            </w:pPr>
            <w:r>
              <w:rPr>
                <w:highlight w:val="none"/>
              </w:rPr>
              <w:t>强电系统的管理维</w:t>
            </w:r>
            <w:r>
              <w:rPr>
                <w:rFonts w:hint="eastAsia"/>
                <w:highlight w:val="none"/>
                <w:lang w:eastAsia="zh-CN"/>
              </w:rPr>
              <w:t>修</w:t>
            </w:r>
            <w:r>
              <w:rPr>
                <w:highlight w:val="none"/>
              </w:rPr>
              <w:t>服务</w:t>
            </w:r>
          </w:p>
        </w:tc>
        <w:tc>
          <w:tcPr>
            <w:tcW w:w="1384" w:type="dxa"/>
            <w:vAlign w:val="top"/>
          </w:tcPr>
          <w:p w14:paraId="54ED3843">
            <w:pPr>
              <w:pStyle w:val="16"/>
              <w:spacing w:before="136" w:line="235" w:lineRule="auto"/>
              <w:ind w:left="516" w:leftChars="0"/>
              <w:rPr>
                <w:highlight w:val="none"/>
              </w:rPr>
            </w:pPr>
            <w:r>
              <w:rPr>
                <w:highlight w:val="none"/>
              </w:rPr>
              <w:t>1</w:t>
            </w:r>
          </w:p>
        </w:tc>
        <w:tc>
          <w:tcPr>
            <w:tcW w:w="1396" w:type="dxa"/>
            <w:vAlign w:val="top"/>
          </w:tcPr>
          <w:p w14:paraId="1A6669DE">
            <w:pPr>
              <w:pStyle w:val="16"/>
              <w:spacing w:before="114" w:line="220" w:lineRule="auto"/>
              <w:ind w:left="467" w:leftChars="0"/>
              <w:rPr>
                <w:highlight w:val="none"/>
              </w:rPr>
            </w:pPr>
            <w:r>
              <w:rPr>
                <w:highlight w:val="none"/>
              </w:rPr>
              <w:t>套</w:t>
            </w:r>
          </w:p>
        </w:tc>
        <w:tc>
          <w:tcPr>
            <w:tcW w:w="1366" w:type="dxa"/>
            <w:vAlign w:val="top"/>
          </w:tcPr>
          <w:p w14:paraId="76D8A839">
            <w:pPr>
              <w:rPr>
                <w:highlight w:val="none"/>
              </w:rPr>
            </w:pPr>
          </w:p>
        </w:tc>
      </w:tr>
      <w:tr w14:paraId="079F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96" w:type="dxa"/>
            <w:vAlign w:val="top"/>
          </w:tcPr>
          <w:p w14:paraId="526F6077">
            <w:pPr>
              <w:pStyle w:val="16"/>
              <w:spacing w:before="137" w:line="234" w:lineRule="auto"/>
              <w:ind w:left="345" w:leftChars="0"/>
              <w:rPr>
                <w:highlight w:val="none"/>
              </w:rPr>
            </w:pPr>
            <w:r>
              <w:rPr>
                <w:highlight w:val="none"/>
              </w:rPr>
              <w:t>6</w:t>
            </w:r>
          </w:p>
        </w:tc>
        <w:tc>
          <w:tcPr>
            <w:tcW w:w="4378" w:type="dxa"/>
            <w:vAlign w:val="top"/>
          </w:tcPr>
          <w:p w14:paraId="1FE0761E">
            <w:pPr>
              <w:pStyle w:val="16"/>
              <w:spacing w:before="112" w:line="219" w:lineRule="auto"/>
              <w:ind w:left="101" w:leftChars="0"/>
              <w:rPr>
                <w:highlight w:val="none"/>
              </w:rPr>
            </w:pPr>
            <w:r>
              <w:rPr>
                <w:spacing w:val="1"/>
                <w:highlight w:val="none"/>
              </w:rPr>
              <w:t>各类机电设备运行服务</w:t>
            </w:r>
          </w:p>
        </w:tc>
        <w:tc>
          <w:tcPr>
            <w:tcW w:w="1384" w:type="dxa"/>
            <w:vAlign w:val="top"/>
          </w:tcPr>
          <w:p w14:paraId="5EB31F0B">
            <w:pPr>
              <w:pStyle w:val="16"/>
              <w:spacing w:before="137" w:line="234" w:lineRule="auto"/>
              <w:ind w:left="516" w:leftChars="0"/>
              <w:rPr>
                <w:highlight w:val="none"/>
              </w:rPr>
            </w:pPr>
            <w:r>
              <w:rPr>
                <w:highlight w:val="none"/>
              </w:rPr>
              <w:t>1</w:t>
            </w:r>
          </w:p>
        </w:tc>
        <w:tc>
          <w:tcPr>
            <w:tcW w:w="1396" w:type="dxa"/>
            <w:vAlign w:val="top"/>
          </w:tcPr>
          <w:p w14:paraId="5841295B">
            <w:pPr>
              <w:pStyle w:val="16"/>
              <w:spacing w:before="114" w:line="219" w:lineRule="auto"/>
              <w:ind w:left="467" w:leftChars="0"/>
              <w:rPr>
                <w:highlight w:val="none"/>
              </w:rPr>
            </w:pPr>
            <w:r>
              <w:rPr>
                <w:highlight w:val="none"/>
              </w:rPr>
              <w:t>年</w:t>
            </w:r>
          </w:p>
        </w:tc>
        <w:tc>
          <w:tcPr>
            <w:tcW w:w="1366" w:type="dxa"/>
            <w:vAlign w:val="top"/>
          </w:tcPr>
          <w:p w14:paraId="10CD0CAD">
            <w:pPr>
              <w:rPr>
                <w:highlight w:val="none"/>
              </w:rPr>
            </w:pPr>
          </w:p>
        </w:tc>
      </w:tr>
      <w:tr w14:paraId="3983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96" w:type="dxa"/>
            <w:vAlign w:val="top"/>
          </w:tcPr>
          <w:p w14:paraId="231DA9C5">
            <w:pPr>
              <w:pStyle w:val="16"/>
              <w:spacing w:before="128" w:line="233" w:lineRule="auto"/>
              <w:ind w:left="345" w:leftChars="0"/>
              <w:rPr>
                <w:highlight w:val="none"/>
              </w:rPr>
            </w:pPr>
            <w:r>
              <w:rPr>
                <w:highlight w:val="none"/>
              </w:rPr>
              <w:t>7</w:t>
            </w:r>
          </w:p>
        </w:tc>
        <w:tc>
          <w:tcPr>
            <w:tcW w:w="4378" w:type="dxa"/>
            <w:vAlign w:val="top"/>
          </w:tcPr>
          <w:p w14:paraId="66103912">
            <w:pPr>
              <w:pStyle w:val="16"/>
              <w:spacing w:before="105" w:line="219" w:lineRule="auto"/>
              <w:ind w:left="101" w:leftChars="0"/>
              <w:rPr>
                <w:highlight w:val="none"/>
              </w:rPr>
            </w:pPr>
            <w:r>
              <w:rPr>
                <w:rFonts w:hint="eastAsia"/>
                <w:highlight w:val="none"/>
              </w:rPr>
              <w:t>消防监控及设备巡察</w:t>
            </w:r>
          </w:p>
        </w:tc>
        <w:tc>
          <w:tcPr>
            <w:tcW w:w="1384" w:type="dxa"/>
            <w:vAlign w:val="top"/>
          </w:tcPr>
          <w:p w14:paraId="4E0A4D6B">
            <w:pPr>
              <w:pStyle w:val="16"/>
              <w:spacing w:before="128" w:line="233" w:lineRule="auto"/>
              <w:ind w:left="516" w:leftChars="0"/>
              <w:rPr>
                <w:highlight w:val="none"/>
              </w:rPr>
            </w:pPr>
            <w:r>
              <w:rPr>
                <w:highlight w:val="none"/>
              </w:rPr>
              <w:t>1</w:t>
            </w:r>
          </w:p>
        </w:tc>
        <w:tc>
          <w:tcPr>
            <w:tcW w:w="1396" w:type="dxa"/>
            <w:vAlign w:val="top"/>
          </w:tcPr>
          <w:p w14:paraId="2488D9DB">
            <w:pPr>
              <w:pStyle w:val="16"/>
              <w:spacing w:before="105" w:line="219" w:lineRule="auto"/>
              <w:ind w:left="467" w:leftChars="0"/>
              <w:rPr>
                <w:highlight w:val="none"/>
              </w:rPr>
            </w:pPr>
            <w:r>
              <w:rPr>
                <w:highlight w:val="none"/>
              </w:rPr>
              <w:t>年</w:t>
            </w:r>
          </w:p>
        </w:tc>
        <w:tc>
          <w:tcPr>
            <w:tcW w:w="1366" w:type="dxa"/>
            <w:vAlign w:val="top"/>
          </w:tcPr>
          <w:p w14:paraId="0D5746B0">
            <w:pPr>
              <w:rPr>
                <w:highlight w:val="none"/>
              </w:rPr>
            </w:pPr>
          </w:p>
        </w:tc>
      </w:tr>
      <w:tr w14:paraId="52F5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996" w:type="dxa"/>
            <w:vAlign w:val="top"/>
          </w:tcPr>
          <w:p w14:paraId="598AF6F5">
            <w:pPr>
              <w:pStyle w:val="16"/>
              <w:spacing w:before="139" w:line="232" w:lineRule="auto"/>
              <w:ind w:left="345" w:leftChars="0"/>
              <w:rPr>
                <w:highlight w:val="none"/>
              </w:rPr>
            </w:pPr>
            <w:r>
              <w:rPr>
                <w:highlight w:val="none"/>
              </w:rPr>
              <w:t>8</w:t>
            </w:r>
          </w:p>
        </w:tc>
        <w:tc>
          <w:tcPr>
            <w:tcW w:w="4378" w:type="dxa"/>
            <w:vAlign w:val="top"/>
          </w:tcPr>
          <w:p w14:paraId="09A51B41">
            <w:pPr>
              <w:pStyle w:val="16"/>
              <w:spacing w:before="116" w:line="219" w:lineRule="auto"/>
              <w:ind w:left="101" w:leftChars="0"/>
              <w:rPr>
                <w:highlight w:val="none"/>
              </w:rPr>
            </w:pPr>
            <w:r>
              <w:rPr>
                <w:spacing w:val="2"/>
                <w:highlight w:val="none"/>
              </w:rPr>
              <w:t>保洁服务</w:t>
            </w:r>
          </w:p>
        </w:tc>
        <w:tc>
          <w:tcPr>
            <w:tcW w:w="1384" w:type="dxa"/>
            <w:vAlign w:val="top"/>
          </w:tcPr>
          <w:p w14:paraId="706AA395">
            <w:pPr>
              <w:pStyle w:val="16"/>
              <w:spacing w:before="139" w:line="232" w:lineRule="auto"/>
              <w:ind w:left="346" w:leftChars="0"/>
              <w:rPr>
                <w:rFonts w:hint="default" w:eastAsia="宋体"/>
                <w:highlight w:val="none"/>
                <w:lang w:val="en-US" w:eastAsia="zh-CN"/>
              </w:rPr>
            </w:pPr>
            <w:r>
              <w:rPr>
                <w:rFonts w:hint="eastAsia" w:eastAsia="宋体"/>
                <w:spacing w:val="-3"/>
                <w:highlight w:val="none"/>
                <w:lang w:val="en-US" w:eastAsia="zh-CN"/>
              </w:rPr>
              <w:t>5042</w:t>
            </w:r>
          </w:p>
        </w:tc>
        <w:tc>
          <w:tcPr>
            <w:tcW w:w="1396" w:type="dxa"/>
            <w:vAlign w:val="top"/>
          </w:tcPr>
          <w:p w14:paraId="367DFFF0">
            <w:pPr>
              <w:pStyle w:val="16"/>
              <w:spacing w:before="116" w:line="219" w:lineRule="auto"/>
              <w:ind w:left="237" w:leftChars="0"/>
              <w:rPr>
                <w:highlight w:val="none"/>
              </w:rPr>
            </w:pPr>
            <w:r>
              <w:rPr>
                <w:spacing w:val="-2"/>
                <w:highlight w:val="none"/>
              </w:rPr>
              <w:t>平方米</w:t>
            </w:r>
          </w:p>
        </w:tc>
        <w:tc>
          <w:tcPr>
            <w:tcW w:w="1366" w:type="dxa"/>
            <w:vAlign w:val="top"/>
          </w:tcPr>
          <w:p w14:paraId="05578A40">
            <w:pPr>
              <w:rPr>
                <w:highlight w:val="none"/>
              </w:rPr>
            </w:pPr>
          </w:p>
        </w:tc>
      </w:tr>
      <w:tr w14:paraId="22C2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96" w:type="dxa"/>
            <w:vAlign w:val="top"/>
          </w:tcPr>
          <w:p w14:paraId="6DE9F2A5">
            <w:pPr>
              <w:pStyle w:val="16"/>
              <w:spacing w:before="130" w:line="232" w:lineRule="auto"/>
              <w:ind w:left="345" w:leftChars="0"/>
              <w:rPr>
                <w:highlight w:val="none"/>
              </w:rPr>
            </w:pPr>
            <w:r>
              <w:rPr>
                <w:highlight w:val="none"/>
              </w:rPr>
              <w:t>9</w:t>
            </w:r>
          </w:p>
        </w:tc>
        <w:tc>
          <w:tcPr>
            <w:tcW w:w="4378" w:type="dxa"/>
            <w:vAlign w:val="top"/>
          </w:tcPr>
          <w:p w14:paraId="4382A260">
            <w:pPr>
              <w:pStyle w:val="16"/>
              <w:spacing w:before="107" w:line="219" w:lineRule="auto"/>
              <w:ind w:left="101" w:leftChars="0"/>
              <w:rPr>
                <w:highlight w:val="none"/>
              </w:rPr>
            </w:pPr>
            <w:r>
              <w:rPr>
                <w:spacing w:val="2"/>
                <w:highlight w:val="none"/>
              </w:rPr>
              <w:t>绿化服务</w:t>
            </w:r>
          </w:p>
        </w:tc>
        <w:tc>
          <w:tcPr>
            <w:tcW w:w="1384" w:type="dxa"/>
            <w:vAlign w:val="top"/>
          </w:tcPr>
          <w:p w14:paraId="5B782D02">
            <w:pPr>
              <w:pStyle w:val="16"/>
              <w:spacing w:before="130" w:line="232" w:lineRule="auto"/>
              <w:ind w:left="396" w:leftChars="0"/>
              <w:rPr>
                <w:highlight w:val="none"/>
              </w:rPr>
            </w:pPr>
            <w:r>
              <w:rPr>
                <w:spacing w:val="-4"/>
                <w:highlight w:val="none"/>
              </w:rPr>
              <w:t>300</w:t>
            </w:r>
          </w:p>
        </w:tc>
        <w:tc>
          <w:tcPr>
            <w:tcW w:w="1396" w:type="dxa"/>
            <w:vAlign w:val="top"/>
          </w:tcPr>
          <w:p w14:paraId="5F372B9D">
            <w:pPr>
              <w:pStyle w:val="16"/>
              <w:spacing w:before="107" w:line="219" w:lineRule="auto"/>
              <w:ind w:left="237" w:leftChars="0"/>
              <w:rPr>
                <w:highlight w:val="none"/>
              </w:rPr>
            </w:pPr>
            <w:r>
              <w:rPr>
                <w:spacing w:val="-2"/>
                <w:highlight w:val="none"/>
              </w:rPr>
              <w:t>平方米</w:t>
            </w:r>
          </w:p>
        </w:tc>
        <w:tc>
          <w:tcPr>
            <w:tcW w:w="1366" w:type="dxa"/>
            <w:vAlign w:val="top"/>
          </w:tcPr>
          <w:p w14:paraId="38D2C6E3">
            <w:pPr>
              <w:rPr>
                <w:highlight w:val="none"/>
              </w:rPr>
            </w:pPr>
          </w:p>
        </w:tc>
      </w:tr>
      <w:tr w14:paraId="4DDEC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6" w:type="dxa"/>
            <w:vAlign w:val="top"/>
          </w:tcPr>
          <w:p w14:paraId="0CA43157">
            <w:pPr>
              <w:pStyle w:val="16"/>
              <w:spacing w:before="129" w:line="232" w:lineRule="auto"/>
              <w:ind w:left="294" w:leftChars="0"/>
              <w:rPr>
                <w:highlight w:val="none"/>
              </w:rPr>
            </w:pPr>
            <w:r>
              <w:rPr>
                <w:spacing w:val="-7"/>
                <w:highlight w:val="none"/>
              </w:rPr>
              <w:t>10</w:t>
            </w:r>
          </w:p>
        </w:tc>
        <w:tc>
          <w:tcPr>
            <w:tcW w:w="4378" w:type="dxa"/>
            <w:vAlign w:val="top"/>
          </w:tcPr>
          <w:p w14:paraId="04DE5527">
            <w:pPr>
              <w:pStyle w:val="16"/>
              <w:spacing w:before="107" w:line="219" w:lineRule="auto"/>
              <w:ind w:left="101" w:leftChars="0"/>
              <w:rPr>
                <w:highlight w:val="none"/>
              </w:rPr>
            </w:pPr>
            <w:r>
              <w:rPr>
                <w:spacing w:val="-2"/>
                <w:highlight w:val="none"/>
              </w:rPr>
              <w:t>秩序维护服务</w:t>
            </w:r>
          </w:p>
        </w:tc>
        <w:tc>
          <w:tcPr>
            <w:tcW w:w="1384" w:type="dxa"/>
            <w:vAlign w:val="top"/>
          </w:tcPr>
          <w:p w14:paraId="414FB792">
            <w:pPr>
              <w:pStyle w:val="16"/>
              <w:spacing w:before="129" w:line="232" w:lineRule="auto"/>
              <w:ind w:left="516" w:leftChars="0"/>
              <w:rPr>
                <w:highlight w:val="none"/>
              </w:rPr>
            </w:pPr>
            <w:r>
              <w:rPr>
                <w:highlight w:val="none"/>
              </w:rPr>
              <w:t>1</w:t>
            </w:r>
          </w:p>
        </w:tc>
        <w:tc>
          <w:tcPr>
            <w:tcW w:w="1396" w:type="dxa"/>
            <w:vAlign w:val="top"/>
          </w:tcPr>
          <w:p w14:paraId="60E3DD45">
            <w:pPr>
              <w:pStyle w:val="16"/>
              <w:spacing w:before="107" w:line="219" w:lineRule="auto"/>
              <w:ind w:left="467" w:leftChars="0"/>
              <w:rPr>
                <w:highlight w:val="none"/>
              </w:rPr>
            </w:pPr>
            <w:r>
              <w:rPr>
                <w:highlight w:val="none"/>
              </w:rPr>
              <w:t>年</w:t>
            </w:r>
          </w:p>
        </w:tc>
        <w:tc>
          <w:tcPr>
            <w:tcW w:w="1366" w:type="dxa"/>
            <w:vAlign w:val="top"/>
          </w:tcPr>
          <w:p w14:paraId="4D10ADCF">
            <w:pPr>
              <w:rPr>
                <w:highlight w:val="none"/>
              </w:rPr>
            </w:pPr>
          </w:p>
        </w:tc>
      </w:tr>
      <w:tr w14:paraId="72FB7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996" w:type="dxa"/>
            <w:vAlign w:val="top"/>
          </w:tcPr>
          <w:p w14:paraId="5F7BB33F">
            <w:pPr>
              <w:pStyle w:val="16"/>
              <w:spacing w:before="141" w:line="231" w:lineRule="auto"/>
              <w:ind w:left="294" w:leftChars="0"/>
              <w:rPr>
                <w:highlight w:val="none"/>
              </w:rPr>
            </w:pPr>
            <w:r>
              <w:rPr>
                <w:spacing w:val="-7"/>
                <w:highlight w:val="none"/>
              </w:rPr>
              <w:t>11</w:t>
            </w:r>
          </w:p>
        </w:tc>
        <w:tc>
          <w:tcPr>
            <w:tcW w:w="4378" w:type="dxa"/>
            <w:vAlign w:val="top"/>
          </w:tcPr>
          <w:p w14:paraId="1C361734">
            <w:pPr>
              <w:pStyle w:val="16"/>
              <w:spacing w:before="117" w:line="219" w:lineRule="auto"/>
              <w:ind w:left="101" w:leftChars="0"/>
              <w:rPr>
                <w:highlight w:val="none"/>
              </w:rPr>
            </w:pPr>
            <w:r>
              <w:rPr>
                <w:spacing w:val="-1"/>
                <w:highlight w:val="none"/>
              </w:rPr>
              <w:t>节假日装饰、布置服务</w:t>
            </w:r>
          </w:p>
        </w:tc>
        <w:tc>
          <w:tcPr>
            <w:tcW w:w="1384" w:type="dxa"/>
            <w:vAlign w:val="top"/>
          </w:tcPr>
          <w:p w14:paraId="2B26C1A9">
            <w:pPr>
              <w:pStyle w:val="16"/>
              <w:spacing w:before="141" w:line="231" w:lineRule="auto"/>
              <w:ind w:left="516" w:leftChars="0"/>
              <w:rPr>
                <w:highlight w:val="none"/>
              </w:rPr>
            </w:pPr>
            <w:r>
              <w:rPr>
                <w:highlight w:val="none"/>
              </w:rPr>
              <w:t>1</w:t>
            </w:r>
          </w:p>
        </w:tc>
        <w:tc>
          <w:tcPr>
            <w:tcW w:w="1396" w:type="dxa"/>
            <w:vAlign w:val="top"/>
          </w:tcPr>
          <w:p w14:paraId="794D7766">
            <w:pPr>
              <w:pStyle w:val="16"/>
              <w:spacing w:before="118" w:line="219" w:lineRule="auto"/>
              <w:ind w:left="467" w:leftChars="0"/>
              <w:rPr>
                <w:highlight w:val="none"/>
              </w:rPr>
            </w:pPr>
            <w:r>
              <w:rPr>
                <w:highlight w:val="none"/>
              </w:rPr>
              <w:t>年</w:t>
            </w:r>
          </w:p>
        </w:tc>
        <w:tc>
          <w:tcPr>
            <w:tcW w:w="1366" w:type="dxa"/>
            <w:vAlign w:val="top"/>
          </w:tcPr>
          <w:p w14:paraId="51014EF0">
            <w:pPr>
              <w:rPr>
                <w:highlight w:val="none"/>
              </w:rPr>
            </w:pPr>
          </w:p>
        </w:tc>
      </w:tr>
      <w:tr w14:paraId="0D899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96" w:type="dxa"/>
            <w:vAlign w:val="top"/>
          </w:tcPr>
          <w:p w14:paraId="00FA17F7">
            <w:pPr>
              <w:pStyle w:val="16"/>
              <w:spacing w:before="132" w:line="234" w:lineRule="auto"/>
              <w:ind w:left="294" w:leftChars="0"/>
              <w:rPr>
                <w:highlight w:val="none"/>
              </w:rPr>
            </w:pPr>
            <w:r>
              <w:rPr>
                <w:spacing w:val="-7"/>
                <w:highlight w:val="none"/>
              </w:rPr>
              <w:t>12</w:t>
            </w:r>
          </w:p>
        </w:tc>
        <w:tc>
          <w:tcPr>
            <w:tcW w:w="4378" w:type="dxa"/>
            <w:vAlign w:val="top"/>
          </w:tcPr>
          <w:p w14:paraId="63FCF0AD">
            <w:pPr>
              <w:pStyle w:val="16"/>
              <w:spacing w:before="108" w:line="219" w:lineRule="auto"/>
              <w:ind w:left="101" w:leftChars="0"/>
              <w:rPr>
                <w:highlight w:val="none"/>
              </w:rPr>
            </w:pPr>
            <w:r>
              <w:rPr>
                <w:spacing w:val="-2"/>
                <w:highlight w:val="none"/>
              </w:rPr>
              <w:t>会议服务</w:t>
            </w:r>
          </w:p>
        </w:tc>
        <w:tc>
          <w:tcPr>
            <w:tcW w:w="1384" w:type="dxa"/>
            <w:vAlign w:val="top"/>
          </w:tcPr>
          <w:p w14:paraId="0FC1AFFA">
            <w:pPr>
              <w:pStyle w:val="16"/>
              <w:spacing w:before="132" w:line="234" w:lineRule="auto"/>
              <w:ind w:left="516" w:leftChars="0"/>
              <w:rPr>
                <w:highlight w:val="none"/>
              </w:rPr>
            </w:pPr>
            <w:r>
              <w:rPr>
                <w:highlight w:val="none"/>
              </w:rPr>
              <w:t>6</w:t>
            </w:r>
          </w:p>
        </w:tc>
        <w:tc>
          <w:tcPr>
            <w:tcW w:w="1396" w:type="dxa"/>
            <w:vAlign w:val="top"/>
          </w:tcPr>
          <w:p w14:paraId="3A982938">
            <w:pPr>
              <w:pStyle w:val="16"/>
              <w:spacing w:before="113" w:line="222" w:lineRule="auto"/>
              <w:ind w:left="467" w:leftChars="0"/>
              <w:rPr>
                <w:highlight w:val="none"/>
              </w:rPr>
            </w:pPr>
            <w:r>
              <w:rPr>
                <w:highlight w:val="none"/>
              </w:rPr>
              <w:t>间</w:t>
            </w:r>
          </w:p>
        </w:tc>
        <w:tc>
          <w:tcPr>
            <w:tcW w:w="1366" w:type="dxa"/>
            <w:vAlign w:val="top"/>
          </w:tcPr>
          <w:p w14:paraId="27A314BC">
            <w:pPr>
              <w:rPr>
                <w:highlight w:val="none"/>
              </w:rPr>
            </w:pPr>
          </w:p>
        </w:tc>
      </w:tr>
    </w:tbl>
    <w:p w14:paraId="6F04C392">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eastAsia" w:ascii="仿宋" w:hAnsi="仿宋" w:eastAsia="仿宋" w:cs="仿宋"/>
          <w:b w:val="0"/>
          <w:bCs/>
          <w:sz w:val="24"/>
          <w:highlight w:val="none"/>
          <w:lang w:eastAsia="zh-CN"/>
        </w:rPr>
      </w:pPr>
    </w:p>
    <w:p w14:paraId="4329996A">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eastAsia" w:ascii="仿宋" w:hAnsi="仿宋" w:eastAsia="仿宋" w:cs="仿宋"/>
          <w:b w:val="0"/>
          <w:bCs/>
          <w:sz w:val="24"/>
          <w:highlight w:val="none"/>
          <w:lang w:val="en-US" w:eastAsia="zh-CN"/>
        </w:rPr>
      </w:pPr>
      <w:r>
        <w:rPr>
          <w:rFonts w:hint="eastAsia" w:ascii="仿宋" w:hAnsi="仿宋" w:eastAsia="仿宋" w:cs="仿宋"/>
          <w:b w:val="0"/>
          <w:bCs/>
          <w:sz w:val="24"/>
          <w:highlight w:val="none"/>
          <w:lang w:eastAsia="zh-CN"/>
        </w:rPr>
        <w:t>项目预算金额：</w:t>
      </w:r>
      <w:r>
        <w:rPr>
          <w:rFonts w:hint="eastAsia" w:ascii="仿宋" w:hAnsi="仿宋" w:eastAsia="仿宋" w:cs="仿宋"/>
          <w:b w:val="0"/>
          <w:bCs/>
          <w:sz w:val="24"/>
          <w:highlight w:val="none"/>
          <w:lang w:val="en-US" w:eastAsia="zh-CN"/>
        </w:rPr>
        <w:t>332万元</w:t>
      </w:r>
    </w:p>
    <w:p w14:paraId="0863FFB2">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eastAsia"/>
          <w:b w:val="0"/>
          <w:bCs/>
          <w:sz w:val="24"/>
          <w:lang w:eastAsia="zh-CN"/>
        </w:rPr>
      </w:pPr>
      <w:r>
        <w:rPr>
          <w:rFonts w:hint="eastAsia" w:ascii="仿宋" w:hAnsi="仿宋" w:eastAsia="仿宋" w:cs="仿宋"/>
          <w:b w:val="0"/>
          <w:bCs/>
          <w:sz w:val="24"/>
          <w:highlight w:val="none"/>
          <w:lang w:eastAsia="zh-CN"/>
        </w:rPr>
        <w:t>合同履行期限：</w:t>
      </w:r>
      <w:r>
        <w:rPr>
          <w:rFonts w:hint="eastAsia" w:ascii="仿宋" w:hAnsi="仿宋" w:eastAsia="仿宋" w:cs="仿宋"/>
          <w:b w:val="0"/>
          <w:bCs/>
          <w:sz w:val="24"/>
          <w:highlight w:val="none"/>
          <w:u w:val="single"/>
          <w:lang w:val="en-US" w:eastAsia="zh-CN"/>
        </w:rPr>
        <w:t>一年</w:t>
      </w:r>
    </w:p>
    <w:p w14:paraId="0C56087F">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eastAsia"/>
          <w:b w:val="0"/>
          <w:bCs/>
          <w:sz w:val="24"/>
          <w:lang w:eastAsia="zh-CN"/>
        </w:rPr>
      </w:pPr>
    </w:p>
    <w:p w14:paraId="79733328">
      <w:pPr>
        <w:numPr>
          <w:ilvl w:val="0"/>
          <w:numId w:val="1"/>
        </w:numPr>
        <w:adjustRightInd w:val="0"/>
        <w:spacing w:line="360" w:lineRule="atLeast"/>
        <w:jc w:val="left"/>
        <w:textAlignment w:val="baseline"/>
        <w:rPr>
          <w:b/>
          <w:sz w:val="24"/>
        </w:rPr>
      </w:pPr>
      <w:r>
        <w:rPr>
          <w:rFonts w:hint="eastAsia"/>
          <w:b/>
          <w:sz w:val="24"/>
        </w:rPr>
        <w:t>项目背景或简况</w:t>
      </w:r>
    </w:p>
    <w:p w14:paraId="57073383">
      <w:pPr>
        <w:pStyle w:val="2"/>
      </w:pPr>
    </w:p>
    <w:p w14:paraId="2C571F1D">
      <w:pPr>
        <w:pStyle w:val="7"/>
        <w:spacing w:before="144" w:line="342" w:lineRule="auto"/>
        <w:ind w:firstLine="720" w:firstLineChars="300"/>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项目背景：高米店街道办事处位于北京市大兴区乐园路22号院7号楼，东至兴盛街5042平米，绿化面积330平米，道路面积1050平米，停车面积560平米，停车位26  个。办公楼1栋，地下一层为餐厅，面积约800平米。为高米店街道办事处提供一个安全、 舒适、良好的办公环境。</w:t>
      </w:r>
    </w:p>
    <w:p w14:paraId="1304C44D">
      <w:pPr>
        <w:numPr>
          <w:ilvl w:val="0"/>
          <w:numId w:val="0"/>
        </w:numPr>
        <w:adjustRightInd w:val="0"/>
        <w:spacing w:line="360" w:lineRule="atLeast"/>
        <w:ind w:leftChars="0"/>
        <w:jc w:val="left"/>
        <w:textAlignment w:val="baseline"/>
        <w:rPr>
          <w:b/>
          <w:sz w:val="24"/>
        </w:rPr>
      </w:pPr>
    </w:p>
    <w:p w14:paraId="300542BB">
      <w:pPr>
        <w:numPr>
          <w:ilvl w:val="0"/>
          <w:numId w:val="1"/>
        </w:numPr>
        <w:adjustRightInd w:val="0"/>
        <w:spacing w:line="360" w:lineRule="atLeast"/>
        <w:jc w:val="left"/>
        <w:textAlignment w:val="baseline"/>
        <w:rPr>
          <w:b/>
          <w:sz w:val="24"/>
        </w:rPr>
      </w:pPr>
      <w:r>
        <w:rPr>
          <w:rFonts w:hint="eastAsia"/>
          <w:b/>
          <w:sz w:val="24"/>
        </w:rPr>
        <w:t>技术参数要求（技术指标包括性能、规格、材质等，但不能指定品牌）、服务要求</w:t>
      </w:r>
    </w:p>
    <w:p w14:paraId="02B84152">
      <w:pPr>
        <w:spacing w:before="161" w:line="223" w:lineRule="auto"/>
        <w:ind w:left="1249"/>
        <w:outlineLvl w:val="3"/>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1、物业管理服务内容及要求</w:t>
      </w:r>
    </w:p>
    <w:p w14:paraId="7B24C9C2">
      <w:pPr>
        <w:pStyle w:val="7"/>
        <w:spacing w:before="175" w:line="220" w:lineRule="auto"/>
        <w:ind w:left="124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1.1负责制订物业管理服务工作计划，并组织实施</w:t>
      </w:r>
    </w:p>
    <w:p w14:paraId="4228E500">
      <w:pPr>
        <w:pStyle w:val="7"/>
        <w:spacing w:before="174" w:line="220" w:lineRule="auto"/>
        <w:ind w:left="165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1.1.1定期对办公楼设备设施进行检查。</w:t>
      </w:r>
    </w:p>
    <w:p w14:paraId="23A52FE2">
      <w:pPr>
        <w:pStyle w:val="7"/>
        <w:spacing w:before="184" w:line="221" w:lineRule="auto"/>
        <w:ind w:left="164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1.1.2全天24小时有物业服务人员接待客户，处理服务范围内的公共事务，受理</w:t>
      </w:r>
    </w:p>
    <w:p w14:paraId="40F354AA">
      <w:pPr>
        <w:spacing w:line="221" w:lineRule="auto"/>
        <w:rPr>
          <w:rFonts w:hint="eastAsia" w:ascii="仿宋" w:hAnsi="仿宋" w:eastAsia="仿宋" w:cs="仿宋"/>
          <w:b w:val="0"/>
          <w:bCs/>
          <w:kern w:val="2"/>
          <w:sz w:val="24"/>
          <w:szCs w:val="24"/>
          <w:lang w:val="en-US" w:eastAsia="zh-CN" w:bidi="ar-SA"/>
        </w:rPr>
        <w:sectPr>
          <w:footerReference r:id="rId3" w:type="default"/>
          <w:pgSz w:w="11900" w:h="16830"/>
          <w:pgMar w:top="710" w:right="1385" w:bottom="1227" w:left="779" w:header="0" w:footer="1023" w:gutter="0"/>
          <w:cols w:space="720" w:num="1"/>
        </w:sectPr>
      </w:pPr>
    </w:p>
    <w:p w14:paraId="6970B7C1">
      <w:pPr>
        <w:pStyle w:val="7"/>
        <w:spacing w:before="78" w:line="222" w:lineRule="auto"/>
        <w:ind w:firstLine="1680" w:firstLineChars="7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用户的咨询、建议和投诉，建立回访制度和记录。</w:t>
      </w:r>
    </w:p>
    <w:p w14:paraId="4EED99C4">
      <w:pPr>
        <w:pStyle w:val="7"/>
        <w:spacing w:before="170" w:line="220" w:lineRule="auto"/>
        <w:ind w:left="167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1.1.3处理各类维修，建立并落实维修服务承诺制。</w:t>
      </w:r>
    </w:p>
    <w:p w14:paraId="0DB39077">
      <w:pPr>
        <w:pStyle w:val="7"/>
        <w:spacing w:before="144" w:line="220" w:lineRule="auto"/>
        <w:ind w:left="167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1.1.4管理制度健全，服务质量标准完善，物业管理档案资料齐全。</w:t>
      </w:r>
    </w:p>
    <w:p w14:paraId="6B65E345">
      <w:pPr>
        <w:pStyle w:val="7"/>
        <w:spacing w:before="175" w:line="278" w:lineRule="auto"/>
        <w:ind w:left="1670" w:right="24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1.1.5全体员工着装统一、工作规范，作风严谨，配戴有相片胸卡，按政府相关 文件规定持证上岗。</w:t>
      </w:r>
    </w:p>
    <w:p w14:paraId="30EAB418">
      <w:pPr>
        <w:pStyle w:val="7"/>
        <w:spacing w:before="124" w:line="298" w:lineRule="auto"/>
        <w:ind w:left="1670" w:right="225"/>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1.1.8每年进行不少于两次物业管理服务满意率调查，促进管理服务工作的改 进和提高。</w:t>
      </w:r>
    </w:p>
    <w:p w14:paraId="658D501A">
      <w:pPr>
        <w:pStyle w:val="7"/>
        <w:spacing w:before="155" w:line="287" w:lineRule="auto"/>
        <w:ind w:left="1670" w:right="221"/>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1.1.9建立应对各种公共突发事件的处理机制和预案，一旦发生，能随时投入运 行。</w:t>
      </w:r>
    </w:p>
    <w:p w14:paraId="751A1D08">
      <w:pPr>
        <w:pStyle w:val="7"/>
        <w:spacing w:before="163" w:line="221" w:lineRule="auto"/>
        <w:ind w:left="128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1.2确保本项目公用部位设施设备的正常使用运行和维修养护</w:t>
      </w:r>
    </w:p>
    <w:p w14:paraId="3177E903">
      <w:pPr>
        <w:pStyle w:val="7"/>
        <w:spacing w:before="169" w:line="287" w:lineRule="auto"/>
        <w:ind w:left="1670" w:right="217"/>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1.2.1按政府相关规定制定的相应标准，做好办公楼公用部位设施设备的日常 养护和维修。</w:t>
      </w:r>
    </w:p>
    <w:p w14:paraId="7FCDB80F">
      <w:pPr>
        <w:pStyle w:val="7"/>
        <w:spacing w:before="163" w:line="221" w:lineRule="auto"/>
        <w:ind w:left="167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1.2.2保证办公楼公用设施、设备正常使用。</w:t>
      </w:r>
    </w:p>
    <w:p w14:paraId="5B1D52F7">
      <w:pPr>
        <w:pStyle w:val="7"/>
        <w:spacing w:before="172" w:line="221" w:lineRule="auto"/>
        <w:ind w:left="167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1.2.3确保雨水、污水管道保持通畅，定期清掏雨污水井，相关设施保持良好。</w:t>
      </w:r>
    </w:p>
    <w:p w14:paraId="2F581F36">
      <w:pPr>
        <w:pStyle w:val="7"/>
        <w:spacing w:before="183" w:line="221" w:lineRule="auto"/>
        <w:ind w:left="167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1.2.4负责办公楼智能化设施设备的日常运行维护。</w:t>
      </w:r>
    </w:p>
    <w:p w14:paraId="69890A8D">
      <w:pPr>
        <w:pStyle w:val="7"/>
        <w:spacing w:before="163" w:line="221" w:lineRule="auto"/>
        <w:ind w:left="128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1.3维护和保持物业管理区域内的环境维护</w:t>
      </w:r>
    </w:p>
    <w:p w14:paraId="2BACB8F1">
      <w:pPr>
        <w:pStyle w:val="7"/>
        <w:spacing w:before="182" w:line="221" w:lineRule="auto"/>
        <w:ind w:left="167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1.3.1建立健全的保洁制度，清洁卫生实行责任制，明确分工和责任范围。</w:t>
      </w:r>
    </w:p>
    <w:p w14:paraId="23CD6B80">
      <w:pPr>
        <w:pStyle w:val="7"/>
        <w:spacing w:before="172" w:line="219" w:lineRule="auto"/>
        <w:ind w:left="167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1.3.2对于采购人在办公过程中进出的材料、垃圾等进行管控。</w:t>
      </w:r>
    </w:p>
    <w:p w14:paraId="2D4E87BA">
      <w:pPr>
        <w:pStyle w:val="7"/>
        <w:spacing w:before="168" w:line="280" w:lineRule="auto"/>
        <w:ind w:left="1670" w:right="11"/>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1.3.3每日对保洁服务范围内的区域进行定时清扫，随时维护，保持服务范围内无 废弃杂物。</w:t>
      </w:r>
    </w:p>
    <w:p w14:paraId="54B05D25">
      <w:pPr>
        <w:pStyle w:val="7"/>
        <w:spacing w:before="123" w:line="280" w:lineRule="auto"/>
        <w:ind w:left="1670" w:right="15"/>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1.3.4每日对楼梯间、公共区域等的门、窗、楼梯扶手、栏杆、墙壁饰面等部位 进行擦拭、清扫。</w:t>
      </w:r>
    </w:p>
    <w:p w14:paraId="433D8A6F">
      <w:pPr>
        <w:pStyle w:val="7"/>
        <w:spacing w:before="169" w:line="292" w:lineRule="auto"/>
        <w:ind w:left="167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1.3.5制定管理区域内有害生物防治方案，按照政府有关规定，定共用同服务范围内公共区域喷洒、投放灭鼠药、消毒剂、除虫剂等。</w:t>
      </w:r>
    </w:p>
    <w:p w14:paraId="3543EA52">
      <w:pPr>
        <w:pStyle w:val="7"/>
        <w:spacing w:before="169" w:line="292" w:lineRule="auto"/>
        <w:ind w:left="167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1.3.6在雨、雪天气及时对门前“三包”责任区内主路、干路积水、积雪进行清扫</w:t>
      </w:r>
    </w:p>
    <w:p w14:paraId="64D7FD76">
      <w:pPr>
        <w:pStyle w:val="7"/>
        <w:spacing w:before="179" w:line="294" w:lineRule="auto"/>
        <w:ind w:left="1670" w:right="11"/>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1.3.7制定公共卫生事件处置预案，发生突发公共卫生事件时，应迅速组织人员 对办公楼进行通风、清洗和消毒，采取有效措施加强对客户的宣传，维持正常秩序。</w:t>
      </w:r>
    </w:p>
    <w:p w14:paraId="6E5066DE">
      <w:pPr>
        <w:pStyle w:val="7"/>
        <w:spacing w:before="141" w:line="221" w:lineRule="auto"/>
        <w:ind w:left="128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1.4物业管理区域的秩序维护和公共财产的安全管控</w:t>
      </w:r>
    </w:p>
    <w:p w14:paraId="5E11A559">
      <w:pPr>
        <w:spacing w:line="221" w:lineRule="auto"/>
        <w:rPr>
          <w:rFonts w:hint="eastAsia" w:ascii="仿宋" w:hAnsi="仿宋" w:eastAsia="仿宋" w:cs="仿宋"/>
          <w:b w:val="0"/>
          <w:bCs/>
          <w:kern w:val="2"/>
          <w:sz w:val="24"/>
          <w:szCs w:val="24"/>
          <w:lang w:val="en-US" w:eastAsia="zh-CN" w:bidi="ar-SA"/>
        </w:rPr>
        <w:sectPr>
          <w:footerReference r:id="rId4" w:type="default"/>
          <w:pgSz w:w="11900" w:h="16830"/>
          <w:pgMar w:top="699" w:right="1619" w:bottom="1257" w:left="949" w:header="0" w:footer="1053" w:gutter="0"/>
          <w:cols w:space="720" w:num="1"/>
        </w:sectPr>
      </w:pPr>
    </w:p>
    <w:p w14:paraId="2374DE54">
      <w:pPr>
        <w:pStyle w:val="7"/>
        <w:spacing w:before="81" w:line="299" w:lineRule="auto"/>
        <w:ind w:left="854" w:leftChars="400" w:hanging="14" w:hangingChars="6"/>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1.4.1实行封闭式管理，做到办公楼主要出入口和外围广场24小时有专人值守， 危及人身安全处有明显警示标志和有效防范措施，对办公楼客户出入进行管理，外来人员询问登记，杜绝安全隐患存在。</w:t>
      </w:r>
    </w:p>
    <w:p w14:paraId="5C862CD2">
      <w:pPr>
        <w:pStyle w:val="7"/>
        <w:spacing w:before="181" w:line="287" w:lineRule="auto"/>
        <w:ind w:left="850" w:leftChars="0" w:right="237" w:hanging="1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1.4.2维护交通秩序：包括对机动车辆和非机动车辆的进出行驶方向、速度、临 时停放位置进行疏导管理，保持车场内部车辆行驶通畅。</w:t>
      </w:r>
    </w:p>
    <w:p w14:paraId="19BE79B2">
      <w:pPr>
        <w:pStyle w:val="7"/>
        <w:spacing w:before="186" w:line="279" w:lineRule="auto"/>
        <w:ind w:left="866" w:leftChars="400" w:right="241" w:hanging="26" w:hangingChars="11"/>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1.4.3公共财产安全管控：包括楼内的门、窗、消防器材及办公楼的表井盖、雨 算子、花、草、树木等。</w:t>
      </w:r>
    </w:p>
    <w:p w14:paraId="5C90AFCC">
      <w:pPr>
        <w:pStyle w:val="7"/>
        <w:spacing w:before="164" w:line="282" w:lineRule="auto"/>
        <w:ind w:left="840" w:leftChars="0" w:right="240"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1.4.4每日24小时对服务范围内进行安全防范检查和巡逻，重点部位、楼层定时 巡视，做到有计划、有记录。</w:t>
      </w:r>
    </w:p>
    <w:p w14:paraId="34AFB2E7">
      <w:pPr>
        <w:pStyle w:val="7"/>
        <w:spacing w:before="158" w:line="279" w:lineRule="auto"/>
        <w:ind w:left="958" w:leftChars="456" w:right="389"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1.4.5有发生治安案件、刑事案件、交通事故等突发事件的处置预案；发生时 应立即采取有效措施，并及时报警和配合公安部门进行处理。</w:t>
      </w:r>
    </w:p>
    <w:p w14:paraId="1CDB47D5">
      <w:pPr>
        <w:pStyle w:val="7"/>
        <w:spacing w:before="181" w:line="219" w:lineRule="auto"/>
        <w:ind w:left="660" w:leftChars="0" w:hanging="660" w:hangingChars="275"/>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1.5停车管理</w:t>
      </w:r>
    </w:p>
    <w:p w14:paraId="6DA2EBD0">
      <w:pPr>
        <w:pStyle w:val="7"/>
        <w:spacing w:before="166" w:line="219" w:lineRule="auto"/>
        <w:ind w:left="860" w:leftChars="341" w:hanging="144" w:hangingChars="6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1.5.1有健全的机动车、非机动车停放管理制度和管理方案。</w:t>
      </w:r>
    </w:p>
    <w:p w14:paraId="41976E84">
      <w:pPr>
        <w:pStyle w:val="7"/>
        <w:spacing w:before="175" w:line="219" w:lineRule="auto"/>
        <w:ind w:left="477" w:leftChars="227" w:firstLine="268" w:firstLineChars="112"/>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1.5.2对进入办公楼的机动车辆进行登记管理。</w:t>
      </w:r>
    </w:p>
    <w:p w14:paraId="4057518A">
      <w:pPr>
        <w:pStyle w:val="7"/>
        <w:spacing w:before="185" w:line="219" w:lineRule="auto"/>
        <w:ind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1.5.3非机动车辆有集中停放场地，停放整齐，场地整洁。</w:t>
      </w:r>
    </w:p>
    <w:p w14:paraId="2B00CD67">
      <w:pPr>
        <w:pStyle w:val="7"/>
        <w:spacing w:before="176" w:line="219" w:lineRule="auto"/>
        <w:ind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1.5.4保证停车场24小时设专业人员值守；有发生紧急情况的处置预案。</w:t>
      </w:r>
    </w:p>
    <w:p w14:paraId="63AFFDED">
      <w:pPr>
        <w:pStyle w:val="7"/>
        <w:spacing w:before="134" w:line="222" w:lineRule="auto"/>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1.6消防管理</w:t>
      </w:r>
    </w:p>
    <w:p w14:paraId="3AFF657C">
      <w:pPr>
        <w:pStyle w:val="7"/>
        <w:spacing w:before="177" w:line="287" w:lineRule="auto"/>
        <w:ind w:right="187"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1.6.1有健全的消防管理制度，建立消防责任制及火灾消防预案，设立消防疏散示意图，照明设施、引路标志完好，确保消防通道畅通。</w:t>
      </w:r>
    </w:p>
    <w:p w14:paraId="5CC68B5C">
      <w:pPr>
        <w:pStyle w:val="7"/>
        <w:spacing w:before="185" w:line="282" w:lineRule="auto"/>
        <w:ind w:right="177"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1.6.2消防控制中心24小时值班，消防设施齐全，有明显标志，可随时启用；定期对消防设施进行巡视、检查和维护。</w:t>
      </w:r>
    </w:p>
    <w:p w14:paraId="61622765">
      <w:pPr>
        <w:pStyle w:val="7"/>
        <w:spacing w:before="174" w:line="274" w:lineRule="auto"/>
        <w:ind w:right="166"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1.6.3组织成立义务消防队，明确防火责任人，定期进行消防训练，保证有关人员掌握消防基本技能。</w:t>
      </w:r>
    </w:p>
    <w:p w14:paraId="58D00DCC">
      <w:pPr>
        <w:pStyle w:val="7"/>
        <w:spacing w:before="174" w:line="274" w:lineRule="auto"/>
        <w:ind w:right="166"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1.6.4定期进行安全检查，对火灾安全隐患进行监督整改。</w:t>
      </w:r>
    </w:p>
    <w:p w14:paraId="37219A52">
      <w:pPr>
        <w:pStyle w:val="7"/>
        <w:spacing w:before="126" w:line="276" w:lineRule="auto"/>
        <w:ind w:right="384"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1.6.5一旦发生火灾，及时报警启动应急预案，尽力协助办公楼人员疏散、救助人员等。</w:t>
      </w:r>
    </w:p>
    <w:p w14:paraId="1AD90ED5">
      <w:pPr>
        <w:pStyle w:val="7"/>
        <w:spacing w:before="126" w:line="276" w:lineRule="auto"/>
        <w:ind w:right="384"/>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1.7供水系统</w:t>
      </w:r>
    </w:p>
    <w:p w14:paraId="3BA07097">
      <w:pPr>
        <w:pStyle w:val="7"/>
        <w:spacing w:before="187" w:line="281" w:lineRule="auto"/>
        <w:ind w:right="217"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1.7.1建立办公楼用水管理制度，制定办公楼节水计划保证办公楼各区域正常生活用水，有停水处置预案。</w:t>
      </w:r>
    </w:p>
    <w:p w14:paraId="0545242C">
      <w:pPr>
        <w:pStyle w:val="7"/>
        <w:spacing w:before="149" w:line="221" w:lineRule="auto"/>
        <w:ind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1.7.2按政府相关规定保证维修服务标准。</w:t>
      </w:r>
    </w:p>
    <w:p w14:paraId="2CB63755">
      <w:pPr>
        <w:pStyle w:val="7"/>
        <w:spacing w:before="162" w:line="222" w:lineRule="auto"/>
        <w:ind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1.7.3排水系统通畅，汛期道路无积水，设备房无积水、浸泡发生。</w:t>
      </w:r>
    </w:p>
    <w:p w14:paraId="3D671F66">
      <w:pPr>
        <w:pStyle w:val="7"/>
        <w:spacing w:before="153" w:line="294" w:lineRule="auto"/>
        <w:ind w:right="357"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1.7.4制订突发事故处置预案，一旦发生，维修人员在规定时间内进行抢修，无大 面积跑水、泛水，长时间停水现象。</w:t>
      </w:r>
    </w:p>
    <w:p w14:paraId="6AA3196C">
      <w:pPr>
        <w:pStyle w:val="7"/>
        <w:spacing w:before="157" w:line="221" w:lineRule="auto"/>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2、物业管理的服务范围及标准</w:t>
      </w:r>
    </w:p>
    <w:p w14:paraId="3C83E2E0">
      <w:pPr>
        <w:pStyle w:val="7"/>
        <w:spacing w:before="155" w:line="222" w:lineRule="auto"/>
        <w:ind w:firstLine="240" w:firstLineChars="1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2.1用户服务管理</w:t>
      </w:r>
    </w:p>
    <w:p w14:paraId="0CFF1197">
      <w:pPr>
        <w:pStyle w:val="7"/>
        <w:spacing w:before="174" w:line="304" w:lineRule="auto"/>
        <w:ind w:right="198"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2.1.1服务内容：建立完整、清晰、有效的物业服务档案体系并定期更新；建立投诉处理及回访制度并严格执行；每年进行两次公开的物业服务满意度调查并有统计分析；建立并落实用户报修服务承诺制度。</w:t>
      </w:r>
    </w:p>
    <w:p w14:paraId="6AD14BAB">
      <w:pPr>
        <w:pStyle w:val="7"/>
        <w:spacing w:before="190" w:line="327" w:lineRule="auto"/>
        <w:ind w:right="88"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2.1.2服务标准：物业服务档案分类归档并设置保存期限，档案专人管理，有档案  借阅制度。有效投诉处理率100%,投诉受理部门及责任部门24小时内回访，回访率100%,投诉处理满意率不低于98%;物业服务满意度调查问卷发放率不低于85%, 满意率不低于95%,垂询结果、整改措施及落实情况应向采购人及使用人公示不少于7天；落实维修服务承诺，用户报修20分钟内到场，维修及时率100%,返修率不高于2%并有回访记录。</w:t>
      </w:r>
    </w:p>
    <w:p w14:paraId="18EDC122">
      <w:pPr>
        <w:pStyle w:val="7"/>
        <w:spacing w:before="215" w:line="221" w:lineRule="auto"/>
        <w:ind w:firstLine="240" w:firstLineChars="1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2.2日常养护维修服务</w:t>
      </w:r>
    </w:p>
    <w:p w14:paraId="578C8872">
      <w:pPr>
        <w:pStyle w:val="7"/>
        <w:spacing w:before="165" w:line="304" w:lineRule="auto"/>
        <w:ind w:left="718" w:leftChars="342"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2.2.1服务内容：属于物业本体共用部位及共用设施设备的维护范围包括 管线、雨水  井、雨落管、各类公共标识、各类小五金件(如卫生间水龙头、门把手、阀门等)、 照明设备等设备设施的管理与日常维修服务。</w:t>
      </w:r>
    </w:p>
    <w:p w14:paraId="3077B7C0">
      <w:pPr>
        <w:pStyle w:val="7"/>
        <w:spacing w:before="211" w:line="309" w:lineRule="auto"/>
        <w:ind w:left="718" w:leftChars="342" w:right="285"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2.2.2服务标准：及时对出现空鼓、开裂、破损的位置进行修补；门窗应保证其完整性和开启的灵活性；定期清掏雨水井；及时补漆、补漏，保证采购人的正常使用；保养及检修记录完整、连续；小修工作不超过24小时，无返工，维修合格率达到100%。</w:t>
      </w:r>
    </w:p>
    <w:p w14:paraId="0E03A77A">
      <w:pPr>
        <w:pStyle w:val="7"/>
        <w:spacing w:before="148" w:line="222" w:lineRule="auto"/>
        <w:ind w:firstLine="240" w:firstLineChars="1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2.3给排水系统的维护服务</w:t>
      </w:r>
    </w:p>
    <w:p w14:paraId="51416A42">
      <w:pPr>
        <w:pStyle w:val="7"/>
        <w:spacing w:before="141" w:line="280" w:lineRule="auto"/>
        <w:ind w:left="718" w:leftChars="342" w:right="108"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2.3.1服务内容：属于物业本体的各类给排水设施、设备，包括各种给排水管道、滤油池、排污系统等设施设备的管理与日常巡检。</w:t>
      </w:r>
    </w:p>
    <w:p w14:paraId="38CE351F">
      <w:pPr>
        <w:pStyle w:val="7"/>
        <w:spacing w:before="167" w:line="331" w:lineRule="auto"/>
        <w:ind w:left="718" w:leftChars="342" w:right="308"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2.3.2服务标准：维护保养及时，给排水畅通，无堵塞现象；滤油池定期除垢，管线无断裂、跑冒滴漏现象；加强用水安全管理，保障用水的安全；抢修及突发事件 处理及时、到位，要求在12小时内处理完毕，能最大限度地减少对用户及采购人的影响；各类设备运行状态、保养及检修记录完整、连续；无返工，维修合格率达到100%。</w:t>
      </w:r>
    </w:p>
    <w:p w14:paraId="54837D21">
      <w:pPr>
        <w:pStyle w:val="7"/>
        <w:spacing w:before="152" w:line="222" w:lineRule="auto"/>
        <w:ind w:firstLine="240" w:firstLineChars="1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2.4弱电系统的管理和维护</w:t>
      </w:r>
    </w:p>
    <w:p w14:paraId="127B0081">
      <w:pPr>
        <w:pStyle w:val="7"/>
        <w:spacing w:before="163" w:line="278" w:lineRule="auto"/>
        <w:ind w:left="718" w:leftChars="342" w:right="317"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2.4.1服务内容：包括但不限于项目内楼宇自控、消防中控、闭路监控、门禁、停车场收费、广播、语音、网络、避雷、监控等系统的管理与日常维修。</w:t>
      </w:r>
    </w:p>
    <w:p w14:paraId="52AADEFB">
      <w:pPr>
        <w:pStyle w:val="7"/>
        <w:spacing w:before="176" w:line="320" w:lineRule="auto"/>
        <w:ind w:left="718" w:leftChars="342" w:right="294"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2.4.2服务标准：各类信号传输通畅，各类设备设施日常维护保养到位；无因维护不当而引发的故障；有完善的突发事故处理程序，能在最短时间内恢复信号的传输，属于内部故障的，维修时间不超过6小时；各类设备的型号、运行状态、保养及检修 记录完整、连续；维修工作无返工，维修合格率达到100%。</w:t>
      </w:r>
    </w:p>
    <w:p w14:paraId="241DEC32">
      <w:pPr>
        <w:pStyle w:val="7"/>
        <w:spacing w:before="156" w:line="222" w:lineRule="auto"/>
        <w:ind w:firstLine="240" w:firstLineChars="1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2.5强电系统的管理维护服务</w:t>
      </w:r>
    </w:p>
    <w:p w14:paraId="44CBEB40">
      <w:pPr>
        <w:pStyle w:val="7"/>
        <w:spacing w:before="147" w:line="221" w:lineRule="auto"/>
        <w:ind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2.5.1服务内容：配电、照明、动力电供应等系统的管理与日常维修。</w:t>
      </w:r>
    </w:p>
    <w:p w14:paraId="6D915ED9">
      <w:pPr>
        <w:pStyle w:val="7"/>
        <w:spacing w:before="161" w:line="326" w:lineRule="auto"/>
        <w:ind w:left="718" w:leftChars="342" w:right="300"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2.5.2服务标准：保证供电正常，定期检查，无因维修、保养不当而引起停、断电事故，无因接地、绝缘处置不当而引发的人身伤害事故；定期对配电箱、柜进行巡检，对设备的运行状态、检修工作有具有持续性的、可追溯的各种记录；操作人员持证上岗，无因操作不当引发的工伤事故；有完善的突发事故处理程序，能在最短时间内保证电力供应，属于内部故障的，维修时间不超过24小时； 维修工作无返工，维修合格率达到100%。</w:t>
      </w:r>
    </w:p>
    <w:p w14:paraId="2ACF5498">
      <w:pPr>
        <w:pStyle w:val="7"/>
        <w:spacing w:before="224" w:line="221" w:lineRule="auto"/>
        <w:ind w:firstLine="240" w:firstLineChars="1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2.6各类机电设备运行服务</w:t>
      </w:r>
    </w:p>
    <w:p w14:paraId="75395DD9">
      <w:pPr>
        <w:pStyle w:val="7"/>
        <w:spacing w:before="172" w:line="219" w:lineRule="auto"/>
        <w:ind w:left="718" w:leftChars="342"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2.6.1服务内容：包括项目内的采暖、通风、机械车位等系统的运行和日常维修。</w:t>
      </w:r>
    </w:p>
    <w:p w14:paraId="3B2B9F5D">
      <w:pPr>
        <w:pStyle w:val="7"/>
        <w:spacing w:before="177" w:line="309" w:lineRule="auto"/>
        <w:ind w:left="718" w:leftChars="342"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2.6.2服务标准：各类设备运行正常，日常维护保养及时、到位，无带病运行情况；及时更换填料；定期对构成系统的组件进行专业清洁(包括AHU、VAVBOX、风机盘管、出风口、管线等);操作人员执证上岗，无因操作不当而引发的设备故障和人身伤害事故；及时提醒甲方办理设备年检；有完善的突发事件处理程序，属于内容故障的，设备维修时间不超过12小时，各类设备运行设备型号、状态、保养及检修记录完整、连续维修返工率不超过1%。</w:t>
      </w:r>
    </w:p>
    <w:p w14:paraId="2399E525">
      <w:pPr>
        <w:pStyle w:val="7"/>
        <w:spacing w:before="22" w:line="221" w:lineRule="auto"/>
        <w:ind w:firstLine="240" w:firstLineChars="1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2.7消防监控及设备巡察</w:t>
      </w:r>
    </w:p>
    <w:p w14:paraId="71F9DD3C">
      <w:pPr>
        <w:pStyle w:val="7"/>
        <w:spacing w:before="173" w:line="222" w:lineRule="auto"/>
        <w:ind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2.7.1服务内容：项目内消防系统的管理与值守。</w:t>
      </w:r>
    </w:p>
    <w:p w14:paraId="49B1515B">
      <w:pPr>
        <w:pStyle w:val="7"/>
        <w:spacing w:before="193" w:line="322" w:lineRule="auto"/>
        <w:ind w:left="718" w:leftChars="342" w:right="203"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2.7.2服务标准：建立消防设备设施及消防器材台帐，定期对消防设备进行巡查、 测试和管理；消防系统运行正常，烟感、喷淋等装置可正常启用；灭火器、消防栓 和报警器功能状态正常，无缺失、损坏；防火卷帘门、烟感、喷淋、报警系统联动 正常；每年至少进行两次管理区域内的消防演习；有完善的突发事件处理程序。发生消防设备故障的，及时向甲方报备并积极配合专业维保厂家维修。</w:t>
      </w:r>
    </w:p>
    <w:p w14:paraId="435FA78A">
      <w:pPr>
        <w:pStyle w:val="7"/>
        <w:spacing w:before="194" w:line="221" w:lineRule="auto"/>
        <w:ind w:firstLine="240" w:firstLineChars="1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2.8保洁服务</w:t>
      </w:r>
    </w:p>
    <w:p w14:paraId="3010BD80">
      <w:pPr>
        <w:pStyle w:val="7"/>
        <w:spacing w:before="152" w:line="310" w:lineRule="auto"/>
        <w:ind w:left="718" w:leftChars="342" w:right="184"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2.8.1服务内容：项目楼内各公共部位的墙面、地面、天花、沟渠、楼梯、扶手、 栏杆、铁艺、五金构件、门窗、踢脚、垃圾筒、标识牌、灯具的清洁；外围保洁区 域等部位的清洁、消杀服务；做好垃圾分类工作。</w:t>
      </w:r>
    </w:p>
    <w:p w14:paraId="307DBCB4">
      <w:pPr>
        <w:pStyle w:val="7"/>
        <w:spacing w:before="152" w:line="310" w:lineRule="auto"/>
        <w:ind w:left="718" w:leftChars="342" w:right="184" w:firstLine="0" w:firstLineChars="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lang w:val="en-US" w:eastAsia="zh-CN" w:bidi="ar-SA"/>
        </w:rPr>
        <w:t>2.8.2服务标准：石材保养得当，定期打蜡和做镜面处理；卫生间无异味，洗手台无积水，镜面与五金件光洁无水印，及时补充纸品；垃圾筒外表干净，杂物存放量 不超过总容量的2/3,及时清洁除异味；扶手用白纸巾擦拭，无明显污迹；灯具、标识、门窗上无积尘；金属材料上无手印；墙面、地面、天花无污迹；地面上无纸 屑、杂物、烟头等垃圾；栏杆、铁艺见本色，无掉色；协助做好垃圾清运记录；遇雨、雪、大风天气时及时清扫积雪、积水和杂物；蚊、蝇、嶂螂等害虫数量控</w:t>
      </w:r>
      <w:r>
        <w:rPr>
          <w:rFonts w:hint="eastAsia" w:ascii="仿宋" w:hAnsi="仿宋" w:eastAsia="仿宋" w:cs="仿宋"/>
          <w:b w:val="0"/>
          <w:bCs/>
          <w:kern w:val="2"/>
          <w:sz w:val="24"/>
          <w:szCs w:val="24"/>
          <w:highlight w:val="none"/>
          <w:lang w:val="en-US" w:eastAsia="zh-CN" w:bidi="ar-SA"/>
        </w:rPr>
        <w:t>制在合理范围内；有完整的作业、检查、整改记录。</w:t>
      </w:r>
    </w:p>
    <w:p w14:paraId="1D602016">
      <w:pPr>
        <w:pStyle w:val="7"/>
        <w:spacing w:before="217" w:line="222" w:lineRule="auto"/>
        <w:ind w:firstLine="240" w:firstLineChars="10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2.9绿化服务</w:t>
      </w:r>
    </w:p>
    <w:p w14:paraId="2CCAB1B5">
      <w:pPr>
        <w:pStyle w:val="7"/>
        <w:spacing w:before="139" w:line="220" w:lineRule="auto"/>
        <w:ind w:firstLine="720" w:firstLineChars="30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2.9.1服务内容：办公楼外围绿化带养护。</w:t>
      </w:r>
    </w:p>
    <w:p w14:paraId="611A1CF2">
      <w:pPr>
        <w:pStyle w:val="7"/>
        <w:spacing w:before="139" w:line="220" w:lineRule="auto"/>
        <w:ind w:firstLine="720" w:firstLineChars="30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2.9.2服务标准：达到一级绿化养护标准。包括：绿化带内无杂草；施肥得当，植物生长良好，在生长季内无斑秃、干枯、坏死及病虫害情况；及时清除死株，并予 补种；土壤无板结、塌陷，透气性良好；植被成活率在95%以上，出现苗木死亡应 及时缓苗、补苗；草坪、绿篱、各类乔灌木依其树型修剪整齐，高度适宜，搭配错 落有致，外形美观；绿植生长健康，叶部无积尘，修剪更换及时，无枯黄、死亡；有完整、连续的作业、检查、整改记录。</w:t>
      </w:r>
    </w:p>
    <w:p w14:paraId="21C99599">
      <w:pPr>
        <w:pStyle w:val="7"/>
        <w:spacing w:before="175" w:line="222" w:lineRule="auto"/>
        <w:ind w:firstLine="240" w:firstLineChars="1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2.10秩序维护服务</w:t>
      </w:r>
    </w:p>
    <w:p w14:paraId="7FA4B8D6">
      <w:pPr>
        <w:pStyle w:val="7"/>
        <w:spacing w:before="87" w:line="222" w:lineRule="auto"/>
        <w:ind w:left="718" w:leftChars="342"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2.10.1服务内容：项目管理范围内24小时门岗及巡逻、消防安全等管理和服务。</w:t>
      </w:r>
    </w:p>
    <w:p w14:paraId="2A036A2D">
      <w:pPr>
        <w:pStyle w:val="7"/>
        <w:spacing w:before="174" w:line="337" w:lineRule="auto"/>
        <w:ind w:left="718" w:leftChars="342" w:right="34"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2.10.2服务标准：能正确地疏导车辆，车场内因引导不当而引发的事故发生率为零； 流动巡逻岗与固定岗相结合，有效地管控非工作人员、物品进出，保证项目内的秩序和安全；有针对性地提出重点检查部位，并加强监控力度；在检查中能及时发现、消除各类治安、消防隐患，杜绝因检查、管理不当而引发的治安、消防事故；秩序维护人员能在火灾、治安等突发事件发生时做出及时、恰当的第一反应，最大限度地保证采购人和使用人的利益和安全；有完整、连续的巡逻、检查、整改与事件处理记录。</w:t>
      </w:r>
    </w:p>
    <w:p w14:paraId="43F6A259">
      <w:pPr>
        <w:pStyle w:val="7"/>
        <w:spacing w:before="157" w:line="220" w:lineRule="auto"/>
        <w:ind w:firstLine="240" w:firstLineChars="1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2.11节假日装饰、布置服务</w:t>
      </w:r>
    </w:p>
    <w:p w14:paraId="5D5B77C1">
      <w:pPr>
        <w:pStyle w:val="7"/>
        <w:spacing w:before="170" w:line="220" w:lineRule="auto"/>
        <w:ind w:left="718" w:leftChars="342"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2.11.1服务内容：按照甲方的要求协助甲方完成节假日期间环境的装饰、布置服务。</w:t>
      </w:r>
    </w:p>
    <w:p w14:paraId="3A485F8F">
      <w:pPr>
        <w:pStyle w:val="7"/>
        <w:spacing w:before="153" w:line="316" w:lineRule="auto"/>
        <w:ind w:left="718" w:leftChars="342" w:right="219"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2.11.2服务标准：环境装饰、布置及时，与节日主题相符，能烘托节日气氛；格调与办公楼的氛围及节日气氛相得益彰；装饰及布置的物品安全可靠，不影响办公楼的正常安全使用；有完整的图文、影音记录。</w:t>
      </w:r>
    </w:p>
    <w:p w14:paraId="6F6A1421">
      <w:pPr>
        <w:pStyle w:val="7"/>
        <w:spacing w:before="171" w:line="222" w:lineRule="auto"/>
        <w:ind w:firstLine="240" w:firstLineChars="1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2.12会议服务</w:t>
      </w:r>
    </w:p>
    <w:p w14:paraId="75C17665">
      <w:pPr>
        <w:pStyle w:val="7"/>
        <w:spacing w:before="159" w:line="294" w:lineRule="auto"/>
        <w:ind w:left="718" w:leftChars="342" w:right="219"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2.12.1 服务内容：会场布置、茶水布置、音响布置、器材管理、安全管理、应急管理等。</w:t>
      </w:r>
    </w:p>
    <w:p w14:paraId="4BEABD6F">
      <w:pPr>
        <w:pStyle w:val="7"/>
        <w:spacing w:before="154" w:line="288" w:lineRule="auto"/>
        <w:ind w:left="718" w:leftChars="342" w:right="34"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2.12.2 服务标准：会场布置合理规范；茶水添加及时，服务热情周到、音响效果良好。会议服务人员严格遵守保密制度。</w:t>
      </w:r>
    </w:p>
    <w:p w14:paraId="656ED74E">
      <w:pPr>
        <w:pStyle w:val="7"/>
        <w:spacing w:before="186" w:line="222" w:lineRule="auto"/>
        <w:ind w:firstLine="240" w:firstLineChars="1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2.13其它服务要求及说明：</w:t>
      </w:r>
    </w:p>
    <w:p w14:paraId="6AF813BD">
      <w:pPr>
        <w:pStyle w:val="7"/>
        <w:spacing w:before="159" w:line="310" w:lineRule="auto"/>
        <w:ind w:left="718" w:leftChars="342" w:right="226"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2.13.1上岗人员形象应与项目的定位及档次相匹配，专业技术过硬，责任心强，特种岗位人员持证上岗(强弱电、电气焊、消防监控等特殊岗位人员应持有专 业资格证书);礼仪培训到位，要求实现全员“文明服务、礼貌接待”。</w:t>
      </w:r>
    </w:p>
    <w:p w14:paraId="605DC9FC">
      <w:pPr>
        <w:pStyle w:val="7"/>
        <w:spacing w:before="170" w:line="287" w:lineRule="auto"/>
        <w:ind w:left="718" w:leftChars="342" w:right="254"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2.13.2本部分所提及的，要求由物业服务企业提供的各项服务，除有特殊说明的，其服务过程中产生的人工费、工作人员服务费等计入物业管理费中。</w:t>
      </w:r>
    </w:p>
    <w:p w14:paraId="74D9930D">
      <w:pPr>
        <w:pStyle w:val="7"/>
        <w:spacing w:before="143" w:line="305" w:lineRule="auto"/>
        <w:ind w:left="718" w:leftChars="342"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2.13.3对于在本章节中未予强调说明的其它服务内容，中标人应参照不低于北京市地方标准《住宅物业服务标准》四级标准的水平提供服务。服务期内所有消耗的水、 电、燃料(气)等由采购人承担。</w:t>
      </w:r>
    </w:p>
    <w:p w14:paraId="73F592A5">
      <w:pPr>
        <w:pStyle w:val="7"/>
        <w:spacing w:before="78" w:line="223" w:lineRule="auto"/>
        <w:ind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2.13.4紧急响应、应急预案</w:t>
      </w:r>
    </w:p>
    <w:p w14:paraId="19B989EC">
      <w:pPr>
        <w:pStyle w:val="7"/>
        <w:spacing w:before="137" w:line="222" w:lineRule="auto"/>
        <w:ind w:firstLine="960" w:firstLineChars="4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1、紧急响应机制</w:t>
      </w:r>
    </w:p>
    <w:p w14:paraId="0BEF8FAA">
      <w:pPr>
        <w:pStyle w:val="7"/>
        <w:spacing w:before="171" w:line="222" w:lineRule="auto"/>
        <w:ind w:left="958" w:leftChars="456"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投标人应建立一套完善的紧急响应机制，该机制应包括但不限于以下内容：</w:t>
      </w:r>
    </w:p>
    <w:p w14:paraId="07796A12">
      <w:pPr>
        <w:pStyle w:val="7"/>
        <w:numPr>
          <w:ilvl w:val="0"/>
          <w:numId w:val="2"/>
        </w:numPr>
        <w:tabs>
          <w:tab w:val="clear" w:pos="567"/>
        </w:tabs>
        <w:spacing w:before="158" w:line="282" w:lineRule="auto"/>
        <w:ind w:left="958" w:leftChars="456" w:right="185"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组织架构与职责分工：明确紧急响应的负责人、各相关部门及岗位的职责，确保在紧急情况下能够迅速形成合力，共同应对。</w:t>
      </w:r>
    </w:p>
    <w:p w14:paraId="1EC90066">
      <w:pPr>
        <w:pStyle w:val="7"/>
        <w:numPr>
          <w:ilvl w:val="0"/>
          <w:numId w:val="2"/>
        </w:numPr>
        <w:tabs>
          <w:tab w:val="clear" w:pos="567"/>
        </w:tabs>
        <w:spacing w:before="158" w:line="282" w:lineRule="auto"/>
        <w:ind w:left="958" w:leftChars="456" w:right="185"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通讯与信息报告：建立紧急通讯渠道，确保在紧急情况下能够迅速传递信息。 同时，制定信息报告制度，明确紧急信息的报告流程、内容和时限，以便及时向上级部门或相关单位报告。</w:t>
      </w:r>
    </w:p>
    <w:p w14:paraId="4BB3B474">
      <w:pPr>
        <w:pStyle w:val="7"/>
        <w:numPr>
          <w:ilvl w:val="0"/>
          <w:numId w:val="2"/>
        </w:numPr>
        <w:tabs>
          <w:tab w:val="clear" w:pos="567"/>
        </w:tabs>
        <w:spacing w:before="158" w:line="282" w:lineRule="auto"/>
        <w:ind w:left="958" w:leftChars="456" w:right="185"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应急资源储备：储备必要的应急物资，确保在紧急情况下能够迅速投入使用，满足应急处置的需要。</w:t>
      </w:r>
    </w:p>
    <w:p w14:paraId="710717E6">
      <w:pPr>
        <w:pStyle w:val="7"/>
        <w:spacing w:before="172" w:line="223" w:lineRule="auto"/>
        <w:ind w:firstLine="480" w:firstLineChars="2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2、应急预案</w:t>
      </w:r>
    </w:p>
    <w:p w14:paraId="1D213D96">
      <w:pPr>
        <w:pStyle w:val="7"/>
        <w:spacing w:before="158" w:line="358" w:lineRule="auto"/>
        <w:ind w:left="958" w:leftChars="456" w:right="223"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投标人应针对可能发生的突发事件，制定详细的应急预案。这些预案应包括但不限 于以下内容：</w:t>
      </w:r>
    </w:p>
    <w:p w14:paraId="1D0E6737">
      <w:pPr>
        <w:pStyle w:val="7"/>
        <w:numPr>
          <w:ilvl w:val="0"/>
          <w:numId w:val="3"/>
        </w:numPr>
        <w:tabs>
          <w:tab w:val="clear" w:pos="567"/>
        </w:tabs>
        <w:spacing w:before="1" w:line="222" w:lineRule="auto"/>
        <w:ind w:left="958" w:leftChars="456" w:firstLine="0" w:firstLineChars="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lang w:val="en-US" w:eastAsia="zh-CN" w:bidi="ar-SA"/>
        </w:rPr>
        <w:t>应急响应流程：明确突发事件发生后，从发现、报告、处置到总结的全过程。</w:t>
      </w:r>
    </w:p>
    <w:p w14:paraId="46C93772">
      <w:pPr>
        <w:pStyle w:val="7"/>
        <w:numPr>
          <w:ilvl w:val="0"/>
          <w:numId w:val="3"/>
        </w:numPr>
        <w:tabs>
          <w:tab w:val="clear" w:pos="567"/>
        </w:tabs>
        <w:spacing w:before="1" w:line="222" w:lineRule="auto"/>
        <w:ind w:left="958" w:leftChars="456" w:firstLine="0" w:firstLineChars="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应急处置措施：针对不同类型的突发事件，制定具体的应急处置措施，确保在紧急情况下能够迅速、有效地应对。</w:t>
      </w:r>
    </w:p>
    <w:p w14:paraId="3AC935D8">
      <w:pPr>
        <w:pStyle w:val="7"/>
        <w:spacing w:before="79" w:line="222" w:lineRule="auto"/>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2.14人员配置要求：</w:t>
      </w:r>
    </w:p>
    <w:p w14:paraId="369439C6">
      <w:pPr>
        <w:pStyle w:val="7"/>
        <w:spacing w:before="169" w:line="221" w:lineRule="auto"/>
        <w:ind w:firstLine="720" w:firstLineChars="300"/>
        <w:rPr>
          <w:rFonts w:hint="eastAsia" w:ascii="仿宋" w:hAnsi="仿宋" w:eastAsia="仿宋" w:cs="仿宋"/>
          <w:b w:val="0"/>
          <w:bCs/>
          <w:kern w:val="2"/>
          <w:sz w:val="24"/>
          <w:szCs w:val="24"/>
          <w:highlight w:val="none"/>
          <w:lang w:val="en-US" w:eastAsia="zh-CN" w:bidi="ar-SA"/>
        </w:rPr>
      </w:pPr>
      <w:bookmarkStart w:id="44" w:name="OLE_LINK2"/>
      <w:r>
        <w:rPr>
          <w:rFonts w:hint="eastAsia" w:ascii="仿宋" w:hAnsi="仿宋" w:eastAsia="仿宋" w:cs="仿宋"/>
          <w:b w:val="0"/>
          <w:bCs/>
          <w:kern w:val="2"/>
          <w:sz w:val="24"/>
          <w:szCs w:val="24"/>
          <w:highlight w:val="none"/>
          <w:lang w:val="en-US" w:eastAsia="zh-CN" w:bidi="ar-SA"/>
        </w:rPr>
        <w:t>2.14.1项目部配备：项目经理，要求55岁以下具备物业管理经理上岗证书，有类似项目管理3年以上管理经验。</w:t>
      </w:r>
    </w:p>
    <w:p w14:paraId="73CBA293">
      <w:pPr>
        <w:pStyle w:val="7"/>
        <w:spacing w:before="172" w:line="220" w:lineRule="auto"/>
        <w:ind w:left="167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主要负责：物业服务的日常管理和监督工作，以及与甲方的沟通工作。</w:t>
      </w:r>
    </w:p>
    <w:p w14:paraId="4E43D6ED">
      <w:pPr>
        <w:pStyle w:val="7"/>
        <w:spacing w:before="165" w:line="221" w:lineRule="auto"/>
        <w:ind w:firstLine="720" w:firstLineChars="30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2.14.2安保服务配备：保安员(含消防中控员)人员。</w:t>
      </w:r>
    </w:p>
    <w:p w14:paraId="1C70AF02">
      <w:pPr>
        <w:pStyle w:val="7"/>
        <w:spacing w:before="183" w:line="222" w:lineRule="auto"/>
        <w:ind w:left="167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主要负责：办公区管理范围内24小时门岗及巡逻、消防安全等管理和服务。</w:t>
      </w:r>
    </w:p>
    <w:p w14:paraId="37727D9F">
      <w:pPr>
        <w:pStyle w:val="7"/>
        <w:spacing w:before="161" w:line="221" w:lineRule="auto"/>
        <w:ind w:firstLine="720" w:firstLineChars="30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2.14.3保洁班配备：保洁服务人员。</w:t>
      </w:r>
    </w:p>
    <w:p w14:paraId="2EF99876">
      <w:pPr>
        <w:pStyle w:val="7"/>
        <w:spacing w:before="173" w:line="345" w:lineRule="auto"/>
        <w:ind w:left="958" w:leftChars="342" w:right="224" w:hanging="240" w:hangingChars="10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主要负责：主要负责办公楼内所有区域、园区、门前三包范围的卫生保洁及绿化养护、工作。</w:t>
      </w:r>
    </w:p>
    <w:p w14:paraId="2DBEEFB6">
      <w:pPr>
        <w:pStyle w:val="7"/>
        <w:spacing w:before="25" w:line="222" w:lineRule="auto"/>
        <w:ind w:firstLine="720" w:firstLineChars="30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2.14.4会议服务配备：服务员。</w:t>
      </w:r>
    </w:p>
    <w:p w14:paraId="72117F7B">
      <w:pPr>
        <w:pStyle w:val="7"/>
        <w:spacing w:before="168" w:line="220" w:lineRule="auto"/>
        <w:ind w:firstLine="960" w:firstLineChars="40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会场布置、茶水布置、音响布置、器材管理、安全管理、应急管理等。</w:t>
      </w:r>
    </w:p>
    <w:p w14:paraId="2073E6F1">
      <w:pPr>
        <w:pStyle w:val="7"/>
        <w:spacing w:before="166" w:line="222" w:lineRule="auto"/>
        <w:ind w:left="958" w:leftChars="456" w:firstLine="0" w:firstLineChars="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2.14.5维修配备：工程技术人员：电工须持有电工证；水暖工，锅炉工需持有锅炉工证件。</w:t>
      </w:r>
    </w:p>
    <w:p w14:paraId="51D6B710">
      <w:pPr>
        <w:pStyle w:val="7"/>
        <w:spacing w:before="166" w:line="222" w:lineRule="auto"/>
        <w:ind w:left="958" w:leftChars="456" w:firstLine="0" w:firstLineChars="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主要负责：强弱电、建筑结构、广场庭院、上下水(包括食堂下水道)、暖通系统的日常巡视检查及维修工作，取暖季锅炉的正常运行。</w:t>
      </w:r>
    </w:p>
    <w:bookmarkEnd w:id="44"/>
    <w:p w14:paraId="19305988">
      <w:pPr>
        <w:pStyle w:val="7"/>
        <w:spacing w:before="1" w:line="220" w:lineRule="auto"/>
        <w:ind w:firstLine="240" w:firstLineChars="10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2.15全面物业管理服务考核标准：</w:t>
      </w:r>
    </w:p>
    <w:p w14:paraId="500547E7">
      <w:pPr>
        <w:pStyle w:val="7"/>
        <w:spacing w:before="175" w:line="222" w:lineRule="auto"/>
        <w:ind w:firstLine="720" w:firstLineChars="300"/>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2.15.1全年重大治安案件发案率为零。</w:t>
      </w:r>
    </w:p>
    <w:p w14:paraId="19A3EC26">
      <w:pPr>
        <w:pStyle w:val="7"/>
        <w:spacing w:before="169" w:line="221" w:lineRule="auto"/>
        <w:ind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2.15.2安保、消防安全达标率达100%。</w:t>
      </w:r>
    </w:p>
    <w:p w14:paraId="6341030A">
      <w:pPr>
        <w:pStyle w:val="7"/>
        <w:spacing w:before="175" w:line="222" w:lineRule="auto"/>
        <w:ind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2.15.3楼体房屋主体完好率100%。</w:t>
      </w:r>
    </w:p>
    <w:p w14:paraId="12E57644">
      <w:pPr>
        <w:pStyle w:val="7"/>
        <w:spacing w:before="171" w:line="223" w:lineRule="auto"/>
        <w:ind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2.15.4大型动力设备完好率99%。</w:t>
      </w:r>
    </w:p>
    <w:p w14:paraId="5DB4A8EF">
      <w:pPr>
        <w:pStyle w:val="7"/>
        <w:spacing w:before="179" w:line="222" w:lineRule="auto"/>
        <w:ind w:firstLine="720" w:firstLineChars="3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2.15.5应急需求处理率为100%。</w:t>
      </w:r>
    </w:p>
    <w:p w14:paraId="7B7E95EA">
      <w:pPr>
        <w:spacing w:before="168" w:line="227" w:lineRule="auto"/>
        <w:ind w:firstLine="240" w:firstLineChars="10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3、绩效考核</w:t>
      </w:r>
    </w:p>
    <w:p w14:paraId="6082FF17">
      <w:pPr>
        <w:pStyle w:val="7"/>
        <w:spacing w:before="170" w:line="310" w:lineRule="auto"/>
        <w:ind w:left="479" w:leftChars="228" w:right="104"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3.1  根据本项目的建筑物本体、物业服务、秩序维护服务、保洁服务、设备设施运维服务、财务管理等详细服务范围、工作标准和关键绩效制定月度考核标准(即KPI 考核)。</w:t>
      </w:r>
    </w:p>
    <w:p w14:paraId="2B388C20">
      <w:pPr>
        <w:pStyle w:val="7"/>
        <w:spacing w:before="168" w:line="287" w:lineRule="auto"/>
        <w:ind w:left="479" w:leftChars="228" w:right="128" w:firstLine="0" w:firstLineChars="0"/>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3.2  针对具体的项目，根据甲乙双方签署确认的乙方服务考核指标，每月度按考核 指标对乙方进行绩效评估考核。</w:t>
      </w:r>
    </w:p>
    <w:p w14:paraId="4EFEBC84">
      <w:pPr>
        <w:numPr>
          <w:ilvl w:val="0"/>
          <w:numId w:val="0"/>
        </w:numPr>
        <w:adjustRightInd w:val="0"/>
        <w:spacing w:line="360" w:lineRule="atLeast"/>
        <w:ind w:leftChars="0"/>
        <w:jc w:val="left"/>
        <w:textAlignment w:val="baseline"/>
        <w:rPr>
          <w:rFonts w:hint="eastAsia" w:asciiTheme="minorEastAsia" w:hAnsiTheme="minorEastAsia" w:eastAsiaTheme="minorEastAsia" w:cstheme="minorEastAsia"/>
          <w:kern w:val="0"/>
          <w:sz w:val="36"/>
          <w:szCs w:val="36"/>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9D1AF">
    <w:pPr>
      <w:spacing w:line="194" w:lineRule="exact"/>
      <w:ind w:left="5510"/>
      <w:rPr>
        <w:rFonts w:ascii="Arial" w:hAnsi="Arial" w:eastAsia="Arial" w:cs="Arial"/>
        <w:sz w:val="15"/>
        <w:szCs w:val="15"/>
      </w:rPr>
    </w:pPr>
    <w:r>
      <w:rPr>
        <w:rFonts w:ascii="Arial" w:hAnsi="Arial" w:eastAsia="Arial" w:cs="Arial"/>
        <w:spacing w:val="-2"/>
        <w:position w:val="1"/>
        <w:sz w:val="15"/>
        <w:szCs w:val="15"/>
      </w:rPr>
      <w:t>34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8AA1D">
    <w:pPr>
      <w:spacing w:line="194" w:lineRule="exact"/>
      <w:ind w:left="5550"/>
      <w:rPr>
        <w:rFonts w:ascii="Arial" w:hAnsi="Arial" w:eastAsia="Arial" w:cs="Arial"/>
        <w:sz w:val="15"/>
        <w:szCs w:val="15"/>
      </w:rPr>
    </w:pPr>
    <w:r>
      <w:rPr>
        <w:rFonts w:ascii="Arial" w:hAnsi="Arial" w:eastAsia="Arial" w:cs="Arial"/>
        <w:spacing w:val="-2"/>
        <w:position w:val="1"/>
        <w:sz w:val="15"/>
        <w:szCs w:val="15"/>
      </w:rPr>
      <w:t>35</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E07D4C"/>
    <w:multiLevelType w:val="singleLevel"/>
    <w:tmpl w:val="88E07D4C"/>
    <w:lvl w:ilvl="0" w:tentative="0">
      <w:start w:val="1"/>
      <w:numFmt w:val="decimal"/>
      <w:lvlText w:val="(%1)"/>
      <w:lvlJc w:val="left"/>
      <w:pPr>
        <w:tabs>
          <w:tab w:val="left" w:pos="312"/>
        </w:tabs>
      </w:pPr>
    </w:lvl>
  </w:abstractNum>
  <w:abstractNum w:abstractNumId="1">
    <w:nsid w:val="1FCD4497"/>
    <w:multiLevelType w:val="multilevel"/>
    <w:tmpl w:val="1FCD4497"/>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160668B"/>
    <w:multiLevelType w:val="singleLevel"/>
    <w:tmpl w:val="3160668B"/>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C50C39"/>
    <w:rsid w:val="02891DD2"/>
    <w:rsid w:val="0AB64446"/>
    <w:rsid w:val="102C1535"/>
    <w:rsid w:val="12EB5890"/>
    <w:rsid w:val="18A745A9"/>
    <w:rsid w:val="1B1A4E7F"/>
    <w:rsid w:val="1F863415"/>
    <w:rsid w:val="1FC23CA6"/>
    <w:rsid w:val="1FE43FA1"/>
    <w:rsid w:val="20076F97"/>
    <w:rsid w:val="215D1C6E"/>
    <w:rsid w:val="216904BC"/>
    <w:rsid w:val="258969DB"/>
    <w:rsid w:val="268234C6"/>
    <w:rsid w:val="2E727AFB"/>
    <w:rsid w:val="328D3512"/>
    <w:rsid w:val="33DE566E"/>
    <w:rsid w:val="33F047EE"/>
    <w:rsid w:val="3CC50C39"/>
    <w:rsid w:val="3CE433F0"/>
    <w:rsid w:val="3EA9022B"/>
    <w:rsid w:val="3FAC388C"/>
    <w:rsid w:val="40582770"/>
    <w:rsid w:val="40AD420F"/>
    <w:rsid w:val="446819FD"/>
    <w:rsid w:val="4618439E"/>
    <w:rsid w:val="463827CD"/>
    <w:rsid w:val="46503FBA"/>
    <w:rsid w:val="46C95B1B"/>
    <w:rsid w:val="53605111"/>
    <w:rsid w:val="539A76E2"/>
    <w:rsid w:val="595D7451"/>
    <w:rsid w:val="5998379D"/>
    <w:rsid w:val="5AA62860"/>
    <w:rsid w:val="5BF464C3"/>
    <w:rsid w:val="64666E72"/>
    <w:rsid w:val="65BB7807"/>
    <w:rsid w:val="66AA26A7"/>
    <w:rsid w:val="684B23DC"/>
    <w:rsid w:val="6B050157"/>
    <w:rsid w:val="6B655916"/>
    <w:rsid w:val="6B91677C"/>
    <w:rsid w:val="6D9C44AE"/>
    <w:rsid w:val="70FB7A0A"/>
    <w:rsid w:val="716845D3"/>
    <w:rsid w:val="72944642"/>
    <w:rsid w:val="79876FC5"/>
    <w:rsid w:val="7A724563"/>
    <w:rsid w:val="7C6C2E92"/>
    <w:rsid w:val="7D6801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4"/>
    <w:basedOn w:val="1"/>
    <w:next w:val="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qFormat/>
    <w:uiPriority w:val="0"/>
    <w:pPr>
      <w:keepNext/>
      <w:keepLines/>
      <w:adjustRightInd w:val="0"/>
      <w:spacing w:before="280" w:after="290" w:line="376" w:lineRule="atLeast"/>
      <w:textAlignment w:val="baseline"/>
      <w:outlineLvl w:val="4"/>
    </w:pPr>
    <w:rPr>
      <w:b/>
      <w:kern w:val="0"/>
      <w:sz w:val="28"/>
      <w:szCs w:val="20"/>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index 1"/>
    <w:basedOn w:val="1"/>
    <w:next w:val="1"/>
    <w:unhideWhenUsed/>
    <w:qFormat/>
    <w:uiPriority w:val="99"/>
    <w:pPr>
      <w:framePr w:wrap="around" w:vAnchor="margin" w:hAnchor="text" w:y="1"/>
    </w:pPr>
    <w:rPr>
      <w:b/>
    </w:rPr>
  </w:style>
  <w:style w:type="paragraph" w:styleId="7">
    <w:name w:val="Body Text"/>
    <w:basedOn w:val="1"/>
    <w:next w:val="8"/>
    <w:qFormat/>
    <w:uiPriority w:val="0"/>
    <w:pPr>
      <w:tabs>
        <w:tab w:val="left" w:pos="567"/>
      </w:tabs>
      <w:spacing w:before="120" w:line="22" w:lineRule="atLeast"/>
    </w:pPr>
    <w:rPr>
      <w:rFonts w:ascii="宋体" w:hAnsi="宋体"/>
      <w:sz w:val="24"/>
    </w:rPr>
  </w:style>
  <w:style w:type="paragraph" w:customStyle="1" w:styleId="8">
    <w:name w:val="目录 11"/>
    <w:next w:val="1"/>
    <w:qFormat/>
    <w:uiPriority w:val="0"/>
    <w:pPr>
      <w:wordWrap w:val="0"/>
      <w:jc w:val="both"/>
    </w:pPr>
    <w:rPr>
      <w:rFonts w:ascii="Calibri" w:hAnsi="Calibri" w:eastAsia="宋体" w:cs="Calibri"/>
      <w:sz w:val="21"/>
      <w:szCs w:val="22"/>
      <w:lang w:val="en-US" w:eastAsia="zh-CN" w:bidi="ar-SA"/>
    </w:rPr>
  </w:style>
  <w:style w:type="paragraph" w:styleId="9">
    <w:name w:val="Plain Text"/>
    <w:basedOn w:val="1"/>
    <w:qFormat/>
    <w:uiPriority w:val="0"/>
    <w:rPr>
      <w:rFonts w:ascii="宋体" w:hAnsi="Courier New" w:eastAsiaTheme="minorEastAsia" w:cstheme="minorBidi"/>
      <w:szCs w:val="22"/>
    </w:rPr>
  </w:style>
  <w:style w:type="paragraph" w:styleId="10">
    <w:name w:val="Body Text Indent 2"/>
    <w:basedOn w:val="1"/>
    <w:qFormat/>
    <w:uiPriority w:val="0"/>
    <w:pPr>
      <w:ind w:firstLine="480" w:firstLineChars="200"/>
    </w:pPr>
    <w:rPr>
      <w:rFonts w:ascii="仿宋_GB2312" w:eastAsia="仿宋_GB2312"/>
      <w:sz w:val="24"/>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15">
    <w:name w:val="Normal_0"/>
    <w:qFormat/>
    <w:uiPriority w:val="0"/>
    <w:pPr>
      <w:spacing w:before="120" w:after="240"/>
      <w:jc w:val="both"/>
    </w:pPr>
    <w:rPr>
      <w:rFonts w:ascii="Calibri" w:hAnsi="Calibri" w:eastAsia="Calibri" w:cs="Times New Roman"/>
      <w:kern w:val="0"/>
      <w:sz w:val="22"/>
      <w:szCs w:val="22"/>
      <w:lang w:val="en-US" w:eastAsia="en-US" w:bidi="ar-SA"/>
    </w:rPr>
  </w:style>
  <w:style w:type="paragraph" w:customStyle="1" w:styleId="1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7724</Words>
  <Characters>8493</Characters>
  <Lines>0</Lines>
  <Paragraphs>0</Paragraphs>
  <TotalTime>0</TotalTime>
  <ScaleCrop>false</ScaleCrop>
  <LinksUpToDate>false</LinksUpToDate>
  <CharactersWithSpaces>8671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2025-08-06T02:29:00Z</dcterms:created>
  <dc:creator>地瓜彤</dc:creator>
  <cp:lastModifiedBy>像猫一样睡着</cp:lastModifiedBy>
  <dcterms:modified xsi:type="dcterms:W3CDTF">2026-10-12T01:33:32Z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B18DBAA04AE947E9A667F5676AD23454_11</vt:lpwstr>
  </property>
  <property fmtid="{D5CDD505-2E9C-101B-9397-08002B2CF9AE}" pid="4" name="KSOTemplateDocerSaveRecord">
    <vt:lpwstr>eyJoZGlkIjoiZjkwZTJkNzIzMmFhMWM4YWIwYWQ5Yzg2YTMxYmExOWIiLCJ1c2VySWQiOiIxODIwMDAwNzM3In0=</vt:lpwstr>
  </property>
</Properties>
</file>