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sz w:val="24"/>
        </w:rPr>
      </w:pPr>
      <w:bookmarkStart w:id="0" w:name="_Toc97371945"/>
      <w:r>
        <w:rPr>
          <w:rFonts w:eastAsiaTheme="minorEastAsia"/>
          <w:b/>
          <w:sz w:val="36"/>
          <w:szCs w:val="36"/>
        </w:rPr>
        <w:t>第四章   采购需求</w:t>
      </w:r>
      <w:bookmarkEnd w:id="0"/>
      <w:bookmarkStart w:id="1" w:name="_Hlk168431603"/>
    </w:p>
    <w:bookmarkEnd w:id="1"/>
    <w:p>
      <w:pPr>
        <w:spacing w:line="360" w:lineRule="auto"/>
        <w:contextualSpacing/>
        <w:rPr>
          <w:rFonts w:eastAsiaTheme="minorEastAsia"/>
          <w:sz w:val="24"/>
        </w:rPr>
      </w:pPr>
    </w:p>
    <w:p>
      <w:pPr>
        <w:pStyle w:val="7"/>
        <w:numPr>
          <w:ilvl w:val="0"/>
          <w:numId w:val="1"/>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采购标的</w:t>
      </w:r>
    </w:p>
    <w:p>
      <w:pPr>
        <w:spacing w:line="360" w:lineRule="auto"/>
        <w:contextualSpacing/>
        <w:rPr>
          <w:rFonts w:hint="eastAsia" w:eastAsiaTheme="minorEastAsia"/>
          <w:bCs/>
          <w:sz w:val="24"/>
        </w:rPr>
      </w:pPr>
      <w:r>
        <w:rPr>
          <w:rFonts w:hint="eastAsia" w:eastAsiaTheme="minorEastAsia"/>
          <w:bCs/>
          <w:sz w:val="24"/>
        </w:rPr>
        <w:t>1.标的名称：北京市“百千工程”平谷区黄松峪乡“黄金山水”乡村振兴示范片区工程-网络提升美化乡村示范项目</w:t>
      </w:r>
    </w:p>
    <w:p>
      <w:pPr>
        <w:spacing w:line="360" w:lineRule="auto"/>
        <w:contextualSpacing/>
        <w:rPr>
          <w:rFonts w:hint="eastAsia" w:eastAsiaTheme="minorEastAsia"/>
          <w:bCs/>
          <w:sz w:val="24"/>
        </w:rPr>
      </w:pPr>
      <w:r>
        <w:rPr>
          <w:rFonts w:hint="eastAsia" w:eastAsiaTheme="minorEastAsia"/>
          <w:bCs/>
          <w:sz w:val="24"/>
        </w:rPr>
        <w:t>2.标的内容：为切实消除弱电线路系统安全隐患，改善沿线环境面貌，本次项目针对平谷区黄松峪乡 5 处场景（梨树沟村、刁窝村、胡黑路北延南路口、大溶洞路口、昌金路路口）实施线路改造，优化线路整体观感，持续改善乡村人居环境风貌。</w:t>
      </w:r>
    </w:p>
    <w:p>
      <w:pPr>
        <w:spacing w:line="360" w:lineRule="auto"/>
        <w:contextualSpacing/>
        <w:rPr>
          <w:rFonts w:eastAsiaTheme="minorEastAsia"/>
          <w:bCs/>
          <w:sz w:val="24"/>
        </w:rPr>
      </w:pPr>
      <w:r>
        <w:rPr>
          <w:rFonts w:hint="eastAsia" w:eastAsiaTheme="minorEastAsia"/>
          <w:bCs/>
          <w:sz w:val="24"/>
        </w:rPr>
        <w:t>3.标的预算：</w:t>
      </w:r>
      <w:r>
        <w:rPr>
          <w:rFonts w:hint="eastAsia" w:eastAsiaTheme="minorEastAsia"/>
          <w:bCs/>
          <w:sz w:val="24"/>
          <w:lang w:val="en-US" w:eastAsia="zh-CN"/>
        </w:rPr>
        <w:t>383.901762</w:t>
      </w:r>
      <w:r>
        <w:rPr>
          <w:rFonts w:hint="eastAsia" w:eastAsiaTheme="minorEastAsia"/>
          <w:bCs/>
          <w:sz w:val="24"/>
        </w:rPr>
        <w:t>万元。</w:t>
      </w:r>
    </w:p>
    <w:p>
      <w:pPr>
        <w:spacing w:line="360" w:lineRule="auto"/>
        <w:ind w:firstLine="482"/>
        <w:contextualSpacing/>
        <w:rPr>
          <w:rFonts w:eastAsiaTheme="minorEastAsia"/>
          <w:b/>
          <w:sz w:val="24"/>
        </w:rPr>
      </w:pPr>
    </w:p>
    <w:p>
      <w:pPr>
        <w:pStyle w:val="7"/>
        <w:numPr>
          <w:ilvl w:val="0"/>
          <w:numId w:val="1"/>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商务要求</w:t>
      </w:r>
    </w:p>
    <w:p>
      <w:pPr>
        <w:spacing w:line="360" w:lineRule="auto"/>
        <w:contextualSpacing/>
        <w:rPr>
          <w:rFonts w:eastAsiaTheme="minorEastAsia"/>
          <w:i/>
          <w:sz w:val="24"/>
        </w:rPr>
      </w:pPr>
      <w:r>
        <w:rPr>
          <w:rFonts w:eastAsiaTheme="minorEastAsia"/>
          <w:sz w:val="24"/>
        </w:rPr>
        <w:t>1. 交付（实施）的时间（期限）和地点（范围）</w:t>
      </w:r>
    </w:p>
    <w:p>
      <w:pPr>
        <w:spacing w:line="360" w:lineRule="auto"/>
        <w:contextualSpacing/>
        <w:rPr>
          <w:rFonts w:hint="eastAsia"/>
          <w:iCs/>
          <w:sz w:val="24"/>
        </w:rPr>
      </w:pPr>
      <w:r>
        <w:rPr>
          <w:rFonts w:hint="eastAsia"/>
          <w:iCs/>
          <w:sz w:val="24"/>
          <w:lang w:val="en-US" w:eastAsia="zh-CN"/>
        </w:rPr>
        <w:t>合同履行期限</w:t>
      </w:r>
      <w:r>
        <w:rPr>
          <w:rFonts w:hint="eastAsia"/>
          <w:iCs/>
          <w:sz w:val="24"/>
        </w:rPr>
        <w:t>：自合同签订之日起</w:t>
      </w:r>
      <w:r>
        <w:rPr>
          <w:rFonts w:hint="eastAsia"/>
          <w:iCs/>
          <w:sz w:val="24"/>
          <w:lang w:eastAsia="zh-CN"/>
        </w:rPr>
        <w:t>50</w:t>
      </w:r>
      <w:r>
        <w:rPr>
          <w:rFonts w:hint="eastAsia"/>
          <w:iCs/>
          <w:sz w:val="24"/>
        </w:rPr>
        <w:t>日历天内完成全部服务工作。</w:t>
      </w:r>
    </w:p>
    <w:p>
      <w:pPr>
        <w:spacing w:line="360" w:lineRule="auto"/>
        <w:contextualSpacing/>
        <w:rPr>
          <w:rFonts w:hint="eastAsia" w:eastAsia="宋体"/>
          <w:iCs/>
          <w:sz w:val="24"/>
          <w:lang w:val="en-US" w:eastAsia="zh-CN"/>
        </w:rPr>
      </w:pPr>
      <w:r>
        <w:rPr>
          <w:rFonts w:hint="eastAsia"/>
          <w:iCs/>
          <w:sz w:val="24"/>
          <w:lang w:val="en-US" w:eastAsia="zh-CN"/>
        </w:rPr>
        <w:t>地点：平谷区黄松峪乡</w:t>
      </w:r>
    </w:p>
    <w:p>
      <w:pPr>
        <w:spacing w:line="360" w:lineRule="auto"/>
        <w:contextualSpacing/>
        <w:rPr>
          <w:rFonts w:eastAsiaTheme="minorEastAsia"/>
          <w:sz w:val="24"/>
          <w:highlight w:val="none"/>
        </w:rPr>
      </w:pPr>
      <w:r>
        <w:rPr>
          <w:rFonts w:eastAsiaTheme="minorEastAsia"/>
          <w:sz w:val="24"/>
          <w:highlight w:val="none"/>
        </w:rPr>
        <w:t>2. 付款条件（进度和方式）</w:t>
      </w:r>
    </w:p>
    <w:p>
      <w:pPr>
        <w:spacing w:line="360" w:lineRule="auto"/>
        <w:ind w:firstLine="480" w:firstLineChars="200"/>
        <w:contextualSpacing/>
        <w:rPr>
          <w:rFonts w:hint="eastAsia"/>
          <w:bCs/>
          <w:sz w:val="24"/>
          <w:highlight w:val="none"/>
        </w:rPr>
      </w:pPr>
      <w:r>
        <w:rPr>
          <w:rFonts w:hint="eastAsia"/>
          <w:bCs/>
          <w:sz w:val="24"/>
          <w:highlight w:val="none"/>
        </w:rPr>
        <w:t>双方约定的合同价款支付方式和时间如下：本合同预付款为合同总价款的30%，甲方于合同签订后30日内，甲方在收到乙方开具的正式增值税普通发票后一次性支付预付款；；中期付款根据进度支付；项目验收合格后30日内支付至合同总价款的80%，结算经评审后30日内支付至结算价款的97%，剩余结算价款的3%作为质量保证金，质保期结束后一次性结清。</w:t>
      </w:r>
    </w:p>
    <w:p>
      <w:pPr>
        <w:spacing w:line="360" w:lineRule="auto"/>
        <w:ind w:firstLine="480" w:firstLineChars="200"/>
        <w:contextualSpacing/>
        <w:rPr>
          <w:rFonts w:hint="eastAsia"/>
          <w:bCs/>
          <w:sz w:val="24"/>
          <w:highlight w:val="none"/>
        </w:rPr>
      </w:pPr>
      <w:r>
        <w:rPr>
          <w:rFonts w:hint="eastAsia"/>
          <w:bCs/>
          <w:sz w:val="24"/>
          <w:highlight w:val="none"/>
        </w:rPr>
        <w:t>乙方应在甲方每次付款前提供合规的增值税普通发票，并按照甲方支付程序办理相关支付手续；上述支付进度以甲方资金实际到位情况为准，若因本项目资金拨付延迟导致甲方未能按期支付相应款项的，不构成甲方违约，乙方不得据此追究甲方的违约责任。</w:t>
      </w:r>
    </w:p>
    <w:p>
      <w:pPr>
        <w:spacing w:line="360" w:lineRule="auto"/>
        <w:contextualSpacing/>
        <w:rPr>
          <w:rFonts w:eastAsiaTheme="minorEastAsia"/>
          <w:sz w:val="24"/>
          <w:highlight w:val="none"/>
        </w:rPr>
      </w:pPr>
      <w:r>
        <w:rPr>
          <w:rFonts w:eastAsiaTheme="minorEastAsia"/>
          <w:sz w:val="24"/>
          <w:highlight w:val="none"/>
        </w:rPr>
        <w:t>3.包装和运输（如适用，须满足《关于印发&lt;商品包装政府采购需求标准（试行）&gt;、&lt;快递包装政府采购需求标准（试行）&gt;的通知》（财办库﹝2020﹞123号））</w:t>
      </w:r>
    </w:p>
    <w:p>
      <w:pPr>
        <w:spacing w:line="360" w:lineRule="auto"/>
        <w:contextualSpacing/>
        <w:rPr>
          <w:rFonts w:eastAsiaTheme="minorEastAsia"/>
          <w:sz w:val="24"/>
          <w:highlight w:val="none"/>
        </w:rPr>
      </w:pPr>
      <w:r>
        <w:rPr>
          <w:rFonts w:hint="eastAsia"/>
          <w:iCs/>
          <w:sz w:val="24"/>
          <w:highlight w:val="none"/>
        </w:rPr>
        <w:t>本项目不适用</w:t>
      </w:r>
    </w:p>
    <w:p>
      <w:pPr>
        <w:spacing w:line="360" w:lineRule="auto"/>
        <w:contextualSpacing/>
        <w:rPr>
          <w:rFonts w:eastAsiaTheme="minorEastAsia"/>
          <w:sz w:val="24"/>
        </w:rPr>
      </w:pPr>
      <w:r>
        <w:rPr>
          <w:rFonts w:eastAsiaTheme="minorEastAsia"/>
          <w:sz w:val="24"/>
        </w:rPr>
        <w:t>4. 售后服务（质保期）（如适用）</w:t>
      </w:r>
    </w:p>
    <w:p>
      <w:pPr>
        <w:spacing w:line="360" w:lineRule="auto"/>
        <w:contextualSpacing/>
        <w:rPr>
          <w:rFonts w:eastAsiaTheme="minorEastAsia"/>
          <w:sz w:val="24"/>
        </w:rPr>
      </w:pPr>
      <w:r>
        <w:rPr>
          <w:sz w:val="24"/>
        </w:rPr>
        <w:t>需执行的国家相关标准、行业标准、地方标准或者其他标准、规范</w:t>
      </w:r>
      <w:r>
        <w:rPr>
          <w:rFonts w:hint="eastAsia"/>
          <w:sz w:val="24"/>
        </w:rPr>
        <w:t>。</w:t>
      </w:r>
    </w:p>
    <w:p>
      <w:pPr>
        <w:spacing w:line="360" w:lineRule="auto"/>
        <w:contextualSpacing/>
        <w:rPr>
          <w:rFonts w:eastAsiaTheme="minorEastAsia"/>
          <w:sz w:val="24"/>
        </w:rPr>
      </w:pPr>
      <w:r>
        <w:rPr>
          <w:rFonts w:eastAsiaTheme="minorEastAsia"/>
          <w:sz w:val="24"/>
        </w:rPr>
        <w:t>5. 保险（如适用）</w:t>
      </w:r>
    </w:p>
    <w:p>
      <w:pPr>
        <w:spacing w:line="360" w:lineRule="auto"/>
        <w:contextualSpacing/>
        <w:rPr>
          <w:rFonts w:eastAsiaTheme="minorEastAsia"/>
          <w:b/>
          <w:i/>
          <w:sz w:val="24"/>
        </w:rPr>
      </w:pPr>
      <w:r>
        <w:rPr>
          <w:sz w:val="24"/>
        </w:rPr>
        <w:t>需执行的国家相关标准、行业标准、地方标准或者其他标准、规范</w:t>
      </w:r>
      <w:r>
        <w:rPr>
          <w:rFonts w:hint="eastAsia"/>
          <w:sz w:val="24"/>
        </w:rPr>
        <w:t>，包括但不限于农民工工伤保险等。</w:t>
      </w:r>
    </w:p>
    <w:p>
      <w:pPr>
        <w:spacing w:line="360" w:lineRule="auto"/>
        <w:contextualSpacing/>
        <w:rPr>
          <w:rFonts w:eastAsiaTheme="minorEastAsia"/>
          <w:b/>
          <w:i/>
          <w:sz w:val="24"/>
        </w:rPr>
      </w:pPr>
    </w:p>
    <w:p>
      <w:pPr>
        <w:pStyle w:val="7"/>
        <w:numPr>
          <w:ilvl w:val="0"/>
          <w:numId w:val="1"/>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技术要求</w:t>
      </w:r>
    </w:p>
    <w:p>
      <w:pPr>
        <w:spacing w:line="360" w:lineRule="auto"/>
        <w:ind w:firstLine="487" w:firstLineChars="202"/>
        <w:jc w:val="both"/>
        <w:rPr>
          <w:rFonts w:ascii="宋体" w:hAnsi="宋体"/>
          <w:b/>
          <w:sz w:val="24"/>
          <w:szCs w:val="24"/>
        </w:rPr>
      </w:pPr>
      <w:r>
        <w:rPr>
          <w:rFonts w:hint="eastAsia" w:ascii="宋体" w:hAnsi="宋体"/>
          <w:b/>
          <w:sz w:val="24"/>
          <w:szCs w:val="24"/>
        </w:rPr>
        <w:t>1</w:t>
      </w:r>
      <w:r>
        <w:rPr>
          <w:rFonts w:ascii="宋体" w:hAnsi="宋体"/>
          <w:b/>
          <w:sz w:val="24"/>
          <w:szCs w:val="24"/>
        </w:rPr>
        <w:t>.</w:t>
      </w:r>
      <w:r>
        <w:rPr>
          <w:rFonts w:hint="eastAsia" w:ascii="宋体" w:hAnsi="宋体"/>
          <w:b/>
          <w:sz w:val="24"/>
          <w:szCs w:val="24"/>
        </w:rPr>
        <w:t>建设背景</w:t>
      </w:r>
    </w:p>
    <w:p>
      <w:pPr>
        <w:spacing w:line="360" w:lineRule="auto"/>
        <w:ind w:firstLine="484" w:firstLineChars="202"/>
        <w:jc w:val="both"/>
        <w:rPr>
          <w:rFonts w:hint="eastAsia" w:ascii="宋体" w:hAnsi="宋体" w:eastAsia="宋体"/>
          <w:sz w:val="24"/>
          <w:szCs w:val="24"/>
        </w:rPr>
      </w:pPr>
      <w:r>
        <w:rPr>
          <w:rFonts w:hint="eastAsia" w:ascii="宋体" w:hAnsi="宋体" w:eastAsia="宋体"/>
          <w:sz w:val="24"/>
          <w:szCs w:val="24"/>
        </w:rPr>
        <w:t>“百村示范、千村振兴”工程（简称“百千工程”）是北京市深入学习运用“千万工程”经验、推进首都乡村全面振兴的重要抓手，旨在培育体现首善标准、展现首都特色的乡村振兴示范样板。平谷区黄松峪乡“黄金山水”乡村振兴示范片区作为北京市第三批“百千工程”示范片区，锚定创建市级旅游度假区的目标，在此背景下，实施网络提升美化乡村示范项目，既是落实“百千工程”关于乡村建设水平和片区互联互通提升要求的具体举措，也是完善区域信息化基础设施、改善乡村人居环境、夯实全域旅游发展数字底座的现实需要。</w:t>
      </w:r>
    </w:p>
    <w:p>
      <w:pPr>
        <w:spacing w:line="360" w:lineRule="auto"/>
        <w:ind w:firstLine="484" w:firstLineChars="202"/>
        <w:jc w:val="both"/>
        <w:rPr>
          <w:rFonts w:hint="eastAsia" w:ascii="宋体" w:hAnsi="宋体" w:eastAsia="宋体"/>
          <w:sz w:val="24"/>
          <w:szCs w:val="24"/>
        </w:rPr>
      </w:pPr>
      <w:r>
        <w:rPr>
          <w:rFonts w:hint="eastAsia" w:ascii="宋体" w:hAnsi="宋体" w:eastAsia="宋体"/>
          <w:sz w:val="24"/>
          <w:szCs w:val="24"/>
        </w:rPr>
        <w:t>本项目拟对黄松峪乡梨树沟村、刁窝村、胡黑路北延南路口、大溶洞路口、昌金路路口共5处场景实施</w:t>
      </w:r>
      <w:r>
        <w:rPr>
          <w:rFonts w:hint="eastAsia" w:ascii="宋体" w:hAnsi="宋体"/>
          <w:sz w:val="24"/>
          <w:szCs w:val="24"/>
          <w:lang w:val="en-US" w:eastAsia="zh-CN"/>
        </w:rPr>
        <w:t>弱电</w:t>
      </w:r>
      <w:r>
        <w:rPr>
          <w:rFonts w:hint="eastAsia" w:ascii="宋体" w:hAnsi="宋体" w:eastAsia="宋体"/>
          <w:sz w:val="24"/>
          <w:szCs w:val="24"/>
        </w:rPr>
        <w:t>线路</w:t>
      </w:r>
      <w:r>
        <w:rPr>
          <w:rFonts w:hint="eastAsia" w:ascii="宋体" w:hAnsi="宋体"/>
          <w:sz w:val="24"/>
          <w:szCs w:val="24"/>
          <w:lang w:val="en-US" w:eastAsia="zh-CN"/>
        </w:rPr>
        <w:t>系统提升改造</w:t>
      </w:r>
      <w:r>
        <w:rPr>
          <w:rFonts w:hint="eastAsia" w:ascii="宋体" w:hAnsi="宋体" w:eastAsia="宋体"/>
          <w:sz w:val="24"/>
          <w:szCs w:val="24"/>
        </w:rPr>
        <w:t>，通过统筹规划线路路由、推进多条线路同路径集约化布设，切实消除</w:t>
      </w:r>
      <w:r>
        <w:rPr>
          <w:rFonts w:hint="eastAsia" w:ascii="宋体" w:hAnsi="宋体"/>
          <w:sz w:val="24"/>
          <w:szCs w:val="24"/>
          <w:lang w:val="en-US" w:eastAsia="zh-CN"/>
        </w:rPr>
        <w:t>弱电</w:t>
      </w:r>
      <w:r>
        <w:rPr>
          <w:rFonts w:hint="eastAsia" w:ascii="宋体" w:hAnsi="宋体" w:eastAsia="宋体"/>
          <w:sz w:val="24"/>
          <w:szCs w:val="24"/>
        </w:rPr>
        <w:t>线路</w:t>
      </w:r>
      <w:r>
        <w:rPr>
          <w:rFonts w:hint="eastAsia" w:ascii="宋体" w:hAnsi="宋体"/>
          <w:sz w:val="24"/>
          <w:szCs w:val="24"/>
          <w:lang w:val="en-US" w:eastAsia="zh-CN"/>
        </w:rPr>
        <w:t>系统</w:t>
      </w:r>
      <w:r>
        <w:rPr>
          <w:rFonts w:hint="eastAsia" w:ascii="宋体" w:hAnsi="宋体" w:eastAsia="宋体"/>
          <w:sz w:val="24"/>
          <w:szCs w:val="24"/>
        </w:rPr>
        <w:t>安全隐患，规范管线布局秩序，同步提升乡村人居环境风貌，为示范片区建设和全域旅游发展提供有力支撑。</w:t>
      </w:r>
    </w:p>
    <w:p>
      <w:pPr>
        <w:spacing w:line="360" w:lineRule="auto"/>
        <w:ind w:firstLine="487" w:firstLineChars="202"/>
        <w:jc w:val="both"/>
        <w:rPr>
          <w:rFonts w:ascii="宋体" w:hAnsi="宋体"/>
          <w:b/>
          <w:sz w:val="24"/>
          <w:szCs w:val="24"/>
        </w:rPr>
      </w:pPr>
      <w:r>
        <w:rPr>
          <w:rFonts w:hint="eastAsia" w:ascii="宋体" w:hAnsi="宋体"/>
          <w:b/>
          <w:sz w:val="24"/>
          <w:szCs w:val="24"/>
        </w:rPr>
        <w:t>2.服务要求及标准</w:t>
      </w:r>
    </w:p>
    <w:p>
      <w:pPr>
        <w:spacing w:line="360" w:lineRule="auto"/>
        <w:ind w:firstLine="487" w:firstLineChars="202"/>
        <w:jc w:val="both"/>
        <w:rPr>
          <w:rFonts w:ascii="宋体" w:hAnsi="宋体" w:eastAsia="宋体"/>
          <w:b/>
          <w:bCs/>
          <w:sz w:val="24"/>
          <w:szCs w:val="24"/>
        </w:rPr>
      </w:pPr>
      <w:r>
        <w:rPr>
          <w:rFonts w:hint="eastAsia" w:ascii="宋体" w:hAnsi="宋体"/>
          <w:b/>
          <w:sz w:val="24"/>
          <w:szCs w:val="24"/>
        </w:rPr>
        <w:t>2</w:t>
      </w:r>
      <w:r>
        <w:rPr>
          <w:rFonts w:ascii="宋体" w:hAnsi="宋体"/>
          <w:b/>
          <w:sz w:val="24"/>
          <w:szCs w:val="24"/>
        </w:rPr>
        <w:t>.</w:t>
      </w:r>
      <w:r>
        <w:rPr>
          <w:rFonts w:hint="eastAsia" w:ascii="宋体" w:hAnsi="宋体"/>
          <w:b/>
          <w:sz w:val="24"/>
          <w:szCs w:val="24"/>
        </w:rPr>
        <w:t>1</w:t>
      </w:r>
      <w:r>
        <w:rPr>
          <w:rFonts w:hint="eastAsia" w:ascii="宋体" w:hAnsi="宋体" w:eastAsia="宋体"/>
          <w:b/>
          <w:bCs/>
          <w:sz w:val="24"/>
          <w:szCs w:val="24"/>
        </w:rPr>
        <w:t>服务内容及要求</w:t>
      </w:r>
    </w:p>
    <w:p>
      <w:pPr>
        <w:spacing w:line="360" w:lineRule="auto"/>
        <w:ind w:firstLine="484" w:firstLineChars="202"/>
        <w:jc w:val="both"/>
        <w:rPr>
          <w:rFonts w:ascii="宋体" w:hAnsi="宋体"/>
          <w:sz w:val="24"/>
          <w:szCs w:val="24"/>
        </w:rPr>
      </w:pPr>
      <w:r>
        <w:rPr>
          <w:rFonts w:hint="eastAsia" w:ascii="宋体" w:hAnsi="宋体"/>
          <w:sz w:val="24"/>
          <w:szCs w:val="24"/>
        </w:rPr>
        <w:t>包括对平谷区</w:t>
      </w:r>
      <w:r>
        <w:rPr>
          <w:rFonts w:hint="eastAsia" w:ascii="宋体" w:hAnsi="宋体" w:eastAsia="宋体"/>
          <w:sz w:val="24"/>
          <w:szCs w:val="24"/>
        </w:rPr>
        <w:t>黄松峪乡梨树沟村、刁窝村、胡黑路北延南路口、大溶洞路口、昌金路路口</w:t>
      </w:r>
      <w:r>
        <w:rPr>
          <w:rFonts w:hint="eastAsia" w:ascii="宋体" w:hAnsi="宋体"/>
          <w:sz w:val="24"/>
          <w:szCs w:val="24"/>
          <w:lang w:eastAsia="zh-CN"/>
        </w:rPr>
        <w:t>弱电线路系统</w:t>
      </w:r>
      <w:r>
        <w:rPr>
          <w:rFonts w:hint="eastAsia" w:ascii="宋体" w:hAnsi="宋体" w:eastAsia="宋体" w:cs="Arial"/>
          <w:sz w:val="24"/>
          <w:szCs w:val="24"/>
        </w:rPr>
        <w:t>进行</w:t>
      </w:r>
      <w:r>
        <w:rPr>
          <w:rFonts w:hint="eastAsia" w:ascii="宋体" w:hAnsi="宋体" w:eastAsia="宋体" w:cs="Arial"/>
          <w:sz w:val="24"/>
          <w:szCs w:val="24"/>
          <w:lang w:val="en-US" w:eastAsia="zh-CN"/>
        </w:rPr>
        <w:t>提升改造服务</w:t>
      </w:r>
      <w:r>
        <w:rPr>
          <w:rFonts w:hint="eastAsia" w:ascii="宋体" w:hAnsi="宋体" w:eastAsia="宋体" w:cs="Arial"/>
          <w:sz w:val="24"/>
          <w:szCs w:val="24"/>
        </w:rPr>
        <w:t>，</w:t>
      </w:r>
      <w:r>
        <w:rPr>
          <w:rFonts w:ascii="宋体" w:hAnsi="宋体"/>
          <w:sz w:val="24"/>
          <w:szCs w:val="24"/>
          <w:lang w:val="en-US" w:eastAsia="zh-CN"/>
        </w:rPr>
        <w:t>将现场</w:t>
      </w:r>
      <w:r>
        <w:rPr>
          <w:rFonts w:hint="eastAsia" w:ascii="宋体" w:hAnsi="宋体"/>
          <w:sz w:val="24"/>
          <w:szCs w:val="24"/>
          <w:lang w:val="en-US" w:eastAsia="zh-CN"/>
        </w:rPr>
        <w:t>弱电线路系统</w:t>
      </w:r>
      <w:r>
        <w:rPr>
          <w:rFonts w:ascii="宋体" w:hAnsi="宋体"/>
          <w:sz w:val="24"/>
          <w:szCs w:val="24"/>
          <w:lang w:val="en-US" w:eastAsia="zh-CN"/>
        </w:rPr>
        <w:t>统一布设、规范管理，既能有效保护弱电线路，也能保障村内通信网络、安防弱电等系统更加安全稳定运行，同时提升乡村整体风貌。</w:t>
      </w:r>
    </w:p>
    <w:p>
      <w:pPr>
        <w:spacing w:line="360" w:lineRule="auto"/>
        <w:ind w:firstLine="484" w:firstLineChars="202"/>
        <w:jc w:val="both"/>
        <w:rPr>
          <w:rFonts w:ascii="宋体" w:hAnsi="宋体"/>
          <w:sz w:val="24"/>
          <w:szCs w:val="24"/>
        </w:rPr>
      </w:pPr>
      <w:r>
        <w:rPr>
          <w:rFonts w:hint="eastAsia" w:ascii="宋体" w:hAnsi="宋体"/>
          <w:sz w:val="24"/>
          <w:szCs w:val="24"/>
        </w:rPr>
        <w:t>具体服务要求如下：</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w:t>
      </w:r>
      <w:r>
        <w:rPr>
          <w:rFonts w:hint="eastAsia" w:ascii="宋体" w:hAnsi="宋体" w:eastAsia="宋体"/>
          <w:sz w:val="24"/>
          <w:szCs w:val="24"/>
          <w:lang w:eastAsia="zh-CN"/>
        </w:rPr>
        <w:t>升级</w:t>
      </w:r>
      <w:r>
        <w:rPr>
          <w:rFonts w:hint="eastAsia" w:ascii="宋体" w:hAnsi="宋体" w:eastAsia="宋体"/>
          <w:sz w:val="24"/>
          <w:szCs w:val="24"/>
        </w:rPr>
        <w:t>服务：通过对线路统筹规划路由，实现多线路同路径集约化布设，规范管线布局秩序</w:t>
      </w:r>
      <w:r>
        <w:rPr>
          <w:rFonts w:hint="eastAsia" w:ascii="宋体" w:hAnsi="宋体" w:eastAsia="宋体"/>
          <w:sz w:val="24"/>
          <w:szCs w:val="24"/>
          <w:lang w:eastAsia="zh-CN"/>
        </w:rPr>
        <w:t>。</w:t>
      </w:r>
      <w:r>
        <w:rPr>
          <w:rFonts w:hint="eastAsia" w:ascii="宋体" w:hAnsi="宋体" w:eastAsia="宋体"/>
          <w:sz w:val="24"/>
          <w:szCs w:val="24"/>
        </w:rPr>
        <w:t xml:space="preserve">  </w:t>
      </w:r>
    </w:p>
    <w:p>
      <w:pPr>
        <w:spacing w:line="360" w:lineRule="auto"/>
        <w:ind w:firstLine="480" w:firstLineChars="200"/>
        <w:rPr>
          <w:rFonts w:ascii="宋体" w:hAnsi="宋体" w:eastAsia="宋体"/>
          <w:sz w:val="24"/>
          <w:szCs w:val="24"/>
        </w:rPr>
      </w:pPr>
      <w:r>
        <w:rPr>
          <w:rFonts w:hint="eastAsia" w:ascii="宋体" w:hAnsi="宋体" w:eastAsia="宋体"/>
          <w:sz w:val="24"/>
          <w:szCs w:val="24"/>
        </w:rPr>
        <w:t>（2）环境优化服务：针对现场原有废弃各类</w:t>
      </w:r>
      <w:r>
        <w:rPr>
          <w:rFonts w:hint="eastAsia" w:ascii="宋体" w:hAnsi="宋体"/>
          <w:sz w:val="24"/>
          <w:szCs w:val="24"/>
          <w:lang w:eastAsia="zh-CN"/>
        </w:rPr>
        <w:t>弱电线路系统</w:t>
      </w:r>
      <w:r>
        <w:rPr>
          <w:rFonts w:hint="eastAsia" w:ascii="宋体" w:hAnsi="宋体" w:eastAsia="宋体"/>
          <w:sz w:val="24"/>
          <w:szCs w:val="24"/>
        </w:rPr>
        <w:t>开展综合处置优化服务，梳理整治存量废旧</w:t>
      </w:r>
      <w:r>
        <w:rPr>
          <w:rFonts w:hint="eastAsia" w:ascii="宋体" w:hAnsi="宋体"/>
          <w:sz w:val="24"/>
          <w:szCs w:val="24"/>
          <w:lang w:val="en-US" w:eastAsia="zh-CN"/>
        </w:rPr>
        <w:t>弱电</w:t>
      </w:r>
      <w:r>
        <w:rPr>
          <w:rFonts w:hint="eastAsia" w:ascii="宋体" w:hAnsi="宋体" w:eastAsia="宋体"/>
          <w:sz w:val="24"/>
          <w:szCs w:val="24"/>
        </w:rPr>
        <w:t xml:space="preserve">线路。  </w:t>
      </w:r>
    </w:p>
    <w:p>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rPr>
        <w:t>（3）更新服务：针对存在破损老化、安全隐患以及影响环境风貌的线路附属基础设施实施更新升级，沿墙固定、绑扎、熔接、协调用户、数据恢复、路由器调测</w:t>
      </w:r>
      <w:r>
        <w:rPr>
          <w:rFonts w:hint="eastAsia" w:ascii="宋体" w:hAnsi="宋体"/>
          <w:sz w:val="24"/>
          <w:szCs w:val="24"/>
          <w:lang w:val="en-US" w:eastAsia="zh-CN"/>
        </w:rPr>
        <w:t>服务</w:t>
      </w:r>
      <w:r>
        <w:rPr>
          <w:rFonts w:hint="eastAsia" w:ascii="宋体" w:hAnsi="宋体" w:eastAsia="宋体"/>
          <w:sz w:val="24"/>
          <w:szCs w:val="24"/>
        </w:rPr>
        <w:t>，严格按照统一标准规格实行集中定点布设，统筹优化</w:t>
      </w:r>
      <w:r>
        <w:rPr>
          <w:rFonts w:hint="eastAsia" w:ascii="宋体" w:hAnsi="宋体"/>
          <w:sz w:val="24"/>
          <w:szCs w:val="24"/>
          <w:lang w:val="en-US" w:eastAsia="zh-CN"/>
        </w:rPr>
        <w:t>弱电</w:t>
      </w:r>
      <w:r>
        <w:rPr>
          <w:rFonts w:hint="eastAsia" w:ascii="宋体" w:hAnsi="宋体" w:eastAsia="宋体"/>
          <w:sz w:val="24"/>
          <w:szCs w:val="24"/>
        </w:rPr>
        <w:t>线路</w:t>
      </w:r>
      <w:r>
        <w:rPr>
          <w:rFonts w:hint="eastAsia" w:ascii="宋体" w:hAnsi="宋体"/>
          <w:sz w:val="24"/>
          <w:szCs w:val="24"/>
          <w:lang w:val="en-US" w:eastAsia="zh-CN"/>
        </w:rPr>
        <w:t>系统</w:t>
      </w:r>
      <w:r>
        <w:rPr>
          <w:rFonts w:hint="eastAsia" w:ascii="宋体" w:hAnsi="宋体" w:eastAsia="宋体"/>
          <w:sz w:val="24"/>
          <w:szCs w:val="24"/>
        </w:rPr>
        <w:t>设施布局</w:t>
      </w:r>
      <w:r>
        <w:rPr>
          <w:rFonts w:hint="eastAsia" w:ascii="宋体" w:hAnsi="宋体" w:eastAsia="宋体"/>
          <w:sz w:val="24"/>
          <w:szCs w:val="24"/>
          <w:lang w:eastAsia="zh-CN"/>
        </w:rPr>
        <w:t>。</w:t>
      </w:r>
    </w:p>
    <w:p>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（4）系统调测服务：提供在用通信系统调测技术服务，开展线路传输稳定性检测、网络性能优化等技术保障工作，保障相关通信系统安全高效稳定运行。</w:t>
      </w:r>
    </w:p>
    <w:p>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w:t>
      </w:r>
      <w:r>
        <w:rPr>
          <w:rFonts w:hint="eastAsia" w:ascii="宋体" w:hAnsi="宋体" w:eastAsia="宋体"/>
          <w:sz w:val="24"/>
          <w:szCs w:val="24"/>
          <w:lang w:val="en-US" w:eastAsia="zh-CN"/>
        </w:rPr>
        <w:t>5</w:t>
      </w:r>
      <w:r>
        <w:rPr>
          <w:rFonts w:hint="eastAsia" w:ascii="宋体" w:hAnsi="宋体" w:eastAsia="宋体"/>
          <w:sz w:val="24"/>
          <w:szCs w:val="24"/>
          <w:lang w:eastAsia="zh-CN"/>
        </w:rPr>
        <w:t>）业务恢复服务：针对本次升级改造涉及的各类线缆，扎实做好业务</w:t>
      </w:r>
      <w:r>
        <w:rPr>
          <w:rFonts w:hint="eastAsia" w:ascii="宋体" w:hAnsi="宋体"/>
          <w:sz w:val="24"/>
          <w:szCs w:val="24"/>
          <w:lang w:val="en-US" w:eastAsia="zh-CN"/>
        </w:rPr>
        <w:t>割接与</w:t>
      </w:r>
      <w:r>
        <w:rPr>
          <w:rFonts w:hint="eastAsia" w:ascii="宋体" w:hAnsi="宋体" w:eastAsia="宋体"/>
          <w:sz w:val="24"/>
          <w:szCs w:val="24"/>
          <w:lang w:eastAsia="zh-CN"/>
        </w:rPr>
        <w:t>恢复处置工作，完成用户数据匹配校准。</w:t>
      </w:r>
    </w:p>
    <w:p>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w:t>
      </w:r>
      <w:r>
        <w:rPr>
          <w:rFonts w:hint="eastAsia" w:ascii="宋体" w:hAnsi="宋体" w:eastAsia="宋体"/>
          <w:sz w:val="24"/>
          <w:szCs w:val="24"/>
          <w:lang w:val="en-US" w:eastAsia="zh-CN"/>
        </w:rPr>
        <w:t>6</w:t>
      </w:r>
      <w:r>
        <w:rPr>
          <w:rFonts w:hint="eastAsia" w:ascii="宋体" w:hAnsi="宋体" w:eastAsia="宋体"/>
          <w:sz w:val="24"/>
          <w:szCs w:val="24"/>
          <w:lang w:eastAsia="zh-CN"/>
        </w:rPr>
        <w:t>）合并集成服务：针对弱电网络环境内各类不规范外露、裸露线路，按照项目统一规划建设标准实施线路归并整合整治。</w:t>
      </w:r>
    </w:p>
    <w:p>
      <w:pPr>
        <w:spacing w:line="360" w:lineRule="auto"/>
        <w:ind w:firstLine="480" w:firstLineChars="200"/>
        <w:rPr>
          <w:rFonts w:hint="eastAsia" w:ascii="宋体" w:hAnsi="宋体" w:eastAsia="宋体"/>
          <w:b/>
          <w:bCs/>
          <w:sz w:val="24"/>
          <w:szCs w:val="24"/>
          <w:lang w:eastAsia="zh-CN"/>
        </w:rPr>
      </w:pPr>
      <w:r>
        <w:rPr>
          <w:rFonts w:ascii="Segoe UI Symbol" w:hAnsi="Segoe UI Symbol" w:cs="Segoe UI Symbol"/>
          <w:color w:val="000000"/>
          <w:kern w:val="0"/>
          <w:sz w:val="24"/>
        </w:rPr>
        <w:t>★</w:t>
      </w:r>
      <w:r>
        <w:rPr>
          <w:rFonts w:hint="eastAsia" w:ascii="宋体" w:hAnsi="宋体" w:eastAsia="宋体"/>
          <w:sz w:val="24"/>
          <w:szCs w:val="24"/>
          <w:lang w:eastAsia="zh-CN"/>
        </w:rPr>
        <w:t>（</w:t>
      </w:r>
      <w:r>
        <w:rPr>
          <w:rFonts w:hint="eastAsia" w:ascii="宋体" w:hAnsi="宋体" w:eastAsia="宋体"/>
          <w:sz w:val="24"/>
          <w:szCs w:val="24"/>
          <w:lang w:val="en-US" w:eastAsia="zh-CN"/>
        </w:rPr>
        <w:t>7</w:t>
      </w:r>
      <w:r>
        <w:rPr>
          <w:rFonts w:hint="eastAsia" w:ascii="宋体" w:hAnsi="宋体" w:eastAsia="宋体"/>
          <w:sz w:val="24"/>
          <w:szCs w:val="24"/>
          <w:lang w:eastAsia="zh-CN"/>
        </w:rPr>
        <w:t>）投标人须在项目建设地范围拥有独立的通信管道和链路资源，具备完成本项目的能力（提供承诺函，格式自拟）。</w:t>
      </w:r>
    </w:p>
    <w:p>
      <w:pPr>
        <w:spacing w:line="360" w:lineRule="auto"/>
        <w:ind w:firstLine="482" w:firstLineChars="200"/>
        <w:rPr>
          <w:sz w:val="24"/>
          <w:szCs w:val="24"/>
        </w:rPr>
      </w:pPr>
      <w:r>
        <w:rPr>
          <w:rFonts w:hint="eastAsia" w:ascii="宋体" w:hAnsi="宋体" w:eastAsia="宋体"/>
          <w:b/>
          <w:bCs/>
          <w:sz w:val="24"/>
          <w:szCs w:val="24"/>
        </w:rPr>
        <w:t>2.2服务项</w:t>
      </w:r>
      <w:r>
        <w:rPr>
          <w:rFonts w:hint="eastAsia"/>
          <w:b/>
          <w:bCs/>
          <w:sz w:val="24"/>
          <w:szCs w:val="24"/>
        </w:rPr>
        <w:t>目规模</w:t>
      </w:r>
    </w:p>
    <w:tbl>
      <w:tblPr>
        <w:tblStyle w:val="5"/>
        <w:tblW w:w="8561"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978"/>
        <w:gridCol w:w="1842"/>
        <w:gridCol w:w="3261"/>
        <w:gridCol w:w="2480"/>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noWrap w:val="0"/>
            <w:vAlign w:val="center"/>
          </w:tcPr>
          <w:p>
            <w:pPr>
              <w:jc w:val="center"/>
              <w:textAlignment w:val="center"/>
              <w:rPr>
                <w:rFonts w:ascii="宋体" w:hAnsi="宋体" w:cs="宋体"/>
                <w:b/>
                <w:bCs/>
                <w:szCs w:val="21"/>
              </w:rPr>
            </w:pPr>
            <w:bookmarkStart w:id="2" w:name="OLE_LINK3"/>
            <w:r>
              <w:rPr>
                <w:rFonts w:hint="eastAsia" w:ascii="宋体" w:hAnsi="宋体" w:cs="宋体"/>
                <w:b/>
                <w:bCs/>
                <w:kern w:val="0"/>
                <w:szCs w:val="21"/>
                <w:lang w:bidi="ar"/>
              </w:rPr>
              <w:t>序号</w:t>
            </w:r>
          </w:p>
        </w:tc>
        <w:tc>
          <w:tcPr>
            <w:tcW w:w="1842" w:type="dxa"/>
            <w:noWrap w:val="0"/>
            <w:vAlign w:val="center"/>
          </w:tcPr>
          <w:p>
            <w:pPr>
              <w:jc w:val="center"/>
              <w:textAlignment w:val="center"/>
              <w:rPr>
                <w:rFonts w:ascii="宋体" w:hAnsi="宋体" w:cs="宋体"/>
                <w:b/>
                <w:bCs/>
                <w:szCs w:val="21"/>
              </w:rPr>
            </w:pPr>
            <w:r>
              <w:rPr>
                <w:rFonts w:hint="eastAsia" w:ascii="宋体" w:hAnsi="宋体" w:cs="宋体"/>
                <w:b/>
                <w:bCs/>
                <w:kern w:val="0"/>
                <w:szCs w:val="21"/>
                <w:lang w:bidi="ar"/>
              </w:rPr>
              <w:t>区域名称</w:t>
            </w:r>
          </w:p>
        </w:tc>
        <w:tc>
          <w:tcPr>
            <w:tcW w:w="3261" w:type="dxa"/>
            <w:noWrap w:val="0"/>
            <w:vAlign w:val="center"/>
          </w:tcPr>
          <w:p>
            <w:pPr>
              <w:jc w:val="center"/>
              <w:textAlignment w:val="center"/>
              <w:rPr>
                <w:rFonts w:ascii="宋体" w:hAnsi="宋体" w:cs="宋体"/>
                <w:b/>
                <w:bCs/>
                <w:szCs w:val="21"/>
              </w:rPr>
            </w:pPr>
            <w:r>
              <w:rPr>
                <w:rFonts w:hint="eastAsia" w:ascii="宋体" w:hAnsi="宋体" w:cs="宋体"/>
                <w:b/>
                <w:bCs/>
                <w:kern w:val="0"/>
                <w:szCs w:val="21"/>
                <w:lang w:bidi="ar"/>
              </w:rPr>
              <w:t>服务内容</w:t>
            </w:r>
          </w:p>
        </w:tc>
        <w:tc>
          <w:tcPr>
            <w:tcW w:w="2480" w:type="dxa"/>
            <w:noWrap w:val="0"/>
            <w:vAlign w:val="center"/>
          </w:tcPr>
          <w:p>
            <w:pPr>
              <w:jc w:val="center"/>
              <w:textAlignment w:val="center"/>
              <w:rPr>
                <w:rFonts w:ascii="宋体" w:hAnsi="宋体" w:cs="宋体"/>
                <w:b/>
                <w:bCs/>
                <w:szCs w:val="21"/>
              </w:rPr>
            </w:pPr>
            <w:r>
              <w:rPr>
                <w:rFonts w:hint="eastAsia" w:ascii="宋体" w:hAnsi="宋体" w:cs="宋体"/>
                <w:b/>
                <w:bCs/>
                <w:kern w:val="0"/>
                <w:szCs w:val="21"/>
                <w:lang w:bidi="ar"/>
              </w:rPr>
              <w:t>数量（千米条）</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restart"/>
            <w:noWrap/>
            <w:vAlign w:val="center"/>
          </w:tcPr>
          <w:p>
            <w:pPr>
              <w:jc w:val="center"/>
              <w:textAlignment w:val="center"/>
              <w:rPr>
                <w:rFonts w:ascii="宋体" w:hAnsi="宋体" w:cs="宋体"/>
                <w:sz w:val="22"/>
                <w:szCs w:val="22"/>
              </w:rPr>
            </w:pPr>
            <w:r>
              <w:rPr>
                <w:rFonts w:hint="eastAsia" w:ascii="宋体" w:hAnsi="宋体" w:cs="宋体"/>
                <w:kern w:val="0"/>
                <w:sz w:val="22"/>
                <w:szCs w:val="22"/>
                <w:lang w:bidi="ar"/>
              </w:rPr>
              <w:t>1</w:t>
            </w:r>
          </w:p>
        </w:tc>
        <w:tc>
          <w:tcPr>
            <w:tcW w:w="1842" w:type="dxa"/>
            <w:vMerge w:val="restart"/>
            <w:noWrap/>
            <w:vAlign w:val="center"/>
          </w:tcPr>
          <w:p>
            <w:pPr>
              <w:jc w:val="center"/>
              <w:textAlignment w:val="center"/>
              <w:rPr>
                <w:rFonts w:ascii="宋体" w:hAnsi="宋体" w:cs="宋体"/>
                <w:sz w:val="22"/>
                <w:szCs w:val="22"/>
              </w:rPr>
            </w:pPr>
            <w:r>
              <w:rPr>
                <w:rFonts w:hint="eastAsia" w:ascii="宋体" w:hAnsi="宋体" w:cs="宋体"/>
                <w:kern w:val="0"/>
                <w:sz w:val="22"/>
                <w:szCs w:val="22"/>
                <w:lang w:bidi="ar"/>
              </w:rPr>
              <w:t>梨树沟村</w:t>
            </w: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升级服务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43</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环境优化服务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41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更新服务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12.6</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系统调测服务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43</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业务恢复服务</w:t>
            </w:r>
          </w:p>
        </w:tc>
        <w:tc>
          <w:tcPr>
            <w:tcW w:w="2480"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43</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restart"/>
            <w:noWrap/>
            <w:vAlign w:val="center"/>
          </w:tcPr>
          <w:p>
            <w:pPr>
              <w:jc w:val="center"/>
              <w:textAlignment w:val="center"/>
              <w:rPr>
                <w:rFonts w:ascii="宋体" w:hAnsi="宋体" w:cs="宋体"/>
                <w:sz w:val="22"/>
                <w:szCs w:val="22"/>
              </w:rPr>
            </w:pPr>
            <w:r>
              <w:rPr>
                <w:rFonts w:hint="eastAsia" w:ascii="宋体" w:hAnsi="宋体" w:cs="宋体"/>
                <w:kern w:val="0"/>
                <w:sz w:val="22"/>
                <w:szCs w:val="22"/>
                <w:lang w:bidi="ar"/>
              </w:rPr>
              <w:t>2</w:t>
            </w:r>
          </w:p>
        </w:tc>
        <w:tc>
          <w:tcPr>
            <w:tcW w:w="1842" w:type="dxa"/>
            <w:vMerge w:val="restart"/>
            <w:noWrap/>
            <w:vAlign w:val="center"/>
          </w:tcPr>
          <w:p>
            <w:pPr>
              <w:jc w:val="center"/>
              <w:textAlignment w:val="center"/>
              <w:rPr>
                <w:rFonts w:ascii="宋体" w:hAnsi="宋体" w:cs="宋体"/>
                <w:sz w:val="22"/>
                <w:szCs w:val="22"/>
              </w:rPr>
            </w:pPr>
            <w:r>
              <w:rPr>
                <w:rFonts w:hint="eastAsia" w:ascii="宋体" w:hAnsi="宋体" w:cs="宋体"/>
                <w:kern w:val="0"/>
                <w:sz w:val="22"/>
                <w:szCs w:val="22"/>
                <w:lang w:bidi="ar"/>
              </w:rPr>
              <w:t>刁窝村</w:t>
            </w: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升级服务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26.45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环境优化服务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23.45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更新服务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9.77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系统调测服务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26.45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业务恢复服务</w:t>
            </w:r>
          </w:p>
        </w:tc>
        <w:tc>
          <w:tcPr>
            <w:tcW w:w="2480"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26.45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合并集成服务</w:t>
            </w:r>
          </w:p>
        </w:tc>
        <w:tc>
          <w:tcPr>
            <w:tcW w:w="2480"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0.848</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restart"/>
            <w:noWrap/>
            <w:vAlign w:val="center"/>
          </w:tcPr>
          <w:p>
            <w:pPr>
              <w:jc w:val="center"/>
              <w:textAlignment w:val="center"/>
              <w:rPr>
                <w:rFonts w:ascii="宋体" w:hAnsi="宋体" w:cs="宋体"/>
                <w:sz w:val="22"/>
                <w:szCs w:val="22"/>
              </w:rPr>
            </w:pPr>
            <w:r>
              <w:rPr>
                <w:rFonts w:hint="eastAsia" w:ascii="宋体" w:hAnsi="宋体" w:cs="宋体"/>
                <w:kern w:val="0"/>
                <w:sz w:val="22"/>
                <w:szCs w:val="22"/>
                <w:lang w:bidi="ar"/>
              </w:rPr>
              <w:t>3</w:t>
            </w:r>
          </w:p>
        </w:tc>
        <w:tc>
          <w:tcPr>
            <w:tcW w:w="1842" w:type="dxa"/>
            <w:vMerge w:val="restart"/>
            <w:noWrap/>
            <w:vAlign w:val="center"/>
          </w:tcPr>
          <w:p>
            <w:pPr>
              <w:jc w:val="center"/>
              <w:textAlignment w:val="center"/>
              <w:rPr>
                <w:rFonts w:ascii="宋体" w:hAnsi="宋体" w:cs="宋体"/>
                <w:sz w:val="22"/>
                <w:szCs w:val="22"/>
              </w:rPr>
            </w:pPr>
            <w:r>
              <w:rPr>
                <w:rFonts w:hint="eastAsia" w:ascii="宋体" w:hAnsi="宋体" w:cs="宋体"/>
                <w:kern w:val="0"/>
                <w:sz w:val="22"/>
                <w:szCs w:val="22"/>
                <w:lang w:bidi="ar"/>
              </w:rPr>
              <w:t>胡黑路北延南路口</w:t>
            </w: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升级服务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9.524</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环境优化服务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4.524</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更新服务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0.6</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系统调测服务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9.524</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业务恢复服务</w:t>
            </w:r>
          </w:p>
        </w:tc>
        <w:tc>
          <w:tcPr>
            <w:tcW w:w="2480"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9.524</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合并集成服务</w:t>
            </w:r>
          </w:p>
        </w:tc>
        <w:tc>
          <w:tcPr>
            <w:tcW w:w="2480"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1.886</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restart"/>
            <w:noWrap/>
            <w:vAlign w:val="center"/>
          </w:tcPr>
          <w:p>
            <w:pPr>
              <w:jc w:val="center"/>
              <w:textAlignment w:val="center"/>
              <w:rPr>
                <w:rFonts w:ascii="宋体" w:hAnsi="宋体" w:cs="宋体"/>
                <w:sz w:val="22"/>
                <w:szCs w:val="22"/>
              </w:rPr>
            </w:pPr>
            <w:r>
              <w:rPr>
                <w:rFonts w:hint="eastAsia" w:ascii="宋体" w:hAnsi="宋体" w:cs="宋体"/>
                <w:kern w:val="0"/>
                <w:sz w:val="22"/>
                <w:szCs w:val="22"/>
                <w:lang w:bidi="ar"/>
              </w:rPr>
              <w:t>4</w:t>
            </w:r>
          </w:p>
        </w:tc>
        <w:tc>
          <w:tcPr>
            <w:tcW w:w="1842" w:type="dxa"/>
            <w:vMerge w:val="restart"/>
            <w:noWrap/>
            <w:vAlign w:val="center"/>
          </w:tcPr>
          <w:p>
            <w:pPr>
              <w:jc w:val="center"/>
              <w:textAlignment w:val="center"/>
              <w:rPr>
                <w:rFonts w:ascii="宋体" w:hAnsi="宋体" w:cs="宋体"/>
                <w:sz w:val="22"/>
                <w:szCs w:val="22"/>
              </w:rPr>
            </w:pPr>
            <w:r>
              <w:rPr>
                <w:rFonts w:hint="eastAsia" w:ascii="宋体" w:hAnsi="宋体" w:cs="宋体"/>
                <w:kern w:val="0"/>
                <w:sz w:val="22"/>
                <w:szCs w:val="22"/>
                <w:lang w:bidi="ar"/>
              </w:rPr>
              <w:t>大溶洞路口</w:t>
            </w: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升级服务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9.592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环境优化服务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5.092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更新服务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0.5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系统调测服务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9.592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业务恢复服务</w:t>
            </w:r>
          </w:p>
        </w:tc>
        <w:tc>
          <w:tcPr>
            <w:tcW w:w="2480"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9.592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合并集成服务</w:t>
            </w:r>
          </w:p>
        </w:tc>
        <w:tc>
          <w:tcPr>
            <w:tcW w:w="2480"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2.8</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restart"/>
            <w:noWrap/>
            <w:vAlign w:val="center"/>
          </w:tcPr>
          <w:p>
            <w:pPr>
              <w:jc w:val="center"/>
              <w:textAlignment w:val="center"/>
              <w:rPr>
                <w:rFonts w:ascii="宋体" w:hAnsi="宋体" w:cs="宋体"/>
                <w:sz w:val="22"/>
                <w:szCs w:val="22"/>
              </w:rPr>
            </w:pPr>
            <w:r>
              <w:rPr>
                <w:rFonts w:hint="eastAsia" w:ascii="宋体" w:hAnsi="宋体" w:cs="宋体"/>
                <w:kern w:val="0"/>
                <w:sz w:val="22"/>
                <w:szCs w:val="22"/>
                <w:lang w:bidi="ar"/>
              </w:rPr>
              <w:t>5</w:t>
            </w:r>
          </w:p>
        </w:tc>
        <w:tc>
          <w:tcPr>
            <w:tcW w:w="1842" w:type="dxa"/>
            <w:vMerge w:val="restart"/>
            <w:noWrap/>
            <w:vAlign w:val="center"/>
          </w:tcPr>
          <w:p>
            <w:pPr>
              <w:jc w:val="center"/>
              <w:textAlignment w:val="center"/>
              <w:rPr>
                <w:rFonts w:ascii="宋体" w:hAnsi="宋体" w:cs="宋体"/>
                <w:sz w:val="22"/>
                <w:szCs w:val="22"/>
              </w:rPr>
            </w:pPr>
            <w:r>
              <w:rPr>
                <w:rFonts w:hint="eastAsia" w:ascii="宋体" w:hAnsi="宋体" w:cs="宋体"/>
                <w:kern w:val="0"/>
                <w:sz w:val="22"/>
                <w:szCs w:val="22"/>
                <w:lang w:bidi="ar"/>
              </w:rPr>
              <w:t>昌金路路口</w:t>
            </w: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升级服务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19.92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环境优化服务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18.92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更新服务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0.97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系统调测服务</w:t>
            </w:r>
          </w:p>
        </w:tc>
        <w:tc>
          <w:tcPr>
            <w:tcW w:w="2480" w:type="dxa"/>
            <w:noWrap/>
            <w:vAlign w:val="center"/>
          </w:tcPr>
          <w:p>
            <w:pPr>
              <w:keepNext w:val="0"/>
              <w:keepLines w:val="0"/>
              <w:widowControl/>
              <w:suppressLineNumbers w:val="0"/>
              <w:jc w:val="center"/>
              <w:textAlignment w:val="center"/>
              <w:rPr>
                <w:rFonts w:hint="eastAsia" w:ascii="宋体" w:hAnsi="宋体" w:cs="宋体"/>
                <w:kern w:val="0"/>
                <w:sz w:val="22"/>
                <w:szCs w:val="22"/>
                <w:lang w:bidi="ar"/>
              </w:rPr>
            </w:pPr>
            <w:r>
              <w:rPr>
                <w:rFonts w:hint="eastAsia" w:ascii="宋体" w:hAnsi="宋体" w:eastAsia="宋体" w:cs="宋体"/>
                <w:i w:val="0"/>
                <w:iCs w:val="0"/>
                <w:color w:val="000000"/>
                <w:kern w:val="0"/>
                <w:sz w:val="22"/>
                <w:szCs w:val="22"/>
                <w:u w:val="none"/>
                <w:lang w:val="en-US" w:eastAsia="zh-CN" w:bidi="ar"/>
              </w:rPr>
              <w:t>19.92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业务恢复服务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19.92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78" w:type="dxa"/>
            <w:vMerge w:val="continue"/>
            <w:noWrap/>
            <w:vAlign w:val="center"/>
          </w:tcPr>
          <w:p>
            <w:pPr>
              <w:jc w:val="center"/>
              <w:rPr>
                <w:rFonts w:ascii="宋体" w:hAnsi="宋体" w:cs="宋体"/>
                <w:sz w:val="22"/>
                <w:szCs w:val="22"/>
              </w:rPr>
            </w:pPr>
          </w:p>
        </w:tc>
        <w:tc>
          <w:tcPr>
            <w:tcW w:w="1842" w:type="dxa"/>
            <w:vMerge w:val="continue"/>
            <w:noWrap/>
            <w:vAlign w:val="center"/>
          </w:tcPr>
          <w:p>
            <w:pPr>
              <w:jc w:val="center"/>
              <w:rPr>
                <w:rFonts w:ascii="宋体" w:hAnsi="宋体" w:cs="宋体"/>
                <w:sz w:val="22"/>
                <w:szCs w:val="22"/>
              </w:rPr>
            </w:pPr>
          </w:p>
        </w:tc>
        <w:tc>
          <w:tcPr>
            <w:tcW w:w="3261"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合并集成服务</w:t>
            </w:r>
          </w:p>
        </w:tc>
        <w:tc>
          <w:tcPr>
            <w:tcW w:w="2480" w:type="dxa"/>
            <w:noWrap/>
            <w:vAlign w:val="center"/>
          </w:tcPr>
          <w:p>
            <w:pPr>
              <w:keepNext w:val="0"/>
              <w:keepLines w:val="0"/>
              <w:widowControl/>
              <w:suppressLineNumbers w:val="0"/>
              <w:jc w:val="center"/>
              <w:textAlignment w:val="center"/>
              <w:rPr>
                <w:rFonts w:ascii="宋体" w:hAnsi="宋体" w:cs="宋体"/>
                <w:sz w:val="22"/>
                <w:szCs w:val="22"/>
              </w:rPr>
            </w:pPr>
            <w:r>
              <w:rPr>
                <w:rFonts w:hint="eastAsia" w:ascii="宋体" w:hAnsi="宋体" w:eastAsia="宋体" w:cs="宋体"/>
                <w:i w:val="0"/>
                <w:iCs w:val="0"/>
                <w:color w:val="000000"/>
                <w:kern w:val="0"/>
                <w:sz w:val="22"/>
                <w:szCs w:val="22"/>
                <w:u w:val="none"/>
                <w:lang w:val="en-US" w:eastAsia="zh-CN" w:bidi="ar"/>
              </w:rPr>
              <w:t>2.008</w:t>
            </w:r>
          </w:p>
        </w:tc>
      </w:tr>
      <w:bookmarkEnd w:id="2"/>
    </w:tbl>
    <w:p>
      <w:pPr>
        <w:pStyle w:val="4"/>
        <w:spacing w:after="0" w:line="360" w:lineRule="auto"/>
        <w:ind w:firstLine="482" w:firstLineChars="200"/>
        <w:jc w:val="both"/>
        <w:rPr>
          <w:rFonts w:hint="default" w:ascii="宋体" w:hAnsi="宋体" w:eastAsia="宋体"/>
          <w:b/>
          <w:bCs/>
          <w:highlight w:val="none"/>
          <w:lang w:val="en-US" w:eastAsia="zh-CN"/>
        </w:rPr>
      </w:pPr>
      <w:r>
        <w:rPr>
          <w:rFonts w:hint="eastAsia" w:ascii="宋体" w:hAnsi="宋体" w:eastAsia="宋体"/>
          <w:b/>
          <w:bCs/>
          <w:highlight w:val="none"/>
        </w:rPr>
        <w:t>2.</w:t>
      </w:r>
      <w:r>
        <w:rPr>
          <w:rFonts w:hint="default" w:ascii="宋体" w:hAnsi="宋体"/>
          <w:b/>
          <w:bCs/>
          <w:highlight w:val="none"/>
          <w:lang w:val="en-US"/>
        </w:rPr>
        <w:t>3</w:t>
      </w:r>
      <w:r>
        <w:rPr>
          <w:rFonts w:hint="eastAsia" w:ascii="宋体" w:hAnsi="宋体" w:eastAsia="宋体"/>
          <w:b/>
          <w:bCs/>
          <w:highlight w:val="none"/>
        </w:rPr>
        <w:t>服务</w:t>
      </w:r>
      <w:r>
        <w:rPr>
          <w:rFonts w:hint="eastAsia"/>
          <w:b/>
          <w:bCs/>
          <w:highlight w:val="none"/>
          <w:lang w:val="en-US" w:eastAsia="zh-CN"/>
        </w:rPr>
        <w:t>要求</w:t>
      </w:r>
    </w:p>
    <w:p>
      <w:pPr>
        <w:pStyle w:val="4"/>
        <w:spacing w:after="0" w:line="360" w:lineRule="auto"/>
        <w:ind w:firstLine="566" w:firstLineChars="236"/>
        <w:jc w:val="both"/>
        <w:rPr>
          <w:rFonts w:hint="eastAsia" w:ascii="宋体" w:hAnsi="宋体"/>
          <w:highlight w:val="none"/>
        </w:rPr>
      </w:pPr>
      <w:r>
        <w:rPr>
          <w:rFonts w:hint="eastAsia" w:ascii="宋体" w:hAnsi="宋体"/>
          <w:highlight w:val="none"/>
        </w:rPr>
        <w:t>本项目适用现行国家、行业和地方规范、标准和规程。</w:t>
      </w:r>
    </w:p>
    <w:p>
      <w:pPr>
        <w:pStyle w:val="4"/>
        <w:spacing w:after="0" w:line="360" w:lineRule="auto"/>
        <w:ind w:firstLine="566" w:firstLineChars="236"/>
        <w:jc w:val="both"/>
        <w:rPr>
          <w:rFonts w:hint="eastAsia" w:asciiTheme="minorEastAsia" w:hAnsiTheme="minorEastAsia" w:eastAsiaTheme="minorEastAsia"/>
          <w:highlight w:val="none"/>
        </w:rPr>
      </w:pPr>
      <w:r>
        <w:rPr>
          <w:rFonts w:hint="eastAsia" w:asciiTheme="minorEastAsia" w:hAnsiTheme="minorEastAsia" w:eastAsiaTheme="minorEastAsia"/>
          <w:highlight w:val="none"/>
        </w:rPr>
        <w:t>（1）供应商负责服务现场围挡及警示标示的架设与维护。</w:t>
      </w:r>
    </w:p>
    <w:p>
      <w:pPr>
        <w:pStyle w:val="4"/>
        <w:spacing w:after="0" w:line="360" w:lineRule="auto"/>
        <w:ind w:firstLine="566" w:firstLineChars="236"/>
        <w:jc w:val="both"/>
        <w:rPr>
          <w:rFonts w:hint="eastAsia" w:asciiTheme="minorEastAsia" w:hAnsiTheme="minorEastAsia" w:eastAsiaTheme="minorEastAsia"/>
          <w:highlight w:val="none"/>
        </w:rPr>
      </w:pPr>
      <w:r>
        <w:rPr>
          <w:rFonts w:hint="eastAsia" w:asciiTheme="minorEastAsia" w:hAnsiTheme="minorEastAsia" w:eastAsiaTheme="minorEastAsia"/>
          <w:highlight w:val="none"/>
        </w:rPr>
        <w:t>（2）供应商负责提供服务所需的车辆、人员及安全附属设施。</w:t>
      </w:r>
    </w:p>
    <w:p>
      <w:pPr>
        <w:pStyle w:val="4"/>
        <w:spacing w:after="0" w:line="360" w:lineRule="auto"/>
        <w:ind w:firstLine="566" w:firstLineChars="236"/>
        <w:jc w:val="both"/>
        <w:rPr>
          <w:rFonts w:hint="eastAsia" w:asciiTheme="minorEastAsia" w:hAnsiTheme="minorEastAsia" w:eastAsiaTheme="minorEastAsia"/>
          <w:highlight w:val="none"/>
        </w:rPr>
      </w:pPr>
      <w:r>
        <w:rPr>
          <w:rFonts w:hint="eastAsia" w:asciiTheme="minorEastAsia" w:hAnsiTheme="minorEastAsia" w:eastAsiaTheme="minorEastAsia"/>
          <w:highlight w:val="none"/>
        </w:rPr>
        <w:t>（3）供应商负责服务现场废弃物的清理及现场环境的恢复。</w:t>
      </w:r>
    </w:p>
    <w:p>
      <w:pPr>
        <w:pStyle w:val="4"/>
        <w:spacing w:after="0" w:line="360" w:lineRule="auto"/>
        <w:ind w:firstLine="566" w:firstLineChars="236"/>
        <w:jc w:val="both"/>
        <w:rPr>
          <w:rFonts w:hint="eastAsia" w:asciiTheme="minorEastAsia" w:hAnsiTheme="minorEastAsia" w:eastAsiaTheme="minorEastAsia"/>
          <w:highlight w:val="none"/>
        </w:rPr>
      </w:pPr>
      <w:r>
        <w:rPr>
          <w:rFonts w:hint="eastAsia" w:asciiTheme="minorEastAsia" w:hAnsiTheme="minorEastAsia" w:eastAsiaTheme="minorEastAsia"/>
          <w:highlight w:val="none"/>
        </w:rPr>
        <w:t>（4）供应商协助采购人做好与其他相关部门专业的线缆及杆塔的确认工作。</w:t>
      </w:r>
    </w:p>
    <w:p>
      <w:pPr>
        <w:pStyle w:val="4"/>
        <w:spacing w:after="0" w:line="360" w:lineRule="auto"/>
        <w:ind w:firstLine="566" w:firstLineChars="236"/>
        <w:jc w:val="both"/>
        <w:rPr>
          <w:rFonts w:asciiTheme="minorEastAsia" w:hAnsiTheme="minorEastAsia" w:eastAsiaTheme="minorEastAsia"/>
          <w:highlight w:val="none"/>
        </w:rPr>
      </w:pPr>
      <w:r>
        <w:rPr>
          <w:rFonts w:hint="eastAsia" w:asciiTheme="minorEastAsia" w:hAnsiTheme="minorEastAsia" w:eastAsiaTheme="minorEastAsia"/>
          <w:highlight w:val="none"/>
        </w:rPr>
        <w:t>（5）服务阶段具体要求按照国家有关法律法规、行业规范和规定执行。</w:t>
      </w:r>
    </w:p>
    <w:p>
      <w:pPr>
        <w:pStyle w:val="4"/>
        <w:spacing w:after="0" w:line="360" w:lineRule="auto"/>
        <w:ind w:firstLine="566" w:firstLineChars="236"/>
        <w:jc w:val="both"/>
        <w:rPr>
          <w:rFonts w:ascii="宋体" w:hAnsi="宋体"/>
          <w:highlight w:val="none"/>
        </w:rPr>
      </w:pPr>
    </w:p>
    <w:p>
      <w:pPr>
        <w:spacing w:line="360" w:lineRule="auto"/>
        <w:ind w:firstLine="487" w:firstLineChars="202"/>
        <w:jc w:val="both"/>
        <w:rPr>
          <w:rFonts w:hint="eastAsia" w:ascii="宋体" w:hAnsi="宋体" w:eastAsia="宋体" w:cs="Times New Roman"/>
          <w:b/>
          <w:bCs/>
          <w:kern w:val="2"/>
          <w:sz w:val="24"/>
          <w:szCs w:val="24"/>
          <w:highlight w:val="none"/>
          <w:lang w:val="en-US" w:eastAsia="zh-CN" w:bidi="ar-SA"/>
        </w:rPr>
      </w:pPr>
      <w:r>
        <w:rPr>
          <w:rFonts w:hint="eastAsia" w:ascii="宋体" w:hAnsi="宋体" w:eastAsia="宋体" w:cs="Times New Roman"/>
          <w:b/>
          <w:bCs/>
          <w:kern w:val="2"/>
          <w:sz w:val="24"/>
          <w:szCs w:val="24"/>
          <w:highlight w:val="none"/>
          <w:lang w:val="en-US" w:eastAsia="zh-CN" w:bidi="ar-SA"/>
        </w:rPr>
        <w:t>3.验收标准</w:t>
      </w:r>
    </w:p>
    <w:p>
      <w:r>
        <w:rPr>
          <w:rFonts w:hint="eastAsia" w:ascii="宋体" w:hAnsi="宋体" w:eastAsia="宋体" w:cs="Times New Roman"/>
          <w:kern w:val="2"/>
          <w:sz w:val="24"/>
          <w:szCs w:val="24"/>
          <w:highlight w:val="none"/>
          <w:lang w:val="en-US" w:eastAsia="zh-CN" w:bidi="ar-SA"/>
        </w:rPr>
        <w:t>依据本项目服务合同及相关文件要求由采购人组织验收。</w:t>
      </w:r>
      <w:r>
        <w:rPr>
          <w:rFonts w:ascii="Segoe UI" w:hAnsi="Segoe UI" w:eastAsia="Segoe UI" w:cs="Segoe UI"/>
          <w:i w:val="0"/>
          <w:iCs w:val="0"/>
          <w:caps w:val="0"/>
          <w:spacing w:val="0"/>
          <w:sz w:val="24"/>
          <w:szCs w:val="24"/>
          <w:highlight w:val="none"/>
          <w:shd w:val="clear" w:fill="FFFFFF"/>
        </w:rPr>
        <w:t>验收标准如下：线路按统筹规划实现同路径集约化布设，管线排列整齐、固定牢固；现场废弃弱电线路清理率</w:t>
      </w:r>
      <w:r>
        <w:rPr>
          <w:rFonts w:hint="eastAsia" w:ascii="Segoe UI" w:hAnsi="Segoe UI" w:cs="Segoe UI"/>
          <w:i w:val="0"/>
          <w:iCs w:val="0"/>
          <w:caps w:val="0"/>
          <w:spacing w:val="0"/>
          <w:sz w:val="24"/>
          <w:szCs w:val="24"/>
          <w:highlight w:val="none"/>
          <w:shd w:val="clear" w:fill="FFFFFF"/>
          <w:lang w:val="en-US" w:eastAsia="zh-CN"/>
        </w:rPr>
        <w:t>满足甲方要求</w:t>
      </w:r>
      <w:r>
        <w:rPr>
          <w:rFonts w:ascii="Segoe UI" w:hAnsi="Segoe UI" w:eastAsia="Segoe UI" w:cs="Segoe UI"/>
          <w:i w:val="0"/>
          <w:iCs w:val="0"/>
          <w:caps w:val="0"/>
          <w:spacing w:val="0"/>
          <w:sz w:val="24"/>
          <w:szCs w:val="24"/>
          <w:highlight w:val="none"/>
          <w:shd w:val="clear" w:fill="FFFFFF"/>
        </w:rPr>
        <w:t>；破损老化及存在安全隐患的线路附属设施全部更新，工艺规范，设施按统一标准集中定点布设；在用通信系统线路传输稳定性及网络性能指标达到设计及相关标准要求；涉及割接的业务恢复</w:t>
      </w:r>
      <w:r>
        <w:rPr>
          <w:rFonts w:hint="eastAsia" w:ascii="Segoe UI" w:hAnsi="Segoe UI" w:cs="Segoe UI"/>
          <w:i w:val="0"/>
          <w:iCs w:val="0"/>
          <w:caps w:val="0"/>
          <w:spacing w:val="0"/>
          <w:sz w:val="24"/>
          <w:szCs w:val="24"/>
          <w:highlight w:val="none"/>
          <w:shd w:val="clear" w:fill="FFFFFF"/>
          <w:lang w:val="en-US" w:eastAsia="zh-CN"/>
        </w:rPr>
        <w:t>完全</w:t>
      </w:r>
      <w:r>
        <w:rPr>
          <w:rFonts w:ascii="Segoe UI" w:hAnsi="Segoe UI" w:eastAsia="Segoe UI" w:cs="Segoe UI"/>
          <w:i w:val="0"/>
          <w:iCs w:val="0"/>
          <w:caps w:val="0"/>
          <w:spacing w:val="0"/>
          <w:sz w:val="24"/>
          <w:szCs w:val="24"/>
          <w:highlight w:val="none"/>
          <w:shd w:val="clear" w:fill="FFFFFF"/>
        </w:rPr>
        <w:t>，用户数据匹配校准准确。全部分项达到上述标准且资料齐全、与现场一致的，判定验收合格；存在不符合项的，</w:t>
      </w:r>
      <w:r>
        <w:rPr>
          <w:rFonts w:hint="eastAsia" w:ascii="Segoe UI" w:hAnsi="Segoe UI" w:eastAsia="宋体" w:cs="Segoe UI"/>
          <w:i w:val="0"/>
          <w:iCs w:val="0"/>
          <w:caps w:val="0"/>
          <w:spacing w:val="0"/>
          <w:sz w:val="24"/>
          <w:szCs w:val="24"/>
          <w:highlight w:val="none"/>
          <w:shd w:val="clear" w:fill="FFFFFF"/>
          <w:lang w:val="en-US" w:eastAsia="zh-CN"/>
        </w:rPr>
        <w:t>供应商</w:t>
      </w:r>
      <w:r>
        <w:rPr>
          <w:rFonts w:ascii="Segoe UI" w:hAnsi="Segoe UI" w:eastAsia="Segoe UI" w:cs="Segoe UI"/>
          <w:i w:val="0"/>
          <w:iCs w:val="0"/>
          <w:caps w:val="0"/>
          <w:spacing w:val="0"/>
          <w:sz w:val="24"/>
          <w:szCs w:val="24"/>
          <w:highlight w:val="none"/>
          <w:shd w:val="clear" w:fill="FFFFFF"/>
        </w:rPr>
        <w:t>应在</w:t>
      </w:r>
      <w:r>
        <w:rPr>
          <w:rFonts w:hint="eastAsia" w:ascii="Segoe UI" w:hAnsi="Segoe UI" w:eastAsia="宋体" w:cs="Segoe UI"/>
          <w:i w:val="0"/>
          <w:iCs w:val="0"/>
          <w:caps w:val="0"/>
          <w:spacing w:val="0"/>
          <w:sz w:val="24"/>
          <w:szCs w:val="24"/>
          <w:highlight w:val="none"/>
          <w:shd w:val="clear" w:fill="FFFFFF"/>
          <w:lang w:val="en-US" w:eastAsia="zh-CN"/>
        </w:rPr>
        <w:t>采购人</w:t>
      </w:r>
      <w:r>
        <w:rPr>
          <w:rFonts w:ascii="Segoe UI" w:hAnsi="Segoe UI" w:eastAsia="Segoe UI" w:cs="Segoe UI"/>
          <w:i w:val="0"/>
          <w:iCs w:val="0"/>
          <w:caps w:val="0"/>
          <w:spacing w:val="0"/>
          <w:sz w:val="24"/>
          <w:szCs w:val="24"/>
          <w:highlight w:val="none"/>
          <w:shd w:val="clear" w:fill="FFFFFF"/>
        </w:rPr>
        <w:t>要求的期限内完成整改并申请复验。</w:t>
      </w:r>
      <w:bookmarkStart w:id="3" w:name="_GoBack"/>
      <w:bookmarkEnd w:id="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8254FD"/>
    <w:rsid w:val="4D8254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left="420" w:leftChars="200" w:firstLine="420" w:firstLineChars="200"/>
    </w:pPr>
    <w:rPr>
      <w:szCs w:val="20"/>
    </w:rPr>
  </w:style>
  <w:style w:type="paragraph" w:styleId="3">
    <w:name w:val="Body Text Indent"/>
    <w:basedOn w:val="1"/>
    <w:qFormat/>
    <w:uiPriority w:val="0"/>
    <w:pPr>
      <w:spacing w:line="360" w:lineRule="auto"/>
      <w:ind w:firstLine="570"/>
    </w:pPr>
    <w:rPr>
      <w:sz w:val="24"/>
    </w:rPr>
  </w:style>
  <w:style w:type="paragraph" w:styleId="4">
    <w:name w:val="Body Text"/>
    <w:basedOn w:val="1"/>
    <w:qFormat/>
    <w:uiPriority w:val="0"/>
    <w:pPr>
      <w:tabs>
        <w:tab w:val="left" w:pos="567"/>
      </w:tabs>
      <w:spacing w:before="120" w:line="22" w:lineRule="atLeast"/>
    </w:pPr>
    <w:rPr>
      <w:rFonts w:ascii="宋体" w:hAnsi="宋体"/>
      <w:sz w:val="24"/>
    </w:rPr>
  </w:style>
  <w:style w:type="paragraph" w:customStyle="1" w:styleId="7">
    <w:name w:val="列表段落1"/>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2026-10-23T06:43:00Z</dcterms:created>
  <dc:creator>锅妍</dc:creator>
  <cp:lastModifiedBy>锅妍</cp:lastModifiedBy>
  <dcterms:modified xsi:type="dcterms:W3CDTF">2026-10-23T06:43:23Z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F9E8EBFEF9BA48F9A01A3D803A01BCE8</vt:lpwstr>
  </property>
</Properties>
</file>