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DDBAB">
      <w:pPr>
        <w:widowControl/>
        <w:jc w:val="left"/>
        <w:rPr>
          <w:rFonts w:hint="eastAsia" w:asciiTheme="minorEastAsia" w:hAnsiTheme="minorEastAsia" w:eastAsiaTheme="minorEastAsia" w:cstheme="minorEastAsia"/>
          <w:sz w:val="28"/>
          <w:szCs w:val="28"/>
        </w:rPr>
      </w:pPr>
    </w:p>
    <w:p w14:paraId="044327C2">
      <w:pPr>
        <w:pStyle w:val="3"/>
        <w:tabs>
          <w:tab w:val="left" w:pos="0"/>
        </w:tabs>
        <w:autoSpaceDE w:val="0"/>
        <w:autoSpaceDN w:val="0"/>
        <w:adjustRightInd w:val="0"/>
        <w:spacing w:before="0" w:after="0" w:line="360" w:lineRule="auto"/>
        <w:jc w:val="center"/>
        <w:rPr>
          <w:rFonts w:hint="eastAsia" w:asciiTheme="minorEastAsia" w:hAnsiTheme="minorEastAsia" w:eastAsiaTheme="minorEastAsia" w:cstheme="minorEastAsia"/>
        </w:rPr>
      </w:pPr>
      <w:bookmarkStart w:id="0" w:name="_Toc28359011"/>
      <w:bookmarkStart w:id="1" w:name="_Toc35393797"/>
      <w:r>
        <w:rPr>
          <w:rFonts w:hint="eastAsia" w:asciiTheme="minorEastAsia" w:hAnsiTheme="minorEastAsia" w:eastAsiaTheme="minorEastAsia" w:cstheme="minorEastAsia"/>
        </w:rPr>
        <w:t>竞争性磋商公告</w:t>
      </w:r>
      <w:bookmarkEnd w:id="0"/>
      <w:bookmarkEnd w:id="1"/>
    </w:p>
    <w:p w14:paraId="3FA8738C">
      <w:pPr>
        <w:rPr>
          <w:rFonts w:hint="eastAsia" w:asciiTheme="minorEastAsia" w:hAnsiTheme="minorEastAsia" w:eastAsiaTheme="minorEastAsia" w:cstheme="minorEastAsia"/>
        </w:rPr>
      </w:pPr>
    </w:p>
    <w:p w14:paraId="0DE46AE4">
      <w:pPr>
        <w:pBdr>
          <w:top w:val="single" w:color="auto" w:sz="4" w:space="1"/>
          <w:left w:val="single" w:color="auto" w:sz="4" w:space="4"/>
          <w:bottom w:val="single" w:color="auto" w:sz="4" w:space="1"/>
          <w:right w:val="single" w:color="auto" w:sz="4" w:space="4"/>
        </w:pBdr>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项目概况</w:t>
      </w:r>
    </w:p>
    <w:p w14:paraId="5715FC16">
      <w:pPr>
        <w:pBdr>
          <w:top w:val="single" w:color="auto" w:sz="4" w:space="1"/>
          <w:left w:val="single" w:color="auto" w:sz="4" w:space="4"/>
          <w:bottom w:val="single" w:color="auto" w:sz="4" w:space="1"/>
          <w:right w:val="single" w:color="auto" w:sz="4" w:space="4"/>
        </w:pBdr>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u w:val="single"/>
          <w:lang w:eastAsia="zh-CN"/>
        </w:rPr>
        <w:t>2026年补充运行项目经费-物业管理-大兴一中物业管理服务采购项目</w:t>
      </w:r>
      <w:r>
        <w:rPr>
          <w:rFonts w:hint="eastAsia" w:asciiTheme="minorEastAsia" w:hAnsiTheme="minorEastAsia" w:eastAsiaTheme="minorEastAsia" w:cstheme="minorEastAsia"/>
          <w:sz w:val="24"/>
          <w:szCs w:val="24"/>
        </w:rPr>
        <w:t xml:space="preserve"> 采购项目的潜在供应商应在</w:t>
      </w:r>
      <w:r>
        <w:rPr>
          <w:rFonts w:hint="eastAsia" w:asciiTheme="minorEastAsia" w:hAnsiTheme="minorEastAsia" w:eastAsiaTheme="minorEastAsia" w:cstheme="minorEastAsia"/>
          <w:sz w:val="24"/>
          <w:szCs w:val="24"/>
          <w:u w:val="single"/>
        </w:rPr>
        <w:t>北京市政府采购电子交易平台</w:t>
      </w:r>
      <w:r>
        <w:rPr>
          <w:rFonts w:hint="eastAsia" w:asciiTheme="minorEastAsia" w:hAnsiTheme="minorEastAsia" w:eastAsiaTheme="minorEastAsia" w:cstheme="minorEastAsia"/>
          <w:sz w:val="24"/>
          <w:szCs w:val="24"/>
        </w:rPr>
        <w:t>获取采购</w:t>
      </w:r>
      <w:r>
        <w:rPr>
          <w:rFonts w:hint="eastAsia" w:asciiTheme="minorEastAsia" w:hAnsiTheme="minorEastAsia" w:eastAsiaTheme="minorEastAsia" w:cstheme="minorEastAsia"/>
          <w:color w:val="auto"/>
          <w:sz w:val="24"/>
          <w:szCs w:val="24"/>
        </w:rPr>
        <w:t>文件，并于</w:t>
      </w:r>
      <w:r>
        <w:rPr>
          <w:rFonts w:hint="eastAsia" w:asciiTheme="minorEastAsia" w:hAnsiTheme="minorEastAsia" w:eastAsiaTheme="minorEastAsia" w:cstheme="minorEastAsia"/>
          <w:color w:val="auto"/>
          <w:sz w:val="24"/>
          <w:szCs w:val="24"/>
          <w:u w:val="single"/>
          <w:lang w:val="en-US" w:eastAsia="zh-CN"/>
        </w:rPr>
        <w:t>2026</w:t>
      </w:r>
      <w:r>
        <w:rPr>
          <w:rFonts w:hint="eastAsia" w:asciiTheme="minorEastAsia" w:hAnsiTheme="minorEastAsia" w:eastAsiaTheme="minorEastAsia" w:cstheme="minorEastAsia"/>
          <w:bCs/>
          <w:color w:val="auto"/>
          <w:sz w:val="24"/>
          <w:szCs w:val="24"/>
          <w:u w:val="single"/>
        </w:rPr>
        <w:t xml:space="preserve">年 </w:t>
      </w:r>
      <w:r>
        <w:rPr>
          <w:rFonts w:hint="eastAsia" w:asciiTheme="minorEastAsia" w:hAnsiTheme="minorEastAsia" w:eastAsiaTheme="minorEastAsia" w:cstheme="minorEastAsia"/>
          <w:bCs/>
          <w:color w:val="auto"/>
          <w:sz w:val="24"/>
          <w:szCs w:val="24"/>
          <w:u w:val="single"/>
          <w:lang w:val="en-US" w:eastAsia="zh-CN"/>
        </w:rPr>
        <w:t>11</w:t>
      </w:r>
      <w:r>
        <w:rPr>
          <w:rFonts w:hint="eastAsia" w:asciiTheme="minorEastAsia" w:hAnsiTheme="minorEastAsia" w:eastAsiaTheme="minorEastAsia" w:cstheme="minorEastAsia"/>
          <w:bCs/>
          <w:color w:val="auto"/>
          <w:sz w:val="24"/>
          <w:szCs w:val="24"/>
          <w:u w:val="single"/>
        </w:rPr>
        <w:t>月</w:t>
      </w:r>
      <w:r>
        <w:rPr>
          <w:rFonts w:hint="eastAsia" w:asciiTheme="minorEastAsia" w:hAnsiTheme="minorEastAsia" w:eastAsiaTheme="minorEastAsia" w:cstheme="minorEastAsia"/>
          <w:bCs/>
          <w:color w:val="auto"/>
          <w:sz w:val="24"/>
          <w:szCs w:val="24"/>
          <w:u w:val="single"/>
          <w:lang w:val="en-US" w:eastAsia="zh-CN"/>
        </w:rPr>
        <w:t>3</w:t>
      </w:r>
      <w:r>
        <w:rPr>
          <w:rFonts w:hint="eastAsia" w:asciiTheme="minorEastAsia" w:hAnsiTheme="minorEastAsia" w:eastAsiaTheme="minorEastAsia" w:cstheme="minorEastAsia"/>
          <w:bCs/>
          <w:color w:val="auto"/>
          <w:sz w:val="24"/>
          <w:szCs w:val="24"/>
          <w:u w:val="single"/>
        </w:rPr>
        <w:t xml:space="preserve">日 </w:t>
      </w:r>
      <w:r>
        <w:rPr>
          <w:rFonts w:hint="eastAsia" w:asciiTheme="minorEastAsia" w:hAnsiTheme="minorEastAsia" w:eastAsiaTheme="minorEastAsia" w:cstheme="minorEastAsia"/>
          <w:bCs/>
          <w:color w:val="auto"/>
          <w:sz w:val="24"/>
          <w:szCs w:val="24"/>
          <w:u w:val="single"/>
          <w:lang w:val="en-US" w:eastAsia="zh-CN"/>
        </w:rPr>
        <w:t>9</w:t>
      </w:r>
      <w:r>
        <w:rPr>
          <w:rFonts w:hint="eastAsia" w:asciiTheme="minorEastAsia" w:hAnsiTheme="minorEastAsia" w:eastAsiaTheme="minorEastAsia" w:cstheme="minorEastAsia"/>
          <w:bCs/>
          <w:color w:val="auto"/>
          <w:sz w:val="24"/>
          <w:szCs w:val="24"/>
          <w:u w:val="single"/>
        </w:rPr>
        <w:t xml:space="preserve"> 点 </w:t>
      </w:r>
      <w:r>
        <w:rPr>
          <w:rFonts w:hint="eastAsia" w:asciiTheme="minorEastAsia" w:hAnsiTheme="minorEastAsia" w:eastAsiaTheme="minorEastAsia" w:cstheme="minorEastAsia"/>
          <w:bCs/>
          <w:color w:val="auto"/>
          <w:sz w:val="24"/>
          <w:szCs w:val="24"/>
          <w:u w:val="single"/>
          <w:lang w:val="en-US" w:eastAsia="zh-CN"/>
        </w:rPr>
        <w:t>30</w:t>
      </w:r>
      <w:r>
        <w:rPr>
          <w:rFonts w:hint="eastAsia" w:asciiTheme="minorEastAsia" w:hAnsiTheme="minorEastAsia" w:eastAsiaTheme="minorEastAsia" w:cstheme="minorEastAsia"/>
          <w:bCs/>
          <w:color w:val="auto"/>
          <w:sz w:val="24"/>
          <w:szCs w:val="24"/>
          <w:u w:val="single"/>
        </w:rPr>
        <w:t>分</w:t>
      </w:r>
      <w:r>
        <w:rPr>
          <w:rFonts w:hint="eastAsia" w:asciiTheme="minorEastAsia" w:hAnsiTheme="minorEastAsia" w:eastAsiaTheme="minorEastAsia" w:cstheme="minorEastAsia"/>
          <w:bCs/>
          <w:color w:val="auto"/>
          <w:sz w:val="24"/>
          <w:szCs w:val="24"/>
        </w:rPr>
        <w:t>（北京时间）前提交响应文件</w:t>
      </w:r>
      <w:r>
        <w:rPr>
          <w:rFonts w:hint="eastAsia" w:asciiTheme="minorEastAsia" w:hAnsiTheme="minorEastAsia" w:eastAsiaTheme="minorEastAsia" w:cstheme="minorEastAsia"/>
          <w:color w:val="auto"/>
          <w:sz w:val="24"/>
          <w:szCs w:val="24"/>
        </w:rPr>
        <w:t>。</w:t>
      </w:r>
    </w:p>
    <w:p w14:paraId="3408423C">
      <w:pPr>
        <w:rPr>
          <w:rFonts w:hint="eastAsia" w:asciiTheme="minorEastAsia" w:hAnsiTheme="minorEastAsia" w:eastAsiaTheme="minorEastAsia" w:cstheme="minorEastAsia"/>
          <w:color w:val="auto"/>
          <w:sz w:val="24"/>
          <w:szCs w:val="24"/>
        </w:rPr>
      </w:pPr>
    </w:p>
    <w:p w14:paraId="32E1D17B">
      <w:pPr>
        <w:pStyle w:val="4"/>
        <w:spacing w:line="360" w:lineRule="auto"/>
        <w:rPr>
          <w:rFonts w:hint="eastAsia" w:asciiTheme="minorEastAsia" w:hAnsiTheme="minorEastAsia" w:eastAsiaTheme="minorEastAsia" w:cstheme="minorEastAsia"/>
          <w:b w:val="0"/>
          <w:color w:val="auto"/>
          <w:sz w:val="24"/>
          <w:szCs w:val="24"/>
        </w:rPr>
      </w:pPr>
      <w:bookmarkStart w:id="2" w:name="_Toc35393798"/>
      <w:bookmarkStart w:id="3" w:name="_Toc35393629"/>
      <w:bookmarkStart w:id="4" w:name="_Toc28359012"/>
      <w:bookmarkStart w:id="5" w:name="_Toc28359089"/>
      <w:r>
        <w:rPr>
          <w:rFonts w:hint="eastAsia" w:asciiTheme="minorEastAsia" w:hAnsiTheme="minorEastAsia" w:eastAsiaTheme="minorEastAsia" w:cstheme="minorEastAsia"/>
          <w:b w:val="0"/>
          <w:color w:val="auto"/>
          <w:sz w:val="24"/>
          <w:szCs w:val="24"/>
        </w:rPr>
        <w:t>一、项目基本情况</w:t>
      </w:r>
      <w:bookmarkEnd w:id="2"/>
      <w:bookmarkEnd w:id="3"/>
      <w:bookmarkEnd w:id="4"/>
      <w:bookmarkEnd w:id="5"/>
    </w:p>
    <w:p w14:paraId="71ABC4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项目编号</w:t>
      </w:r>
      <w:r>
        <w:rPr>
          <w:rFonts w:hint="eastAsia" w:asciiTheme="minorEastAsia" w:hAnsiTheme="minorEastAsia" w:eastAsiaTheme="minorEastAsia" w:cstheme="minorEastAsia"/>
          <w:color w:val="auto"/>
          <w:sz w:val="24"/>
          <w:szCs w:val="24"/>
          <w:lang w:eastAsia="zh-CN"/>
        </w:rPr>
        <w:t>：11011526210200034295-XM001</w:t>
      </w:r>
    </w:p>
    <w:p w14:paraId="044820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u w:val="single"/>
          <w:lang w:eastAsia="zh-CN"/>
        </w:rPr>
      </w:pPr>
      <w:r>
        <w:rPr>
          <w:rFonts w:hint="eastAsia" w:asciiTheme="minorEastAsia" w:hAnsiTheme="minorEastAsia" w:eastAsiaTheme="minorEastAsia" w:cstheme="minorEastAsia"/>
          <w:color w:val="auto"/>
          <w:sz w:val="24"/>
          <w:szCs w:val="24"/>
        </w:rPr>
        <w:t>项目名称：</w:t>
      </w:r>
      <w:r>
        <w:rPr>
          <w:rFonts w:hint="eastAsia" w:asciiTheme="minorEastAsia" w:hAnsiTheme="minorEastAsia" w:eastAsiaTheme="minorEastAsia" w:cstheme="minorEastAsia"/>
          <w:color w:val="auto"/>
          <w:sz w:val="24"/>
          <w:szCs w:val="24"/>
          <w:lang w:eastAsia="zh-CN"/>
        </w:rPr>
        <w:t>2026年补充运行项目经费-物业管理-大兴一中物业管理服务采购项目</w:t>
      </w:r>
    </w:p>
    <w:p w14:paraId="79834B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采购方式：</w:t>
      </w:r>
      <w:r>
        <w:rPr>
          <w:rFonts w:hint="eastAsia" w:ascii="Times New Roman" w:hAnsi="Times New Roman" w:cs="Times New Roman" w:eastAsiaTheme="minorEastAsia"/>
          <w:kern w:val="2"/>
          <w:sz w:val="21"/>
          <w:szCs w:val="21"/>
          <w:lang w:val="en-US" w:eastAsia="zh-CN" w:bidi="ar-SA"/>
        </w:rPr>
        <w:t>□</w:t>
      </w:r>
      <w:r>
        <w:rPr>
          <w:rFonts w:hint="eastAsia" w:asciiTheme="minorEastAsia" w:hAnsiTheme="minorEastAsia" w:eastAsiaTheme="minorEastAsia" w:cstheme="minorEastAsia"/>
          <w:color w:val="auto"/>
          <w:sz w:val="24"/>
          <w:szCs w:val="24"/>
        </w:rPr>
        <w:t>竞争性谈判</w:t>
      </w:r>
      <w:r>
        <w:rPr>
          <w:rFonts w:hint="eastAsia" w:ascii="Times New Roman" w:hAnsi="Times New Roman" w:cs="Times New Roman" w:eastAsiaTheme="minorEastAsia"/>
          <w:kern w:val="2"/>
          <w:sz w:val="21"/>
          <w:szCs w:val="21"/>
          <w:lang w:val="en-US" w:eastAsia="zh-CN" w:bidi="ar-SA"/>
        </w:rPr>
        <w:t xml:space="preserve"> ■</w:t>
      </w:r>
      <w:r>
        <w:rPr>
          <w:rFonts w:hint="eastAsia" w:asciiTheme="minorEastAsia" w:hAnsiTheme="minorEastAsia" w:eastAsiaTheme="minorEastAsia" w:cstheme="minorEastAsia"/>
          <w:color w:val="auto"/>
          <w:sz w:val="24"/>
          <w:szCs w:val="24"/>
        </w:rPr>
        <w:t>竞争性磋商</w:t>
      </w:r>
      <w:r>
        <w:rPr>
          <w:rFonts w:hint="eastAsia" w:ascii="Times New Roman" w:hAnsi="Times New Roman" w:cs="Times New Roman" w:eastAsiaTheme="minorEastAsia"/>
          <w:kern w:val="2"/>
          <w:sz w:val="21"/>
          <w:szCs w:val="21"/>
          <w:lang w:val="en-US" w:eastAsia="zh-CN" w:bidi="ar-SA"/>
        </w:rPr>
        <w:t xml:space="preserve"> □</w:t>
      </w:r>
      <w:r>
        <w:rPr>
          <w:rFonts w:hint="eastAsia" w:asciiTheme="minorEastAsia" w:hAnsiTheme="minorEastAsia" w:eastAsiaTheme="minorEastAsia" w:cstheme="minorEastAsia"/>
          <w:color w:val="auto"/>
          <w:sz w:val="24"/>
          <w:szCs w:val="24"/>
        </w:rPr>
        <w:t>询价</w:t>
      </w:r>
    </w:p>
    <w:p w14:paraId="4A52B1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预算金额：</w:t>
      </w:r>
      <w:r>
        <w:rPr>
          <w:rFonts w:hint="eastAsia" w:eastAsiaTheme="minorEastAsia"/>
          <w:sz w:val="24"/>
          <w:u w:val="single"/>
        </w:rPr>
        <w:t>365</w:t>
      </w:r>
      <w:r>
        <w:rPr>
          <w:rFonts w:hint="eastAsia" w:asciiTheme="minorEastAsia" w:hAnsiTheme="minorEastAsia" w:eastAsiaTheme="minorEastAsia" w:cstheme="minorEastAsia"/>
          <w:color w:val="auto"/>
          <w:sz w:val="24"/>
          <w:szCs w:val="24"/>
        </w:rPr>
        <w:t>万元</w:t>
      </w:r>
    </w:p>
    <w:p w14:paraId="2C2026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最高限价：</w:t>
      </w:r>
      <w:r>
        <w:rPr>
          <w:rFonts w:hint="eastAsia" w:eastAsiaTheme="minorEastAsia"/>
          <w:sz w:val="24"/>
          <w:u w:val="single"/>
        </w:rPr>
        <w:t>365</w:t>
      </w:r>
      <w:r>
        <w:rPr>
          <w:rFonts w:hint="eastAsia" w:asciiTheme="minorEastAsia" w:hAnsiTheme="minorEastAsia" w:eastAsiaTheme="minorEastAsia" w:cstheme="minorEastAsia"/>
          <w:color w:val="auto"/>
          <w:sz w:val="24"/>
          <w:szCs w:val="24"/>
        </w:rPr>
        <w:t>万元</w:t>
      </w:r>
    </w:p>
    <w:p w14:paraId="68679B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z w:val="24"/>
          <w:szCs w:val="24"/>
        </w:rPr>
        <w:t>采购需求：</w:t>
      </w:r>
      <w:r>
        <w:rPr>
          <w:rFonts w:hint="eastAsia" w:asciiTheme="minorEastAsia" w:hAnsiTheme="minorEastAsia" w:eastAsiaTheme="minorEastAsia" w:cstheme="minorEastAsia"/>
          <w:color w:val="auto"/>
          <w:sz w:val="24"/>
          <w:szCs w:val="24"/>
          <w:lang w:val="en-US" w:eastAsia="zh-CN"/>
        </w:rPr>
        <w:t>详见附件</w:t>
      </w:r>
    </w:p>
    <w:p w14:paraId="377F5C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合同履行期限：</w:t>
      </w:r>
      <w:r>
        <w:rPr>
          <w:rFonts w:hint="eastAsia"/>
          <w:bCs/>
          <w:sz w:val="24"/>
          <w:szCs w:val="24"/>
          <w:u w:val="single"/>
        </w:rPr>
        <w:t>自合同签订之日起服务满一年止。</w:t>
      </w:r>
    </w:p>
    <w:p w14:paraId="50CE0D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w:t>
      </w:r>
      <w:r>
        <w:rPr>
          <w:rFonts w:hint="eastAsia" w:asciiTheme="minorEastAsia" w:hAnsiTheme="minorEastAsia" w:eastAsiaTheme="minorEastAsia" w:cstheme="minorEastAsia"/>
          <w:sz w:val="24"/>
          <w:szCs w:val="24"/>
          <w:lang w:val="en-US" w:eastAsia="zh-CN"/>
        </w:rPr>
        <w:t>不接受</w:t>
      </w:r>
      <w:r>
        <w:rPr>
          <w:rFonts w:hint="eastAsia" w:asciiTheme="minorEastAsia" w:hAnsiTheme="minorEastAsia" w:eastAsiaTheme="minorEastAsia" w:cstheme="minorEastAsia"/>
          <w:sz w:val="24"/>
          <w:szCs w:val="24"/>
        </w:rPr>
        <w:t>联合体。</w:t>
      </w:r>
    </w:p>
    <w:p w14:paraId="63899B9C">
      <w:pPr>
        <w:pStyle w:val="4"/>
        <w:spacing w:line="360" w:lineRule="auto"/>
        <w:rPr>
          <w:rFonts w:hint="eastAsia" w:asciiTheme="minorEastAsia" w:hAnsiTheme="minorEastAsia" w:eastAsiaTheme="minorEastAsia" w:cstheme="minorEastAsia"/>
          <w:b w:val="0"/>
          <w:sz w:val="24"/>
          <w:szCs w:val="24"/>
        </w:rPr>
      </w:pPr>
      <w:bookmarkStart w:id="6" w:name="_Toc28359090"/>
      <w:bookmarkStart w:id="7" w:name="_Toc35393799"/>
      <w:bookmarkStart w:id="8" w:name="_Toc35393630"/>
      <w:bookmarkStart w:id="9" w:name="_Toc28359013"/>
      <w:r>
        <w:rPr>
          <w:rFonts w:hint="eastAsia" w:asciiTheme="minorEastAsia" w:hAnsiTheme="minorEastAsia" w:eastAsiaTheme="minorEastAsia" w:cstheme="minorEastAsia"/>
          <w:b w:val="0"/>
          <w:sz w:val="24"/>
          <w:szCs w:val="24"/>
        </w:rPr>
        <w:t>二、申请人的资格要求：</w:t>
      </w:r>
      <w:bookmarkEnd w:id="6"/>
      <w:bookmarkEnd w:id="7"/>
      <w:bookmarkEnd w:id="8"/>
      <w:bookmarkEnd w:id="9"/>
    </w:p>
    <w:p w14:paraId="44426A4D">
      <w:pPr>
        <w:pStyle w:val="8"/>
        <w:keepNext w:val="0"/>
        <w:keepLines w:val="0"/>
        <w:pageBreakBefore w:val="0"/>
        <w:wordWrap/>
        <w:overflowPunct/>
        <w:topLinePunct w:val="0"/>
        <w:autoSpaceDE w:val="0"/>
        <w:autoSpaceDN w:val="0"/>
        <w:bidi w:val="0"/>
        <w:adjustRightInd w:val="0"/>
        <w:spacing w:line="360" w:lineRule="auto"/>
        <w:ind w:left="0" w:leftChars="0" w:right="0" w:firstLine="236" w:firstLineChars="100"/>
        <w:rPr>
          <w:rFonts w:hint="eastAsia" w:asciiTheme="minorEastAsia" w:hAnsiTheme="minorEastAsia" w:eastAsiaTheme="minorEastAsia" w:cstheme="minorEastAsia"/>
          <w:sz w:val="24"/>
          <w:szCs w:val="24"/>
        </w:rPr>
      </w:pPr>
      <w:bookmarkStart w:id="10" w:name="_Toc28359014"/>
      <w:bookmarkStart w:id="11" w:name="_Toc28359091"/>
      <w:r>
        <w:rPr>
          <w:rFonts w:hint="eastAsia" w:asciiTheme="minorEastAsia" w:hAnsiTheme="minorEastAsia" w:eastAsiaTheme="minorEastAsia" w:cstheme="minorEastAsia"/>
          <w:spacing w:val="-2"/>
          <w:sz w:val="24"/>
          <w:szCs w:val="24"/>
        </w:rPr>
        <w:t>1.满足《中华人民共和国政府采购法》第二十二</w:t>
      </w:r>
      <w:r>
        <w:rPr>
          <w:rFonts w:hint="eastAsia" w:asciiTheme="minorEastAsia" w:hAnsiTheme="minorEastAsia" w:eastAsiaTheme="minorEastAsia" w:cstheme="minorEastAsia"/>
          <w:spacing w:val="-2"/>
          <w:sz w:val="24"/>
          <w:szCs w:val="24"/>
          <w:lang w:eastAsia="zh-CN"/>
        </w:rPr>
        <w:t>条规定；</w:t>
      </w:r>
    </w:p>
    <w:p w14:paraId="4E105AF3">
      <w:pPr>
        <w:pStyle w:val="8"/>
        <w:keepNext w:val="0"/>
        <w:keepLines w:val="0"/>
        <w:pageBreakBefore w:val="0"/>
        <w:wordWrap/>
        <w:overflowPunct/>
        <w:topLinePunct w:val="0"/>
        <w:autoSpaceDE w:val="0"/>
        <w:autoSpaceDN w:val="0"/>
        <w:bidi w:val="0"/>
        <w:adjustRightInd w:val="0"/>
        <w:spacing w:line="360" w:lineRule="auto"/>
        <w:ind w:left="0" w:leftChars="0" w:right="0" w:firstLine="234"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2.落实政府采购政策需满足的资格要求：</w:t>
      </w:r>
    </w:p>
    <w:p w14:paraId="3E0BA53F">
      <w:pPr>
        <w:pStyle w:val="8"/>
        <w:keepNext w:val="0"/>
        <w:keepLines w:val="0"/>
        <w:pageBreakBefore w:val="0"/>
        <w:wordWrap/>
        <w:overflowPunct/>
        <w:topLinePunct w:val="0"/>
        <w:autoSpaceDE w:val="0"/>
        <w:autoSpaceDN w:val="0"/>
        <w:bidi w:val="0"/>
        <w:adjustRightInd w:val="0"/>
        <w:spacing w:line="360" w:lineRule="auto"/>
        <w:ind w:left="0" w:leftChars="0" w:right="0" w:firstLine="484"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2.1  中小企业政策</w:t>
      </w:r>
    </w:p>
    <w:p w14:paraId="0B6A0DAE">
      <w:pPr>
        <w:pStyle w:val="8"/>
        <w:keepNext w:val="0"/>
        <w:keepLines w:val="0"/>
        <w:pageBreakBefore w:val="0"/>
        <w:wordWrap/>
        <w:overflowPunct/>
        <w:topLinePunct w:val="0"/>
        <w:autoSpaceDE w:val="0"/>
        <w:autoSpaceDN w:val="0"/>
        <w:bidi w:val="0"/>
        <w:adjustRightInd w:val="0"/>
        <w:spacing w:line="360" w:lineRule="auto"/>
        <w:ind w:left="0" w:leftChars="0" w:right="0" w:firstLine="363" w:firstLineChars="173"/>
        <w:rPr>
          <w:rFonts w:hint="eastAsia" w:asciiTheme="minorEastAsia" w:hAnsiTheme="minorEastAsia" w:eastAsiaTheme="minorEastAsia" w:cstheme="minorEastAsia"/>
          <w:sz w:val="24"/>
          <w:szCs w:val="24"/>
        </w:rPr>
      </w:pPr>
      <w:r>
        <w:rPr>
          <w:rFonts w:hint="eastAsia" w:ascii="Times New Roman" w:hAnsi="Times New Roman" w:cs="Times New Roman" w:eastAsiaTheme="minorEastAsia"/>
          <w:kern w:val="2"/>
          <w:sz w:val="21"/>
          <w:szCs w:val="21"/>
          <w:lang w:val="en-US" w:eastAsia="zh-CN" w:bidi="ar-SA"/>
        </w:rPr>
        <w:t>□</w:t>
      </w:r>
      <w:r>
        <w:rPr>
          <w:rFonts w:hint="eastAsia" w:asciiTheme="minorEastAsia" w:hAnsiTheme="minorEastAsia" w:eastAsiaTheme="minorEastAsia" w:cstheme="minorEastAsia"/>
          <w:spacing w:val="1"/>
          <w:sz w:val="24"/>
          <w:szCs w:val="24"/>
        </w:rPr>
        <w:t>本项目不专门面向中小企业预留采购份额。</w:t>
      </w:r>
    </w:p>
    <w:p w14:paraId="550D620F">
      <w:pPr>
        <w:spacing w:line="360" w:lineRule="auto"/>
        <w:ind w:firstLine="480" w:firstLineChars="200"/>
        <w:rPr>
          <w:rFonts w:hint="eastAsia" w:asciiTheme="minorEastAsia" w:hAnsiTheme="minorEastAsia" w:eastAsiaTheme="minorEastAsia" w:cstheme="minorEastAsia"/>
          <w:sz w:val="24"/>
          <w:szCs w:val="24"/>
        </w:rPr>
      </w:pPr>
      <w:r>
        <w:rPr>
          <w:rFonts w:eastAsia="宋体"/>
          <w:sz w:val="24"/>
        </w:rPr>
        <w:t>■</w:t>
      </w:r>
      <w:r>
        <w:rPr>
          <w:rFonts w:eastAsiaTheme="minorEastAsia"/>
          <w:sz w:val="24"/>
        </w:rPr>
        <w:t xml:space="preserve">本项目专门面向  </w:t>
      </w:r>
      <w:r>
        <w:rPr>
          <w:rFonts w:eastAsia="宋体"/>
          <w:sz w:val="24"/>
        </w:rPr>
        <w:t>■</w:t>
      </w:r>
      <w:r>
        <w:rPr>
          <w:rFonts w:eastAsiaTheme="minorEastAsia"/>
          <w:sz w:val="24"/>
        </w:rPr>
        <w:t xml:space="preserve">中小 </w:t>
      </w:r>
      <w:r>
        <w:rPr>
          <w:rFonts w:hint="eastAsia" w:eastAsiaTheme="minorEastAsia"/>
          <w:lang w:eastAsia="zh-CN"/>
        </w:rPr>
        <w:t>□</w:t>
      </w:r>
      <w:r>
        <w:rPr>
          <w:rFonts w:eastAsiaTheme="minorEastAsia"/>
          <w:sz w:val="24"/>
        </w:rPr>
        <w:t>小微企业  采购。即：</w:t>
      </w:r>
      <w:r>
        <w:rPr>
          <w:rFonts w:hint="eastAsia" w:eastAsiaTheme="minorEastAsia"/>
          <w:sz w:val="24"/>
        </w:rPr>
        <w:t>本项目专门面向中小/小微企业。即提供的货物全部由符合政策要求的中小/小微企业制造、服务全部由符合政策要求的中小/小微企业承接。</w:t>
      </w:r>
    </w:p>
    <w:p w14:paraId="4E2E04E8">
      <w:pPr>
        <w:pStyle w:val="8"/>
        <w:keepNext w:val="0"/>
        <w:keepLines w:val="0"/>
        <w:pageBreakBefore w:val="0"/>
        <w:wordWrap/>
        <w:overflowPunct/>
        <w:topLinePunct w:val="0"/>
        <w:autoSpaceDE w:val="0"/>
        <w:autoSpaceDN w:val="0"/>
        <w:bidi w:val="0"/>
        <w:adjustRightInd w:val="0"/>
        <w:spacing w:line="360" w:lineRule="auto"/>
        <w:ind w:left="0" w:leftChars="0" w:right="0" w:firstLine="363" w:firstLineChars="173"/>
        <w:rPr>
          <w:rFonts w:hint="eastAsia" w:asciiTheme="minorEastAsia" w:hAnsiTheme="minorEastAsia" w:eastAsiaTheme="minorEastAsia" w:cstheme="minorEastAsia"/>
          <w:sz w:val="24"/>
          <w:szCs w:val="24"/>
        </w:rPr>
      </w:pPr>
      <w:r>
        <w:rPr>
          <w:rFonts w:hint="eastAsia" w:ascii="Times New Roman" w:hAnsi="Times New Roman" w:cs="Times New Roman" w:eastAsiaTheme="minorEastAsia"/>
          <w:kern w:val="2"/>
          <w:sz w:val="21"/>
          <w:szCs w:val="21"/>
          <w:lang w:val="en-US" w:eastAsia="zh-CN" w:bidi="ar-SA"/>
        </w:rPr>
        <w:t>□</w:t>
      </w:r>
      <w:r>
        <w:rPr>
          <w:rFonts w:hint="eastAsia" w:asciiTheme="minorEastAsia" w:hAnsiTheme="minorEastAsia" w:eastAsiaTheme="minorEastAsia" w:cstheme="minorEastAsia"/>
          <w:spacing w:val="1"/>
          <w:sz w:val="24"/>
          <w:szCs w:val="24"/>
        </w:rPr>
        <w:t>本项目预留部分采购项目预算专门面向中小企业采购</w:t>
      </w:r>
      <w:r>
        <w:rPr>
          <w:rFonts w:hint="eastAsia" w:asciiTheme="minorEastAsia" w:hAnsiTheme="minorEastAsia" w:eastAsiaTheme="minorEastAsia" w:cstheme="minorEastAsia"/>
          <w:sz w:val="24"/>
          <w:szCs w:val="24"/>
        </w:rPr>
        <w:t>。对于预留份额，提供的货</w:t>
      </w:r>
      <w:r>
        <w:rPr>
          <w:rFonts w:hint="eastAsia" w:asciiTheme="minorEastAsia" w:hAnsiTheme="minorEastAsia" w:eastAsiaTheme="minorEastAsia" w:cstheme="minorEastAsia"/>
          <w:spacing w:val="-2"/>
          <w:sz w:val="24"/>
          <w:szCs w:val="24"/>
        </w:rPr>
        <w:t>物由符合政策要求的中小企业制造、服务由符合政策要求的中小企业承接。预留份额通</w:t>
      </w:r>
      <w:r>
        <w:rPr>
          <w:rFonts w:hint="eastAsia" w:asciiTheme="minorEastAsia" w:hAnsiTheme="minorEastAsia" w:eastAsiaTheme="minorEastAsia" w:cstheme="minorEastAsia"/>
          <w:spacing w:val="-1"/>
          <w:sz w:val="24"/>
          <w:szCs w:val="24"/>
        </w:rPr>
        <w:t>过以下措施进行：</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pacing w:val="-1"/>
          <w:sz w:val="24"/>
          <w:szCs w:val="24"/>
        </w:rPr>
        <w:t>。</w:t>
      </w:r>
    </w:p>
    <w:p w14:paraId="46A5FBD8">
      <w:pPr>
        <w:pStyle w:val="8"/>
        <w:keepNext w:val="0"/>
        <w:keepLines w:val="0"/>
        <w:pageBreakBefore w:val="0"/>
        <w:wordWrap/>
        <w:overflowPunct/>
        <w:topLinePunct w:val="0"/>
        <w:autoSpaceDE w:val="0"/>
        <w:autoSpaceDN w:val="0"/>
        <w:bidi w:val="0"/>
        <w:adjustRightInd w:val="0"/>
        <w:spacing w:line="360" w:lineRule="auto"/>
        <w:ind w:left="0" w:leftChars="0" w:right="0" w:firstLine="46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5"/>
          <w:sz w:val="24"/>
          <w:szCs w:val="24"/>
          <w:highlight w:val="none"/>
        </w:rPr>
        <w:t>2.2</w:t>
      </w:r>
      <w:r>
        <w:rPr>
          <w:rFonts w:hint="eastAsia" w:asciiTheme="minorEastAsia" w:hAnsiTheme="minorEastAsia" w:eastAsiaTheme="minorEastAsia" w:cstheme="minorEastAsia"/>
          <w:spacing w:val="-5"/>
          <w:sz w:val="24"/>
          <w:szCs w:val="24"/>
          <w:highlight w:val="none"/>
          <w:lang w:val="en-US" w:eastAsia="zh-CN"/>
        </w:rPr>
        <w:t xml:space="preserve"> </w:t>
      </w:r>
      <w:r>
        <w:rPr>
          <w:rFonts w:hint="eastAsia" w:asciiTheme="minorEastAsia" w:hAnsiTheme="minorEastAsia" w:eastAsiaTheme="minorEastAsia" w:cstheme="minorEastAsia"/>
          <w:spacing w:val="-5"/>
          <w:sz w:val="24"/>
          <w:szCs w:val="24"/>
          <w:highlight w:val="none"/>
        </w:rPr>
        <w:t>其它落实政府采购政策的资格要求（如有</w:t>
      </w:r>
      <w:r>
        <w:rPr>
          <w:rFonts w:hint="eastAsia" w:asciiTheme="minorEastAsia" w:hAnsiTheme="minorEastAsia" w:eastAsiaTheme="minorEastAsia" w:cstheme="minorEastAsia"/>
          <w:spacing w:val="2"/>
          <w:sz w:val="24"/>
          <w:szCs w:val="24"/>
          <w:highlight w:val="none"/>
        </w:rPr>
        <w:t>）：</w:t>
      </w:r>
      <w:r>
        <w:rPr>
          <w:rFonts w:hint="eastAsia" w:asciiTheme="minorEastAsia" w:hAnsiTheme="minorEastAsia" w:eastAsiaTheme="minorEastAsia" w:cstheme="minorEastAsia"/>
          <w:sz w:val="24"/>
          <w:szCs w:val="24"/>
          <w:highlight w:val="none"/>
          <w:u w:val="single" w:color="auto"/>
          <w:lang w:eastAsia="zh-CN"/>
        </w:rPr>
        <w:t>无</w:t>
      </w:r>
      <w:r>
        <w:rPr>
          <w:rFonts w:hint="eastAsia" w:asciiTheme="minorEastAsia" w:hAnsiTheme="minorEastAsia" w:eastAsiaTheme="minorEastAsia" w:cstheme="minorEastAsia"/>
          <w:spacing w:val="-5"/>
          <w:sz w:val="24"/>
          <w:szCs w:val="24"/>
          <w:highlight w:val="none"/>
        </w:rPr>
        <w:t>。</w:t>
      </w:r>
    </w:p>
    <w:p w14:paraId="64E2C83D">
      <w:pPr>
        <w:pStyle w:val="8"/>
        <w:keepNext w:val="0"/>
        <w:keepLines w:val="0"/>
        <w:pageBreakBefore w:val="0"/>
        <w:wordWrap/>
        <w:overflowPunct/>
        <w:topLinePunct w:val="0"/>
        <w:autoSpaceDE w:val="0"/>
        <w:autoSpaceDN w:val="0"/>
        <w:bidi w:val="0"/>
        <w:adjustRightInd w:val="0"/>
        <w:spacing w:line="360" w:lineRule="auto"/>
        <w:ind w:left="0" w:leftChars="0" w:right="0" w:firstLine="232" w:firstLineChars="100"/>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3.本项目的特定资格要求：</w:t>
      </w:r>
    </w:p>
    <w:p w14:paraId="00D8D25E">
      <w:pPr>
        <w:pStyle w:val="8"/>
        <w:keepNext w:val="0"/>
        <w:keepLines w:val="0"/>
        <w:pageBreakBefore w:val="0"/>
        <w:wordWrap/>
        <w:overflowPunct/>
        <w:topLinePunct w:val="0"/>
        <w:autoSpaceDE w:val="0"/>
        <w:autoSpaceDN w:val="0"/>
        <w:bidi w:val="0"/>
        <w:adjustRightInd w:val="0"/>
        <w:spacing w:line="360" w:lineRule="auto"/>
        <w:ind w:left="0" w:leftChars="0" w:right="0" w:firstLine="460" w:firstLineChars="200"/>
        <w:rPr>
          <w:rFonts w:hint="eastAsia" w:asciiTheme="minorEastAsia" w:hAnsiTheme="minorEastAsia" w:eastAsiaTheme="minorEastAsia" w:cstheme="minorEastAsia"/>
          <w:spacing w:val="-5"/>
          <w:sz w:val="24"/>
          <w:szCs w:val="24"/>
          <w:highlight w:val="none"/>
        </w:rPr>
      </w:pPr>
      <w:r>
        <w:rPr>
          <w:rFonts w:hint="eastAsia" w:asciiTheme="minorEastAsia" w:hAnsiTheme="minorEastAsia" w:eastAsiaTheme="minorEastAsia" w:cstheme="minorEastAsia"/>
          <w:spacing w:val="-5"/>
          <w:sz w:val="24"/>
          <w:szCs w:val="24"/>
          <w:highlight w:val="none"/>
        </w:rPr>
        <w:t>3.1 本项目是否属于政府购买</w:t>
      </w:r>
      <w:r>
        <w:rPr>
          <w:rFonts w:hint="eastAsia" w:asciiTheme="minorEastAsia" w:hAnsiTheme="minorEastAsia" w:eastAsiaTheme="minorEastAsia" w:cstheme="minorEastAsia"/>
          <w:spacing w:val="-5"/>
          <w:sz w:val="24"/>
          <w:szCs w:val="24"/>
          <w:highlight w:val="none"/>
          <w:lang w:val="en-US" w:eastAsia="zh-CN"/>
        </w:rPr>
        <w:t>服务</w:t>
      </w:r>
      <w:r>
        <w:rPr>
          <w:rFonts w:hint="eastAsia" w:asciiTheme="minorEastAsia" w:hAnsiTheme="minorEastAsia" w:eastAsiaTheme="minorEastAsia" w:cstheme="minorEastAsia"/>
          <w:spacing w:val="-5"/>
          <w:sz w:val="24"/>
          <w:szCs w:val="24"/>
          <w:highlight w:val="none"/>
        </w:rPr>
        <w:t xml:space="preserve">： </w:t>
      </w:r>
    </w:p>
    <w:p w14:paraId="74EB0140">
      <w:pPr>
        <w:pStyle w:val="8"/>
        <w:keepNext w:val="0"/>
        <w:keepLines w:val="0"/>
        <w:pageBreakBefore w:val="0"/>
        <w:wordWrap/>
        <w:overflowPunct/>
        <w:topLinePunct w:val="0"/>
        <w:autoSpaceDE w:val="0"/>
        <w:autoSpaceDN w:val="0"/>
        <w:bidi w:val="0"/>
        <w:adjustRightInd w:val="0"/>
        <w:spacing w:line="360" w:lineRule="auto"/>
        <w:ind w:left="0" w:leftChars="0" w:right="0" w:firstLine="382" w:firstLineChars="182"/>
        <w:rPr>
          <w:rFonts w:hint="eastAsia" w:asciiTheme="minorEastAsia" w:hAnsiTheme="minorEastAsia" w:eastAsiaTheme="minorEastAsia" w:cstheme="minorEastAsia"/>
          <w:spacing w:val="-5"/>
          <w:sz w:val="24"/>
          <w:szCs w:val="24"/>
          <w:highlight w:val="none"/>
        </w:rPr>
      </w:pPr>
      <w:r>
        <w:rPr>
          <w:rFonts w:hint="eastAsia" w:ascii="Times New Roman" w:hAnsi="Times New Roman" w:cs="Times New Roman" w:eastAsiaTheme="minorEastAsia"/>
          <w:kern w:val="2"/>
          <w:sz w:val="21"/>
          <w:szCs w:val="21"/>
          <w:lang w:val="en-US" w:eastAsia="zh-CN" w:bidi="ar-SA"/>
        </w:rPr>
        <w:t>□</w:t>
      </w:r>
      <w:r>
        <w:rPr>
          <w:rFonts w:hint="eastAsia" w:asciiTheme="minorEastAsia" w:hAnsiTheme="minorEastAsia" w:eastAsiaTheme="minorEastAsia" w:cstheme="minorEastAsia"/>
          <w:spacing w:val="-5"/>
          <w:sz w:val="24"/>
          <w:szCs w:val="24"/>
          <w:highlight w:val="none"/>
        </w:rPr>
        <w:t>否</w:t>
      </w:r>
    </w:p>
    <w:p w14:paraId="4BEB13CF">
      <w:pPr>
        <w:pStyle w:val="8"/>
        <w:keepNext w:val="0"/>
        <w:keepLines w:val="0"/>
        <w:pageBreakBefore w:val="0"/>
        <w:wordWrap/>
        <w:overflowPunct/>
        <w:topLinePunct w:val="0"/>
        <w:autoSpaceDE w:val="0"/>
        <w:autoSpaceDN w:val="0"/>
        <w:bidi w:val="0"/>
        <w:adjustRightInd w:val="0"/>
        <w:spacing w:line="360" w:lineRule="auto"/>
        <w:ind w:left="0" w:leftChars="0" w:right="0" w:firstLine="380" w:firstLineChars="181"/>
        <w:rPr>
          <w:rFonts w:hint="eastAsia" w:asciiTheme="minorEastAsia" w:hAnsiTheme="minorEastAsia" w:eastAsiaTheme="minorEastAsia" w:cstheme="minorEastAsia"/>
          <w:sz w:val="24"/>
          <w:szCs w:val="24"/>
        </w:rPr>
      </w:pPr>
      <w:r>
        <w:rPr>
          <w:rFonts w:hint="eastAsia" w:ascii="Times New Roman" w:hAnsi="Times New Roman" w:cs="Times New Roman" w:eastAsiaTheme="minorEastAsia"/>
          <w:kern w:val="2"/>
          <w:sz w:val="21"/>
          <w:szCs w:val="21"/>
          <w:lang w:val="en-US" w:eastAsia="zh-CN" w:bidi="ar-SA"/>
        </w:rPr>
        <w:t>■</w:t>
      </w:r>
      <w:r>
        <w:rPr>
          <w:rFonts w:hint="eastAsia" w:asciiTheme="minorEastAsia" w:hAnsiTheme="minorEastAsia" w:eastAsiaTheme="minorEastAsia" w:cstheme="minorEastAsia"/>
          <w:spacing w:val="-4"/>
          <w:sz w:val="24"/>
          <w:szCs w:val="24"/>
        </w:rPr>
        <w:t>是，公益一类事业单位、使用事业编制且由财政拨款保障的群团组织，不</w:t>
      </w:r>
      <w:r>
        <w:rPr>
          <w:rFonts w:hint="eastAsia" w:asciiTheme="minorEastAsia" w:hAnsiTheme="minorEastAsia" w:eastAsiaTheme="minorEastAsia" w:cstheme="minorEastAsia"/>
          <w:sz w:val="24"/>
          <w:szCs w:val="24"/>
        </w:rPr>
        <w:t>得</w:t>
      </w:r>
      <w:r>
        <w:rPr>
          <w:rFonts w:hint="eastAsia" w:asciiTheme="minorEastAsia" w:hAnsiTheme="minorEastAsia" w:eastAsiaTheme="minorEastAsia" w:cstheme="minorEastAsia"/>
          <w:spacing w:val="-9"/>
          <w:sz w:val="24"/>
          <w:szCs w:val="24"/>
        </w:rPr>
        <w:t>作为承接主体；</w:t>
      </w:r>
    </w:p>
    <w:p w14:paraId="58F376C5">
      <w:pPr>
        <w:pStyle w:val="18"/>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360" w:lineRule="auto"/>
        <w:ind w:left="0" w:leftChars="0" w:right="0" w:firstLine="418" w:firstLineChars="173"/>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spacing w:val="1"/>
          <w:sz w:val="24"/>
          <w:szCs w:val="24"/>
        </w:rPr>
        <w:t>3.2 其他特定资格要求：</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w:t>
      </w:r>
    </w:p>
    <w:p w14:paraId="333704C0">
      <w:pPr>
        <w:ind w:firstLine="480" w:firstLineChars="200"/>
        <w:rPr>
          <w:rFonts w:hint="eastAsia" w:asciiTheme="minorEastAsia" w:hAnsiTheme="minorEastAsia" w:eastAsiaTheme="minorEastAsia" w:cstheme="minorEastAsia"/>
          <w:i/>
          <w:iCs/>
          <w:sz w:val="24"/>
          <w:szCs w:val="24"/>
          <w:u w:val="single"/>
          <w:lang w:val="en-US" w:eastAsia="zh-CN"/>
        </w:rPr>
      </w:pPr>
    </w:p>
    <w:p w14:paraId="099580B6">
      <w:pPr>
        <w:pStyle w:val="4"/>
        <w:spacing w:line="360" w:lineRule="auto"/>
        <w:rPr>
          <w:rFonts w:hint="eastAsia" w:asciiTheme="minorEastAsia" w:hAnsiTheme="minorEastAsia" w:eastAsiaTheme="minorEastAsia" w:cstheme="minorEastAsia"/>
          <w:b w:val="0"/>
          <w:sz w:val="24"/>
          <w:szCs w:val="24"/>
        </w:rPr>
      </w:pPr>
      <w:bookmarkStart w:id="12" w:name="_Toc35393631"/>
      <w:bookmarkStart w:id="13" w:name="_Toc35393800"/>
      <w:r>
        <w:rPr>
          <w:rFonts w:hint="eastAsia" w:asciiTheme="minorEastAsia" w:hAnsiTheme="minorEastAsia" w:eastAsiaTheme="minorEastAsia" w:cstheme="minorEastAsia"/>
          <w:b w:val="0"/>
          <w:sz w:val="24"/>
          <w:szCs w:val="24"/>
        </w:rPr>
        <w:t>三、获取采购文件</w:t>
      </w:r>
      <w:bookmarkEnd w:id="10"/>
      <w:bookmarkEnd w:id="11"/>
      <w:bookmarkEnd w:id="12"/>
      <w:bookmarkEnd w:id="13"/>
    </w:p>
    <w:p w14:paraId="491D7435">
      <w:pPr>
        <w:spacing w:line="360" w:lineRule="auto"/>
        <w:ind w:firstLine="54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时间：</w:t>
      </w:r>
      <w:r>
        <w:rPr>
          <w:rFonts w:hint="eastAsia" w:asciiTheme="minorEastAsia" w:hAnsiTheme="minorEastAsia" w:eastAsiaTheme="minorEastAsia" w:cstheme="minorEastAsia"/>
          <w:color w:val="auto"/>
          <w:sz w:val="24"/>
          <w:szCs w:val="24"/>
          <w:u w:val="single"/>
          <w:lang w:val="en-US" w:eastAsia="zh-CN"/>
        </w:rPr>
        <w:t>2026</w:t>
      </w:r>
      <w:r>
        <w:rPr>
          <w:rFonts w:hint="eastAsia" w:asciiTheme="minorEastAsia" w:hAnsiTheme="minorEastAsia" w:eastAsiaTheme="minorEastAsia" w:cstheme="minorEastAsia"/>
          <w:color w:val="auto"/>
          <w:sz w:val="24"/>
          <w:szCs w:val="24"/>
          <w:u w:val="single"/>
        </w:rPr>
        <w:t>年</w:t>
      </w:r>
      <w:r>
        <w:rPr>
          <w:rFonts w:hint="eastAsia" w:asciiTheme="minorEastAsia" w:hAnsiTheme="minorEastAsia" w:eastAsiaTheme="minorEastAsia" w:cstheme="minorEastAsia"/>
          <w:color w:val="auto"/>
          <w:sz w:val="24"/>
          <w:szCs w:val="24"/>
          <w:u w:val="single"/>
          <w:lang w:val="en-US" w:eastAsia="zh-CN"/>
        </w:rPr>
        <w:t>10</w:t>
      </w:r>
      <w:r>
        <w:rPr>
          <w:rFonts w:hint="eastAsia" w:asciiTheme="minorEastAsia" w:hAnsiTheme="minorEastAsia" w:eastAsiaTheme="minorEastAsia" w:cstheme="minorEastAsia"/>
          <w:color w:val="auto"/>
          <w:sz w:val="24"/>
          <w:szCs w:val="24"/>
          <w:u w:val="single"/>
        </w:rPr>
        <w:t>月</w:t>
      </w:r>
      <w:r>
        <w:rPr>
          <w:rFonts w:hint="eastAsia" w:asciiTheme="minorEastAsia" w:hAnsiTheme="minorEastAsia" w:eastAsiaTheme="minorEastAsia" w:cstheme="minorEastAsia"/>
          <w:color w:val="auto"/>
          <w:sz w:val="24"/>
          <w:szCs w:val="24"/>
          <w:u w:val="single"/>
          <w:lang w:val="en-US" w:eastAsia="zh-CN"/>
        </w:rPr>
        <w:t>22</w:t>
      </w:r>
      <w:r>
        <w:rPr>
          <w:rFonts w:hint="eastAsia" w:asciiTheme="minorEastAsia" w:hAnsiTheme="minorEastAsia" w:eastAsiaTheme="minorEastAsia" w:cstheme="minorEastAsia"/>
          <w:color w:val="auto"/>
          <w:sz w:val="24"/>
          <w:szCs w:val="24"/>
          <w:u w:val="single"/>
        </w:rPr>
        <w:t>日</w:t>
      </w:r>
      <w:r>
        <w:rPr>
          <w:rFonts w:hint="eastAsia" w:asciiTheme="minorEastAsia" w:hAnsiTheme="minorEastAsia" w:eastAsiaTheme="minorEastAsia" w:cstheme="minorEastAsia"/>
          <w:color w:val="auto"/>
          <w:sz w:val="24"/>
          <w:szCs w:val="24"/>
        </w:rPr>
        <w:t>至</w:t>
      </w:r>
      <w:r>
        <w:rPr>
          <w:rFonts w:hint="eastAsia" w:asciiTheme="minorEastAsia" w:hAnsiTheme="minorEastAsia" w:eastAsiaTheme="minorEastAsia" w:cstheme="minorEastAsia"/>
          <w:color w:val="auto"/>
          <w:sz w:val="24"/>
          <w:szCs w:val="24"/>
          <w:u w:val="single"/>
          <w:lang w:val="en-US" w:eastAsia="zh-CN"/>
        </w:rPr>
        <w:t>2026</w:t>
      </w:r>
      <w:r>
        <w:rPr>
          <w:rFonts w:hint="eastAsia" w:asciiTheme="minorEastAsia" w:hAnsiTheme="minorEastAsia" w:eastAsiaTheme="minorEastAsia" w:cstheme="minorEastAsia"/>
          <w:color w:val="auto"/>
          <w:sz w:val="24"/>
          <w:szCs w:val="24"/>
          <w:u w:val="single"/>
        </w:rPr>
        <w:t>年</w:t>
      </w:r>
      <w:r>
        <w:rPr>
          <w:rFonts w:hint="eastAsia" w:asciiTheme="minorEastAsia" w:hAnsiTheme="minorEastAsia" w:eastAsiaTheme="minorEastAsia" w:cstheme="minorEastAsia"/>
          <w:color w:val="auto"/>
          <w:sz w:val="24"/>
          <w:szCs w:val="24"/>
          <w:u w:val="single"/>
          <w:lang w:val="en-US" w:eastAsia="zh-CN"/>
        </w:rPr>
        <w:t>10</w:t>
      </w:r>
      <w:r>
        <w:rPr>
          <w:rFonts w:hint="eastAsia" w:asciiTheme="minorEastAsia" w:hAnsiTheme="minorEastAsia" w:eastAsiaTheme="minorEastAsia" w:cstheme="minorEastAsia"/>
          <w:color w:val="auto"/>
          <w:sz w:val="24"/>
          <w:szCs w:val="24"/>
          <w:u w:val="single"/>
        </w:rPr>
        <w:t>月</w:t>
      </w:r>
      <w:r>
        <w:rPr>
          <w:rFonts w:hint="eastAsia" w:asciiTheme="minorEastAsia" w:hAnsiTheme="minorEastAsia" w:eastAsiaTheme="minorEastAsia" w:cstheme="minorEastAsia"/>
          <w:color w:val="auto"/>
          <w:sz w:val="24"/>
          <w:szCs w:val="24"/>
          <w:u w:val="single"/>
          <w:lang w:val="en-US" w:eastAsia="zh-CN"/>
        </w:rPr>
        <w:t>28</w:t>
      </w:r>
      <w:r>
        <w:rPr>
          <w:rFonts w:hint="eastAsia" w:asciiTheme="minorEastAsia" w:hAnsiTheme="minorEastAsia" w:eastAsiaTheme="minorEastAsia" w:cstheme="minorEastAsia"/>
          <w:color w:val="auto"/>
          <w:sz w:val="24"/>
          <w:szCs w:val="24"/>
          <w:u w:val="single"/>
        </w:rPr>
        <w:t>日</w:t>
      </w:r>
      <w:r>
        <w:rPr>
          <w:rFonts w:hint="eastAsia" w:asciiTheme="minorEastAsia" w:hAnsiTheme="minorEastAsia" w:eastAsiaTheme="minorEastAsia" w:cstheme="minorEastAsia"/>
          <w:color w:val="auto"/>
          <w:sz w:val="24"/>
          <w:szCs w:val="24"/>
        </w:rPr>
        <w:t>，每天上午</w:t>
      </w:r>
      <w:r>
        <w:rPr>
          <w:rFonts w:hint="eastAsia" w:asciiTheme="minorEastAsia" w:hAnsiTheme="minorEastAsia" w:eastAsiaTheme="minorEastAsia" w:cstheme="minorEastAsia"/>
          <w:color w:val="auto"/>
          <w:sz w:val="24"/>
          <w:szCs w:val="24"/>
          <w:u w:val="single"/>
          <w:lang w:val="en-US" w:eastAsia="zh-CN"/>
        </w:rPr>
        <w:t>9:30</w:t>
      </w:r>
      <w:r>
        <w:rPr>
          <w:rFonts w:hint="eastAsia" w:asciiTheme="minorEastAsia" w:hAnsiTheme="minorEastAsia" w:eastAsiaTheme="minorEastAsia" w:cstheme="minorEastAsia"/>
          <w:color w:val="auto"/>
          <w:sz w:val="24"/>
          <w:szCs w:val="24"/>
        </w:rPr>
        <w:t>至</w:t>
      </w:r>
      <w:r>
        <w:rPr>
          <w:rFonts w:hint="eastAsia" w:asciiTheme="minorEastAsia" w:hAnsiTheme="minorEastAsia" w:eastAsiaTheme="minorEastAsia" w:cstheme="minorEastAsia"/>
          <w:color w:val="auto"/>
          <w:sz w:val="24"/>
          <w:szCs w:val="24"/>
          <w:u w:val="single"/>
          <w:lang w:val="en-US" w:eastAsia="zh-CN"/>
        </w:rPr>
        <w:t>12:00</w:t>
      </w:r>
      <w:r>
        <w:rPr>
          <w:rFonts w:hint="eastAsia" w:asciiTheme="minorEastAsia" w:hAnsiTheme="minorEastAsia" w:eastAsiaTheme="minorEastAsia" w:cstheme="minorEastAsia"/>
          <w:color w:val="auto"/>
          <w:sz w:val="24"/>
          <w:szCs w:val="24"/>
        </w:rPr>
        <w:t>，下午</w:t>
      </w:r>
      <w:r>
        <w:rPr>
          <w:rFonts w:hint="eastAsia" w:asciiTheme="minorEastAsia" w:hAnsiTheme="minorEastAsia" w:eastAsiaTheme="minorEastAsia" w:cstheme="minorEastAsia"/>
          <w:color w:val="auto"/>
          <w:sz w:val="24"/>
          <w:szCs w:val="24"/>
          <w:u w:val="single"/>
          <w:lang w:val="en-US" w:eastAsia="zh-CN"/>
        </w:rPr>
        <w:t>12:00</w:t>
      </w:r>
      <w:r>
        <w:rPr>
          <w:rFonts w:hint="eastAsia" w:asciiTheme="minorEastAsia" w:hAnsiTheme="minorEastAsia" w:eastAsiaTheme="minorEastAsia" w:cstheme="minorEastAsia"/>
          <w:color w:val="auto"/>
          <w:sz w:val="24"/>
          <w:szCs w:val="24"/>
        </w:rPr>
        <w:t>至</w:t>
      </w:r>
      <w:r>
        <w:rPr>
          <w:rFonts w:hint="eastAsia" w:asciiTheme="minorEastAsia" w:hAnsiTheme="minorEastAsia" w:eastAsiaTheme="minorEastAsia" w:cstheme="minorEastAsia"/>
          <w:color w:val="auto"/>
          <w:sz w:val="24"/>
          <w:szCs w:val="24"/>
          <w:u w:val="single"/>
          <w:lang w:val="en-US" w:eastAsia="zh-CN"/>
        </w:rPr>
        <w:t>17:00</w:t>
      </w:r>
      <w:r>
        <w:rPr>
          <w:rFonts w:hint="eastAsia" w:asciiTheme="minorEastAsia" w:hAnsiTheme="minorEastAsia" w:eastAsiaTheme="minorEastAsia" w:cstheme="minorEastAsia"/>
          <w:color w:val="auto"/>
          <w:sz w:val="24"/>
          <w:szCs w:val="24"/>
        </w:rPr>
        <w:t>（北京时间，法定节假日除外 ）</w:t>
      </w:r>
    </w:p>
    <w:p w14:paraId="68107A21">
      <w:pPr>
        <w:spacing w:line="360" w:lineRule="auto"/>
        <w:ind w:firstLine="54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地点：北京市政府采购电子交易平台</w:t>
      </w:r>
    </w:p>
    <w:p w14:paraId="5D52C434">
      <w:pPr>
        <w:keepNext w:val="0"/>
        <w:keepLines w:val="0"/>
        <w:pageBreakBefore w:val="0"/>
        <w:widowControl w:val="0"/>
        <w:kinsoku/>
        <w:wordWrap w:val="0"/>
        <w:overflowPunct/>
        <w:topLinePunct w:val="0"/>
        <w:autoSpaceDE/>
        <w:autoSpaceDN/>
        <w:bidi w:val="0"/>
        <w:adjustRightInd/>
        <w:snapToGrid/>
        <w:spacing w:line="360" w:lineRule="auto"/>
        <w:ind w:firstLine="539"/>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方式：本项目采用全流程电子化采购方式，线上下载招标文件。供应商按照规定办理 CA 数字认证证书（北京一证通数字证书）或电子营业执照后，自磋商公告发布之日起持供应商自身数字证书或电子营业执照登录北京市政府采购电子交易平台（https://zbcg-bjzc.zhongcy.com/bjczj-portal-site/#/home）免费获取电子版磋商文件，未在规定期限内通过北京市政府采购电子交易平台获取磋商文件的投标无效。</w:t>
      </w:r>
    </w:p>
    <w:p w14:paraId="7256B79E">
      <w:pPr>
        <w:spacing w:line="360" w:lineRule="auto"/>
        <w:ind w:firstLine="5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售价：0元。</w:t>
      </w:r>
    </w:p>
    <w:p w14:paraId="3B4683B9">
      <w:pPr>
        <w:pStyle w:val="4"/>
        <w:spacing w:line="360" w:lineRule="auto"/>
        <w:rPr>
          <w:rFonts w:hint="eastAsia" w:asciiTheme="minorEastAsia" w:hAnsiTheme="minorEastAsia" w:eastAsiaTheme="minorEastAsia" w:cstheme="minorEastAsia"/>
          <w:b w:val="0"/>
          <w:sz w:val="24"/>
          <w:szCs w:val="24"/>
        </w:rPr>
      </w:pPr>
      <w:bookmarkStart w:id="14" w:name="_Toc35393632"/>
      <w:bookmarkStart w:id="15" w:name="_Toc28359092"/>
      <w:bookmarkStart w:id="16" w:name="_Toc35393801"/>
      <w:bookmarkStart w:id="17" w:name="_Toc28359015"/>
      <w:r>
        <w:rPr>
          <w:rFonts w:hint="eastAsia" w:asciiTheme="minorEastAsia" w:hAnsiTheme="minorEastAsia" w:eastAsiaTheme="minorEastAsia" w:cstheme="minorEastAsia"/>
          <w:b w:val="0"/>
          <w:sz w:val="24"/>
          <w:szCs w:val="24"/>
        </w:rPr>
        <w:t>四、响应文件提交</w:t>
      </w:r>
      <w:bookmarkEnd w:id="14"/>
      <w:bookmarkEnd w:id="15"/>
      <w:bookmarkEnd w:id="16"/>
      <w:bookmarkEnd w:id="17"/>
    </w:p>
    <w:p w14:paraId="79B9DF4D">
      <w:pPr>
        <w:ind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截止时间：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2026</w:t>
      </w:r>
      <w:r>
        <w:rPr>
          <w:rFonts w:hint="eastAsia" w:asciiTheme="minorEastAsia" w:hAnsiTheme="minorEastAsia" w:eastAsiaTheme="minorEastAsia" w:cstheme="minorEastAsia"/>
          <w:bCs/>
          <w:sz w:val="24"/>
          <w:szCs w:val="24"/>
          <w:u w:val="single"/>
        </w:rPr>
        <w:t xml:space="preserve">年 </w:t>
      </w:r>
      <w:r>
        <w:rPr>
          <w:rFonts w:hint="eastAsia" w:asciiTheme="minorEastAsia" w:hAnsiTheme="minorEastAsia" w:eastAsiaTheme="minorEastAsia" w:cstheme="minorEastAsia"/>
          <w:bCs/>
          <w:sz w:val="24"/>
          <w:szCs w:val="24"/>
          <w:u w:val="single"/>
          <w:lang w:val="en-US" w:eastAsia="zh-CN"/>
        </w:rPr>
        <w:t>11</w:t>
      </w:r>
      <w:r>
        <w:rPr>
          <w:rFonts w:hint="eastAsia" w:asciiTheme="minorEastAsia" w:hAnsiTheme="minorEastAsia" w:eastAsiaTheme="minorEastAsia" w:cstheme="minorEastAsia"/>
          <w:bCs/>
          <w:sz w:val="24"/>
          <w:szCs w:val="24"/>
          <w:u w:val="single"/>
        </w:rPr>
        <w:t>月</w:t>
      </w:r>
      <w:r>
        <w:rPr>
          <w:rFonts w:hint="eastAsia" w:asciiTheme="minorEastAsia" w:hAnsiTheme="minorEastAsia" w:eastAsiaTheme="minorEastAsia" w:cstheme="minorEastAsia"/>
          <w:bCs/>
          <w:sz w:val="24"/>
          <w:szCs w:val="24"/>
          <w:u w:val="single"/>
          <w:lang w:val="en-US" w:eastAsia="zh-CN"/>
        </w:rPr>
        <w:t>3</w:t>
      </w:r>
      <w:r>
        <w:rPr>
          <w:rFonts w:hint="eastAsia" w:asciiTheme="minorEastAsia" w:hAnsiTheme="minorEastAsia" w:eastAsiaTheme="minorEastAsia" w:cstheme="minorEastAsia"/>
          <w:bCs/>
          <w:sz w:val="24"/>
          <w:szCs w:val="24"/>
          <w:u w:val="single"/>
        </w:rPr>
        <w:t>日</w:t>
      </w:r>
      <w:r>
        <w:rPr>
          <w:rFonts w:hint="eastAsia" w:asciiTheme="minorEastAsia" w:hAnsiTheme="minorEastAsia" w:eastAsiaTheme="minorEastAsia" w:cstheme="minorEastAsia"/>
          <w:bCs/>
          <w:sz w:val="24"/>
          <w:szCs w:val="24"/>
          <w:u w:val="single"/>
          <w:lang w:val="en-US" w:eastAsia="zh-CN"/>
        </w:rPr>
        <w:t>9</w:t>
      </w:r>
      <w:r>
        <w:rPr>
          <w:rFonts w:hint="eastAsia" w:asciiTheme="minorEastAsia" w:hAnsiTheme="minorEastAsia" w:eastAsiaTheme="minorEastAsia" w:cstheme="minorEastAsia"/>
          <w:bCs/>
          <w:sz w:val="24"/>
          <w:szCs w:val="24"/>
          <w:u w:val="single"/>
        </w:rPr>
        <w:t>点</w:t>
      </w:r>
      <w:r>
        <w:rPr>
          <w:rFonts w:hint="eastAsia" w:asciiTheme="minorEastAsia" w:hAnsiTheme="minorEastAsia" w:eastAsiaTheme="minorEastAsia" w:cstheme="minorEastAsia"/>
          <w:bCs/>
          <w:sz w:val="24"/>
          <w:szCs w:val="24"/>
          <w:u w:val="single"/>
          <w:lang w:val="en-US" w:eastAsia="zh-CN"/>
        </w:rPr>
        <w:t>30</w:t>
      </w:r>
      <w:r>
        <w:rPr>
          <w:rFonts w:hint="eastAsia" w:asciiTheme="minorEastAsia" w:hAnsiTheme="minorEastAsia" w:eastAsiaTheme="minorEastAsia" w:cstheme="minorEastAsia"/>
          <w:bCs/>
          <w:sz w:val="24"/>
          <w:szCs w:val="24"/>
          <w:u w:val="single"/>
        </w:rPr>
        <w:t>分</w:t>
      </w:r>
      <w:r>
        <w:rPr>
          <w:rFonts w:hint="eastAsia" w:asciiTheme="minorEastAsia" w:hAnsiTheme="minorEastAsia" w:eastAsiaTheme="minorEastAsia" w:cstheme="minorEastAsia"/>
          <w:bCs/>
          <w:sz w:val="24"/>
          <w:szCs w:val="24"/>
        </w:rPr>
        <w:t>（北京时间）</w:t>
      </w:r>
    </w:p>
    <w:p w14:paraId="5EC90977">
      <w:pPr>
        <w:ind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地点：</w:t>
      </w:r>
      <w:r>
        <w:rPr>
          <w:rFonts w:hint="eastAsia" w:asciiTheme="minorEastAsia" w:hAnsiTheme="minorEastAsia" w:eastAsiaTheme="minorEastAsia" w:cstheme="minorEastAsia"/>
          <w:sz w:val="24"/>
          <w:szCs w:val="24"/>
          <w:u w:val="single"/>
        </w:rPr>
        <w:t>北京市大兴区公共资源交易分中心三层。</w:t>
      </w:r>
    </w:p>
    <w:p w14:paraId="44511E06">
      <w:pPr>
        <w:pStyle w:val="4"/>
        <w:spacing w:line="360" w:lineRule="auto"/>
        <w:rPr>
          <w:rFonts w:hint="eastAsia" w:asciiTheme="minorEastAsia" w:hAnsiTheme="minorEastAsia" w:eastAsiaTheme="minorEastAsia" w:cstheme="minorEastAsia"/>
          <w:b w:val="0"/>
          <w:sz w:val="24"/>
          <w:szCs w:val="24"/>
        </w:rPr>
      </w:pPr>
      <w:bookmarkStart w:id="18" w:name="_Toc28359093"/>
      <w:bookmarkStart w:id="19" w:name="_Toc28359016"/>
      <w:bookmarkStart w:id="20" w:name="_Toc35393802"/>
      <w:bookmarkStart w:id="21" w:name="_Toc35393633"/>
      <w:r>
        <w:rPr>
          <w:rFonts w:hint="eastAsia" w:asciiTheme="minorEastAsia" w:hAnsiTheme="minorEastAsia" w:eastAsiaTheme="minorEastAsia" w:cstheme="minorEastAsia"/>
          <w:b w:val="0"/>
          <w:sz w:val="24"/>
          <w:szCs w:val="24"/>
        </w:rPr>
        <w:t>五、开启</w:t>
      </w:r>
      <w:bookmarkEnd w:id="18"/>
      <w:bookmarkEnd w:id="19"/>
      <w:bookmarkEnd w:id="20"/>
      <w:bookmarkEnd w:id="21"/>
    </w:p>
    <w:p w14:paraId="0C05D95C">
      <w:pPr>
        <w:ind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时间：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2026</w:t>
      </w:r>
      <w:r>
        <w:rPr>
          <w:rFonts w:hint="eastAsia" w:asciiTheme="minorEastAsia" w:hAnsiTheme="minorEastAsia" w:eastAsiaTheme="minorEastAsia" w:cstheme="minorEastAsia"/>
          <w:bCs/>
          <w:sz w:val="24"/>
          <w:szCs w:val="24"/>
          <w:u w:val="single"/>
        </w:rPr>
        <w:t>年</w:t>
      </w:r>
      <w:r>
        <w:rPr>
          <w:rFonts w:hint="eastAsia" w:asciiTheme="minorEastAsia" w:hAnsiTheme="minorEastAsia" w:eastAsiaTheme="minorEastAsia" w:cstheme="minorEastAsia"/>
          <w:bCs/>
          <w:sz w:val="24"/>
          <w:szCs w:val="24"/>
          <w:u w:val="single"/>
          <w:lang w:val="en-US" w:eastAsia="zh-CN"/>
        </w:rPr>
        <w:t>11</w:t>
      </w:r>
      <w:r>
        <w:rPr>
          <w:rFonts w:hint="eastAsia" w:asciiTheme="minorEastAsia" w:hAnsiTheme="minorEastAsia" w:eastAsiaTheme="minorEastAsia" w:cstheme="minorEastAsia"/>
          <w:bCs/>
          <w:sz w:val="24"/>
          <w:szCs w:val="24"/>
          <w:u w:val="single"/>
        </w:rPr>
        <w:t>月</w:t>
      </w:r>
      <w:r>
        <w:rPr>
          <w:rFonts w:hint="eastAsia" w:asciiTheme="minorEastAsia" w:hAnsiTheme="minorEastAsia" w:eastAsiaTheme="minorEastAsia" w:cstheme="minorEastAsia"/>
          <w:bCs/>
          <w:sz w:val="24"/>
          <w:szCs w:val="24"/>
          <w:u w:val="single"/>
          <w:lang w:val="en-US" w:eastAsia="zh-CN"/>
        </w:rPr>
        <w:t>3</w:t>
      </w:r>
      <w:r>
        <w:rPr>
          <w:rFonts w:hint="eastAsia" w:asciiTheme="minorEastAsia" w:hAnsiTheme="minorEastAsia" w:eastAsiaTheme="minorEastAsia" w:cstheme="minorEastAsia"/>
          <w:bCs/>
          <w:sz w:val="24"/>
          <w:szCs w:val="24"/>
          <w:u w:val="single"/>
        </w:rPr>
        <w:t>日</w:t>
      </w:r>
      <w:r>
        <w:rPr>
          <w:rFonts w:hint="eastAsia" w:asciiTheme="minorEastAsia" w:hAnsiTheme="minorEastAsia" w:eastAsiaTheme="minorEastAsia" w:cstheme="minorEastAsia"/>
          <w:bCs/>
          <w:sz w:val="24"/>
          <w:szCs w:val="24"/>
          <w:u w:val="single"/>
          <w:lang w:val="en-US" w:eastAsia="zh-CN"/>
        </w:rPr>
        <w:t>9</w:t>
      </w:r>
      <w:r>
        <w:rPr>
          <w:rFonts w:hint="eastAsia" w:asciiTheme="minorEastAsia" w:hAnsiTheme="minorEastAsia" w:eastAsiaTheme="minorEastAsia" w:cstheme="minorEastAsia"/>
          <w:bCs/>
          <w:sz w:val="24"/>
          <w:szCs w:val="24"/>
          <w:u w:val="single"/>
        </w:rPr>
        <w:t>点</w:t>
      </w:r>
      <w:r>
        <w:rPr>
          <w:rFonts w:hint="eastAsia" w:asciiTheme="minorEastAsia" w:hAnsiTheme="minorEastAsia" w:eastAsiaTheme="minorEastAsia" w:cstheme="minorEastAsia"/>
          <w:bCs/>
          <w:sz w:val="24"/>
          <w:szCs w:val="24"/>
          <w:u w:val="single"/>
          <w:lang w:val="en-US" w:eastAsia="zh-CN"/>
        </w:rPr>
        <w:t>30</w:t>
      </w:r>
      <w:r>
        <w:rPr>
          <w:rFonts w:hint="eastAsia" w:asciiTheme="minorEastAsia" w:hAnsiTheme="minorEastAsia" w:eastAsiaTheme="minorEastAsia" w:cstheme="minorEastAsia"/>
          <w:bCs/>
          <w:sz w:val="24"/>
          <w:szCs w:val="24"/>
          <w:u w:val="single"/>
        </w:rPr>
        <w:t>分</w:t>
      </w:r>
      <w:r>
        <w:rPr>
          <w:rFonts w:hint="eastAsia" w:asciiTheme="minorEastAsia" w:hAnsiTheme="minorEastAsia" w:eastAsiaTheme="minorEastAsia" w:cstheme="minorEastAsia"/>
          <w:bCs/>
          <w:sz w:val="24"/>
          <w:szCs w:val="24"/>
        </w:rPr>
        <w:t>（北京时间）</w:t>
      </w:r>
    </w:p>
    <w:p w14:paraId="1E0FA2AF">
      <w:pPr>
        <w:ind w:firstLine="480" w:firstLineChars="200"/>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地点：</w:t>
      </w:r>
      <w:r>
        <w:rPr>
          <w:rFonts w:hint="eastAsia" w:asciiTheme="minorEastAsia" w:hAnsiTheme="minorEastAsia" w:eastAsiaTheme="minorEastAsia" w:cstheme="minorEastAsia"/>
          <w:sz w:val="24"/>
          <w:szCs w:val="24"/>
          <w:u w:val="single"/>
        </w:rPr>
        <w:t>北京市大兴区公共资源交易分中心三层。</w:t>
      </w:r>
    </w:p>
    <w:p w14:paraId="0411D56C">
      <w:pPr>
        <w:pStyle w:val="4"/>
        <w:spacing w:line="360" w:lineRule="auto"/>
        <w:rPr>
          <w:rFonts w:hint="eastAsia" w:asciiTheme="minorEastAsia" w:hAnsiTheme="minorEastAsia" w:eastAsiaTheme="minorEastAsia" w:cstheme="minorEastAsia"/>
          <w:b w:val="0"/>
          <w:sz w:val="24"/>
          <w:szCs w:val="24"/>
        </w:rPr>
      </w:pPr>
      <w:bookmarkStart w:id="22" w:name="_Toc28359017"/>
      <w:bookmarkStart w:id="23" w:name="_Toc35393803"/>
      <w:bookmarkStart w:id="24" w:name="_Toc35393634"/>
      <w:bookmarkStart w:id="25" w:name="_Toc28359094"/>
      <w:r>
        <w:rPr>
          <w:rFonts w:hint="eastAsia" w:asciiTheme="minorEastAsia" w:hAnsiTheme="minorEastAsia" w:eastAsiaTheme="minorEastAsia" w:cstheme="minorEastAsia"/>
          <w:b w:val="0"/>
          <w:sz w:val="24"/>
          <w:szCs w:val="24"/>
        </w:rPr>
        <w:t>六、公告期</w:t>
      </w:r>
      <w:bookmarkStart w:id="44" w:name="_GoBack"/>
      <w:r>
        <w:rPr>
          <w:rFonts w:hint="eastAsia" w:asciiTheme="minorEastAsia" w:hAnsiTheme="minorEastAsia" w:eastAsiaTheme="minorEastAsia" w:cstheme="minorEastAsia"/>
          <w:b w:val="0"/>
          <w:sz w:val="24"/>
          <w:szCs w:val="24"/>
        </w:rPr>
        <w:t>限</w:t>
      </w:r>
      <w:bookmarkEnd w:id="22"/>
      <w:bookmarkEnd w:id="23"/>
      <w:bookmarkEnd w:id="24"/>
      <w:bookmarkEnd w:id="25"/>
    </w:p>
    <w:p w14:paraId="53862549">
      <w:pPr>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自本公告发布之日起3个工作日。</w:t>
      </w:r>
    </w:p>
    <w:p w14:paraId="00663AD7">
      <w:pPr>
        <w:pStyle w:val="4"/>
        <w:spacing w:line="360" w:lineRule="auto"/>
        <w:rPr>
          <w:rFonts w:hint="eastAsia" w:asciiTheme="minorEastAsia" w:hAnsiTheme="minorEastAsia" w:eastAsiaTheme="minorEastAsia" w:cstheme="minorEastAsia"/>
          <w:b w:val="0"/>
          <w:sz w:val="24"/>
          <w:szCs w:val="24"/>
        </w:rPr>
      </w:pPr>
      <w:bookmarkStart w:id="26" w:name="_Toc35393635"/>
      <w:bookmarkStart w:id="27" w:name="_Toc35393804"/>
      <w:r>
        <w:rPr>
          <w:rFonts w:hint="eastAsia" w:asciiTheme="minorEastAsia" w:hAnsiTheme="minorEastAsia" w:eastAsiaTheme="minorEastAsia" w:cstheme="minorEastAsia"/>
          <w:b w:val="0"/>
          <w:sz w:val="24"/>
          <w:szCs w:val="24"/>
        </w:rPr>
        <w:t>七、其他补充事宜</w:t>
      </w:r>
      <w:bookmarkEnd w:id="26"/>
      <w:bookmarkEnd w:id="27"/>
    </w:p>
    <w:p w14:paraId="3EF1F582">
      <w:pPr>
        <w:spacing w:line="360" w:lineRule="auto"/>
        <w:ind w:firstLine="480" w:firstLineChars="200"/>
        <w:rPr>
          <w:rFonts w:eastAsiaTheme="minorEastAsia"/>
          <w:sz w:val="24"/>
        </w:rPr>
      </w:pPr>
      <w:r>
        <w:rPr>
          <w:rFonts w:eastAsiaTheme="minorEastAsia"/>
          <w:sz w:val="24"/>
        </w:rPr>
        <w:t>1.本项目需要落实的政府采购政策：</w:t>
      </w:r>
      <w:r>
        <w:rPr>
          <w:rFonts w:hint="eastAsia"/>
          <w:sz w:val="24"/>
          <w:u w:val="single"/>
          <w:lang w:bidi="ar"/>
        </w:rPr>
        <w:t>如涉及的详见竞争性磋商文件各章对应条款要求</w:t>
      </w:r>
      <w:r>
        <w:rPr>
          <w:sz w:val="24"/>
          <w:lang w:bidi="ar"/>
        </w:rPr>
        <w:t>____</w:t>
      </w:r>
      <w:r>
        <w:rPr>
          <w:rFonts w:eastAsiaTheme="minorEastAsia"/>
          <w:sz w:val="24"/>
          <w:lang w:bidi="ar"/>
        </w:rPr>
        <w:t>。</w:t>
      </w:r>
    </w:p>
    <w:p w14:paraId="342822DD">
      <w:pPr>
        <w:widowControl/>
        <w:adjustRightInd w:val="0"/>
        <w:snapToGrid w:val="0"/>
        <w:spacing w:line="360" w:lineRule="auto"/>
        <w:ind w:firstLine="480" w:firstLineChars="200"/>
        <w:jc w:val="left"/>
        <w:rPr>
          <w:rFonts w:eastAsiaTheme="minorEastAsia"/>
          <w:bCs/>
          <w:sz w:val="24"/>
          <w:lang w:bidi="ar"/>
        </w:rPr>
      </w:pPr>
      <w:r>
        <w:rPr>
          <w:rFonts w:hint="eastAsia" w:eastAsiaTheme="minorEastAsia"/>
          <w:sz w:val="24"/>
          <w:lang w:val="en-US" w:eastAsia="zh-CN" w:bidi="ar"/>
        </w:rPr>
        <w:t>2</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7F409470">
      <w:pPr>
        <w:adjustRightInd w:val="0"/>
        <w:snapToGrid w:val="0"/>
        <w:spacing w:line="360" w:lineRule="auto"/>
        <w:ind w:firstLine="480" w:firstLineChars="200"/>
        <w:rPr>
          <w:sz w:val="24"/>
          <w:lang w:bidi="ar"/>
        </w:rPr>
      </w:pPr>
      <w:r>
        <w:rPr>
          <w:sz w:val="24"/>
          <w:lang w:bidi="ar"/>
        </w:rPr>
        <w:t>CA数字证书服务热线 010-58511086</w:t>
      </w:r>
    </w:p>
    <w:p w14:paraId="4C4772F0">
      <w:pPr>
        <w:adjustRightInd w:val="0"/>
        <w:snapToGrid w:val="0"/>
        <w:spacing w:line="360" w:lineRule="auto"/>
        <w:ind w:firstLine="480" w:firstLineChars="200"/>
        <w:rPr>
          <w:sz w:val="24"/>
          <w:lang w:bidi="ar"/>
        </w:rPr>
      </w:pPr>
      <w:r>
        <w:rPr>
          <w:sz w:val="24"/>
          <w:lang w:bidi="ar"/>
        </w:rPr>
        <w:t>电子营业执照服务热线 400-699-7000</w:t>
      </w:r>
    </w:p>
    <w:p w14:paraId="73717B3B">
      <w:pPr>
        <w:adjustRightInd w:val="0"/>
        <w:snapToGrid w:val="0"/>
        <w:spacing w:line="360" w:lineRule="auto"/>
        <w:ind w:firstLine="480" w:firstLineChars="200"/>
        <w:rPr>
          <w:color w:val="auto"/>
          <w:sz w:val="24"/>
          <w:lang w:bidi="ar"/>
        </w:rPr>
      </w:pPr>
      <w:r>
        <w:rPr>
          <w:rFonts w:hint="eastAsia"/>
          <w:color w:val="auto"/>
          <w:sz w:val="24"/>
          <w:lang w:bidi="ar"/>
        </w:rPr>
        <w:t>数字证书服务热线     010-58515511</w:t>
      </w:r>
    </w:p>
    <w:p w14:paraId="1BDA777D">
      <w:pPr>
        <w:adjustRightInd w:val="0"/>
        <w:snapToGrid w:val="0"/>
        <w:spacing w:line="360" w:lineRule="auto"/>
        <w:ind w:firstLine="480" w:firstLineChars="200"/>
        <w:rPr>
          <w:rFonts w:eastAsiaTheme="minorEastAsia"/>
          <w:sz w:val="24"/>
        </w:rPr>
      </w:pPr>
      <w:r>
        <w:rPr>
          <w:sz w:val="24"/>
          <w:lang w:bidi="ar"/>
        </w:rPr>
        <w:t xml:space="preserve">技术支持服务热线    </w:t>
      </w:r>
      <w:r>
        <w:rPr>
          <w:rFonts w:hint="eastAsia"/>
          <w:sz w:val="24"/>
          <w:lang w:val="en-US" w:eastAsia="zh-CN" w:bidi="ar"/>
        </w:rPr>
        <w:t xml:space="preserve"> </w:t>
      </w:r>
      <w:r>
        <w:rPr>
          <w:sz w:val="24"/>
          <w:lang w:bidi="ar"/>
        </w:rPr>
        <w:t>010-86483801</w:t>
      </w:r>
      <w:r>
        <w:rPr>
          <w:rFonts w:eastAsiaTheme="minorEastAsia"/>
          <w:sz w:val="24"/>
          <w:lang w:bidi="ar"/>
        </w:rPr>
        <w:t xml:space="preserve">    </w:t>
      </w:r>
    </w:p>
    <w:p w14:paraId="716C083B">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.1办理CA数字证书</w:t>
      </w:r>
      <w:r>
        <w:rPr>
          <w:sz w:val="24"/>
          <w:lang w:bidi="ar"/>
        </w:rPr>
        <w:t>或电子营业执照</w:t>
      </w:r>
    </w:p>
    <w:p w14:paraId="3B8AF649">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40EF62F2">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.2注册</w:t>
      </w:r>
    </w:p>
    <w:p w14:paraId="6A2D8D42">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73CB1346">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.3驱动、客户端下载</w:t>
      </w:r>
    </w:p>
    <w:p w14:paraId="208884FB">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766C7DED">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49BFA3AA">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.4 获取电子竞争性磋商文件</w:t>
      </w:r>
    </w:p>
    <w:p w14:paraId="25089ECF">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38731324">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784B2AA7">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.5编制电子响应文件</w:t>
      </w:r>
    </w:p>
    <w:p w14:paraId="32CB3799">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2EBEA1CA">
      <w:pPr>
        <w:widowControl/>
        <w:spacing w:line="360" w:lineRule="auto"/>
        <w:ind w:firstLine="480" w:firstLineChars="200"/>
        <w:jc w:val="left"/>
        <w:rPr>
          <w:rFonts w:eastAsiaTheme="minorEastAsia"/>
          <w:sz w:val="24"/>
          <w:lang w:val="zh-TW" w:bidi="ar"/>
        </w:rPr>
      </w:pPr>
      <w:r>
        <w:rPr>
          <w:rFonts w:hint="eastAsia" w:eastAsiaTheme="minorEastAsia"/>
          <w:sz w:val="24"/>
          <w:lang w:val="en-US" w:eastAsia="zh-CN" w:bidi="ar"/>
        </w:rPr>
        <w:t>2</w:t>
      </w:r>
      <w:r>
        <w:rPr>
          <w:rFonts w:eastAsiaTheme="minorEastAsia"/>
          <w:sz w:val="24"/>
          <w:lang w:val="zh-TW" w:eastAsia="zh-TW" w:bidi="ar"/>
        </w:rPr>
        <w:t>.6</w:t>
      </w:r>
      <w:r>
        <w:rPr>
          <w:rFonts w:eastAsiaTheme="minorEastAsia"/>
          <w:sz w:val="24"/>
          <w:lang w:val="zh-TW" w:bidi="ar"/>
        </w:rPr>
        <w:t>提交电子响应文件</w:t>
      </w:r>
    </w:p>
    <w:p w14:paraId="0005766E">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06E88092">
      <w:pPr>
        <w:spacing w:line="360" w:lineRule="auto"/>
        <w:ind w:firstLine="480" w:firstLineChars="200"/>
        <w:rPr>
          <w:rFonts w:eastAsiaTheme="minorEastAsia"/>
          <w:sz w:val="24"/>
          <w:lang w:eastAsia="zh-TW"/>
        </w:rPr>
      </w:pPr>
      <w:r>
        <w:rPr>
          <w:rFonts w:hint="eastAsia" w:eastAsiaTheme="minorEastAsia"/>
          <w:sz w:val="24"/>
          <w:lang w:val="en-US" w:eastAsia="zh-CN"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5E2B24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kern w:val="0"/>
          <w:sz w:val="24"/>
          <w:szCs w:val="24"/>
          <w:lang w:val="en-US" w:eastAsia="zh-CN"/>
        </w:rPr>
      </w:pPr>
      <w:r>
        <w:rPr>
          <w:rFonts w:eastAsiaTheme="minorEastAsia"/>
          <w:sz w:val="24"/>
        </w:rPr>
        <w:t>供应商于</w:t>
      </w:r>
      <w:r>
        <w:rPr>
          <w:rFonts w:eastAsiaTheme="minorEastAsia"/>
          <w:sz w:val="24"/>
          <w:lang w:val="zh-TW" w:bidi="ar"/>
        </w:rPr>
        <w:t>磋商文件规定的开启时间、在开启地点</w:t>
      </w:r>
      <w:r>
        <w:rPr>
          <w:rFonts w:eastAsiaTheme="minorEastAsia"/>
          <w:sz w:val="24"/>
          <w:lang w:bidi="ar"/>
        </w:rPr>
        <w:t>开启响应文件。</w:t>
      </w:r>
      <w:r>
        <w:rPr>
          <w:rFonts w:hint="eastAsia" w:ascii="Times New Roman" w:hAnsi="Times New Roman" w:eastAsia="宋体" w:cs="Times New Roman"/>
          <w:sz w:val="24"/>
          <w:lang w:val="zh-TW" w:eastAsia="zh-TW" w:bidi="ar"/>
        </w:rPr>
        <w:t>投标单位法人或授权人参加开标会（地点：北京市大兴区公共资源交易分中心三层）</w:t>
      </w:r>
      <w:r>
        <w:rPr>
          <w:rFonts w:hint="eastAsia" w:cs="Times New Roman"/>
          <w:sz w:val="24"/>
          <w:lang w:val="zh-TW" w:eastAsia="zh-CN" w:bidi="ar"/>
        </w:rPr>
        <w:t>，</w:t>
      </w:r>
      <w:r>
        <w:rPr>
          <w:rFonts w:hint="eastAsia" w:eastAsiaTheme="minorEastAsia"/>
          <w:sz w:val="24"/>
          <w:lang w:bidi="ar"/>
        </w:rPr>
        <w:t>届时应提供以下资料：1、携带制作电子版《竞争性磋商文件》的CA证书（钥匙）。2、法人代表授权书1份。以上资料需开标当日现场递交，大兴区政府采购中心不接受现场递交以外的投递形式，供应商采取其他投递形式致使投标无效，大兴区政府采购中心不承担任何责任。（现场递交系指供应商将投标文件相关资料直接递交给采购中心联系人，并签字确认）</w:t>
      </w:r>
      <w:r>
        <w:rPr>
          <w:rFonts w:eastAsiaTheme="minorEastAsia"/>
          <w:sz w:val="24"/>
          <w:lang w:bidi="ar"/>
        </w:rPr>
        <w:t>如因供应商问题，解密不成功，则</w:t>
      </w:r>
      <w:r>
        <w:rPr>
          <w:rFonts w:eastAsiaTheme="minorEastAsia"/>
          <w:b/>
          <w:sz w:val="24"/>
          <w:lang w:bidi="ar"/>
        </w:rPr>
        <w:t>响应无效</w:t>
      </w:r>
      <w:r>
        <w:rPr>
          <w:rFonts w:eastAsiaTheme="minorEastAsia"/>
          <w:sz w:val="24"/>
          <w:lang w:bidi="ar"/>
        </w:rPr>
        <w:t>。</w:t>
      </w:r>
    </w:p>
    <w:p w14:paraId="00DFACF2">
      <w:pPr>
        <w:pStyle w:val="4"/>
        <w:spacing w:line="360" w:lineRule="auto"/>
        <w:rPr>
          <w:rFonts w:hint="eastAsia" w:asciiTheme="minorEastAsia" w:hAnsiTheme="minorEastAsia" w:eastAsiaTheme="minorEastAsia" w:cstheme="minorEastAsia"/>
          <w:b w:val="0"/>
          <w:sz w:val="24"/>
          <w:szCs w:val="24"/>
        </w:rPr>
      </w:pPr>
      <w:bookmarkStart w:id="28" w:name="_Toc28359095"/>
      <w:bookmarkStart w:id="29" w:name="_Toc35393805"/>
      <w:bookmarkStart w:id="30" w:name="_Toc28359018"/>
      <w:bookmarkStart w:id="31" w:name="_Toc35393636"/>
      <w:r>
        <w:rPr>
          <w:rFonts w:hint="eastAsia" w:asciiTheme="minorEastAsia" w:hAnsiTheme="minorEastAsia" w:eastAsiaTheme="minorEastAsia" w:cstheme="minorEastAsia"/>
          <w:b w:val="0"/>
          <w:sz w:val="24"/>
          <w:szCs w:val="24"/>
        </w:rPr>
        <w:t>八、凡对本次采购提出询问，请按以下方式联系。</w:t>
      </w:r>
      <w:bookmarkEnd w:id="28"/>
      <w:bookmarkEnd w:id="29"/>
      <w:bookmarkEnd w:id="30"/>
      <w:bookmarkEnd w:id="31"/>
    </w:p>
    <w:p w14:paraId="7642DA98">
      <w:pPr>
        <w:pStyle w:val="4"/>
        <w:pageBreakBefore w:val="0"/>
        <w:widowControl w:val="0"/>
        <w:kinsoku/>
        <w:wordWrap/>
        <w:overflowPunct/>
        <w:topLinePunct w:val="0"/>
        <w:autoSpaceDE/>
        <w:autoSpaceDN/>
        <w:bidi w:val="0"/>
        <w:adjustRightInd/>
        <w:snapToGrid/>
        <w:spacing w:line="240" w:lineRule="auto"/>
        <w:ind w:firstLine="720" w:firstLineChars="300"/>
        <w:textAlignment w:val="auto"/>
        <w:rPr>
          <w:rFonts w:hint="eastAsia" w:asciiTheme="minorEastAsia" w:hAnsiTheme="minorEastAsia" w:eastAsiaTheme="minorEastAsia" w:cstheme="minorEastAsia"/>
          <w:b w:val="0"/>
          <w:sz w:val="24"/>
          <w:szCs w:val="24"/>
        </w:rPr>
      </w:pPr>
      <w:bookmarkStart w:id="32" w:name="_Toc35393806"/>
      <w:bookmarkStart w:id="33" w:name="_Toc28359096"/>
      <w:bookmarkStart w:id="34" w:name="_Toc35393637"/>
      <w:bookmarkStart w:id="35" w:name="_Toc28359019"/>
      <w:r>
        <w:rPr>
          <w:rFonts w:hint="eastAsia" w:asciiTheme="minorEastAsia" w:hAnsiTheme="minorEastAsia" w:eastAsiaTheme="minorEastAsia" w:cstheme="minorEastAsia"/>
          <w:b w:val="0"/>
          <w:sz w:val="24"/>
          <w:szCs w:val="24"/>
        </w:rPr>
        <w:t>1.采购人信息</w:t>
      </w:r>
      <w:bookmarkEnd w:id="32"/>
      <w:bookmarkEnd w:id="33"/>
      <w:bookmarkEnd w:id="34"/>
      <w:bookmarkEnd w:id="35"/>
    </w:p>
    <w:p w14:paraId="424FA5D2">
      <w:pPr>
        <w:spacing w:line="360" w:lineRule="auto"/>
        <w:ind w:left="1079" w:leftChars="371" w:hanging="300" w:hangingChars="125"/>
        <w:jc w:val="left"/>
        <w:rPr>
          <w:rFonts w:hint="eastAsia"/>
          <w:sz w:val="24"/>
          <w:u w:val="none"/>
          <w:lang w:eastAsia="zh-CN"/>
        </w:rPr>
      </w:pPr>
      <w:r>
        <w:rPr>
          <w:rFonts w:hint="eastAsia"/>
          <w:sz w:val="24"/>
          <w:u w:val="none"/>
          <w:lang w:eastAsia="zh-CN"/>
        </w:rPr>
        <w:t>名    称：北京市大兴区第一中学</w:t>
      </w:r>
    </w:p>
    <w:p w14:paraId="16CF4215">
      <w:pPr>
        <w:spacing w:line="360" w:lineRule="auto"/>
        <w:ind w:left="1079" w:leftChars="371" w:hanging="300" w:hangingChars="125"/>
        <w:jc w:val="left"/>
        <w:rPr>
          <w:rFonts w:hint="default"/>
          <w:sz w:val="24"/>
          <w:u w:val="none"/>
          <w:lang w:val="en-US" w:eastAsia="zh-CN"/>
        </w:rPr>
      </w:pPr>
      <w:r>
        <w:rPr>
          <w:rFonts w:hint="eastAsia"/>
          <w:sz w:val="24"/>
          <w:u w:val="none"/>
          <w:lang w:eastAsia="zh-CN"/>
        </w:rPr>
        <w:t>地    址：北京市大兴区</w:t>
      </w:r>
      <w:r>
        <w:rPr>
          <w:rFonts w:hint="eastAsia"/>
          <w:sz w:val="24"/>
          <w:u w:val="none"/>
          <w:lang w:val="en-US" w:eastAsia="zh-CN"/>
        </w:rPr>
        <w:t>黄村镇广永北路1号</w:t>
      </w:r>
    </w:p>
    <w:p w14:paraId="13CB990C">
      <w:pPr>
        <w:spacing w:line="360" w:lineRule="auto"/>
        <w:ind w:left="1079" w:leftChars="371" w:hanging="300" w:hangingChars="125"/>
        <w:jc w:val="left"/>
        <w:rPr>
          <w:rFonts w:hint="eastAsia" w:asciiTheme="minorEastAsia" w:hAnsiTheme="minorEastAsia" w:eastAsiaTheme="minorEastAsia" w:cstheme="minorEastAsia"/>
          <w:color w:val="auto"/>
          <w:sz w:val="24"/>
          <w:szCs w:val="24"/>
          <w:u w:val="none"/>
        </w:rPr>
      </w:pPr>
      <w:r>
        <w:rPr>
          <w:rFonts w:hint="eastAsia"/>
          <w:sz w:val="24"/>
          <w:u w:val="none"/>
          <w:lang w:eastAsia="zh-CN"/>
        </w:rPr>
        <w:t>联系方式：010-</w:t>
      </w:r>
      <w:r>
        <w:rPr>
          <w:rFonts w:hint="eastAsia"/>
          <w:sz w:val="24"/>
          <w:u w:val="none"/>
          <w:lang w:val="en-US" w:eastAsia="zh-CN"/>
        </w:rPr>
        <w:t>81218835</w:t>
      </w:r>
      <w:r>
        <w:rPr>
          <w:rFonts w:hint="eastAsia" w:asciiTheme="minorEastAsia" w:hAnsiTheme="minorEastAsia" w:eastAsiaTheme="minorEastAsia" w:cstheme="minorEastAsia"/>
          <w:color w:val="auto"/>
          <w:sz w:val="24"/>
          <w:szCs w:val="24"/>
          <w:u w:val="none"/>
        </w:rPr>
        <w:t>　　</w:t>
      </w:r>
      <w:r>
        <w:rPr>
          <w:rFonts w:hint="eastAsia" w:asciiTheme="minorEastAsia" w:hAnsiTheme="minorEastAsia" w:eastAsiaTheme="minorEastAsia" w:cstheme="minorEastAsia"/>
          <w:color w:val="auto"/>
          <w:sz w:val="24"/>
          <w:szCs w:val="24"/>
          <w:u w:val="none"/>
        </w:rPr>
        <w:t xml:space="preserve"> 　　　 </w:t>
      </w:r>
    </w:p>
    <w:p w14:paraId="1DD3EA1E">
      <w:pPr>
        <w:pStyle w:val="4"/>
        <w:pageBreakBefore w:val="0"/>
        <w:widowControl w:val="0"/>
        <w:kinsoku/>
        <w:wordWrap/>
        <w:overflowPunct/>
        <w:topLinePunct w:val="0"/>
        <w:autoSpaceDE/>
        <w:autoSpaceDN/>
        <w:bidi w:val="0"/>
        <w:adjustRightInd/>
        <w:snapToGrid/>
        <w:spacing w:line="240" w:lineRule="auto"/>
        <w:ind w:firstLine="720" w:firstLineChars="300"/>
        <w:textAlignment w:val="auto"/>
        <w:rPr>
          <w:rFonts w:hint="eastAsia" w:asciiTheme="minorEastAsia" w:hAnsiTheme="minorEastAsia" w:eastAsiaTheme="minorEastAsia" w:cstheme="minorEastAsia"/>
          <w:b w:val="0"/>
          <w:sz w:val="24"/>
          <w:szCs w:val="24"/>
        </w:rPr>
      </w:pPr>
      <w:bookmarkStart w:id="36" w:name="_Toc35393807"/>
      <w:bookmarkStart w:id="37" w:name="_Toc35393638"/>
      <w:bookmarkStart w:id="38" w:name="_Toc28359020"/>
      <w:bookmarkStart w:id="39" w:name="_Toc28359097"/>
      <w:r>
        <w:rPr>
          <w:rFonts w:hint="eastAsia" w:asciiTheme="minorEastAsia" w:hAnsiTheme="minorEastAsia" w:eastAsiaTheme="minorEastAsia" w:cstheme="minorEastAsia"/>
          <w:b w:val="0"/>
          <w:sz w:val="24"/>
          <w:szCs w:val="24"/>
        </w:rPr>
        <w:t>2.采购代理机构信息</w:t>
      </w:r>
      <w:bookmarkEnd w:id="36"/>
      <w:bookmarkEnd w:id="37"/>
      <w:bookmarkEnd w:id="38"/>
      <w:bookmarkEnd w:id="39"/>
    </w:p>
    <w:p w14:paraId="6553BC89">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名    称：　北京市大兴区政府采购中心　</w:t>
      </w:r>
      <w:r>
        <w:rPr>
          <w:rFonts w:hint="eastAsia" w:asciiTheme="minorEastAsia" w:hAnsiTheme="minorEastAsia" w:eastAsiaTheme="minorEastAsia" w:cstheme="minorEastAsia"/>
          <w:sz w:val="24"/>
          <w:szCs w:val="24"/>
          <w:u w:val="none"/>
          <w:lang w:val="en-US" w:eastAsia="zh-CN"/>
        </w:rPr>
        <w:t xml:space="preserve">     </w:t>
      </w:r>
      <w:r>
        <w:rPr>
          <w:rFonts w:hint="eastAsia" w:asciiTheme="minorEastAsia" w:hAnsiTheme="minorEastAsia" w:eastAsiaTheme="minorEastAsia" w:cstheme="minorEastAsia"/>
          <w:sz w:val="24"/>
          <w:szCs w:val="24"/>
          <w:u w:val="none"/>
        </w:rPr>
        <w:t>　</w:t>
      </w:r>
    </w:p>
    <w:p w14:paraId="29331FA3">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地　　址：　北京市大兴区公共资源交易分中心三层</w:t>
      </w:r>
    </w:p>
    <w:p w14:paraId="1576D672">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u w:val="none"/>
        </w:rPr>
      </w:pPr>
      <w:r>
        <w:rPr>
          <w:rFonts w:hint="eastAsia" w:asciiTheme="minorEastAsia" w:hAnsiTheme="minorEastAsia" w:eastAsiaTheme="minorEastAsia" w:cstheme="minorEastAsia"/>
          <w:sz w:val="24"/>
          <w:szCs w:val="24"/>
          <w:u w:val="none"/>
        </w:rPr>
        <w:t>联系方式：　010-69231333、69231339　　　　　　</w:t>
      </w:r>
    </w:p>
    <w:p w14:paraId="6FC66082">
      <w:pPr>
        <w:pStyle w:val="4"/>
        <w:pageBreakBefore w:val="0"/>
        <w:widowControl w:val="0"/>
        <w:kinsoku/>
        <w:wordWrap/>
        <w:overflowPunct/>
        <w:topLinePunct w:val="0"/>
        <w:autoSpaceDE/>
        <w:autoSpaceDN/>
        <w:bidi w:val="0"/>
        <w:adjustRightInd/>
        <w:snapToGrid/>
        <w:spacing w:line="240" w:lineRule="auto"/>
        <w:ind w:firstLine="720" w:firstLineChars="300"/>
        <w:textAlignment w:val="auto"/>
        <w:rPr>
          <w:rFonts w:hint="eastAsia" w:asciiTheme="minorEastAsia" w:hAnsiTheme="minorEastAsia" w:eastAsiaTheme="minorEastAsia" w:cstheme="minorEastAsia"/>
          <w:b w:val="0"/>
          <w:sz w:val="24"/>
          <w:szCs w:val="24"/>
        </w:rPr>
      </w:pPr>
      <w:bookmarkStart w:id="40" w:name="_Toc28359098"/>
      <w:bookmarkStart w:id="41" w:name="_Toc28359021"/>
      <w:bookmarkStart w:id="42" w:name="_Toc35393808"/>
      <w:bookmarkStart w:id="43" w:name="_Toc35393639"/>
      <w:r>
        <w:rPr>
          <w:rFonts w:hint="eastAsia" w:asciiTheme="minorEastAsia" w:hAnsiTheme="minorEastAsia" w:eastAsiaTheme="minorEastAsia" w:cstheme="minorEastAsia"/>
          <w:b w:val="0"/>
          <w:sz w:val="24"/>
          <w:szCs w:val="24"/>
        </w:rPr>
        <w:t>3.项目联系方式</w:t>
      </w:r>
      <w:bookmarkEnd w:id="40"/>
      <w:bookmarkEnd w:id="41"/>
      <w:bookmarkEnd w:id="42"/>
      <w:bookmarkEnd w:id="43"/>
    </w:p>
    <w:p w14:paraId="53FF2DFE">
      <w:pPr>
        <w:pStyle w:val="10"/>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项目联系人：</w:t>
      </w:r>
      <w:r>
        <w:rPr>
          <w:rFonts w:hint="eastAsia" w:asciiTheme="minorEastAsia" w:hAnsiTheme="minorEastAsia" w:cstheme="minorEastAsia"/>
          <w:sz w:val="24"/>
          <w:szCs w:val="24"/>
          <w:u w:val="none"/>
          <w:lang w:val="en-US" w:eastAsia="zh-CN"/>
        </w:rPr>
        <w:t>张</w:t>
      </w:r>
      <w:r>
        <w:rPr>
          <w:rFonts w:hint="eastAsia" w:asciiTheme="minorEastAsia" w:hAnsiTheme="minorEastAsia" w:eastAsiaTheme="minorEastAsia" w:cstheme="minorEastAsia"/>
          <w:sz w:val="24"/>
          <w:szCs w:val="24"/>
          <w:u w:val="none"/>
          <w:lang w:val="en-US" w:eastAsia="zh-CN"/>
        </w:rPr>
        <w:t>老师</w:t>
      </w:r>
    </w:p>
    <w:p w14:paraId="1EE89746">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sz w:val="24"/>
          <w:szCs w:val="24"/>
        </w:rPr>
        <w:t>电　　 话：010-69231333转20</w:t>
      </w:r>
      <w:r>
        <w:rPr>
          <w:rFonts w:hint="eastAsia" w:asciiTheme="minorEastAsia" w:hAnsiTheme="minorEastAsia" w:eastAsiaTheme="minorEastAsia" w:cstheme="minorEastAsia"/>
          <w:sz w:val="24"/>
          <w:szCs w:val="24"/>
          <w:lang w:val="en-US" w:eastAsia="zh-CN"/>
        </w:rPr>
        <w:t>1</w:t>
      </w:r>
    </w:p>
    <w:p w14:paraId="29DFB97F">
      <w:pPr>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br w:type="page"/>
      </w:r>
    </w:p>
    <w:p w14:paraId="547D3189">
      <w:pPr>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附件：</w:t>
      </w:r>
    </w:p>
    <w:p w14:paraId="2B243775">
      <w:pPr>
        <w:jc w:val="center"/>
        <w:rPr>
          <w:rFonts w:hint="eastAsia" w:ascii="黑体" w:hAnsi="宋体" w:eastAsia="黑体" w:cs="宋体"/>
          <w:kern w:val="0"/>
          <w:sz w:val="36"/>
          <w:szCs w:val="36"/>
        </w:rPr>
      </w:pPr>
      <w:r>
        <w:rPr>
          <w:rFonts w:hint="eastAsia" w:ascii="黑体" w:hAnsi="宋体" w:eastAsia="黑体" w:cs="宋体"/>
          <w:kern w:val="0"/>
          <w:sz w:val="36"/>
          <w:szCs w:val="36"/>
        </w:rPr>
        <w:t>采购需求</w:t>
      </w:r>
    </w:p>
    <w:bookmarkEnd w:id="44"/>
    <w:p w14:paraId="70FF54DF">
      <w:pPr>
        <w:jc w:val="center"/>
        <w:rPr>
          <w:rFonts w:hint="eastAsia" w:ascii="黑体" w:hAnsi="宋体" w:eastAsia="黑体" w:cs="宋体"/>
          <w:kern w:val="0"/>
          <w:sz w:val="36"/>
          <w:szCs w:val="36"/>
          <w:u w:val="single"/>
        </w:rPr>
      </w:pPr>
    </w:p>
    <w:p w14:paraId="3EEC9236">
      <w:pPr>
        <w:pStyle w:val="4"/>
        <w:numPr>
          <w:ilvl w:val="0"/>
          <w:numId w:val="1"/>
        </w:numPr>
        <w:bidi w:val="0"/>
        <w:jc w:val="both"/>
      </w:pPr>
      <w:r>
        <w:rPr>
          <w:rFonts w:hint="eastAsia"/>
        </w:rPr>
        <w:t>采购清单</w:t>
      </w:r>
    </w:p>
    <w:tbl>
      <w:tblPr>
        <w:tblStyle w:val="13"/>
        <w:tblW w:w="89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786"/>
        <w:gridCol w:w="1480"/>
        <w:gridCol w:w="1545"/>
        <w:gridCol w:w="2035"/>
      </w:tblGrid>
      <w:tr w14:paraId="7A574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101" w:type="dxa"/>
            <w:tcBorders>
              <w:top w:val="single" w:color="auto" w:sz="4" w:space="0"/>
              <w:left w:val="single" w:color="auto" w:sz="4" w:space="0"/>
              <w:bottom w:val="single" w:color="auto" w:sz="4" w:space="0"/>
              <w:right w:val="single" w:color="auto" w:sz="4" w:space="0"/>
            </w:tcBorders>
            <w:vAlign w:val="center"/>
          </w:tcPr>
          <w:p w14:paraId="47D519C8">
            <w:pPr>
              <w:jc w:val="center"/>
              <w:rPr>
                <w:b/>
                <w:sz w:val="24"/>
                <w:szCs w:val="24"/>
              </w:rPr>
            </w:pPr>
            <w:r>
              <w:rPr>
                <w:rFonts w:hint="eastAsia"/>
                <w:b/>
                <w:sz w:val="24"/>
                <w:szCs w:val="24"/>
              </w:rPr>
              <w:t>序号</w:t>
            </w:r>
          </w:p>
        </w:tc>
        <w:tc>
          <w:tcPr>
            <w:tcW w:w="2786" w:type="dxa"/>
            <w:tcBorders>
              <w:top w:val="single" w:color="auto" w:sz="4" w:space="0"/>
              <w:left w:val="single" w:color="auto" w:sz="4" w:space="0"/>
              <w:bottom w:val="single" w:color="auto" w:sz="4" w:space="0"/>
              <w:right w:val="single" w:color="auto" w:sz="4" w:space="0"/>
            </w:tcBorders>
            <w:vAlign w:val="center"/>
          </w:tcPr>
          <w:p w14:paraId="0013DE8A">
            <w:pPr>
              <w:jc w:val="center"/>
              <w:rPr>
                <w:b/>
                <w:sz w:val="24"/>
                <w:szCs w:val="24"/>
              </w:rPr>
            </w:pPr>
            <w:r>
              <w:rPr>
                <w:rFonts w:hint="eastAsia"/>
                <w:b/>
                <w:sz w:val="24"/>
                <w:szCs w:val="24"/>
              </w:rPr>
              <w:t>货物或服务名称</w:t>
            </w:r>
          </w:p>
        </w:tc>
        <w:tc>
          <w:tcPr>
            <w:tcW w:w="1480" w:type="dxa"/>
            <w:tcBorders>
              <w:top w:val="single" w:color="auto" w:sz="4" w:space="0"/>
              <w:left w:val="single" w:color="auto" w:sz="4" w:space="0"/>
              <w:bottom w:val="single" w:color="auto" w:sz="4" w:space="0"/>
              <w:right w:val="single" w:color="auto" w:sz="4" w:space="0"/>
            </w:tcBorders>
            <w:vAlign w:val="center"/>
          </w:tcPr>
          <w:p w14:paraId="2C010C5A">
            <w:pPr>
              <w:jc w:val="center"/>
              <w:rPr>
                <w:b/>
                <w:sz w:val="24"/>
                <w:szCs w:val="24"/>
              </w:rPr>
            </w:pPr>
            <w:r>
              <w:rPr>
                <w:rFonts w:hint="eastAsia"/>
                <w:b/>
                <w:sz w:val="24"/>
                <w:szCs w:val="24"/>
              </w:rPr>
              <w:t>数量</w:t>
            </w:r>
          </w:p>
        </w:tc>
        <w:tc>
          <w:tcPr>
            <w:tcW w:w="1545" w:type="dxa"/>
            <w:tcBorders>
              <w:top w:val="single" w:color="auto" w:sz="4" w:space="0"/>
              <w:left w:val="single" w:color="auto" w:sz="4" w:space="0"/>
              <w:bottom w:val="single" w:color="auto" w:sz="4" w:space="0"/>
              <w:right w:val="single" w:color="auto" w:sz="4" w:space="0"/>
            </w:tcBorders>
            <w:vAlign w:val="center"/>
          </w:tcPr>
          <w:p w14:paraId="31CF6B75">
            <w:pPr>
              <w:jc w:val="center"/>
              <w:rPr>
                <w:b/>
                <w:sz w:val="24"/>
                <w:szCs w:val="24"/>
              </w:rPr>
            </w:pPr>
            <w:r>
              <w:rPr>
                <w:rFonts w:hint="eastAsia"/>
                <w:b/>
                <w:sz w:val="24"/>
                <w:szCs w:val="24"/>
              </w:rPr>
              <w:t>单位</w:t>
            </w:r>
          </w:p>
        </w:tc>
        <w:tc>
          <w:tcPr>
            <w:tcW w:w="2035" w:type="dxa"/>
            <w:tcBorders>
              <w:top w:val="single" w:color="auto" w:sz="4" w:space="0"/>
              <w:left w:val="single" w:color="auto" w:sz="4" w:space="0"/>
              <w:bottom w:val="single" w:color="auto" w:sz="4" w:space="0"/>
              <w:right w:val="single" w:color="auto" w:sz="4" w:space="0"/>
            </w:tcBorders>
            <w:vAlign w:val="center"/>
          </w:tcPr>
          <w:p w14:paraId="1B7BA677">
            <w:pPr>
              <w:jc w:val="center"/>
              <w:rPr>
                <w:b/>
                <w:sz w:val="24"/>
                <w:szCs w:val="24"/>
              </w:rPr>
            </w:pPr>
            <w:r>
              <w:rPr>
                <w:rFonts w:hint="eastAsia"/>
                <w:b/>
                <w:sz w:val="24"/>
                <w:szCs w:val="24"/>
              </w:rPr>
              <w:t>备注（核心产品）</w:t>
            </w:r>
          </w:p>
        </w:tc>
      </w:tr>
      <w:tr w14:paraId="5CFF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2BC87323">
            <w:pPr>
              <w:jc w:val="center"/>
              <w:rPr>
                <w:b w:val="0"/>
                <w:bCs/>
                <w:sz w:val="24"/>
                <w:szCs w:val="24"/>
              </w:rPr>
            </w:pPr>
            <w:r>
              <w:rPr>
                <w:b w:val="0"/>
                <w:bCs/>
                <w:sz w:val="24"/>
                <w:szCs w:val="24"/>
              </w:rPr>
              <w:t>1</w:t>
            </w:r>
          </w:p>
        </w:tc>
        <w:tc>
          <w:tcPr>
            <w:tcW w:w="2786" w:type="dxa"/>
            <w:tcBorders>
              <w:top w:val="single" w:color="auto" w:sz="4" w:space="0"/>
              <w:left w:val="single" w:color="auto" w:sz="4" w:space="0"/>
              <w:bottom w:val="single" w:color="auto" w:sz="4" w:space="0"/>
              <w:right w:val="single" w:color="auto" w:sz="4" w:space="0"/>
            </w:tcBorders>
            <w:vAlign w:val="center"/>
          </w:tcPr>
          <w:p w14:paraId="3D0EF56A">
            <w:pPr>
              <w:ind w:firstLine="480" w:firstLineChars="200"/>
              <w:rPr>
                <w:b w:val="0"/>
                <w:bCs/>
                <w:sz w:val="24"/>
                <w:szCs w:val="24"/>
              </w:rPr>
            </w:pPr>
            <w:r>
              <w:rPr>
                <w:rFonts w:hint="eastAsia"/>
                <w:b w:val="0"/>
                <w:bCs/>
                <w:sz w:val="24"/>
                <w:szCs w:val="24"/>
              </w:rPr>
              <w:t>日常维修养护</w:t>
            </w:r>
          </w:p>
        </w:tc>
        <w:tc>
          <w:tcPr>
            <w:tcW w:w="1480" w:type="dxa"/>
            <w:tcBorders>
              <w:top w:val="single" w:color="auto" w:sz="4" w:space="0"/>
              <w:left w:val="single" w:color="auto" w:sz="4" w:space="0"/>
              <w:bottom w:val="single" w:color="auto" w:sz="4" w:space="0"/>
              <w:right w:val="single" w:color="auto" w:sz="4" w:space="0"/>
            </w:tcBorders>
            <w:vAlign w:val="center"/>
          </w:tcPr>
          <w:p w14:paraId="63A51BF2">
            <w:pPr>
              <w:jc w:val="center"/>
              <w:rPr>
                <w:b w:val="0"/>
                <w:bCs/>
                <w:sz w:val="24"/>
                <w:szCs w:val="24"/>
              </w:rPr>
            </w:pPr>
          </w:p>
          <w:p w14:paraId="2C0B7FEF">
            <w:pPr>
              <w:jc w:val="center"/>
              <w:rPr>
                <w:b w:val="0"/>
                <w:bCs/>
                <w:sz w:val="24"/>
                <w:szCs w:val="24"/>
              </w:rPr>
            </w:pPr>
            <w:r>
              <w:rPr>
                <w:b w:val="0"/>
                <w:bCs/>
                <w:sz w:val="24"/>
                <w:szCs w:val="24"/>
              </w:rPr>
              <w:t>11</w:t>
            </w:r>
          </w:p>
        </w:tc>
        <w:tc>
          <w:tcPr>
            <w:tcW w:w="1545" w:type="dxa"/>
            <w:tcBorders>
              <w:top w:val="single" w:color="auto" w:sz="4" w:space="0"/>
              <w:left w:val="single" w:color="auto" w:sz="4" w:space="0"/>
              <w:bottom w:val="single" w:color="auto" w:sz="4" w:space="0"/>
              <w:right w:val="single" w:color="auto" w:sz="4" w:space="0"/>
            </w:tcBorders>
            <w:vAlign w:val="center"/>
          </w:tcPr>
          <w:p w14:paraId="155DF289">
            <w:pPr>
              <w:jc w:val="center"/>
              <w:rPr>
                <w:b w:val="0"/>
                <w:bCs/>
                <w:sz w:val="24"/>
                <w:szCs w:val="24"/>
              </w:rPr>
            </w:pPr>
          </w:p>
          <w:p w14:paraId="4B30272B">
            <w:pPr>
              <w:jc w:val="center"/>
              <w:rPr>
                <w:b w:val="0"/>
                <w:bCs/>
                <w:sz w:val="24"/>
                <w:szCs w:val="24"/>
              </w:rPr>
            </w:pPr>
            <w:r>
              <w:rPr>
                <w:rFonts w:hint="eastAsia"/>
                <w:b w:val="0"/>
                <w:bCs/>
                <w:sz w:val="24"/>
                <w:szCs w:val="24"/>
              </w:rPr>
              <w:t>栋</w:t>
            </w:r>
          </w:p>
        </w:tc>
        <w:tc>
          <w:tcPr>
            <w:tcW w:w="2035" w:type="dxa"/>
            <w:tcBorders>
              <w:top w:val="single" w:color="auto" w:sz="4" w:space="0"/>
              <w:left w:val="single" w:color="auto" w:sz="4" w:space="0"/>
              <w:bottom w:val="single" w:color="auto" w:sz="4" w:space="0"/>
              <w:right w:val="single" w:color="auto" w:sz="4" w:space="0"/>
            </w:tcBorders>
            <w:vAlign w:val="center"/>
          </w:tcPr>
          <w:p w14:paraId="40BBBCBA">
            <w:pPr>
              <w:jc w:val="center"/>
              <w:rPr>
                <w:b w:val="0"/>
                <w:bCs/>
                <w:sz w:val="24"/>
                <w:szCs w:val="24"/>
              </w:rPr>
            </w:pPr>
          </w:p>
        </w:tc>
      </w:tr>
      <w:tr w14:paraId="43D8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01C54207">
            <w:pPr>
              <w:jc w:val="center"/>
              <w:rPr>
                <w:b w:val="0"/>
                <w:bCs/>
                <w:sz w:val="24"/>
                <w:szCs w:val="24"/>
              </w:rPr>
            </w:pPr>
            <w:r>
              <w:rPr>
                <w:b w:val="0"/>
                <w:bCs/>
                <w:sz w:val="24"/>
                <w:szCs w:val="24"/>
              </w:rPr>
              <w:t>2</w:t>
            </w:r>
          </w:p>
        </w:tc>
        <w:tc>
          <w:tcPr>
            <w:tcW w:w="2786" w:type="dxa"/>
            <w:tcBorders>
              <w:top w:val="single" w:color="auto" w:sz="4" w:space="0"/>
              <w:left w:val="single" w:color="auto" w:sz="4" w:space="0"/>
              <w:bottom w:val="single" w:color="auto" w:sz="4" w:space="0"/>
              <w:right w:val="single" w:color="auto" w:sz="4" w:space="0"/>
            </w:tcBorders>
            <w:vAlign w:val="center"/>
          </w:tcPr>
          <w:p w14:paraId="7589442D">
            <w:pPr>
              <w:jc w:val="center"/>
              <w:rPr>
                <w:b w:val="0"/>
                <w:bCs/>
                <w:sz w:val="24"/>
                <w:szCs w:val="24"/>
              </w:rPr>
            </w:pPr>
            <w:r>
              <w:rPr>
                <w:rFonts w:hint="eastAsia"/>
                <w:b w:val="0"/>
                <w:bCs/>
                <w:sz w:val="24"/>
                <w:szCs w:val="24"/>
              </w:rPr>
              <w:t>电梯巡查</w:t>
            </w:r>
          </w:p>
        </w:tc>
        <w:tc>
          <w:tcPr>
            <w:tcW w:w="1480" w:type="dxa"/>
            <w:tcBorders>
              <w:top w:val="single" w:color="auto" w:sz="4" w:space="0"/>
              <w:left w:val="single" w:color="auto" w:sz="4" w:space="0"/>
              <w:bottom w:val="single" w:color="auto" w:sz="4" w:space="0"/>
              <w:right w:val="single" w:color="auto" w:sz="4" w:space="0"/>
            </w:tcBorders>
            <w:vAlign w:val="center"/>
          </w:tcPr>
          <w:p w14:paraId="3371E4A1">
            <w:pPr>
              <w:jc w:val="center"/>
              <w:rPr>
                <w:b w:val="0"/>
                <w:bCs/>
                <w:sz w:val="24"/>
                <w:szCs w:val="24"/>
              </w:rPr>
            </w:pPr>
            <w:r>
              <w:rPr>
                <w:rFonts w:hint="eastAsia"/>
                <w:b w:val="0"/>
                <w:bCs/>
                <w:sz w:val="24"/>
                <w:szCs w:val="24"/>
              </w:rPr>
              <w:t>2</w:t>
            </w:r>
            <w:r>
              <w:rPr>
                <w:b w:val="0"/>
                <w:bCs/>
                <w:sz w:val="24"/>
                <w:szCs w:val="24"/>
              </w:rPr>
              <w:t>5</w:t>
            </w:r>
          </w:p>
        </w:tc>
        <w:tc>
          <w:tcPr>
            <w:tcW w:w="1545" w:type="dxa"/>
            <w:tcBorders>
              <w:top w:val="single" w:color="auto" w:sz="4" w:space="0"/>
              <w:left w:val="single" w:color="auto" w:sz="4" w:space="0"/>
              <w:bottom w:val="single" w:color="auto" w:sz="4" w:space="0"/>
              <w:right w:val="single" w:color="auto" w:sz="4" w:space="0"/>
            </w:tcBorders>
            <w:vAlign w:val="center"/>
          </w:tcPr>
          <w:p w14:paraId="5BF20076">
            <w:pPr>
              <w:jc w:val="center"/>
              <w:rPr>
                <w:b w:val="0"/>
                <w:bCs/>
                <w:sz w:val="24"/>
                <w:szCs w:val="24"/>
              </w:rPr>
            </w:pPr>
            <w:r>
              <w:rPr>
                <w:rFonts w:hint="eastAsia"/>
                <w:b w:val="0"/>
                <w:bCs/>
                <w:sz w:val="24"/>
                <w:szCs w:val="24"/>
              </w:rPr>
              <w:t>部</w:t>
            </w:r>
          </w:p>
        </w:tc>
        <w:tc>
          <w:tcPr>
            <w:tcW w:w="2035" w:type="dxa"/>
            <w:tcBorders>
              <w:top w:val="single" w:color="auto" w:sz="4" w:space="0"/>
              <w:left w:val="single" w:color="auto" w:sz="4" w:space="0"/>
              <w:bottom w:val="single" w:color="auto" w:sz="4" w:space="0"/>
              <w:right w:val="single" w:color="auto" w:sz="4" w:space="0"/>
            </w:tcBorders>
            <w:vAlign w:val="center"/>
          </w:tcPr>
          <w:p w14:paraId="5DC62353">
            <w:pPr>
              <w:jc w:val="center"/>
              <w:rPr>
                <w:b w:val="0"/>
                <w:bCs/>
                <w:sz w:val="24"/>
                <w:szCs w:val="24"/>
              </w:rPr>
            </w:pPr>
          </w:p>
        </w:tc>
      </w:tr>
      <w:tr w14:paraId="50F0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4BA3F871">
            <w:pPr>
              <w:jc w:val="center"/>
              <w:rPr>
                <w:b w:val="0"/>
                <w:bCs/>
                <w:sz w:val="24"/>
                <w:szCs w:val="24"/>
              </w:rPr>
            </w:pPr>
            <w:r>
              <w:rPr>
                <w:rFonts w:hint="eastAsia"/>
                <w:b w:val="0"/>
                <w:bCs/>
                <w:sz w:val="24"/>
                <w:szCs w:val="24"/>
              </w:rPr>
              <w:t>3</w:t>
            </w:r>
          </w:p>
        </w:tc>
        <w:tc>
          <w:tcPr>
            <w:tcW w:w="2786" w:type="dxa"/>
            <w:tcBorders>
              <w:top w:val="single" w:color="auto" w:sz="4" w:space="0"/>
              <w:left w:val="single" w:color="auto" w:sz="4" w:space="0"/>
              <w:bottom w:val="single" w:color="auto" w:sz="4" w:space="0"/>
              <w:right w:val="single" w:color="auto" w:sz="4" w:space="0"/>
            </w:tcBorders>
            <w:vAlign w:val="center"/>
          </w:tcPr>
          <w:p w14:paraId="37446D8D">
            <w:pPr>
              <w:jc w:val="center"/>
              <w:rPr>
                <w:b w:val="0"/>
                <w:bCs/>
                <w:sz w:val="24"/>
                <w:szCs w:val="24"/>
              </w:rPr>
            </w:pPr>
            <w:r>
              <w:rPr>
                <w:rFonts w:hint="eastAsia"/>
                <w:b w:val="0"/>
                <w:bCs/>
                <w:sz w:val="24"/>
                <w:szCs w:val="24"/>
              </w:rPr>
              <w:t>配电室运行管理</w:t>
            </w:r>
          </w:p>
        </w:tc>
        <w:tc>
          <w:tcPr>
            <w:tcW w:w="1480" w:type="dxa"/>
            <w:tcBorders>
              <w:top w:val="single" w:color="auto" w:sz="4" w:space="0"/>
              <w:left w:val="single" w:color="auto" w:sz="4" w:space="0"/>
              <w:bottom w:val="single" w:color="auto" w:sz="4" w:space="0"/>
              <w:right w:val="single" w:color="auto" w:sz="4" w:space="0"/>
            </w:tcBorders>
            <w:vAlign w:val="center"/>
          </w:tcPr>
          <w:p w14:paraId="7DEE5CEA">
            <w:pPr>
              <w:jc w:val="center"/>
              <w:rPr>
                <w:b w:val="0"/>
                <w:bCs/>
                <w:sz w:val="24"/>
                <w:szCs w:val="24"/>
              </w:rPr>
            </w:pPr>
            <w:r>
              <w:rPr>
                <w:b w:val="0"/>
                <w:bCs/>
                <w:sz w:val="24"/>
                <w:szCs w:val="24"/>
              </w:rPr>
              <w:t>9</w:t>
            </w:r>
          </w:p>
        </w:tc>
        <w:tc>
          <w:tcPr>
            <w:tcW w:w="1545" w:type="dxa"/>
            <w:tcBorders>
              <w:top w:val="single" w:color="auto" w:sz="4" w:space="0"/>
              <w:left w:val="single" w:color="auto" w:sz="4" w:space="0"/>
              <w:bottom w:val="single" w:color="auto" w:sz="4" w:space="0"/>
              <w:right w:val="single" w:color="auto" w:sz="4" w:space="0"/>
            </w:tcBorders>
            <w:vAlign w:val="center"/>
          </w:tcPr>
          <w:p w14:paraId="31415607">
            <w:pPr>
              <w:jc w:val="center"/>
              <w:rPr>
                <w:b w:val="0"/>
                <w:bCs/>
                <w:sz w:val="24"/>
                <w:szCs w:val="24"/>
              </w:rPr>
            </w:pPr>
            <w:r>
              <w:rPr>
                <w:rFonts w:hint="eastAsia"/>
                <w:b w:val="0"/>
                <w:bCs/>
                <w:sz w:val="24"/>
                <w:szCs w:val="24"/>
              </w:rPr>
              <w:t>间</w:t>
            </w:r>
          </w:p>
        </w:tc>
        <w:tc>
          <w:tcPr>
            <w:tcW w:w="2035" w:type="dxa"/>
            <w:tcBorders>
              <w:top w:val="single" w:color="auto" w:sz="4" w:space="0"/>
              <w:left w:val="single" w:color="auto" w:sz="4" w:space="0"/>
              <w:bottom w:val="single" w:color="auto" w:sz="4" w:space="0"/>
              <w:right w:val="single" w:color="auto" w:sz="4" w:space="0"/>
            </w:tcBorders>
            <w:vAlign w:val="center"/>
          </w:tcPr>
          <w:p w14:paraId="6AC90BF2">
            <w:pPr>
              <w:jc w:val="center"/>
              <w:rPr>
                <w:b w:val="0"/>
                <w:bCs/>
                <w:sz w:val="24"/>
                <w:szCs w:val="24"/>
              </w:rPr>
            </w:pPr>
          </w:p>
        </w:tc>
      </w:tr>
      <w:tr w14:paraId="5196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7BFF7E53">
            <w:pPr>
              <w:jc w:val="center"/>
              <w:rPr>
                <w:b w:val="0"/>
                <w:bCs/>
                <w:sz w:val="24"/>
                <w:szCs w:val="24"/>
              </w:rPr>
            </w:pPr>
            <w:r>
              <w:rPr>
                <w:b w:val="0"/>
                <w:bCs/>
                <w:sz w:val="24"/>
                <w:szCs w:val="24"/>
              </w:rPr>
              <w:t>4</w:t>
            </w:r>
          </w:p>
        </w:tc>
        <w:tc>
          <w:tcPr>
            <w:tcW w:w="2786" w:type="dxa"/>
            <w:tcBorders>
              <w:top w:val="single" w:color="auto" w:sz="4" w:space="0"/>
              <w:left w:val="single" w:color="auto" w:sz="4" w:space="0"/>
              <w:bottom w:val="single" w:color="auto" w:sz="4" w:space="0"/>
              <w:right w:val="single" w:color="auto" w:sz="4" w:space="0"/>
            </w:tcBorders>
            <w:vAlign w:val="center"/>
          </w:tcPr>
          <w:p w14:paraId="48F97090">
            <w:pPr>
              <w:jc w:val="center"/>
              <w:rPr>
                <w:b w:val="0"/>
                <w:bCs/>
                <w:sz w:val="24"/>
                <w:szCs w:val="24"/>
              </w:rPr>
            </w:pPr>
            <w:r>
              <w:rPr>
                <w:rFonts w:hint="eastAsia"/>
                <w:b w:val="0"/>
                <w:bCs/>
                <w:sz w:val="24"/>
                <w:szCs w:val="24"/>
              </w:rPr>
              <w:t>舞台灯光设备运行管理</w:t>
            </w:r>
          </w:p>
        </w:tc>
        <w:tc>
          <w:tcPr>
            <w:tcW w:w="1480" w:type="dxa"/>
            <w:tcBorders>
              <w:top w:val="single" w:color="auto" w:sz="4" w:space="0"/>
              <w:left w:val="single" w:color="auto" w:sz="4" w:space="0"/>
              <w:bottom w:val="single" w:color="auto" w:sz="4" w:space="0"/>
              <w:right w:val="single" w:color="auto" w:sz="4" w:space="0"/>
            </w:tcBorders>
            <w:vAlign w:val="center"/>
          </w:tcPr>
          <w:p w14:paraId="2677529D">
            <w:pPr>
              <w:jc w:val="center"/>
              <w:rPr>
                <w:b w:val="0"/>
                <w:bCs/>
                <w:sz w:val="24"/>
                <w:szCs w:val="24"/>
              </w:rPr>
            </w:pPr>
            <w:r>
              <w:rPr>
                <w:rFonts w:hint="eastAsia"/>
                <w:b w:val="0"/>
                <w:bCs/>
                <w:sz w:val="24"/>
                <w:szCs w:val="24"/>
              </w:rPr>
              <w:t>1</w:t>
            </w:r>
          </w:p>
        </w:tc>
        <w:tc>
          <w:tcPr>
            <w:tcW w:w="1545" w:type="dxa"/>
            <w:tcBorders>
              <w:top w:val="single" w:color="auto" w:sz="4" w:space="0"/>
              <w:left w:val="single" w:color="auto" w:sz="4" w:space="0"/>
              <w:bottom w:val="single" w:color="auto" w:sz="4" w:space="0"/>
              <w:right w:val="single" w:color="auto" w:sz="4" w:space="0"/>
            </w:tcBorders>
            <w:vAlign w:val="center"/>
          </w:tcPr>
          <w:p w14:paraId="1649A125">
            <w:pPr>
              <w:jc w:val="center"/>
              <w:rPr>
                <w:b w:val="0"/>
                <w:bCs/>
                <w:sz w:val="24"/>
                <w:szCs w:val="24"/>
              </w:rPr>
            </w:pPr>
            <w:r>
              <w:rPr>
                <w:rFonts w:hint="eastAsia"/>
                <w:b w:val="0"/>
                <w:bCs/>
                <w:sz w:val="24"/>
                <w:szCs w:val="24"/>
              </w:rPr>
              <w:t>项</w:t>
            </w:r>
          </w:p>
        </w:tc>
        <w:tc>
          <w:tcPr>
            <w:tcW w:w="2035" w:type="dxa"/>
            <w:tcBorders>
              <w:top w:val="single" w:color="auto" w:sz="4" w:space="0"/>
              <w:left w:val="single" w:color="auto" w:sz="4" w:space="0"/>
              <w:bottom w:val="single" w:color="auto" w:sz="4" w:space="0"/>
              <w:right w:val="single" w:color="auto" w:sz="4" w:space="0"/>
            </w:tcBorders>
            <w:vAlign w:val="center"/>
          </w:tcPr>
          <w:p w14:paraId="7C0B39BF">
            <w:pPr>
              <w:jc w:val="center"/>
              <w:rPr>
                <w:b w:val="0"/>
                <w:bCs/>
                <w:sz w:val="24"/>
                <w:szCs w:val="24"/>
              </w:rPr>
            </w:pPr>
          </w:p>
        </w:tc>
      </w:tr>
      <w:tr w14:paraId="20D0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00C82768">
            <w:pPr>
              <w:jc w:val="center"/>
              <w:rPr>
                <w:rFonts w:hint="eastAsia" w:eastAsia="宋体"/>
                <w:b w:val="0"/>
                <w:bCs/>
                <w:sz w:val="24"/>
                <w:szCs w:val="24"/>
                <w:lang w:val="en-US" w:eastAsia="zh-CN"/>
              </w:rPr>
            </w:pPr>
            <w:r>
              <w:rPr>
                <w:rFonts w:hint="eastAsia"/>
                <w:b w:val="0"/>
                <w:bCs/>
                <w:sz w:val="24"/>
                <w:szCs w:val="24"/>
                <w:lang w:val="en-US" w:eastAsia="zh-CN"/>
              </w:rPr>
              <w:t>5</w:t>
            </w:r>
          </w:p>
        </w:tc>
        <w:tc>
          <w:tcPr>
            <w:tcW w:w="2786" w:type="dxa"/>
            <w:tcBorders>
              <w:top w:val="single" w:color="auto" w:sz="4" w:space="0"/>
              <w:left w:val="single" w:color="auto" w:sz="4" w:space="0"/>
              <w:bottom w:val="single" w:color="auto" w:sz="4" w:space="0"/>
              <w:right w:val="single" w:color="auto" w:sz="4" w:space="0"/>
            </w:tcBorders>
            <w:vAlign w:val="center"/>
          </w:tcPr>
          <w:p w14:paraId="2820BB64">
            <w:pPr>
              <w:jc w:val="center"/>
              <w:rPr>
                <w:rFonts w:hint="default" w:eastAsia="宋体"/>
                <w:b w:val="0"/>
                <w:bCs/>
                <w:sz w:val="24"/>
                <w:szCs w:val="24"/>
                <w:lang w:val="en-US" w:eastAsia="zh-CN"/>
              </w:rPr>
            </w:pPr>
            <w:r>
              <w:rPr>
                <w:rFonts w:hint="eastAsia"/>
                <w:b w:val="0"/>
                <w:bCs/>
                <w:sz w:val="24"/>
                <w:szCs w:val="24"/>
                <w:lang w:val="en-US" w:eastAsia="zh-CN"/>
              </w:rPr>
              <w:t>保洁服务</w:t>
            </w:r>
          </w:p>
        </w:tc>
        <w:tc>
          <w:tcPr>
            <w:tcW w:w="1480" w:type="dxa"/>
            <w:tcBorders>
              <w:top w:val="single" w:color="auto" w:sz="4" w:space="0"/>
              <w:left w:val="single" w:color="auto" w:sz="4" w:space="0"/>
              <w:bottom w:val="single" w:color="auto" w:sz="4" w:space="0"/>
              <w:right w:val="single" w:color="auto" w:sz="4" w:space="0"/>
            </w:tcBorders>
            <w:vAlign w:val="center"/>
          </w:tcPr>
          <w:p w14:paraId="196D1AF7">
            <w:pPr>
              <w:jc w:val="center"/>
              <w:rPr>
                <w:rFonts w:hint="eastAsia"/>
                <w:b w:val="0"/>
                <w:bCs/>
                <w:sz w:val="24"/>
                <w:szCs w:val="24"/>
              </w:rPr>
            </w:pPr>
            <w:r>
              <w:rPr>
                <w:rFonts w:hint="eastAsia"/>
                <w:b w:val="0"/>
                <w:bCs/>
                <w:sz w:val="24"/>
                <w:szCs w:val="24"/>
              </w:rPr>
              <w:t xml:space="preserve"> 179877.17</w:t>
            </w:r>
          </w:p>
        </w:tc>
        <w:tc>
          <w:tcPr>
            <w:tcW w:w="1545" w:type="dxa"/>
            <w:tcBorders>
              <w:top w:val="single" w:color="auto" w:sz="4" w:space="0"/>
              <w:left w:val="single" w:color="auto" w:sz="4" w:space="0"/>
              <w:bottom w:val="single" w:color="auto" w:sz="4" w:space="0"/>
              <w:right w:val="single" w:color="auto" w:sz="4" w:space="0"/>
            </w:tcBorders>
            <w:vAlign w:val="center"/>
          </w:tcPr>
          <w:p w14:paraId="57E9AD3A">
            <w:pPr>
              <w:jc w:val="center"/>
              <w:rPr>
                <w:rFonts w:hint="eastAsia" w:eastAsia="宋体"/>
                <w:b w:val="0"/>
                <w:bCs/>
                <w:sz w:val="24"/>
                <w:szCs w:val="24"/>
                <w:lang w:val="en-US" w:eastAsia="zh-CN"/>
              </w:rPr>
            </w:pPr>
            <w:r>
              <w:rPr>
                <w:rFonts w:hint="eastAsia"/>
                <w:b w:val="0"/>
                <w:bCs/>
                <w:sz w:val="24"/>
                <w:szCs w:val="24"/>
                <w:lang w:val="en-US" w:eastAsia="zh-CN"/>
              </w:rPr>
              <w:t>平米</w:t>
            </w:r>
          </w:p>
        </w:tc>
        <w:tc>
          <w:tcPr>
            <w:tcW w:w="2035" w:type="dxa"/>
            <w:tcBorders>
              <w:top w:val="single" w:color="auto" w:sz="4" w:space="0"/>
              <w:left w:val="single" w:color="auto" w:sz="4" w:space="0"/>
              <w:bottom w:val="single" w:color="auto" w:sz="4" w:space="0"/>
              <w:right w:val="single" w:color="auto" w:sz="4" w:space="0"/>
            </w:tcBorders>
            <w:vAlign w:val="center"/>
          </w:tcPr>
          <w:p w14:paraId="3B5AC5C1">
            <w:pPr>
              <w:jc w:val="center"/>
              <w:rPr>
                <w:b w:val="0"/>
                <w:bCs/>
                <w:sz w:val="24"/>
                <w:szCs w:val="24"/>
              </w:rPr>
            </w:pPr>
          </w:p>
        </w:tc>
      </w:tr>
      <w:tr w14:paraId="1536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43756DE4">
            <w:pPr>
              <w:jc w:val="center"/>
              <w:rPr>
                <w:rFonts w:hint="eastAsia" w:eastAsia="宋体"/>
                <w:b w:val="0"/>
                <w:bCs/>
                <w:sz w:val="24"/>
                <w:szCs w:val="24"/>
                <w:lang w:eastAsia="zh-CN"/>
              </w:rPr>
            </w:pPr>
            <w:r>
              <w:rPr>
                <w:rFonts w:hint="eastAsia"/>
                <w:b w:val="0"/>
                <w:bCs/>
                <w:sz w:val="24"/>
                <w:szCs w:val="24"/>
                <w:lang w:val="en-US" w:eastAsia="zh-CN"/>
              </w:rPr>
              <w:t>6</w:t>
            </w:r>
          </w:p>
        </w:tc>
        <w:tc>
          <w:tcPr>
            <w:tcW w:w="2786" w:type="dxa"/>
            <w:tcBorders>
              <w:top w:val="single" w:color="auto" w:sz="4" w:space="0"/>
              <w:left w:val="single" w:color="auto" w:sz="4" w:space="0"/>
              <w:bottom w:val="single" w:color="auto" w:sz="4" w:space="0"/>
              <w:right w:val="single" w:color="auto" w:sz="4" w:space="0"/>
            </w:tcBorders>
            <w:vAlign w:val="center"/>
          </w:tcPr>
          <w:p w14:paraId="2D90F044">
            <w:pPr>
              <w:jc w:val="center"/>
              <w:rPr>
                <w:rFonts w:hint="default" w:eastAsia="宋体"/>
                <w:b w:val="0"/>
                <w:bCs/>
                <w:sz w:val="24"/>
                <w:szCs w:val="24"/>
                <w:lang w:val="en-US" w:eastAsia="zh-CN"/>
              </w:rPr>
            </w:pPr>
            <w:r>
              <w:rPr>
                <w:rFonts w:hint="eastAsia"/>
                <w:b w:val="0"/>
                <w:bCs/>
                <w:sz w:val="24"/>
                <w:szCs w:val="24"/>
                <w:lang w:val="en-US" w:eastAsia="zh-CN"/>
              </w:rPr>
              <w:t>绿化养护</w:t>
            </w:r>
          </w:p>
        </w:tc>
        <w:tc>
          <w:tcPr>
            <w:tcW w:w="1480" w:type="dxa"/>
            <w:tcBorders>
              <w:top w:val="single" w:color="auto" w:sz="4" w:space="0"/>
              <w:left w:val="single" w:color="auto" w:sz="4" w:space="0"/>
              <w:bottom w:val="single" w:color="auto" w:sz="4" w:space="0"/>
              <w:right w:val="single" w:color="auto" w:sz="4" w:space="0"/>
            </w:tcBorders>
            <w:vAlign w:val="center"/>
          </w:tcPr>
          <w:p w14:paraId="54EB6C6F">
            <w:pPr>
              <w:jc w:val="center"/>
              <w:rPr>
                <w:rFonts w:hint="default"/>
                <w:b w:val="0"/>
                <w:bCs/>
                <w:sz w:val="24"/>
                <w:szCs w:val="24"/>
                <w:lang w:val="en-US"/>
              </w:rPr>
            </w:pPr>
            <w:r>
              <w:rPr>
                <w:rFonts w:hint="default" w:ascii="宋体" w:hAnsi="宋体" w:eastAsia="宋体" w:cs="宋体"/>
                <w:b w:val="0"/>
                <w:bCs/>
                <w:sz w:val="24"/>
                <w:szCs w:val="24"/>
                <w:highlight w:val="none"/>
                <w:vertAlign w:val="baseline"/>
                <w:lang w:val="en-US" w:eastAsia="zh-CN"/>
              </w:rPr>
              <w:t>69</w:t>
            </w:r>
            <w:r>
              <w:rPr>
                <w:rFonts w:hint="eastAsia" w:hAnsi="宋体" w:eastAsia="宋体" w:cs="宋体"/>
                <w:b w:val="0"/>
                <w:bCs/>
                <w:sz w:val="24"/>
                <w:szCs w:val="24"/>
                <w:highlight w:val="none"/>
                <w:vertAlign w:val="baseline"/>
                <w:lang w:val="en-US" w:eastAsia="zh-CN"/>
              </w:rPr>
              <w:t>279</w:t>
            </w:r>
          </w:p>
        </w:tc>
        <w:tc>
          <w:tcPr>
            <w:tcW w:w="1545" w:type="dxa"/>
            <w:tcBorders>
              <w:top w:val="single" w:color="auto" w:sz="4" w:space="0"/>
              <w:left w:val="single" w:color="auto" w:sz="4" w:space="0"/>
              <w:bottom w:val="single" w:color="auto" w:sz="4" w:space="0"/>
              <w:right w:val="single" w:color="auto" w:sz="4" w:space="0"/>
            </w:tcBorders>
            <w:vAlign w:val="center"/>
          </w:tcPr>
          <w:p w14:paraId="4B74D57F">
            <w:pPr>
              <w:jc w:val="center"/>
              <w:rPr>
                <w:rFonts w:hint="eastAsia" w:eastAsia="宋体"/>
                <w:b w:val="0"/>
                <w:bCs/>
                <w:sz w:val="24"/>
                <w:szCs w:val="24"/>
                <w:lang w:val="en-US" w:eastAsia="zh-CN"/>
              </w:rPr>
            </w:pPr>
            <w:r>
              <w:rPr>
                <w:rFonts w:hint="eastAsia"/>
                <w:b w:val="0"/>
                <w:bCs/>
                <w:sz w:val="24"/>
                <w:szCs w:val="24"/>
                <w:lang w:val="en-US" w:eastAsia="zh-CN"/>
              </w:rPr>
              <w:t>平米</w:t>
            </w:r>
          </w:p>
        </w:tc>
        <w:tc>
          <w:tcPr>
            <w:tcW w:w="2035" w:type="dxa"/>
            <w:tcBorders>
              <w:top w:val="single" w:color="auto" w:sz="4" w:space="0"/>
              <w:left w:val="single" w:color="auto" w:sz="4" w:space="0"/>
              <w:bottom w:val="single" w:color="auto" w:sz="4" w:space="0"/>
              <w:right w:val="single" w:color="auto" w:sz="4" w:space="0"/>
            </w:tcBorders>
            <w:vAlign w:val="center"/>
          </w:tcPr>
          <w:p w14:paraId="2B376C91">
            <w:pPr>
              <w:jc w:val="center"/>
              <w:rPr>
                <w:rFonts w:hint="default"/>
                <w:b w:val="0"/>
                <w:bCs/>
                <w:sz w:val="24"/>
                <w:szCs w:val="24"/>
                <w:lang w:val="en-US"/>
              </w:rPr>
            </w:pPr>
            <w:r>
              <w:rPr>
                <w:rFonts w:hint="eastAsia" w:hAnsi="宋体" w:eastAsia="宋体" w:cs="宋体"/>
                <w:b w:val="0"/>
                <w:bCs/>
                <w:sz w:val="24"/>
                <w:szCs w:val="24"/>
                <w:highlight w:val="none"/>
                <w:vertAlign w:val="baseline"/>
                <w:lang w:val="en-US" w:eastAsia="zh-CN"/>
              </w:rPr>
              <w:t>参照“北京市城镇绿地养护管理分级质量”二级绿地养护标准</w:t>
            </w:r>
          </w:p>
        </w:tc>
      </w:tr>
    </w:tbl>
    <w:p w14:paraId="37F1CAA5">
      <w:pPr>
        <w:adjustRightInd w:val="0"/>
        <w:spacing w:line="360" w:lineRule="atLeast"/>
        <w:ind w:firstLine="720" w:firstLineChars="300"/>
        <w:jc w:val="left"/>
        <w:textAlignment w:val="baseline"/>
        <w:rPr>
          <w:rFonts w:ascii="宋体" w:hAnsi="宋体"/>
          <w:sz w:val="24"/>
          <w:szCs w:val="24"/>
        </w:rPr>
      </w:pPr>
    </w:p>
    <w:p w14:paraId="76A354D1">
      <w:pPr>
        <w:adjustRightInd w:val="0"/>
        <w:spacing w:line="360" w:lineRule="atLeast"/>
        <w:ind w:firstLine="480" w:firstLineChars="200"/>
        <w:jc w:val="left"/>
        <w:textAlignment w:val="baseline"/>
        <w:rPr>
          <w:rFonts w:hint="eastAsia" w:ascii="Times New Roman" w:hAnsi="Times New Roman" w:eastAsia="宋体" w:cs="Times New Roman"/>
          <w:bCs/>
          <w:sz w:val="24"/>
          <w:szCs w:val="24"/>
        </w:rPr>
      </w:pPr>
      <w:r>
        <w:rPr>
          <w:rFonts w:hint="eastAsia" w:ascii="Times New Roman" w:hAnsi="Times New Roman" w:eastAsia="宋体" w:cs="Times New Roman"/>
          <w:bCs/>
          <w:sz w:val="24"/>
          <w:szCs w:val="24"/>
        </w:rPr>
        <w:t>项目预算金额：</w:t>
      </w:r>
      <w:r>
        <w:rPr>
          <w:rFonts w:hint="eastAsia" w:ascii="Times New Roman" w:hAnsi="Times New Roman" w:eastAsia="宋体" w:cs="Times New Roman"/>
          <w:bCs/>
          <w:sz w:val="24"/>
          <w:szCs w:val="24"/>
          <w:lang w:val="en-US" w:eastAsia="zh-CN"/>
        </w:rPr>
        <w:t xml:space="preserve"> 365</w:t>
      </w:r>
      <w:r>
        <w:rPr>
          <w:rFonts w:hint="eastAsia" w:ascii="Times New Roman" w:hAnsi="Times New Roman" w:eastAsia="宋体" w:cs="Times New Roman"/>
          <w:bCs/>
          <w:sz w:val="24"/>
          <w:szCs w:val="24"/>
        </w:rPr>
        <w:t>万元</w:t>
      </w:r>
    </w:p>
    <w:p w14:paraId="622A5E3E">
      <w:pPr>
        <w:adjustRightInd w:val="0"/>
        <w:spacing w:line="360" w:lineRule="atLeast"/>
        <w:ind w:firstLine="480" w:firstLineChars="200"/>
        <w:jc w:val="left"/>
        <w:textAlignment w:val="baseline"/>
        <w:rPr>
          <w:bCs/>
          <w:sz w:val="24"/>
          <w:szCs w:val="24"/>
        </w:rPr>
      </w:pPr>
      <w:r>
        <w:rPr>
          <w:rFonts w:hint="eastAsia"/>
          <w:bCs/>
          <w:sz w:val="24"/>
          <w:szCs w:val="24"/>
        </w:rPr>
        <w:t>合同履行期限：自合同签订之日起服务满一年止。</w:t>
      </w:r>
    </w:p>
    <w:p w14:paraId="18B7FE8D">
      <w:pPr>
        <w:pStyle w:val="4"/>
        <w:numPr>
          <w:ilvl w:val="0"/>
          <w:numId w:val="1"/>
        </w:numPr>
        <w:bidi w:val="0"/>
        <w:jc w:val="both"/>
      </w:pPr>
      <w:r>
        <w:rPr>
          <w:rFonts w:hint="eastAsia"/>
        </w:rPr>
        <w:t>项目背景或简况</w:t>
      </w:r>
    </w:p>
    <w:p w14:paraId="07C6C039">
      <w:pPr>
        <w:pStyle w:val="12"/>
        <w:spacing w:before="0" w:beforeAutospacing="0" w:after="0" w:afterAutospacing="0"/>
        <w:ind w:left="420" w:firstLine="480" w:firstLineChars="200"/>
        <w:rPr>
          <w:rFonts w:ascii="宋体" w:hAnsi="宋体" w:cs="仿宋_GB2312"/>
          <w:sz w:val="24"/>
          <w:szCs w:val="24"/>
        </w:rPr>
      </w:pPr>
      <w:r>
        <w:rPr>
          <w:rFonts w:hint="eastAsia" w:ascii="宋体" w:hAnsi="宋体" w:cs="仿宋_GB2312"/>
          <w:sz w:val="24"/>
          <w:szCs w:val="24"/>
        </w:rPr>
        <w:t>大兴一中作为北京市首批示范性高中，在市、区各级领导的支持下，各项工作不断发展。尤其是在新校区建成后，学校步入了高质量发展的快车道。为了充分发挥大兴一中的示范引领作用，为学生提供优美、舒适的学习、生活环境，不断提高教育教学质量，需要聘请具备资质的单位进行物业管理服务。结合学校的实际情况制定以下物业管理服务工作方案。</w:t>
      </w:r>
    </w:p>
    <w:p w14:paraId="105FE0D1">
      <w:pPr>
        <w:pStyle w:val="12"/>
        <w:spacing w:before="0" w:beforeAutospacing="0" w:after="0" w:afterAutospacing="0"/>
        <w:ind w:left="420" w:firstLine="480" w:firstLineChars="200"/>
        <w:rPr>
          <w:rFonts w:hint="eastAsia" w:ascii="宋体" w:hAnsi="宋体" w:eastAsia="宋体" w:cs="仿宋_GB2312"/>
          <w:sz w:val="24"/>
          <w:szCs w:val="24"/>
          <w:lang w:eastAsia="zh-CN"/>
        </w:rPr>
      </w:pPr>
      <w:r>
        <w:rPr>
          <w:rFonts w:hint="eastAsia" w:ascii="宋体" w:hAnsi="宋体" w:cs="仿宋_GB2312"/>
          <w:sz w:val="24"/>
          <w:szCs w:val="24"/>
        </w:rPr>
        <w:t>服务地点：北京市大兴区广永北路1号，大兴一中西校区</w:t>
      </w:r>
      <w:r>
        <w:rPr>
          <w:rFonts w:hint="eastAsia" w:ascii="宋体" w:hAnsi="宋体" w:cs="仿宋_GB2312"/>
          <w:sz w:val="24"/>
          <w:szCs w:val="24"/>
          <w:lang w:eastAsia="zh-CN"/>
        </w:rPr>
        <w:t>。</w:t>
      </w:r>
    </w:p>
    <w:p w14:paraId="76DBCDBE">
      <w:pPr>
        <w:pStyle w:val="12"/>
        <w:spacing w:before="0" w:beforeAutospacing="0" w:after="0" w:afterAutospacing="0"/>
        <w:ind w:left="420" w:firstLine="480" w:firstLineChars="200"/>
        <w:rPr>
          <w:rFonts w:hint="eastAsia" w:eastAsia="宋体"/>
          <w:sz w:val="24"/>
          <w:szCs w:val="24"/>
          <w:lang w:eastAsia="zh-CN"/>
        </w:rPr>
      </w:pPr>
      <w:r>
        <w:rPr>
          <w:rFonts w:hint="eastAsia" w:ascii="宋体" w:hAnsi="宋体" w:cs="仿宋_GB2312"/>
          <w:sz w:val="24"/>
          <w:szCs w:val="24"/>
        </w:rPr>
        <w:t>建筑面积：1</w:t>
      </w:r>
      <w:r>
        <w:rPr>
          <w:rFonts w:ascii="宋体" w:hAnsi="宋体" w:cs="仿宋_GB2312"/>
          <w:sz w:val="24"/>
          <w:szCs w:val="24"/>
        </w:rPr>
        <w:t>79877.17</w:t>
      </w:r>
      <w:r>
        <w:rPr>
          <w:rFonts w:hint="eastAsia" w:ascii="宋体" w:hAnsi="宋体" w:cs="仿宋_GB2312"/>
          <w:sz w:val="24"/>
          <w:szCs w:val="24"/>
        </w:rPr>
        <w:t>㎡</w:t>
      </w:r>
      <w:r>
        <w:rPr>
          <w:rFonts w:hint="eastAsia" w:ascii="宋体" w:hAnsi="宋体" w:cs="仿宋_GB2312"/>
          <w:sz w:val="24"/>
          <w:szCs w:val="24"/>
          <w:lang w:eastAsia="zh-CN"/>
        </w:rPr>
        <w:t>。</w:t>
      </w:r>
    </w:p>
    <w:p w14:paraId="47FB951E">
      <w:pPr>
        <w:pStyle w:val="4"/>
        <w:numPr>
          <w:ilvl w:val="0"/>
          <w:numId w:val="1"/>
        </w:numPr>
        <w:bidi w:val="0"/>
        <w:jc w:val="both"/>
      </w:pPr>
      <w:r>
        <w:rPr>
          <w:rFonts w:hint="eastAsia"/>
        </w:rPr>
        <w:t>技术参数要求、服务要求</w:t>
      </w:r>
    </w:p>
    <w:p w14:paraId="7F46AA78">
      <w:pPr>
        <w:pStyle w:val="5"/>
        <w:bidi w:val="0"/>
      </w:pPr>
      <w:r>
        <w:rPr>
          <w:rFonts w:hint="eastAsia"/>
          <w:lang w:val="en-US" w:eastAsia="zh-CN"/>
        </w:rPr>
        <w:t>（一）</w:t>
      </w:r>
      <w:r>
        <w:rPr>
          <w:rFonts w:hint="eastAsia"/>
        </w:rPr>
        <w:t>日常维修养护</w:t>
      </w:r>
    </w:p>
    <w:p w14:paraId="40767F0B">
      <w:pPr>
        <w:pStyle w:val="9"/>
        <w:spacing w:line="360" w:lineRule="auto"/>
        <w:ind w:left="0" w:leftChars="0" w:firstLine="240" w:firstLineChars="100"/>
        <w:rPr>
          <w:sz w:val="24"/>
          <w:szCs w:val="24"/>
        </w:rPr>
      </w:pPr>
      <w:r>
        <w:rPr>
          <w:rFonts w:hint="eastAsia"/>
          <w:sz w:val="24"/>
          <w:szCs w:val="24"/>
        </w:rPr>
        <w:t>1、房屋日常维修养护</w:t>
      </w:r>
    </w:p>
    <w:p w14:paraId="09A5E4A7">
      <w:pPr>
        <w:snapToGrid w:val="0"/>
        <w:spacing w:line="360" w:lineRule="auto"/>
        <w:ind w:firstLine="480" w:firstLineChars="200"/>
        <w:rPr>
          <w:rFonts w:ascii="宋体" w:hAnsi="宋体"/>
          <w:sz w:val="24"/>
          <w:szCs w:val="24"/>
        </w:rPr>
      </w:pPr>
      <w:r>
        <w:rPr>
          <w:rFonts w:hint="eastAsia" w:ascii="宋体" w:hAnsi="宋体" w:cs="宋体"/>
          <w:sz w:val="24"/>
          <w:szCs w:val="24"/>
        </w:rPr>
        <w:t>管理范围内，房屋外观良好、整洁，外墙清洁、完好无破损；室外招牌保持整洁统一、美观，无安全隐患和破损；保证护栏、围墙等公共设施设备正常使用；管理范围内道路通畅，路面平坦，通道无堆积物，确保房屋完好等级和正常使用。</w:t>
      </w:r>
    </w:p>
    <w:p w14:paraId="1E81CF8D">
      <w:pPr>
        <w:snapToGrid w:val="0"/>
        <w:spacing w:line="360" w:lineRule="auto"/>
        <w:ind w:firstLine="480" w:firstLineChars="200"/>
        <w:rPr>
          <w:rFonts w:ascii="宋体" w:hAnsi="宋体"/>
          <w:sz w:val="24"/>
          <w:szCs w:val="24"/>
        </w:rPr>
      </w:pPr>
      <w:r>
        <w:rPr>
          <w:rFonts w:hint="eastAsia" w:ascii="宋体" w:hAnsi="宋体" w:cs="宋体"/>
          <w:sz w:val="24"/>
          <w:szCs w:val="24"/>
        </w:rPr>
        <w:t>（1）养护、修缮程序</w:t>
      </w:r>
    </w:p>
    <w:p w14:paraId="14A4C671">
      <w:pPr>
        <w:snapToGrid w:val="0"/>
        <w:spacing w:line="360" w:lineRule="auto"/>
        <w:ind w:firstLine="480" w:firstLineChars="200"/>
        <w:rPr>
          <w:rFonts w:ascii="宋体" w:hAnsi="宋体"/>
          <w:sz w:val="24"/>
          <w:szCs w:val="24"/>
        </w:rPr>
      </w:pPr>
      <w:r>
        <w:rPr>
          <w:rFonts w:hint="eastAsia" w:ascii="宋体" w:hAnsi="宋体" w:cs="宋体"/>
          <w:sz w:val="24"/>
          <w:szCs w:val="24"/>
        </w:rPr>
        <w:t>1)养护修缮标准：确保管理范围内房屋的完好等级和正常使用，及时完成零星维修任务，零修合格率100%；一般维修任务不超过24小时。</w:t>
      </w:r>
    </w:p>
    <w:p w14:paraId="6F660DB5">
      <w:pPr>
        <w:snapToGrid w:val="0"/>
        <w:spacing w:line="360" w:lineRule="auto"/>
        <w:ind w:firstLine="480" w:firstLineChars="200"/>
        <w:rPr>
          <w:rFonts w:ascii="宋体" w:hAnsi="宋体"/>
          <w:sz w:val="24"/>
          <w:szCs w:val="24"/>
        </w:rPr>
      </w:pPr>
      <w:r>
        <w:rPr>
          <w:rFonts w:hint="eastAsia" w:ascii="宋体" w:hAnsi="宋体" w:cs="宋体"/>
          <w:sz w:val="24"/>
          <w:szCs w:val="24"/>
        </w:rPr>
        <w:t>2)维修工根据巡检中发现的问题或用户报修，报维修主管。</w:t>
      </w:r>
    </w:p>
    <w:p w14:paraId="7A55AE2F">
      <w:pPr>
        <w:snapToGrid w:val="0"/>
        <w:spacing w:line="360" w:lineRule="auto"/>
        <w:ind w:firstLine="480" w:firstLineChars="200"/>
        <w:rPr>
          <w:rFonts w:ascii="宋体" w:hAnsi="宋体"/>
          <w:sz w:val="24"/>
          <w:szCs w:val="24"/>
        </w:rPr>
      </w:pPr>
      <w:r>
        <w:rPr>
          <w:rFonts w:hint="eastAsia" w:ascii="宋体" w:hAnsi="宋体" w:cs="宋体"/>
          <w:sz w:val="24"/>
          <w:szCs w:val="24"/>
        </w:rPr>
        <w:t>3)维修主管下达工作单，并对养护修缮进行监督检查、验收。</w:t>
      </w:r>
    </w:p>
    <w:p w14:paraId="65EE6DE7">
      <w:pPr>
        <w:snapToGrid w:val="0"/>
        <w:spacing w:line="360" w:lineRule="auto"/>
        <w:ind w:firstLine="480" w:firstLineChars="200"/>
        <w:rPr>
          <w:rFonts w:ascii="宋体" w:hAnsi="宋体"/>
          <w:sz w:val="24"/>
          <w:szCs w:val="24"/>
        </w:rPr>
      </w:pPr>
      <w:r>
        <w:rPr>
          <w:rFonts w:hint="eastAsia" w:ascii="宋体" w:hAnsi="宋体" w:cs="宋体"/>
          <w:sz w:val="24"/>
          <w:szCs w:val="24"/>
        </w:rPr>
        <w:t>2、一般性养护修缮</w:t>
      </w:r>
    </w:p>
    <w:p w14:paraId="1AB725AD">
      <w:pPr>
        <w:snapToGrid w:val="0"/>
        <w:spacing w:line="360" w:lineRule="auto"/>
        <w:ind w:firstLine="480" w:firstLineChars="200"/>
        <w:rPr>
          <w:rFonts w:ascii="宋体" w:hAnsi="宋体"/>
          <w:sz w:val="24"/>
          <w:szCs w:val="24"/>
        </w:rPr>
      </w:pPr>
      <w:r>
        <w:rPr>
          <w:rFonts w:hint="eastAsia" w:ascii="宋体" w:hAnsi="宋体" w:cs="宋体"/>
          <w:sz w:val="24"/>
          <w:szCs w:val="24"/>
        </w:rPr>
        <w:t>(1)一般性养护和小修执行《房屋及其设备小修标准》。</w:t>
      </w:r>
    </w:p>
    <w:p w14:paraId="4C819DD4">
      <w:pPr>
        <w:snapToGrid w:val="0"/>
        <w:spacing w:line="360" w:lineRule="auto"/>
        <w:ind w:firstLine="480" w:firstLineChars="200"/>
        <w:rPr>
          <w:rFonts w:ascii="宋体" w:hAnsi="宋体"/>
          <w:sz w:val="24"/>
          <w:szCs w:val="24"/>
        </w:rPr>
      </w:pPr>
      <w:r>
        <w:rPr>
          <w:rFonts w:hint="eastAsia" w:ascii="宋体" w:hAnsi="宋体" w:cs="宋体"/>
          <w:sz w:val="24"/>
          <w:szCs w:val="24"/>
        </w:rPr>
        <w:t>(2)修门窗维修标准：</w:t>
      </w:r>
    </w:p>
    <w:p w14:paraId="15E0B858">
      <w:pPr>
        <w:snapToGrid w:val="0"/>
        <w:spacing w:line="360" w:lineRule="auto"/>
        <w:ind w:firstLine="480" w:firstLineChars="200"/>
        <w:rPr>
          <w:rFonts w:ascii="宋体" w:hAnsi="宋体"/>
          <w:sz w:val="24"/>
          <w:szCs w:val="24"/>
        </w:rPr>
      </w:pPr>
      <w:r>
        <w:rPr>
          <w:rFonts w:hint="eastAsia" w:ascii="宋体" w:hAnsi="宋体" w:cs="宋体"/>
          <w:sz w:val="24"/>
          <w:szCs w:val="24"/>
        </w:rPr>
        <w:t>1）修后的门窗，开关灵活、不松动，框和墙体结合牢固，五金件齐全，玻璃装钉牢固，腻子饱满，窗纱绷紧，不露纱头；</w:t>
      </w:r>
    </w:p>
    <w:p w14:paraId="4F080A93">
      <w:pPr>
        <w:snapToGrid w:val="0"/>
        <w:spacing w:line="360" w:lineRule="auto"/>
        <w:ind w:firstLine="480" w:firstLineChars="200"/>
        <w:rPr>
          <w:rFonts w:ascii="宋体" w:hAnsi="宋体"/>
          <w:sz w:val="24"/>
          <w:szCs w:val="24"/>
        </w:rPr>
      </w:pPr>
      <w:r>
        <w:rPr>
          <w:rFonts w:hint="eastAsia" w:ascii="宋体" w:hAnsi="宋体" w:cs="宋体"/>
          <w:sz w:val="24"/>
          <w:szCs w:val="24"/>
        </w:rPr>
        <w:t>2）检查门窗附件有无损坏、不全，进行更新或补装；</w:t>
      </w:r>
    </w:p>
    <w:p w14:paraId="55DC182B">
      <w:pPr>
        <w:snapToGrid w:val="0"/>
        <w:spacing w:line="360" w:lineRule="auto"/>
        <w:ind w:firstLine="480" w:firstLineChars="200"/>
        <w:rPr>
          <w:rFonts w:ascii="宋体" w:hAnsi="宋体"/>
          <w:sz w:val="24"/>
          <w:szCs w:val="24"/>
        </w:rPr>
      </w:pPr>
      <w:r>
        <w:rPr>
          <w:rFonts w:hint="eastAsia" w:ascii="宋体" w:hAnsi="宋体" w:cs="宋体"/>
          <w:sz w:val="24"/>
          <w:szCs w:val="24"/>
        </w:rPr>
        <w:t>3）清除门角和窗轨道的杂物，对门合页和窗轨道注油；</w:t>
      </w:r>
    </w:p>
    <w:p w14:paraId="2B623E7B">
      <w:pPr>
        <w:snapToGrid w:val="0"/>
        <w:spacing w:line="360" w:lineRule="auto"/>
        <w:ind w:firstLine="480" w:firstLineChars="200"/>
        <w:rPr>
          <w:rFonts w:ascii="宋体" w:hAnsi="宋体"/>
          <w:sz w:val="24"/>
          <w:szCs w:val="24"/>
        </w:rPr>
      </w:pPr>
      <w:r>
        <w:rPr>
          <w:rFonts w:hint="eastAsia" w:ascii="宋体" w:hAnsi="宋体" w:cs="宋体"/>
          <w:sz w:val="24"/>
          <w:szCs w:val="24"/>
        </w:rPr>
        <w:t>4)更换破损玻璃时，注意防止碎片伤人。</w:t>
      </w:r>
    </w:p>
    <w:p w14:paraId="185B23FF">
      <w:pPr>
        <w:snapToGrid w:val="0"/>
        <w:spacing w:line="360" w:lineRule="auto"/>
        <w:ind w:firstLine="480" w:firstLineChars="200"/>
        <w:rPr>
          <w:rFonts w:ascii="宋体" w:hAnsi="宋体"/>
          <w:sz w:val="24"/>
          <w:szCs w:val="24"/>
        </w:rPr>
      </w:pPr>
      <w:r>
        <w:rPr>
          <w:rFonts w:hint="eastAsia" w:ascii="宋体" w:hAnsi="宋体" w:cs="宋体"/>
          <w:sz w:val="24"/>
          <w:szCs w:val="24"/>
        </w:rPr>
        <w:t>(3)屋面修缮</w:t>
      </w:r>
    </w:p>
    <w:p w14:paraId="4C744921">
      <w:pPr>
        <w:snapToGrid w:val="0"/>
        <w:spacing w:line="360" w:lineRule="auto"/>
        <w:ind w:firstLine="480" w:firstLineChars="200"/>
        <w:rPr>
          <w:rFonts w:ascii="宋体" w:hAnsi="宋体"/>
          <w:sz w:val="24"/>
          <w:szCs w:val="24"/>
        </w:rPr>
      </w:pPr>
      <w:r>
        <w:rPr>
          <w:rFonts w:hint="eastAsia" w:ascii="宋体" w:hAnsi="宋体" w:cs="宋体"/>
          <w:sz w:val="24"/>
          <w:szCs w:val="24"/>
        </w:rPr>
        <w:t>1)维修标准：屋面设施保持清洁，屋面局部补漏后应达到不再滴漏；</w:t>
      </w:r>
    </w:p>
    <w:p w14:paraId="4E85D472">
      <w:pPr>
        <w:snapToGrid w:val="0"/>
        <w:spacing w:line="360" w:lineRule="auto"/>
        <w:ind w:firstLine="480" w:firstLineChars="200"/>
        <w:rPr>
          <w:rFonts w:ascii="宋体" w:hAnsi="宋体"/>
          <w:sz w:val="24"/>
          <w:szCs w:val="24"/>
        </w:rPr>
      </w:pPr>
      <w:r>
        <w:rPr>
          <w:rFonts w:hint="eastAsia" w:ascii="宋体" w:hAnsi="宋体" w:cs="宋体"/>
          <w:sz w:val="24"/>
          <w:szCs w:val="24"/>
        </w:rPr>
        <w:t>2)清除屋面杂物，疏通屋面排水口，加固修补屋面排水管；</w:t>
      </w:r>
    </w:p>
    <w:p w14:paraId="110B41F8">
      <w:pPr>
        <w:snapToGrid w:val="0"/>
        <w:spacing w:line="360" w:lineRule="auto"/>
        <w:ind w:firstLine="480" w:firstLineChars="200"/>
        <w:rPr>
          <w:rFonts w:ascii="宋体" w:hAnsi="宋体"/>
          <w:sz w:val="24"/>
          <w:szCs w:val="24"/>
        </w:rPr>
      </w:pPr>
      <w:r>
        <w:rPr>
          <w:rFonts w:hint="eastAsia" w:ascii="宋体" w:hAnsi="宋体" w:cs="宋体"/>
          <w:sz w:val="24"/>
          <w:szCs w:val="24"/>
        </w:rPr>
        <w:t>3)屋面小面积平整，堵漏。</w:t>
      </w:r>
    </w:p>
    <w:p w14:paraId="43A63B81">
      <w:pPr>
        <w:snapToGrid w:val="0"/>
        <w:spacing w:line="360" w:lineRule="auto"/>
        <w:ind w:firstLine="480" w:firstLineChars="200"/>
        <w:rPr>
          <w:rFonts w:ascii="宋体" w:hAnsi="宋体"/>
          <w:sz w:val="24"/>
          <w:szCs w:val="24"/>
        </w:rPr>
      </w:pPr>
      <w:r>
        <w:rPr>
          <w:rFonts w:hint="eastAsia" w:ascii="宋体" w:hAnsi="宋体" w:cs="宋体"/>
          <w:sz w:val="24"/>
          <w:szCs w:val="24"/>
        </w:rPr>
        <w:t>(4)墙体养护</w:t>
      </w:r>
    </w:p>
    <w:p w14:paraId="762A4F2D">
      <w:pPr>
        <w:snapToGrid w:val="0"/>
        <w:spacing w:line="360" w:lineRule="auto"/>
        <w:ind w:firstLine="480" w:firstLineChars="200"/>
        <w:rPr>
          <w:rFonts w:ascii="宋体" w:hAnsi="宋体"/>
          <w:sz w:val="24"/>
          <w:szCs w:val="24"/>
        </w:rPr>
      </w:pPr>
      <w:r>
        <w:rPr>
          <w:rFonts w:hint="eastAsia" w:ascii="宋体" w:hAnsi="宋体" w:cs="宋体"/>
          <w:sz w:val="24"/>
          <w:szCs w:val="24"/>
        </w:rPr>
        <w:t>1)维修标准：协助专业公司维修后的结构构件，应不再有裂缝和露筋现象；</w:t>
      </w:r>
    </w:p>
    <w:p w14:paraId="4705D551">
      <w:pPr>
        <w:snapToGrid w:val="0"/>
        <w:spacing w:line="360" w:lineRule="auto"/>
        <w:ind w:firstLine="480" w:firstLineChars="200"/>
        <w:rPr>
          <w:rFonts w:ascii="宋体" w:hAnsi="宋体"/>
          <w:sz w:val="24"/>
          <w:szCs w:val="24"/>
        </w:rPr>
      </w:pPr>
      <w:r>
        <w:rPr>
          <w:rFonts w:hint="eastAsia" w:ascii="宋体" w:hAnsi="宋体" w:cs="宋体"/>
          <w:sz w:val="24"/>
          <w:szCs w:val="24"/>
        </w:rPr>
        <w:t>2)补墙体裂缝，刷密封胶；</w:t>
      </w:r>
    </w:p>
    <w:p w14:paraId="48BAC177">
      <w:pPr>
        <w:snapToGrid w:val="0"/>
        <w:spacing w:line="360" w:lineRule="auto"/>
        <w:ind w:firstLine="480" w:firstLineChars="200"/>
        <w:rPr>
          <w:rFonts w:ascii="宋体" w:hAnsi="宋体"/>
          <w:sz w:val="24"/>
          <w:szCs w:val="24"/>
        </w:rPr>
      </w:pPr>
      <w:r>
        <w:rPr>
          <w:rFonts w:hint="eastAsia" w:ascii="宋体" w:hAnsi="宋体" w:cs="宋体"/>
          <w:sz w:val="24"/>
          <w:szCs w:val="24"/>
        </w:rPr>
        <w:t>3)更换补贴2平方米以下的脱落、破裂的墙面砖；</w:t>
      </w:r>
    </w:p>
    <w:p w14:paraId="0F0FA6A9">
      <w:pPr>
        <w:snapToGrid w:val="0"/>
        <w:spacing w:line="360" w:lineRule="auto"/>
        <w:ind w:firstLine="480" w:firstLineChars="200"/>
        <w:rPr>
          <w:rFonts w:ascii="宋体" w:hAnsi="宋体"/>
          <w:sz w:val="24"/>
          <w:szCs w:val="24"/>
        </w:rPr>
      </w:pPr>
      <w:r>
        <w:rPr>
          <w:rFonts w:hint="eastAsia" w:ascii="宋体" w:hAnsi="宋体" w:cs="宋体"/>
          <w:sz w:val="24"/>
          <w:szCs w:val="24"/>
        </w:rPr>
        <w:t>4)平整开胶、起泡和装饰墙面。</w:t>
      </w:r>
    </w:p>
    <w:p w14:paraId="685B5C53">
      <w:pPr>
        <w:snapToGrid w:val="0"/>
        <w:spacing w:line="360" w:lineRule="auto"/>
        <w:ind w:firstLine="480" w:firstLineChars="200"/>
        <w:rPr>
          <w:rFonts w:ascii="宋体" w:hAnsi="宋体"/>
          <w:sz w:val="24"/>
          <w:szCs w:val="24"/>
        </w:rPr>
      </w:pPr>
      <w:r>
        <w:rPr>
          <w:rFonts w:hint="eastAsia" w:ascii="宋体" w:hAnsi="宋体" w:cs="宋体"/>
          <w:sz w:val="24"/>
          <w:szCs w:val="24"/>
        </w:rPr>
        <w:t>(5)地板养护</w:t>
      </w:r>
    </w:p>
    <w:p w14:paraId="2B91F05E">
      <w:pPr>
        <w:snapToGrid w:val="0"/>
        <w:spacing w:line="360" w:lineRule="auto"/>
        <w:ind w:firstLine="480" w:firstLineChars="200"/>
        <w:rPr>
          <w:rFonts w:ascii="宋体" w:hAnsi="宋体"/>
          <w:sz w:val="24"/>
          <w:szCs w:val="24"/>
        </w:rPr>
      </w:pPr>
      <w:r>
        <w:rPr>
          <w:rFonts w:hint="eastAsia" w:ascii="宋体" w:hAnsi="宋体" w:cs="宋体"/>
          <w:sz w:val="24"/>
          <w:szCs w:val="24"/>
        </w:rPr>
        <w:t>1)维修标准：普通水泥楼面及散水维修后应平整、光滑，接槎平整；木质地面定期养护，维修后应牢固、平整、拼缝严密；</w:t>
      </w:r>
    </w:p>
    <w:p w14:paraId="3A42A1B3">
      <w:pPr>
        <w:snapToGrid w:val="0"/>
        <w:spacing w:line="360" w:lineRule="auto"/>
        <w:ind w:firstLine="480" w:firstLineChars="200"/>
        <w:rPr>
          <w:rFonts w:ascii="宋体" w:hAnsi="宋体"/>
          <w:sz w:val="24"/>
          <w:szCs w:val="24"/>
        </w:rPr>
      </w:pPr>
      <w:r>
        <w:rPr>
          <w:rFonts w:hint="eastAsia" w:ascii="宋体" w:hAnsi="宋体" w:cs="宋体"/>
          <w:sz w:val="24"/>
          <w:szCs w:val="24"/>
        </w:rPr>
        <w:t>2)修补地板裂缝、砂眼、空鼓；</w:t>
      </w:r>
    </w:p>
    <w:p w14:paraId="3FAE8964">
      <w:pPr>
        <w:snapToGrid w:val="0"/>
        <w:spacing w:line="360" w:lineRule="auto"/>
        <w:ind w:firstLine="480" w:firstLineChars="200"/>
        <w:rPr>
          <w:rFonts w:ascii="宋体" w:hAnsi="宋体"/>
          <w:sz w:val="24"/>
          <w:szCs w:val="24"/>
        </w:rPr>
      </w:pPr>
      <w:r>
        <w:rPr>
          <w:rFonts w:hint="eastAsia" w:ascii="宋体" w:hAnsi="宋体" w:cs="宋体"/>
          <w:sz w:val="24"/>
          <w:szCs w:val="24"/>
        </w:rPr>
        <w:t>3)平整地板、补胶。</w:t>
      </w:r>
    </w:p>
    <w:p w14:paraId="78805946">
      <w:pPr>
        <w:snapToGrid w:val="0"/>
        <w:spacing w:line="360" w:lineRule="auto"/>
        <w:ind w:firstLine="480" w:firstLineChars="200"/>
        <w:rPr>
          <w:rFonts w:ascii="宋体" w:hAnsi="宋体"/>
          <w:sz w:val="24"/>
          <w:szCs w:val="24"/>
        </w:rPr>
      </w:pPr>
      <w:r>
        <w:rPr>
          <w:rFonts w:hint="eastAsia" w:ascii="宋体" w:hAnsi="宋体" w:cs="宋体"/>
          <w:sz w:val="24"/>
          <w:szCs w:val="24"/>
        </w:rPr>
        <w:t>(6)吊顶修缮</w:t>
      </w:r>
    </w:p>
    <w:p w14:paraId="3B9EB433">
      <w:pPr>
        <w:snapToGrid w:val="0"/>
        <w:spacing w:line="360" w:lineRule="auto"/>
        <w:ind w:firstLine="480" w:firstLineChars="200"/>
        <w:rPr>
          <w:rFonts w:ascii="宋体" w:hAnsi="宋体"/>
          <w:sz w:val="24"/>
          <w:szCs w:val="24"/>
        </w:rPr>
      </w:pPr>
      <w:r>
        <w:rPr>
          <w:rFonts w:hint="eastAsia" w:ascii="宋体" w:hAnsi="宋体" w:cs="宋体"/>
          <w:sz w:val="24"/>
          <w:szCs w:val="24"/>
        </w:rPr>
        <w:t>1)维修标准：维修后的吊顶牢固、平整、拼缝严密；</w:t>
      </w:r>
    </w:p>
    <w:p w14:paraId="01E83488">
      <w:pPr>
        <w:snapToGrid w:val="0"/>
        <w:spacing w:line="360" w:lineRule="auto"/>
        <w:ind w:firstLine="480" w:firstLineChars="200"/>
        <w:rPr>
          <w:rFonts w:ascii="宋体" w:hAnsi="宋体"/>
          <w:sz w:val="24"/>
          <w:szCs w:val="24"/>
        </w:rPr>
      </w:pPr>
      <w:r>
        <w:rPr>
          <w:rFonts w:hint="eastAsia" w:ascii="宋体" w:hAnsi="宋体" w:cs="宋体"/>
          <w:sz w:val="24"/>
          <w:szCs w:val="24"/>
        </w:rPr>
        <w:t>2)调整吊顶龙骨、吊杆，使吊顶板平整；</w:t>
      </w:r>
    </w:p>
    <w:p w14:paraId="15FDC3A6">
      <w:pPr>
        <w:snapToGrid w:val="0"/>
        <w:spacing w:line="360" w:lineRule="auto"/>
        <w:ind w:firstLine="480" w:firstLineChars="200"/>
        <w:rPr>
          <w:rFonts w:ascii="宋体" w:hAnsi="宋体"/>
          <w:sz w:val="24"/>
          <w:szCs w:val="24"/>
        </w:rPr>
      </w:pPr>
      <w:r>
        <w:rPr>
          <w:rFonts w:hint="eastAsia" w:ascii="宋体" w:hAnsi="宋体" w:cs="宋体"/>
          <w:sz w:val="24"/>
          <w:szCs w:val="24"/>
        </w:rPr>
        <w:t>3)更换破裂、损坏的吊顶板。</w:t>
      </w:r>
    </w:p>
    <w:p w14:paraId="430690FB">
      <w:pPr>
        <w:snapToGrid w:val="0"/>
        <w:spacing w:line="360" w:lineRule="auto"/>
        <w:ind w:firstLine="480" w:firstLineChars="200"/>
        <w:rPr>
          <w:rFonts w:ascii="宋体" w:hAnsi="宋体"/>
          <w:sz w:val="24"/>
          <w:szCs w:val="24"/>
        </w:rPr>
      </w:pPr>
      <w:r>
        <w:rPr>
          <w:rFonts w:hint="eastAsia" w:ascii="宋体" w:hAnsi="宋体" w:cs="宋体"/>
          <w:sz w:val="24"/>
          <w:szCs w:val="24"/>
        </w:rPr>
        <w:t>(7)玻璃幕墙养护</w:t>
      </w:r>
    </w:p>
    <w:p w14:paraId="46306A4C">
      <w:pPr>
        <w:snapToGrid w:val="0"/>
        <w:spacing w:line="360" w:lineRule="auto"/>
        <w:ind w:firstLine="480" w:firstLineChars="200"/>
        <w:rPr>
          <w:rFonts w:ascii="宋体" w:hAnsi="宋体"/>
          <w:sz w:val="24"/>
          <w:szCs w:val="24"/>
        </w:rPr>
      </w:pPr>
      <w:r>
        <w:rPr>
          <w:rFonts w:hint="eastAsia" w:ascii="宋体" w:hAnsi="宋体" w:cs="宋体"/>
          <w:sz w:val="24"/>
          <w:szCs w:val="24"/>
        </w:rPr>
        <w:t>1)更换破裂、变形玻璃；</w:t>
      </w:r>
    </w:p>
    <w:p w14:paraId="1B34C98C">
      <w:pPr>
        <w:snapToGrid w:val="0"/>
        <w:spacing w:line="360" w:lineRule="auto"/>
        <w:ind w:firstLine="480" w:firstLineChars="200"/>
        <w:rPr>
          <w:rFonts w:ascii="宋体" w:hAnsi="宋体"/>
          <w:sz w:val="24"/>
          <w:szCs w:val="24"/>
        </w:rPr>
      </w:pPr>
      <w:r>
        <w:rPr>
          <w:rFonts w:hint="eastAsia" w:ascii="宋体" w:hAnsi="宋体" w:cs="宋体"/>
          <w:sz w:val="24"/>
          <w:szCs w:val="24"/>
        </w:rPr>
        <w:t>2)补刷密封胶；</w:t>
      </w:r>
    </w:p>
    <w:p w14:paraId="722492C5">
      <w:pPr>
        <w:snapToGrid w:val="0"/>
        <w:spacing w:line="360" w:lineRule="auto"/>
        <w:ind w:firstLine="480" w:firstLineChars="200"/>
        <w:rPr>
          <w:rFonts w:ascii="宋体" w:hAnsi="宋体"/>
          <w:sz w:val="24"/>
          <w:szCs w:val="24"/>
        </w:rPr>
      </w:pPr>
      <w:r>
        <w:rPr>
          <w:rFonts w:hint="eastAsia" w:ascii="宋体" w:hAnsi="宋体" w:cs="宋体"/>
          <w:sz w:val="24"/>
          <w:szCs w:val="24"/>
        </w:rPr>
        <w:t>3)对支撑结构检查、修复、紧固小五金件。</w:t>
      </w:r>
    </w:p>
    <w:p w14:paraId="44818F87">
      <w:pPr>
        <w:snapToGrid w:val="0"/>
        <w:spacing w:line="360" w:lineRule="auto"/>
        <w:ind w:firstLine="480" w:firstLineChars="200"/>
        <w:rPr>
          <w:rFonts w:ascii="宋体" w:hAnsi="宋体"/>
          <w:sz w:val="24"/>
          <w:szCs w:val="24"/>
        </w:rPr>
      </w:pPr>
      <w:r>
        <w:rPr>
          <w:rFonts w:hint="eastAsia" w:ascii="宋体" w:hAnsi="宋体" w:cs="宋体"/>
          <w:sz w:val="24"/>
          <w:szCs w:val="24"/>
        </w:rPr>
        <w:t>(8)楼梯修缮</w:t>
      </w:r>
    </w:p>
    <w:p w14:paraId="09FE8E03">
      <w:pPr>
        <w:snapToGrid w:val="0"/>
        <w:spacing w:line="360" w:lineRule="auto"/>
        <w:ind w:firstLine="480" w:firstLineChars="200"/>
        <w:rPr>
          <w:rFonts w:ascii="宋体" w:hAnsi="宋体"/>
          <w:sz w:val="24"/>
          <w:szCs w:val="24"/>
        </w:rPr>
      </w:pPr>
      <w:r>
        <w:rPr>
          <w:rFonts w:hint="eastAsia" w:ascii="宋体" w:hAnsi="宋体" w:cs="宋体"/>
          <w:sz w:val="24"/>
          <w:szCs w:val="24"/>
        </w:rPr>
        <w:t>1)维修标准：修缮后楼梯无破损，恢复原有使用功能；</w:t>
      </w:r>
    </w:p>
    <w:p w14:paraId="45922A24">
      <w:pPr>
        <w:snapToGrid w:val="0"/>
        <w:spacing w:line="360" w:lineRule="auto"/>
        <w:ind w:firstLine="480" w:firstLineChars="200"/>
        <w:rPr>
          <w:rFonts w:ascii="宋体" w:hAnsi="宋体"/>
          <w:sz w:val="24"/>
          <w:szCs w:val="24"/>
        </w:rPr>
      </w:pPr>
      <w:r>
        <w:rPr>
          <w:rFonts w:hint="eastAsia" w:ascii="宋体" w:hAnsi="宋体" w:cs="宋体"/>
          <w:sz w:val="24"/>
          <w:szCs w:val="24"/>
        </w:rPr>
        <w:t>2)修补楼梯台阶开裂、破损；楼梯压条牢固、平整、拼缝严密；</w:t>
      </w:r>
    </w:p>
    <w:p w14:paraId="2D6E06A4">
      <w:pPr>
        <w:snapToGrid w:val="0"/>
        <w:spacing w:line="360" w:lineRule="auto"/>
        <w:ind w:firstLine="480" w:firstLineChars="200"/>
        <w:rPr>
          <w:rFonts w:ascii="宋体" w:hAnsi="宋体"/>
          <w:sz w:val="24"/>
          <w:szCs w:val="24"/>
        </w:rPr>
      </w:pPr>
      <w:r>
        <w:rPr>
          <w:rFonts w:hint="eastAsia" w:ascii="宋体" w:hAnsi="宋体" w:cs="宋体"/>
          <w:sz w:val="24"/>
          <w:szCs w:val="24"/>
        </w:rPr>
        <w:t>3)紧固栏杆、扶手及五金件。</w:t>
      </w:r>
    </w:p>
    <w:p w14:paraId="11B446EE">
      <w:pPr>
        <w:snapToGrid w:val="0"/>
        <w:spacing w:line="360" w:lineRule="auto"/>
        <w:ind w:firstLine="480" w:firstLineChars="200"/>
        <w:rPr>
          <w:rFonts w:ascii="宋体" w:hAnsi="宋体"/>
          <w:sz w:val="24"/>
          <w:szCs w:val="24"/>
        </w:rPr>
      </w:pPr>
      <w:r>
        <w:rPr>
          <w:rFonts w:hint="eastAsia" w:ascii="宋体" w:hAnsi="宋体" w:cs="宋体"/>
          <w:sz w:val="24"/>
          <w:szCs w:val="24"/>
        </w:rPr>
        <w:t>(9)室外土建设施修缮</w:t>
      </w:r>
    </w:p>
    <w:p w14:paraId="36F18A01">
      <w:pPr>
        <w:snapToGrid w:val="0"/>
        <w:spacing w:line="360" w:lineRule="auto"/>
        <w:ind w:firstLine="480" w:firstLineChars="200"/>
        <w:rPr>
          <w:rFonts w:ascii="宋体" w:hAnsi="宋体"/>
          <w:sz w:val="24"/>
          <w:szCs w:val="24"/>
        </w:rPr>
      </w:pPr>
      <w:r>
        <w:rPr>
          <w:rFonts w:hint="eastAsia" w:ascii="宋体" w:hAnsi="宋体" w:cs="宋体"/>
          <w:sz w:val="24"/>
          <w:szCs w:val="24"/>
        </w:rPr>
        <w:t>1)维修标准：设施功能齐全、完备，设施无破损；</w:t>
      </w:r>
    </w:p>
    <w:p w14:paraId="3E291E32">
      <w:pPr>
        <w:snapToGrid w:val="0"/>
        <w:spacing w:line="360" w:lineRule="auto"/>
        <w:ind w:firstLine="480" w:firstLineChars="200"/>
        <w:rPr>
          <w:rFonts w:ascii="宋体" w:hAnsi="宋体"/>
          <w:sz w:val="24"/>
          <w:szCs w:val="24"/>
        </w:rPr>
      </w:pPr>
      <w:r>
        <w:rPr>
          <w:rFonts w:hint="eastAsia" w:ascii="宋体" w:hAnsi="宋体" w:cs="宋体"/>
          <w:sz w:val="24"/>
          <w:szCs w:val="24"/>
        </w:rPr>
        <w:t>2)修补院内道路，围墙裂缝、破损；</w:t>
      </w:r>
    </w:p>
    <w:p w14:paraId="3372F83B">
      <w:pPr>
        <w:snapToGrid w:val="0"/>
        <w:spacing w:line="360" w:lineRule="auto"/>
        <w:ind w:firstLine="480" w:firstLineChars="200"/>
        <w:rPr>
          <w:rFonts w:ascii="宋体" w:hAnsi="宋体"/>
          <w:sz w:val="24"/>
          <w:szCs w:val="24"/>
        </w:rPr>
      </w:pPr>
      <w:r>
        <w:rPr>
          <w:rFonts w:hint="eastAsia" w:ascii="宋体" w:hAnsi="宋体" w:cs="宋体"/>
          <w:sz w:val="24"/>
          <w:szCs w:val="24"/>
        </w:rPr>
        <w:t>3)修复各种损坏的井圈、井座、灯柱、电杆。</w:t>
      </w:r>
    </w:p>
    <w:p w14:paraId="0051479A">
      <w:pPr>
        <w:snapToGrid w:val="0"/>
        <w:spacing w:line="360" w:lineRule="auto"/>
        <w:ind w:firstLine="480" w:firstLineChars="200"/>
        <w:rPr>
          <w:rFonts w:ascii="宋体" w:hAnsi="宋体"/>
          <w:sz w:val="24"/>
          <w:szCs w:val="24"/>
        </w:rPr>
      </w:pPr>
      <w:r>
        <w:rPr>
          <w:rFonts w:hint="eastAsia" w:ascii="宋体" w:hAnsi="宋体" w:cs="宋体"/>
          <w:sz w:val="24"/>
          <w:szCs w:val="24"/>
        </w:rPr>
        <w:t>3、设施、设备运行管理</w:t>
      </w:r>
    </w:p>
    <w:p w14:paraId="588AADCB">
      <w:pPr>
        <w:snapToGrid w:val="0"/>
        <w:spacing w:line="360" w:lineRule="auto"/>
        <w:ind w:firstLine="480" w:firstLineChars="200"/>
        <w:rPr>
          <w:rFonts w:ascii="宋体" w:hAnsi="宋体"/>
          <w:sz w:val="24"/>
          <w:szCs w:val="24"/>
        </w:rPr>
      </w:pPr>
      <w:r>
        <w:rPr>
          <w:rFonts w:hint="eastAsia" w:ascii="宋体" w:hAnsi="宋体" w:cs="宋体"/>
          <w:sz w:val="24"/>
          <w:szCs w:val="24"/>
        </w:rPr>
        <w:t>(1)给排水设备运行维护</w:t>
      </w:r>
    </w:p>
    <w:p w14:paraId="1FD57AB5">
      <w:pPr>
        <w:snapToGrid w:val="0"/>
        <w:spacing w:line="360" w:lineRule="auto"/>
        <w:ind w:firstLine="480" w:firstLineChars="200"/>
        <w:rPr>
          <w:rFonts w:ascii="宋体" w:hAnsi="宋体"/>
          <w:sz w:val="24"/>
          <w:szCs w:val="24"/>
        </w:rPr>
      </w:pPr>
      <w:r>
        <w:rPr>
          <w:rFonts w:hint="eastAsia" w:ascii="宋体" w:hAnsi="宋体" w:cs="宋体"/>
          <w:sz w:val="24"/>
          <w:szCs w:val="24"/>
        </w:rPr>
        <w:t>给排水设备运行维护是指为保证给排水设备、上下水管线、阀门等的正常运行使用所进行的日常养护、维修及室外管道系统的维护、抄表计量和清洗。</w:t>
      </w:r>
    </w:p>
    <w:p w14:paraId="24125A4D">
      <w:pPr>
        <w:snapToGrid w:val="0"/>
        <w:spacing w:line="360" w:lineRule="auto"/>
        <w:ind w:firstLine="480" w:firstLineChars="200"/>
        <w:rPr>
          <w:rFonts w:ascii="宋体" w:hAnsi="宋体"/>
          <w:sz w:val="24"/>
          <w:szCs w:val="24"/>
        </w:rPr>
      </w:pPr>
      <w:r>
        <w:rPr>
          <w:rFonts w:hint="eastAsia" w:ascii="宋体" w:hAnsi="宋体" w:cs="宋体"/>
          <w:sz w:val="24"/>
          <w:szCs w:val="24"/>
        </w:rPr>
        <w:t>1）运行维护内容：</w:t>
      </w:r>
    </w:p>
    <w:p w14:paraId="4EC90F12">
      <w:pPr>
        <w:snapToGrid w:val="0"/>
        <w:spacing w:line="360" w:lineRule="auto"/>
        <w:ind w:firstLine="480" w:firstLineChars="200"/>
        <w:rPr>
          <w:rFonts w:ascii="宋体" w:hAnsi="宋体"/>
          <w:sz w:val="24"/>
          <w:szCs w:val="24"/>
        </w:rPr>
      </w:pPr>
      <w:r>
        <w:rPr>
          <w:rFonts w:hint="eastAsia" w:ascii="宋体" w:hAnsi="宋体" w:cs="宋体"/>
          <w:sz w:val="24"/>
          <w:szCs w:val="24"/>
        </w:rPr>
        <w:t>①加强值班，坚守岗位，密切注视给排水系统运行情况；</w:t>
      </w:r>
    </w:p>
    <w:p w14:paraId="1AB42F3D">
      <w:pPr>
        <w:snapToGrid w:val="0"/>
        <w:spacing w:line="360" w:lineRule="auto"/>
        <w:ind w:firstLine="480" w:firstLineChars="200"/>
        <w:rPr>
          <w:rFonts w:ascii="宋体" w:hAnsi="宋体"/>
          <w:sz w:val="24"/>
          <w:szCs w:val="24"/>
        </w:rPr>
      </w:pPr>
      <w:r>
        <w:rPr>
          <w:rFonts w:hint="eastAsia" w:ascii="宋体" w:hAnsi="宋体" w:cs="宋体"/>
          <w:sz w:val="24"/>
          <w:szCs w:val="24"/>
        </w:rPr>
        <w:t>②对室内外给排水系统的设备、设施，如水泵、水箱、气压给水装置、水处理设备、消火栓、管道、管件、阀门、水嘴、卫生洁具、排水管、透气管、水封设备、室外排水管及景观系统其附属构筑物等正常运行使用进行日常养护；</w:t>
      </w:r>
    </w:p>
    <w:p w14:paraId="15D7BC90">
      <w:pPr>
        <w:snapToGrid w:val="0"/>
        <w:spacing w:line="360" w:lineRule="auto"/>
        <w:ind w:firstLine="480" w:firstLineChars="200"/>
        <w:rPr>
          <w:rFonts w:ascii="宋体" w:hAnsi="宋体"/>
          <w:sz w:val="24"/>
          <w:szCs w:val="24"/>
        </w:rPr>
      </w:pPr>
      <w:r>
        <w:rPr>
          <w:rFonts w:hint="eastAsia" w:ascii="宋体" w:hAnsi="宋体" w:cs="宋体"/>
          <w:sz w:val="24"/>
          <w:szCs w:val="24"/>
        </w:rPr>
        <w:t>③加强巡视检查，及时对排水系统各种设备出现的故障进行维修；</w:t>
      </w:r>
    </w:p>
    <w:p w14:paraId="44D29843">
      <w:pPr>
        <w:snapToGrid w:val="0"/>
        <w:spacing w:line="360" w:lineRule="auto"/>
        <w:ind w:firstLine="480" w:firstLineChars="200"/>
        <w:rPr>
          <w:rFonts w:ascii="宋体" w:hAnsi="宋体"/>
          <w:sz w:val="24"/>
          <w:szCs w:val="24"/>
        </w:rPr>
      </w:pPr>
      <w:r>
        <w:rPr>
          <w:rFonts w:hint="eastAsia" w:ascii="宋体" w:hAnsi="宋体" w:cs="宋体"/>
          <w:sz w:val="24"/>
          <w:szCs w:val="24"/>
        </w:rPr>
        <w:t>④定期对排水管道进行清通、养护，清除污垢；</w:t>
      </w:r>
    </w:p>
    <w:p w14:paraId="10E7864B">
      <w:pPr>
        <w:snapToGrid w:val="0"/>
        <w:spacing w:line="360" w:lineRule="auto"/>
        <w:ind w:firstLine="480" w:firstLineChars="200"/>
        <w:rPr>
          <w:rFonts w:ascii="宋体" w:hAnsi="宋体"/>
          <w:sz w:val="24"/>
          <w:szCs w:val="24"/>
        </w:rPr>
      </w:pPr>
      <w:r>
        <w:rPr>
          <w:rFonts w:hint="eastAsia" w:ascii="宋体" w:hAnsi="宋体" w:cs="宋体"/>
          <w:sz w:val="24"/>
          <w:szCs w:val="24"/>
        </w:rPr>
        <w:t>⑤加强巡视检查，对救火用的输水设备出现故障时立即进行抢修，同时禁止使用消防水喉做其他用途；</w:t>
      </w:r>
    </w:p>
    <w:p w14:paraId="07B96431">
      <w:pPr>
        <w:snapToGrid w:val="0"/>
        <w:spacing w:line="360" w:lineRule="auto"/>
        <w:ind w:firstLine="480" w:firstLineChars="200"/>
        <w:rPr>
          <w:rFonts w:ascii="宋体" w:hAnsi="宋体"/>
          <w:sz w:val="24"/>
          <w:szCs w:val="24"/>
        </w:rPr>
      </w:pPr>
      <w:r>
        <w:rPr>
          <w:rFonts w:hint="eastAsia" w:ascii="宋体" w:hAnsi="宋体" w:cs="宋体"/>
          <w:sz w:val="24"/>
          <w:szCs w:val="24"/>
        </w:rPr>
        <w:t>⑥对楼宇外公共水管出现的故障进行抢修；</w:t>
      </w:r>
    </w:p>
    <w:p w14:paraId="35EFBAFA">
      <w:pPr>
        <w:snapToGrid w:val="0"/>
        <w:spacing w:line="360" w:lineRule="auto"/>
        <w:ind w:firstLine="480" w:firstLineChars="200"/>
        <w:rPr>
          <w:rFonts w:ascii="宋体" w:hAnsi="宋体"/>
          <w:sz w:val="24"/>
          <w:szCs w:val="24"/>
        </w:rPr>
      </w:pPr>
      <w:r>
        <w:rPr>
          <w:rFonts w:hint="eastAsia" w:ascii="宋体" w:hAnsi="宋体" w:cs="宋体"/>
          <w:sz w:val="24"/>
          <w:szCs w:val="24"/>
        </w:rPr>
        <w:t>⑦管道局部锈蚀严重的应予以更换；</w:t>
      </w:r>
    </w:p>
    <w:p w14:paraId="5BC281E0">
      <w:pPr>
        <w:snapToGrid w:val="0"/>
        <w:spacing w:line="360" w:lineRule="auto"/>
        <w:ind w:firstLine="480" w:firstLineChars="200"/>
        <w:rPr>
          <w:rFonts w:ascii="宋体" w:hAnsi="宋体"/>
          <w:sz w:val="24"/>
          <w:szCs w:val="24"/>
        </w:rPr>
      </w:pPr>
      <w:r>
        <w:rPr>
          <w:rFonts w:hint="eastAsia" w:ascii="宋体" w:hAnsi="宋体" w:cs="宋体"/>
          <w:sz w:val="24"/>
          <w:szCs w:val="24"/>
        </w:rPr>
        <w:t>⑧水泵的轴承每年一次清洗、维护、检查出水口压力，若压力表损坏负责更换；</w:t>
      </w:r>
    </w:p>
    <w:p w14:paraId="628E77DC">
      <w:pPr>
        <w:snapToGrid w:val="0"/>
        <w:spacing w:line="360" w:lineRule="auto"/>
        <w:ind w:firstLine="480" w:firstLineChars="200"/>
        <w:rPr>
          <w:rFonts w:ascii="宋体" w:hAnsi="宋体"/>
          <w:sz w:val="24"/>
          <w:szCs w:val="24"/>
        </w:rPr>
      </w:pPr>
      <w:r>
        <w:rPr>
          <w:rFonts w:hint="eastAsia" w:ascii="宋体" w:hAnsi="宋体" w:cs="宋体"/>
          <w:sz w:val="24"/>
          <w:szCs w:val="24"/>
        </w:rPr>
        <w:t>⑨截门开关不灵活及管沟进水，应负责处理或更换。 室外管井夏季保证井内无积水。</w:t>
      </w:r>
    </w:p>
    <w:p w14:paraId="066954B8">
      <w:pPr>
        <w:snapToGrid w:val="0"/>
        <w:spacing w:line="360" w:lineRule="auto"/>
        <w:ind w:firstLine="480" w:firstLineChars="200"/>
        <w:rPr>
          <w:rFonts w:ascii="宋体" w:hAnsi="宋体"/>
          <w:sz w:val="24"/>
          <w:szCs w:val="24"/>
        </w:rPr>
      </w:pPr>
      <w:r>
        <w:rPr>
          <w:rFonts w:hint="eastAsia" w:ascii="宋体" w:hAnsi="宋体" w:cs="宋体"/>
          <w:sz w:val="24"/>
          <w:szCs w:val="24"/>
        </w:rPr>
        <w:t>2）运行维护标准：</w:t>
      </w:r>
    </w:p>
    <w:p w14:paraId="7A5EBD22">
      <w:pPr>
        <w:snapToGrid w:val="0"/>
        <w:spacing w:line="360" w:lineRule="auto"/>
        <w:ind w:firstLine="480" w:firstLineChars="200"/>
        <w:rPr>
          <w:rFonts w:ascii="宋体" w:hAnsi="宋体"/>
          <w:sz w:val="24"/>
          <w:szCs w:val="24"/>
        </w:rPr>
      </w:pPr>
      <w:r>
        <w:rPr>
          <w:rFonts w:hint="eastAsia" w:ascii="宋体" w:hAnsi="宋体" w:cs="宋体"/>
          <w:sz w:val="24"/>
          <w:szCs w:val="24"/>
        </w:rPr>
        <w:t>①加强日常检查巡视，保证给排水系统正常运行使用；</w:t>
      </w:r>
    </w:p>
    <w:p w14:paraId="2C9CF7A5">
      <w:pPr>
        <w:snapToGrid w:val="0"/>
        <w:spacing w:line="360" w:lineRule="auto"/>
        <w:ind w:firstLine="480" w:firstLineChars="200"/>
        <w:rPr>
          <w:rFonts w:ascii="宋体" w:hAnsi="宋体"/>
          <w:sz w:val="24"/>
          <w:szCs w:val="24"/>
        </w:rPr>
      </w:pPr>
      <w:r>
        <w:rPr>
          <w:rFonts w:hint="eastAsia" w:ascii="宋体" w:hAnsi="宋体" w:cs="宋体"/>
          <w:sz w:val="24"/>
          <w:szCs w:val="24"/>
        </w:rPr>
        <w:t>②建立正常供水管理制度，保证水质符合国家标准；</w:t>
      </w:r>
    </w:p>
    <w:p w14:paraId="071AF03E">
      <w:pPr>
        <w:snapToGrid w:val="0"/>
        <w:spacing w:line="360" w:lineRule="auto"/>
        <w:ind w:firstLine="480" w:firstLineChars="200"/>
        <w:rPr>
          <w:rFonts w:ascii="宋体" w:hAnsi="宋体"/>
          <w:sz w:val="24"/>
          <w:szCs w:val="24"/>
        </w:rPr>
      </w:pPr>
      <w:r>
        <w:rPr>
          <w:rFonts w:hint="eastAsia" w:ascii="宋体" w:hAnsi="宋体" w:cs="宋体"/>
          <w:sz w:val="24"/>
          <w:szCs w:val="24"/>
        </w:rPr>
        <w:t>③加强巡视检查，防止跑、冒、滴、漏，保证设备设施完好；</w:t>
      </w:r>
    </w:p>
    <w:p w14:paraId="2210DE0D">
      <w:pPr>
        <w:snapToGrid w:val="0"/>
        <w:spacing w:line="360" w:lineRule="auto"/>
        <w:ind w:firstLine="480" w:firstLineChars="200"/>
        <w:rPr>
          <w:rFonts w:ascii="宋体" w:hAnsi="宋体"/>
          <w:sz w:val="24"/>
          <w:szCs w:val="24"/>
        </w:rPr>
      </w:pPr>
      <w:r>
        <w:rPr>
          <w:rFonts w:hint="eastAsia" w:ascii="宋体" w:hAnsi="宋体" w:cs="宋体"/>
          <w:sz w:val="24"/>
          <w:szCs w:val="24"/>
        </w:rPr>
        <w:t>④保持室内外排水系统通畅；消防栓、消防泵设备完好；</w:t>
      </w:r>
    </w:p>
    <w:p w14:paraId="56E36CA2">
      <w:pPr>
        <w:snapToGrid w:val="0"/>
        <w:spacing w:line="360" w:lineRule="auto"/>
        <w:ind w:firstLine="480" w:firstLineChars="200"/>
        <w:rPr>
          <w:rFonts w:ascii="宋体" w:hAnsi="宋体"/>
          <w:sz w:val="24"/>
          <w:szCs w:val="24"/>
        </w:rPr>
      </w:pPr>
      <w:r>
        <w:rPr>
          <w:rFonts w:hint="eastAsia" w:ascii="宋体" w:hAnsi="宋体" w:cs="宋体"/>
          <w:sz w:val="24"/>
          <w:szCs w:val="24"/>
        </w:rPr>
        <w:t>⑤设备出现故障时，维修人员应在10分钟内到达现场，零维修合格率达到100%，一般性故障排除不过夜；</w:t>
      </w:r>
    </w:p>
    <w:p w14:paraId="537D46EF">
      <w:pPr>
        <w:snapToGrid w:val="0"/>
        <w:spacing w:line="360" w:lineRule="auto"/>
        <w:ind w:firstLine="480" w:firstLineChars="200"/>
        <w:rPr>
          <w:rFonts w:ascii="宋体" w:hAnsi="宋体"/>
          <w:sz w:val="24"/>
          <w:szCs w:val="24"/>
        </w:rPr>
      </w:pPr>
      <w:r>
        <w:rPr>
          <w:rFonts w:hint="eastAsia" w:ascii="宋体" w:hAnsi="宋体" w:cs="宋体"/>
          <w:sz w:val="24"/>
          <w:szCs w:val="24"/>
        </w:rPr>
        <w:t>⑥作好节约用水工作。</w:t>
      </w:r>
    </w:p>
    <w:p w14:paraId="34964BDF">
      <w:pPr>
        <w:snapToGrid w:val="0"/>
        <w:spacing w:line="360" w:lineRule="auto"/>
        <w:ind w:firstLine="480" w:firstLineChars="200"/>
        <w:rPr>
          <w:rFonts w:ascii="宋体" w:hAnsi="宋体"/>
          <w:sz w:val="24"/>
          <w:szCs w:val="24"/>
        </w:rPr>
      </w:pPr>
      <w:r>
        <w:rPr>
          <w:rFonts w:hint="eastAsia" w:ascii="宋体" w:hAnsi="宋体" w:cs="宋体"/>
          <w:sz w:val="24"/>
          <w:szCs w:val="24"/>
        </w:rPr>
        <w:t>(2)电梯运行维护</w:t>
      </w:r>
    </w:p>
    <w:p w14:paraId="3427BD84">
      <w:pPr>
        <w:snapToGrid w:val="0"/>
        <w:spacing w:line="360" w:lineRule="auto"/>
        <w:ind w:firstLine="480" w:firstLineChars="200"/>
        <w:rPr>
          <w:rFonts w:ascii="宋体" w:hAnsi="宋体"/>
          <w:sz w:val="24"/>
          <w:szCs w:val="24"/>
        </w:rPr>
      </w:pPr>
      <w:r>
        <w:rPr>
          <w:rFonts w:hint="eastAsia" w:ascii="宋体" w:hAnsi="宋体" w:cs="宋体"/>
          <w:sz w:val="24"/>
          <w:szCs w:val="24"/>
        </w:rPr>
        <w:t>1）电梯轿箱内照明定期巡检；</w:t>
      </w:r>
    </w:p>
    <w:p w14:paraId="3FC26B15">
      <w:pPr>
        <w:snapToGrid w:val="0"/>
        <w:spacing w:line="360" w:lineRule="auto"/>
        <w:ind w:firstLine="480" w:firstLineChars="200"/>
        <w:rPr>
          <w:rFonts w:ascii="宋体" w:hAnsi="宋体"/>
          <w:sz w:val="24"/>
          <w:szCs w:val="24"/>
        </w:rPr>
      </w:pPr>
      <w:r>
        <w:rPr>
          <w:rFonts w:hint="eastAsia" w:ascii="宋体" w:hAnsi="宋体" w:cs="宋体"/>
          <w:sz w:val="24"/>
          <w:szCs w:val="24"/>
        </w:rPr>
        <w:t>2）电梯机房内温度常态监视，随时启用空调；</w:t>
      </w:r>
    </w:p>
    <w:p w14:paraId="405D8E8F">
      <w:pPr>
        <w:snapToGrid w:val="0"/>
        <w:spacing w:line="360" w:lineRule="auto"/>
        <w:ind w:firstLine="480" w:firstLineChars="200"/>
        <w:rPr>
          <w:rFonts w:ascii="宋体" w:hAnsi="宋体"/>
          <w:sz w:val="24"/>
          <w:szCs w:val="24"/>
        </w:rPr>
      </w:pPr>
      <w:r>
        <w:rPr>
          <w:rFonts w:hint="eastAsia" w:ascii="宋体" w:hAnsi="宋体" w:cs="宋体"/>
          <w:sz w:val="24"/>
          <w:szCs w:val="24"/>
        </w:rPr>
        <w:t>3）电梯机房内卫生保持干净整洁，机房内无杂物；</w:t>
      </w:r>
    </w:p>
    <w:p w14:paraId="0F9013FB">
      <w:pPr>
        <w:snapToGrid w:val="0"/>
        <w:spacing w:line="360" w:lineRule="auto"/>
        <w:ind w:firstLine="480" w:firstLineChars="200"/>
        <w:rPr>
          <w:rFonts w:ascii="宋体" w:hAnsi="宋体"/>
          <w:sz w:val="24"/>
          <w:szCs w:val="24"/>
        </w:rPr>
      </w:pPr>
      <w:r>
        <w:rPr>
          <w:rFonts w:hint="eastAsia" w:ascii="宋体" w:hAnsi="宋体" w:cs="宋体"/>
          <w:sz w:val="24"/>
          <w:szCs w:val="24"/>
        </w:rPr>
        <w:t>4）遇到电梯关人事故，必须第一时间到达现场进行安抚并组织人员救人，同时拨打维保公司电话救援；</w:t>
      </w:r>
    </w:p>
    <w:p w14:paraId="02EC6C49">
      <w:pPr>
        <w:snapToGrid w:val="0"/>
        <w:spacing w:line="360" w:lineRule="auto"/>
        <w:ind w:firstLine="480" w:firstLineChars="200"/>
        <w:rPr>
          <w:rFonts w:ascii="宋体" w:hAnsi="宋体"/>
          <w:sz w:val="24"/>
          <w:szCs w:val="24"/>
        </w:rPr>
      </w:pPr>
      <w:r>
        <w:rPr>
          <w:rFonts w:hint="eastAsia" w:ascii="宋体" w:hAnsi="宋体" w:cs="宋体"/>
          <w:sz w:val="24"/>
          <w:szCs w:val="24"/>
        </w:rPr>
        <w:t>5）对巡检的项目作好记录；</w:t>
      </w:r>
    </w:p>
    <w:p w14:paraId="2B17F3D8">
      <w:pPr>
        <w:snapToGrid w:val="0"/>
        <w:spacing w:line="360" w:lineRule="auto"/>
        <w:ind w:firstLine="480" w:firstLineChars="200"/>
        <w:rPr>
          <w:rFonts w:ascii="宋体" w:hAnsi="宋体"/>
          <w:sz w:val="24"/>
          <w:szCs w:val="24"/>
        </w:rPr>
      </w:pPr>
      <w:r>
        <w:rPr>
          <w:rFonts w:hint="eastAsia" w:ascii="宋体" w:hAnsi="宋体" w:cs="宋体"/>
          <w:sz w:val="24"/>
          <w:szCs w:val="24"/>
        </w:rPr>
        <w:t>6）配备电梯安全管理员。</w:t>
      </w:r>
    </w:p>
    <w:p w14:paraId="499EDBD4">
      <w:pPr>
        <w:snapToGrid w:val="0"/>
        <w:spacing w:line="360" w:lineRule="auto"/>
        <w:ind w:firstLine="480" w:firstLineChars="200"/>
        <w:rPr>
          <w:rFonts w:ascii="宋体" w:hAnsi="宋体"/>
          <w:sz w:val="24"/>
          <w:szCs w:val="24"/>
        </w:rPr>
      </w:pPr>
      <w:r>
        <w:rPr>
          <w:rFonts w:hint="eastAsia" w:ascii="宋体" w:hAnsi="宋体" w:cs="宋体"/>
          <w:sz w:val="24"/>
          <w:szCs w:val="24"/>
        </w:rPr>
        <w:t>4、空调、通风系统、消防系统的运行维护</w:t>
      </w:r>
    </w:p>
    <w:p w14:paraId="080EF94D">
      <w:pPr>
        <w:snapToGrid w:val="0"/>
        <w:spacing w:line="360" w:lineRule="auto"/>
        <w:ind w:firstLine="480" w:firstLineChars="200"/>
        <w:rPr>
          <w:rFonts w:ascii="宋体" w:hAnsi="宋体"/>
          <w:sz w:val="24"/>
          <w:szCs w:val="24"/>
        </w:rPr>
      </w:pPr>
      <w:r>
        <w:rPr>
          <w:rFonts w:hint="eastAsia" w:ascii="宋体" w:hAnsi="宋体" w:cs="宋体"/>
          <w:sz w:val="24"/>
          <w:szCs w:val="24"/>
        </w:rPr>
        <w:t>（1）空调系统、新风系统</w:t>
      </w:r>
    </w:p>
    <w:p w14:paraId="6B9467F6">
      <w:pPr>
        <w:snapToGrid w:val="0"/>
        <w:spacing w:line="360" w:lineRule="auto"/>
        <w:ind w:firstLine="480" w:firstLineChars="200"/>
        <w:rPr>
          <w:rFonts w:ascii="宋体" w:hAnsi="宋体"/>
          <w:sz w:val="24"/>
          <w:szCs w:val="24"/>
        </w:rPr>
      </w:pPr>
      <w:r>
        <w:rPr>
          <w:rFonts w:hint="eastAsia" w:ascii="宋体" w:hAnsi="宋体" w:cs="宋体"/>
          <w:sz w:val="24"/>
          <w:szCs w:val="24"/>
        </w:rPr>
        <w:t>1)运行前检查。</w:t>
      </w:r>
    </w:p>
    <w:p w14:paraId="59DA3CA4">
      <w:pPr>
        <w:snapToGrid w:val="0"/>
        <w:spacing w:line="360" w:lineRule="auto"/>
        <w:ind w:firstLine="480" w:firstLineChars="200"/>
        <w:rPr>
          <w:rFonts w:ascii="宋体" w:hAnsi="宋体"/>
          <w:sz w:val="24"/>
          <w:szCs w:val="24"/>
        </w:rPr>
      </w:pPr>
      <w:r>
        <w:rPr>
          <w:rFonts w:hint="eastAsia" w:ascii="宋体" w:hAnsi="宋体" w:cs="宋体"/>
          <w:sz w:val="24"/>
          <w:szCs w:val="24"/>
        </w:rPr>
        <w:t>供冷、热季节运行前须进行下列各项检查和准备，以确保机组可靠、安全和高效运行。</w:t>
      </w:r>
    </w:p>
    <w:p w14:paraId="2EFC4466">
      <w:pPr>
        <w:snapToGrid w:val="0"/>
        <w:spacing w:line="360" w:lineRule="auto"/>
        <w:ind w:firstLine="480" w:firstLineChars="200"/>
        <w:rPr>
          <w:rFonts w:ascii="宋体" w:hAnsi="宋体"/>
          <w:sz w:val="24"/>
          <w:szCs w:val="24"/>
        </w:rPr>
      </w:pPr>
      <w:r>
        <w:rPr>
          <w:rFonts w:hint="eastAsia" w:ascii="宋体" w:hAnsi="宋体" w:cs="宋体"/>
          <w:sz w:val="24"/>
          <w:szCs w:val="24"/>
        </w:rPr>
        <w:t>①检查机组电器部分，滤网清洁度；</w:t>
      </w:r>
    </w:p>
    <w:p w14:paraId="6AF20494">
      <w:pPr>
        <w:snapToGrid w:val="0"/>
        <w:spacing w:line="360" w:lineRule="auto"/>
        <w:ind w:firstLine="480" w:firstLineChars="200"/>
        <w:rPr>
          <w:rFonts w:ascii="宋体" w:hAnsi="宋体"/>
          <w:sz w:val="24"/>
          <w:szCs w:val="24"/>
        </w:rPr>
      </w:pPr>
      <w:r>
        <w:rPr>
          <w:rFonts w:hint="eastAsia" w:ascii="宋体" w:hAnsi="宋体" w:cs="宋体"/>
          <w:sz w:val="24"/>
          <w:szCs w:val="24"/>
        </w:rPr>
        <w:t>②检查和测试所有运行控制和安全控制功能；</w:t>
      </w:r>
    </w:p>
    <w:p w14:paraId="4561E7C9">
      <w:pPr>
        <w:snapToGrid w:val="0"/>
        <w:spacing w:line="360" w:lineRule="auto"/>
        <w:ind w:firstLine="480" w:firstLineChars="200"/>
        <w:rPr>
          <w:rFonts w:ascii="宋体" w:hAnsi="宋体"/>
          <w:sz w:val="24"/>
          <w:szCs w:val="24"/>
        </w:rPr>
      </w:pPr>
      <w:r>
        <w:rPr>
          <w:rFonts w:hint="eastAsia" w:ascii="宋体" w:hAnsi="宋体" w:cs="宋体"/>
          <w:sz w:val="24"/>
          <w:szCs w:val="24"/>
        </w:rPr>
        <w:t>③检查启动器的运行；</w:t>
      </w:r>
    </w:p>
    <w:p w14:paraId="7FE1F71E">
      <w:pPr>
        <w:snapToGrid w:val="0"/>
        <w:spacing w:line="360" w:lineRule="auto"/>
        <w:ind w:firstLine="480" w:firstLineChars="200"/>
        <w:rPr>
          <w:rFonts w:ascii="宋体" w:hAnsi="宋体"/>
          <w:sz w:val="24"/>
          <w:szCs w:val="24"/>
        </w:rPr>
      </w:pPr>
      <w:r>
        <w:rPr>
          <w:rFonts w:hint="eastAsia" w:ascii="宋体" w:hAnsi="宋体" w:cs="宋体"/>
          <w:sz w:val="24"/>
          <w:szCs w:val="24"/>
        </w:rPr>
        <w:t>④检查水系统的运行情况；</w:t>
      </w:r>
    </w:p>
    <w:p w14:paraId="693B88E7">
      <w:pPr>
        <w:snapToGrid w:val="0"/>
        <w:spacing w:line="360" w:lineRule="auto"/>
        <w:ind w:firstLine="480" w:firstLineChars="200"/>
        <w:rPr>
          <w:rFonts w:ascii="宋体" w:hAnsi="宋体"/>
          <w:sz w:val="24"/>
          <w:szCs w:val="24"/>
        </w:rPr>
      </w:pPr>
      <w:r>
        <w:rPr>
          <w:rFonts w:hint="eastAsia" w:ascii="宋体" w:hAnsi="宋体" w:cs="宋体"/>
          <w:sz w:val="24"/>
          <w:szCs w:val="24"/>
        </w:rPr>
        <w:t>⑤检查调整微电脑控制中心的设定值；</w:t>
      </w:r>
    </w:p>
    <w:p w14:paraId="14F5645B">
      <w:pPr>
        <w:snapToGrid w:val="0"/>
        <w:spacing w:line="360" w:lineRule="auto"/>
        <w:ind w:firstLine="480" w:firstLineChars="200"/>
        <w:rPr>
          <w:rFonts w:ascii="宋体" w:hAnsi="宋体"/>
          <w:sz w:val="24"/>
          <w:szCs w:val="24"/>
        </w:rPr>
      </w:pPr>
      <w:r>
        <w:rPr>
          <w:rFonts w:hint="eastAsia" w:ascii="宋体" w:hAnsi="宋体" w:cs="宋体"/>
          <w:sz w:val="24"/>
          <w:szCs w:val="24"/>
        </w:rPr>
        <w:t>⑥根据运行记录，分析处理机组问题；</w:t>
      </w:r>
    </w:p>
    <w:p w14:paraId="272454DC">
      <w:pPr>
        <w:snapToGrid w:val="0"/>
        <w:spacing w:line="360" w:lineRule="auto"/>
        <w:ind w:firstLine="480" w:firstLineChars="200"/>
        <w:rPr>
          <w:rFonts w:ascii="宋体" w:hAnsi="宋体"/>
          <w:sz w:val="24"/>
          <w:szCs w:val="24"/>
        </w:rPr>
      </w:pPr>
      <w:r>
        <w:rPr>
          <w:rFonts w:hint="eastAsia" w:ascii="宋体" w:hAnsi="宋体" w:cs="宋体"/>
          <w:sz w:val="24"/>
          <w:szCs w:val="24"/>
        </w:rPr>
        <w:t>⑦提供检修保养报告。</w:t>
      </w:r>
    </w:p>
    <w:p w14:paraId="2A866BC0">
      <w:pPr>
        <w:snapToGrid w:val="0"/>
        <w:spacing w:line="360" w:lineRule="auto"/>
        <w:ind w:firstLine="480" w:firstLineChars="200"/>
        <w:rPr>
          <w:rFonts w:ascii="宋体" w:hAnsi="宋体"/>
          <w:sz w:val="24"/>
          <w:szCs w:val="24"/>
        </w:rPr>
      </w:pPr>
      <w:r>
        <w:rPr>
          <w:rFonts w:hint="eastAsia" w:ascii="宋体" w:hAnsi="宋体" w:cs="宋体"/>
          <w:sz w:val="24"/>
          <w:szCs w:val="24"/>
        </w:rPr>
        <w:t>2)运行期间检查。</w:t>
      </w:r>
    </w:p>
    <w:p w14:paraId="6D18560E">
      <w:pPr>
        <w:snapToGrid w:val="0"/>
        <w:spacing w:line="360" w:lineRule="auto"/>
        <w:ind w:firstLine="480" w:firstLineChars="200"/>
        <w:rPr>
          <w:rFonts w:ascii="宋体" w:hAnsi="宋体"/>
          <w:sz w:val="24"/>
          <w:szCs w:val="24"/>
        </w:rPr>
      </w:pPr>
      <w:r>
        <w:rPr>
          <w:rFonts w:hint="eastAsia" w:ascii="宋体" w:hAnsi="宋体" w:cs="宋体"/>
          <w:sz w:val="24"/>
          <w:szCs w:val="24"/>
        </w:rPr>
        <w:t>机组运行期间，定期进行下列各项检查，确保机组在整个供冷、热季节都运行高效、可靠。</w:t>
      </w:r>
    </w:p>
    <w:p w14:paraId="79A42998">
      <w:pPr>
        <w:snapToGrid w:val="0"/>
        <w:spacing w:line="360" w:lineRule="auto"/>
        <w:ind w:firstLine="480" w:firstLineChars="200"/>
        <w:rPr>
          <w:rFonts w:ascii="宋体" w:hAnsi="宋体"/>
          <w:sz w:val="24"/>
          <w:szCs w:val="24"/>
        </w:rPr>
      </w:pPr>
      <w:r>
        <w:rPr>
          <w:rFonts w:hint="eastAsia" w:ascii="宋体" w:hAnsi="宋体" w:cs="宋体"/>
          <w:sz w:val="24"/>
          <w:szCs w:val="24"/>
        </w:rPr>
        <w:t>①检查控制装置的运行；</w:t>
      </w:r>
    </w:p>
    <w:p w14:paraId="6BCE0276">
      <w:pPr>
        <w:snapToGrid w:val="0"/>
        <w:spacing w:line="360" w:lineRule="auto"/>
        <w:ind w:firstLine="480" w:firstLineChars="200"/>
        <w:rPr>
          <w:rFonts w:ascii="宋体" w:hAnsi="宋体"/>
          <w:sz w:val="24"/>
          <w:szCs w:val="24"/>
        </w:rPr>
      </w:pPr>
      <w:r>
        <w:rPr>
          <w:rFonts w:hint="eastAsia" w:ascii="宋体" w:hAnsi="宋体" w:cs="宋体"/>
          <w:sz w:val="24"/>
          <w:szCs w:val="24"/>
        </w:rPr>
        <w:t>②检查初中效滤网清洁度；</w:t>
      </w:r>
    </w:p>
    <w:p w14:paraId="5880CFC5">
      <w:pPr>
        <w:snapToGrid w:val="0"/>
        <w:spacing w:line="360" w:lineRule="auto"/>
        <w:ind w:firstLine="480" w:firstLineChars="200"/>
        <w:rPr>
          <w:rFonts w:ascii="宋体" w:hAnsi="宋体"/>
          <w:sz w:val="24"/>
          <w:szCs w:val="24"/>
        </w:rPr>
      </w:pPr>
      <w:r>
        <w:rPr>
          <w:rFonts w:hint="eastAsia" w:ascii="宋体" w:hAnsi="宋体" w:cs="宋体"/>
          <w:sz w:val="24"/>
          <w:szCs w:val="24"/>
        </w:rPr>
        <w:t>③检查润滑系统；</w:t>
      </w:r>
    </w:p>
    <w:p w14:paraId="70D49CD7">
      <w:pPr>
        <w:snapToGrid w:val="0"/>
        <w:spacing w:line="360" w:lineRule="auto"/>
        <w:ind w:firstLine="480" w:firstLineChars="200"/>
        <w:rPr>
          <w:rFonts w:ascii="宋体" w:hAnsi="宋体"/>
          <w:sz w:val="24"/>
          <w:szCs w:val="24"/>
        </w:rPr>
      </w:pPr>
      <w:r>
        <w:rPr>
          <w:rFonts w:hint="eastAsia" w:ascii="宋体" w:hAnsi="宋体" w:cs="宋体"/>
          <w:sz w:val="24"/>
          <w:szCs w:val="24"/>
        </w:rPr>
        <w:t>④检查电机和启动器的运行；</w:t>
      </w:r>
    </w:p>
    <w:p w14:paraId="4FEC0448">
      <w:pPr>
        <w:snapToGrid w:val="0"/>
        <w:spacing w:line="360" w:lineRule="auto"/>
        <w:ind w:firstLine="480" w:firstLineChars="200"/>
        <w:rPr>
          <w:rFonts w:ascii="宋体" w:hAnsi="宋体"/>
          <w:sz w:val="24"/>
          <w:szCs w:val="24"/>
        </w:rPr>
      </w:pPr>
      <w:r>
        <w:rPr>
          <w:rFonts w:hint="eastAsia" w:ascii="宋体" w:hAnsi="宋体" w:cs="宋体"/>
          <w:sz w:val="24"/>
          <w:szCs w:val="24"/>
        </w:rPr>
        <w:t>⑤必须保持初中效的清洁度；</w:t>
      </w:r>
    </w:p>
    <w:p w14:paraId="6141362A">
      <w:pPr>
        <w:snapToGrid w:val="0"/>
        <w:spacing w:line="360" w:lineRule="auto"/>
        <w:ind w:firstLine="480" w:firstLineChars="200"/>
        <w:rPr>
          <w:rFonts w:ascii="宋体" w:hAnsi="宋体"/>
          <w:sz w:val="24"/>
          <w:szCs w:val="24"/>
        </w:rPr>
      </w:pPr>
      <w:r>
        <w:rPr>
          <w:rFonts w:hint="eastAsia" w:ascii="宋体" w:hAnsi="宋体" w:cs="宋体"/>
          <w:sz w:val="24"/>
          <w:szCs w:val="24"/>
        </w:rPr>
        <w:t>⑥记录运行状态参数，分析确认机组运行正常，必要时进行机组检修。</w:t>
      </w:r>
    </w:p>
    <w:p w14:paraId="2480C06B">
      <w:pPr>
        <w:snapToGrid w:val="0"/>
        <w:spacing w:line="360" w:lineRule="auto"/>
        <w:ind w:firstLine="480" w:firstLineChars="200"/>
        <w:rPr>
          <w:rFonts w:ascii="宋体" w:hAnsi="宋体"/>
          <w:sz w:val="24"/>
          <w:szCs w:val="24"/>
        </w:rPr>
      </w:pPr>
      <w:r>
        <w:rPr>
          <w:rFonts w:hint="eastAsia" w:ascii="宋体" w:hAnsi="宋体" w:cs="宋体"/>
          <w:sz w:val="24"/>
          <w:szCs w:val="24"/>
        </w:rPr>
        <w:t>⑦记录和报告要求的备件。</w:t>
      </w:r>
    </w:p>
    <w:p w14:paraId="4C41877D">
      <w:pPr>
        <w:snapToGrid w:val="0"/>
        <w:spacing w:line="360" w:lineRule="auto"/>
        <w:ind w:firstLine="480" w:firstLineChars="200"/>
        <w:rPr>
          <w:rFonts w:ascii="宋体" w:hAnsi="宋体"/>
          <w:sz w:val="24"/>
          <w:szCs w:val="24"/>
        </w:rPr>
      </w:pPr>
      <w:r>
        <w:rPr>
          <w:rFonts w:hint="eastAsia" w:ascii="宋体" w:hAnsi="宋体" w:cs="宋体"/>
          <w:sz w:val="24"/>
          <w:szCs w:val="24"/>
        </w:rPr>
        <w:t xml:space="preserve">3)设备停机检查和预防保养。 </w:t>
      </w:r>
    </w:p>
    <w:p w14:paraId="2D5B0DC6">
      <w:pPr>
        <w:snapToGrid w:val="0"/>
        <w:spacing w:line="360" w:lineRule="auto"/>
        <w:ind w:firstLine="480" w:firstLineChars="200"/>
        <w:rPr>
          <w:rFonts w:ascii="宋体" w:hAnsi="宋体"/>
          <w:sz w:val="24"/>
          <w:szCs w:val="24"/>
        </w:rPr>
      </w:pPr>
      <w:r>
        <w:rPr>
          <w:rFonts w:hint="eastAsia" w:ascii="宋体" w:hAnsi="宋体" w:cs="宋体"/>
          <w:sz w:val="24"/>
          <w:szCs w:val="24"/>
        </w:rPr>
        <w:t>停机期间每年一次进行下列各项，以便能正确评价设备的状态，为下一个供冷、热季节的运行做好准备。</w:t>
      </w:r>
    </w:p>
    <w:p w14:paraId="4814C3BF">
      <w:pPr>
        <w:snapToGrid w:val="0"/>
        <w:spacing w:line="360" w:lineRule="auto"/>
        <w:ind w:firstLine="480" w:firstLineChars="200"/>
        <w:rPr>
          <w:rFonts w:ascii="宋体" w:hAnsi="宋体"/>
          <w:sz w:val="24"/>
          <w:szCs w:val="24"/>
        </w:rPr>
      </w:pPr>
      <w:r>
        <w:rPr>
          <w:rFonts w:hint="eastAsia" w:ascii="宋体" w:hAnsi="宋体" w:cs="宋体"/>
          <w:sz w:val="24"/>
          <w:szCs w:val="24"/>
        </w:rPr>
        <w:t>①用兆欧表测量和记录电机绕阻的绝缘电阻；</w:t>
      </w:r>
    </w:p>
    <w:p w14:paraId="08301695">
      <w:pPr>
        <w:snapToGrid w:val="0"/>
        <w:spacing w:line="360" w:lineRule="auto"/>
        <w:ind w:firstLine="480" w:firstLineChars="200"/>
        <w:rPr>
          <w:rFonts w:ascii="宋体" w:hAnsi="宋体"/>
          <w:sz w:val="24"/>
          <w:szCs w:val="24"/>
        </w:rPr>
      </w:pPr>
      <w:r>
        <w:rPr>
          <w:rFonts w:hint="eastAsia" w:ascii="宋体" w:hAnsi="宋体" w:cs="宋体"/>
          <w:sz w:val="24"/>
          <w:szCs w:val="24"/>
        </w:rPr>
        <w:t>②检查电机；</w:t>
      </w:r>
    </w:p>
    <w:p w14:paraId="4B3665D0">
      <w:pPr>
        <w:snapToGrid w:val="0"/>
        <w:spacing w:line="360" w:lineRule="auto"/>
        <w:ind w:firstLine="480" w:firstLineChars="200"/>
        <w:rPr>
          <w:rFonts w:ascii="宋体" w:hAnsi="宋体"/>
          <w:sz w:val="24"/>
          <w:szCs w:val="24"/>
        </w:rPr>
      </w:pPr>
      <w:r>
        <w:rPr>
          <w:rFonts w:hint="eastAsia" w:ascii="宋体" w:hAnsi="宋体" w:cs="宋体"/>
          <w:sz w:val="24"/>
          <w:szCs w:val="24"/>
        </w:rPr>
        <w:t>③检查联轴器；</w:t>
      </w:r>
    </w:p>
    <w:p w14:paraId="71BA767C">
      <w:pPr>
        <w:snapToGrid w:val="0"/>
        <w:spacing w:line="360" w:lineRule="auto"/>
        <w:ind w:firstLine="480" w:firstLineChars="200"/>
        <w:rPr>
          <w:rFonts w:ascii="宋体" w:hAnsi="宋体"/>
          <w:sz w:val="24"/>
          <w:szCs w:val="24"/>
        </w:rPr>
      </w:pPr>
      <w:r>
        <w:rPr>
          <w:rFonts w:hint="eastAsia" w:ascii="宋体" w:hAnsi="宋体" w:cs="宋体"/>
          <w:sz w:val="24"/>
          <w:szCs w:val="24"/>
        </w:rPr>
        <w:t>④检查密封情况；</w:t>
      </w:r>
    </w:p>
    <w:p w14:paraId="493F64DC">
      <w:pPr>
        <w:snapToGrid w:val="0"/>
        <w:spacing w:line="360" w:lineRule="auto"/>
        <w:ind w:firstLine="480" w:firstLineChars="200"/>
        <w:rPr>
          <w:rFonts w:ascii="宋体" w:hAnsi="宋体"/>
          <w:sz w:val="24"/>
          <w:szCs w:val="24"/>
        </w:rPr>
      </w:pPr>
      <w:r>
        <w:rPr>
          <w:rFonts w:hint="eastAsia" w:ascii="宋体" w:hAnsi="宋体" w:cs="宋体"/>
          <w:sz w:val="24"/>
          <w:szCs w:val="24"/>
        </w:rPr>
        <w:t>⑤检查三角带的运行情况；</w:t>
      </w:r>
    </w:p>
    <w:p w14:paraId="5131F6F9">
      <w:pPr>
        <w:snapToGrid w:val="0"/>
        <w:spacing w:line="360" w:lineRule="auto"/>
        <w:ind w:firstLine="480" w:firstLineChars="200"/>
        <w:rPr>
          <w:rFonts w:ascii="宋体" w:hAnsi="宋体"/>
          <w:sz w:val="24"/>
          <w:szCs w:val="24"/>
        </w:rPr>
      </w:pPr>
      <w:r>
        <w:rPr>
          <w:rFonts w:hint="eastAsia" w:ascii="宋体" w:hAnsi="宋体" w:cs="宋体"/>
          <w:sz w:val="24"/>
          <w:szCs w:val="24"/>
        </w:rPr>
        <w:t>⑥根据情况清洁或更换接触器；</w:t>
      </w:r>
    </w:p>
    <w:p w14:paraId="02352CA6">
      <w:pPr>
        <w:snapToGrid w:val="0"/>
        <w:spacing w:line="360" w:lineRule="auto"/>
        <w:ind w:firstLine="480" w:firstLineChars="200"/>
        <w:rPr>
          <w:rFonts w:ascii="宋体" w:hAnsi="宋体"/>
          <w:sz w:val="24"/>
          <w:szCs w:val="24"/>
        </w:rPr>
      </w:pPr>
      <w:r>
        <w:rPr>
          <w:rFonts w:hint="eastAsia" w:ascii="宋体" w:hAnsi="宋体" w:cs="宋体"/>
          <w:sz w:val="24"/>
          <w:szCs w:val="24"/>
        </w:rPr>
        <w:t>⑦检查连接机构；</w:t>
      </w:r>
    </w:p>
    <w:p w14:paraId="265E3A5D">
      <w:pPr>
        <w:snapToGrid w:val="0"/>
        <w:spacing w:line="360" w:lineRule="auto"/>
        <w:ind w:firstLine="480" w:firstLineChars="200"/>
        <w:rPr>
          <w:rFonts w:ascii="宋体" w:hAnsi="宋体"/>
          <w:sz w:val="24"/>
          <w:szCs w:val="24"/>
        </w:rPr>
      </w:pPr>
      <w:r>
        <w:rPr>
          <w:rFonts w:hint="eastAsia" w:ascii="宋体" w:hAnsi="宋体" w:cs="宋体"/>
          <w:sz w:val="24"/>
          <w:szCs w:val="24"/>
        </w:rPr>
        <w:t>⑧检查所有接线端子，并拧紧；</w:t>
      </w:r>
    </w:p>
    <w:p w14:paraId="5FAC83AF">
      <w:pPr>
        <w:snapToGrid w:val="0"/>
        <w:spacing w:line="360" w:lineRule="auto"/>
        <w:ind w:firstLine="480" w:firstLineChars="200"/>
        <w:rPr>
          <w:rFonts w:ascii="宋体" w:hAnsi="宋体"/>
          <w:sz w:val="24"/>
          <w:szCs w:val="24"/>
        </w:rPr>
      </w:pPr>
      <w:r>
        <w:rPr>
          <w:rFonts w:hint="eastAsia" w:ascii="宋体" w:hAnsi="宋体" w:cs="宋体"/>
          <w:sz w:val="24"/>
          <w:szCs w:val="24"/>
        </w:rPr>
        <w:t>⑨检查过负荷装置；</w:t>
      </w:r>
    </w:p>
    <w:p w14:paraId="7DD62937">
      <w:pPr>
        <w:snapToGrid w:val="0"/>
        <w:spacing w:line="360" w:lineRule="auto"/>
        <w:ind w:firstLine="480" w:firstLineChars="200"/>
        <w:rPr>
          <w:rFonts w:ascii="宋体" w:hAnsi="宋体"/>
          <w:sz w:val="24"/>
          <w:szCs w:val="24"/>
        </w:rPr>
      </w:pPr>
      <w:r>
        <w:rPr>
          <w:rFonts w:hint="eastAsia" w:ascii="宋体" w:hAnsi="宋体" w:cs="宋体"/>
          <w:sz w:val="24"/>
          <w:szCs w:val="24"/>
        </w:rPr>
        <w:t>⑩检查显示数据的精度和设定值；</w:t>
      </w:r>
    </w:p>
    <w:p w14:paraId="3FDC4E94">
      <w:pPr>
        <w:snapToGrid w:val="0"/>
        <w:spacing w:line="360" w:lineRule="auto"/>
        <w:ind w:firstLine="480" w:firstLineChars="200"/>
        <w:rPr>
          <w:rFonts w:ascii="宋体" w:hAnsi="宋体"/>
          <w:sz w:val="24"/>
          <w:szCs w:val="24"/>
        </w:rPr>
      </w:pPr>
      <w:r>
        <w:rPr>
          <w:rFonts w:ascii="Cambria Math" w:hAnsi="Cambria Math" w:cs="Cambria Math"/>
          <w:sz w:val="24"/>
          <w:szCs w:val="24"/>
        </w:rPr>
        <w:t>⑪</w:t>
      </w:r>
      <w:r>
        <w:rPr>
          <w:rFonts w:hint="eastAsia" w:ascii="宋体" w:hAnsi="宋体" w:cs="宋体"/>
          <w:sz w:val="24"/>
          <w:szCs w:val="24"/>
        </w:rPr>
        <w:t>根据运行记录参数分析热交换效果；</w:t>
      </w:r>
    </w:p>
    <w:p w14:paraId="3800D4DC">
      <w:pPr>
        <w:snapToGrid w:val="0"/>
        <w:spacing w:line="360" w:lineRule="auto"/>
        <w:ind w:firstLine="480" w:firstLineChars="200"/>
        <w:rPr>
          <w:rFonts w:ascii="宋体" w:hAnsi="宋体"/>
          <w:sz w:val="24"/>
          <w:szCs w:val="24"/>
        </w:rPr>
      </w:pPr>
      <w:r>
        <w:rPr>
          <w:rFonts w:ascii="Cambria Math" w:hAnsi="Cambria Math" w:cs="Cambria Math"/>
          <w:sz w:val="24"/>
          <w:szCs w:val="24"/>
        </w:rPr>
        <w:t>⑫</w:t>
      </w:r>
      <w:r>
        <w:rPr>
          <w:rFonts w:hint="eastAsia" w:ascii="宋体" w:hAnsi="宋体" w:cs="宋体"/>
          <w:sz w:val="24"/>
          <w:szCs w:val="24"/>
        </w:rPr>
        <w:t>保证机组表面无灰尘，机房地面干净，机房内无炸物。</w:t>
      </w:r>
    </w:p>
    <w:p w14:paraId="7943D89D">
      <w:pPr>
        <w:snapToGrid w:val="0"/>
        <w:spacing w:line="360" w:lineRule="auto"/>
        <w:ind w:firstLine="480" w:firstLineChars="200"/>
        <w:rPr>
          <w:rFonts w:ascii="宋体" w:hAnsi="宋体"/>
          <w:sz w:val="24"/>
          <w:szCs w:val="24"/>
        </w:rPr>
      </w:pPr>
      <w:r>
        <w:rPr>
          <w:rFonts w:hint="eastAsia" w:ascii="宋体" w:hAnsi="宋体" w:cs="宋体"/>
          <w:sz w:val="24"/>
          <w:szCs w:val="24"/>
        </w:rPr>
        <w:t>5、动力照明系统的运行维护</w:t>
      </w:r>
    </w:p>
    <w:p w14:paraId="38B50BFC">
      <w:pPr>
        <w:snapToGrid w:val="0"/>
        <w:spacing w:line="360" w:lineRule="auto"/>
        <w:ind w:firstLine="480" w:firstLineChars="200"/>
        <w:rPr>
          <w:rFonts w:ascii="宋体" w:hAnsi="宋体"/>
          <w:sz w:val="24"/>
          <w:szCs w:val="24"/>
        </w:rPr>
      </w:pPr>
      <w:r>
        <w:rPr>
          <w:rFonts w:hint="eastAsia" w:ascii="宋体" w:hAnsi="宋体" w:cs="宋体"/>
          <w:sz w:val="24"/>
          <w:szCs w:val="24"/>
        </w:rPr>
        <w:t>（1）管理内容：</w:t>
      </w:r>
    </w:p>
    <w:p w14:paraId="09211A6C">
      <w:pPr>
        <w:snapToGrid w:val="0"/>
        <w:spacing w:line="360" w:lineRule="auto"/>
        <w:ind w:firstLine="480" w:firstLineChars="200"/>
        <w:rPr>
          <w:rFonts w:ascii="宋体" w:hAnsi="宋体"/>
          <w:sz w:val="24"/>
          <w:szCs w:val="24"/>
        </w:rPr>
      </w:pPr>
      <w:r>
        <w:rPr>
          <w:rFonts w:hint="eastAsia" w:ascii="宋体" w:hAnsi="宋体" w:cs="宋体"/>
          <w:sz w:val="24"/>
          <w:szCs w:val="24"/>
        </w:rPr>
        <w:t>1）对系统各种设备的电机、配电柜及线路进行巡视、检修和维护；</w:t>
      </w:r>
    </w:p>
    <w:p w14:paraId="30959F56">
      <w:pPr>
        <w:snapToGrid w:val="0"/>
        <w:spacing w:line="360" w:lineRule="auto"/>
        <w:ind w:firstLine="480" w:firstLineChars="200"/>
        <w:rPr>
          <w:rFonts w:ascii="宋体" w:hAnsi="宋体"/>
          <w:sz w:val="24"/>
          <w:szCs w:val="24"/>
        </w:rPr>
      </w:pPr>
      <w:r>
        <w:rPr>
          <w:rFonts w:hint="eastAsia" w:ascii="宋体" w:hAnsi="宋体" w:cs="宋体"/>
          <w:sz w:val="24"/>
          <w:szCs w:val="24"/>
        </w:rPr>
        <w:t>2）对管辖范围所有区域照明系统的灯具、开关、插座、配电箱、线路、避雷系统及电力竖井、管线进行巡视，检修和维护。</w:t>
      </w:r>
    </w:p>
    <w:p w14:paraId="3BA5E8F0">
      <w:pPr>
        <w:snapToGrid w:val="0"/>
        <w:spacing w:line="360" w:lineRule="auto"/>
        <w:ind w:firstLine="480" w:firstLineChars="200"/>
        <w:rPr>
          <w:rFonts w:ascii="宋体" w:hAnsi="宋体"/>
          <w:sz w:val="24"/>
          <w:szCs w:val="24"/>
        </w:rPr>
      </w:pPr>
      <w:r>
        <w:rPr>
          <w:rFonts w:hint="eastAsia" w:ascii="宋体" w:hAnsi="宋体" w:cs="宋体"/>
          <w:sz w:val="24"/>
          <w:szCs w:val="24"/>
        </w:rPr>
        <w:t>（2）管理标准：</w:t>
      </w:r>
    </w:p>
    <w:p w14:paraId="62E9FC09">
      <w:pPr>
        <w:snapToGrid w:val="0"/>
        <w:spacing w:line="360" w:lineRule="auto"/>
        <w:ind w:firstLine="480" w:firstLineChars="200"/>
        <w:rPr>
          <w:rFonts w:ascii="宋体" w:hAnsi="宋体"/>
          <w:sz w:val="24"/>
          <w:szCs w:val="24"/>
        </w:rPr>
      </w:pPr>
      <w:r>
        <w:rPr>
          <w:rFonts w:hint="eastAsia" w:ascii="宋体" w:hAnsi="宋体" w:cs="宋体"/>
          <w:sz w:val="24"/>
          <w:szCs w:val="24"/>
        </w:rPr>
        <w:t>对管辖范围所有区域，使用的照明灯具、线路、开关、插座要保证完好，确保安全、节约用电。</w:t>
      </w:r>
    </w:p>
    <w:p w14:paraId="79128AA3">
      <w:pPr>
        <w:snapToGrid w:val="0"/>
        <w:spacing w:line="360" w:lineRule="auto"/>
        <w:ind w:firstLine="480" w:firstLineChars="200"/>
        <w:rPr>
          <w:rFonts w:ascii="宋体" w:hAnsi="宋体"/>
          <w:sz w:val="24"/>
          <w:szCs w:val="24"/>
        </w:rPr>
      </w:pPr>
      <w:r>
        <w:rPr>
          <w:rFonts w:hint="eastAsia" w:ascii="宋体" w:hAnsi="宋体" w:cs="宋体"/>
          <w:sz w:val="24"/>
          <w:szCs w:val="24"/>
        </w:rPr>
        <w:t>1）保证照度符合标准要求；</w:t>
      </w:r>
    </w:p>
    <w:p w14:paraId="00C33B84">
      <w:pPr>
        <w:snapToGrid w:val="0"/>
        <w:spacing w:line="360" w:lineRule="auto"/>
        <w:ind w:firstLine="480" w:firstLineChars="200"/>
        <w:rPr>
          <w:rFonts w:ascii="宋体" w:hAnsi="宋体"/>
          <w:sz w:val="24"/>
          <w:szCs w:val="24"/>
        </w:rPr>
      </w:pPr>
      <w:r>
        <w:rPr>
          <w:rFonts w:hint="eastAsia" w:ascii="宋体" w:hAnsi="宋体" w:cs="宋体"/>
          <w:sz w:val="24"/>
          <w:szCs w:val="24"/>
        </w:rPr>
        <w:t>2）各类电器设备接地良好，仪表指示及继电保护正常；</w:t>
      </w:r>
    </w:p>
    <w:p w14:paraId="1408EE84">
      <w:pPr>
        <w:snapToGrid w:val="0"/>
        <w:spacing w:line="360" w:lineRule="auto"/>
        <w:ind w:firstLine="480" w:firstLineChars="200"/>
        <w:rPr>
          <w:rFonts w:ascii="宋体" w:hAnsi="宋体"/>
          <w:sz w:val="24"/>
          <w:szCs w:val="24"/>
        </w:rPr>
      </w:pPr>
      <w:r>
        <w:rPr>
          <w:rFonts w:hint="eastAsia" w:ascii="宋体" w:hAnsi="宋体" w:cs="宋体"/>
          <w:sz w:val="24"/>
          <w:szCs w:val="24"/>
        </w:rPr>
        <w:t>3）按规程要求，对设备及线路进行每日巡视，检查并做好记录；</w:t>
      </w:r>
    </w:p>
    <w:p w14:paraId="713057B3">
      <w:pPr>
        <w:snapToGrid w:val="0"/>
        <w:spacing w:line="360" w:lineRule="auto"/>
        <w:ind w:firstLine="480" w:firstLineChars="200"/>
        <w:rPr>
          <w:rFonts w:ascii="宋体" w:hAnsi="宋体"/>
          <w:sz w:val="24"/>
          <w:szCs w:val="24"/>
        </w:rPr>
      </w:pPr>
      <w:r>
        <w:rPr>
          <w:rFonts w:hint="eastAsia" w:ascii="宋体" w:hAnsi="宋体" w:cs="宋体"/>
          <w:sz w:val="24"/>
          <w:szCs w:val="24"/>
        </w:rPr>
        <w:t>4）设备出现故障及时到达现场并及时进行抢修，确保设备运行正常；</w:t>
      </w:r>
    </w:p>
    <w:p w14:paraId="679AC6D5">
      <w:pPr>
        <w:snapToGrid w:val="0"/>
        <w:spacing w:line="360" w:lineRule="auto"/>
        <w:ind w:firstLine="480" w:firstLineChars="200"/>
        <w:rPr>
          <w:rFonts w:ascii="宋体" w:hAnsi="宋体"/>
          <w:sz w:val="24"/>
          <w:szCs w:val="24"/>
        </w:rPr>
      </w:pPr>
      <w:r>
        <w:rPr>
          <w:rFonts w:hint="eastAsia" w:ascii="宋体" w:hAnsi="宋体" w:cs="宋体"/>
          <w:sz w:val="24"/>
          <w:szCs w:val="24"/>
        </w:rPr>
        <w:t>5）根据季节变化调整夜景照明的开闭时间；</w:t>
      </w:r>
    </w:p>
    <w:p w14:paraId="377F2181">
      <w:pPr>
        <w:snapToGrid w:val="0"/>
        <w:spacing w:line="360" w:lineRule="auto"/>
        <w:ind w:firstLine="480" w:firstLineChars="200"/>
        <w:rPr>
          <w:rFonts w:ascii="宋体" w:hAnsi="宋体"/>
          <w:sz w:val="24"/>
          <w:szCs w:val="24"/>
        </w:rPr>
      </w:pPr>
      <w:r>
        <w:rPr>
          <w:rFonts w:hint="eastAsia" w:ascii="宋体" w:hAnsi="宋体" w:cs="宋体"/>
          <w:sz w:val="24"/>
          <w:szCs w:val="24"/>
        </w:rPr>
        <w:t>6）加强日常维护检修，公共使用的照明、指示灯具线路、开关要保证完好率要达到98%以上；</w:t>
      </w:r>
    </w:p>
    <w:p w14:paraId="5A313429">
      <w:pPr>
        <w:snapToGrid w:val="0"/>
        <w:spacing w:line="360" w:lineRule="auto"/>
        <w:ind w:firstLine="480" w:firstLineChars="200"/>
        <w:rPr>
          <w:rFonts w:ascii="宋体" w:hAnsi="宋体"/>
          <w:sz w:val="24"/>
          <w:szCs w:val="24"/>
        </w:rPr>
      </w:pPr>
      <w:r>
        <w:rPr>
          <w:rFonts w:hint="eastAsia" w:ascii="宋体" w:hAnsi="宋体" w:cs="宋体"/>
          <w:sz w:val="24"/>
          <w:szCs w:val="24"/>
        </w:rPr>
        <w:t>7）设备出现故障时，维修人员应在10分钟内到达现场，设备零维修合格率达到100％，一般性维修不过夜；</w:t>
      </w:r>
    </w:p>
    <w:p w14:paraId="66329919">
      <w:pPr>
        <w:snapToGrid w:val="0"/>
        <w:spacing w:line="360" w:lineRule="auto"/>
        <w:ind w:firstLine="480" w:firstLineChars="200"/>
        <w:rPr>
          <w:rFonts w:ascii="宋体" w:hAnsi="宋体"/>
          <w:sz w:val="24"/>
          <w:szCs w:val="24"/>
        </w:rPr>
      </w:pPr>
      <w:r>
        <w:rPr>
          <w:rFonts w:hint="eastAsia" w:ascii="宋体" w:hAnsi="宋体" w:cs="宋体"/>
          <w:sz w:val="24"/>
          <w:szCs w:val="24"/>
        </w:rPr>
        <w:t>8）保证夜景照明、节日灯系统正常运行，并按时关启；</w:t>
      </w:r>
    </w:p>
    <w:p w14:paraId="19629F85">
      <w:pPr>
        <w:snapToGrid w:val="0"/>
        <w:spacing w:line="360" w:lineRule="auto"/>
        <w:ind w:firstLine="480" w:firstLineChars="200"/>
        <w:rPr>
          <w:rFonts w:ascii="宋体" w:hAnsi="宋体"/>
          <w:sz w:val="24"/>
          <w:szCs w:val="24"/>
        </w:rPr>
      </w:pPr>
      <w:r>
        <w:rPr>
          <w:rFonts w:hint="eastAsia" w:ascii="宋体" w:hAnsi="宋体" w:cs="宋体"/>
          <w:sz w:val="24"/>
          <w:szCs w:val="24"/>
        </w:rPr>
        <w:t>9）巡视中发现重大隐患要立即通知甲方用电管理部门。并组织人员进行抢修；</w:t>
      </w:r>
    </w:p>
    <w:p w14:paraId="0D72CD1B">
      <w:pPr>
        <w:snapToGrid w:val="0"/>
        <w:spacing w:line="360" w:lineRule="auto"/>
        <w:ind w:firstLine="480" w:firstLineChars="200"/>
        <w:rPr>
          <w:rFonts w:ascii="宋体" w:hAnsi="宋体"/>
          <w:sz w:val="24"/>
          <w:szCs w:val="24"/>
        </w:rPr>
      </w:pPr>
      <w:r>
        <w:rPr>
          <w:rFonts w:hint="eastAsia" w:ascii="宋体" w:hAnsi="宋体" w:cs="宋体"/>
          <w:sz w:val="24"/>
          <w:szCs w:val="24"/>
        </w:rPr>
        <w:t>10）如乙方管理不当或违章操作将甲方设备损坏，乙方将无条件赔偿甲方相同品牌、型号的设备及给甲方造成的其他经济损失。</w:t>
      </w:r>
    </w:p>
    <w:p w14:paraId="0793281E">
      <w:pPr>
        <w:pStyle w:val="5"/>
        <w:bidi w:val="0"/>
      </w:pPr>
      <w:r>
        <w:rPr>
          <w:rFonts w:hint="eastAsia"/>
          <w:lang w:val="en-US" w:eastAsia="zh-CN"/>
        </w:rPr>
        <w:t>（二）</w:t>
      </w:r>
      <w:r>
        <w:rPr>
          <w:rFonts w:hint="eastAsia"/>
        </w:rPr>
        <w:t>配电室运行管理</w:t>
      </w:r>
    </w:p>
    <w:p w14:paraId="36F74E97">
      <w:pPr>
        <w:snapToGrid w:val="0"/>
        <w:spacing w:line="360" w:lineRule="auto"/>
        <w:ind w:firstLine="480" w:firstLineChars="200"/>
        <w:rPr>
          <w:rFonts w:ascii="宋体" w:hAnsi="宋体"/>
          <w:sz w:val="24"/>
          <w:szCs w:val="24"/>
        </w:rPr>
      </w:pPr>
      <w:r>
        <w:rPr>
          <w:rFonts w:hint="eastAsia" w:ascii="宋体" w:hAnsi="宋体" w:cs="宋体"/>
          <w:sz w:val="24"/>
          <w:szCs w:val="24"/>
          <w:lang w:val="en-US" w:eastAsia="zh-CN"/>
        </w:rPr>
        <w:t>1.</w:t>
      </w:r>
      <w:r>
        <w:rPr>
          <w:rFonts w:hint="eastAsia" w:ascii="宋体" w:hAnsi="宋体" w:cs="宋体"/>
          <w:sz w:val="24"/>
          <w:szCs w:val="24"/>
        </w:rPr>
        <w:t>工作范围及标准</w:t>
      </w:r>
    </w:p>
    <w:p w14:paraId="1682EA5F">
      <w:pPr>
        <w:snapToGrid w:val="0"/>
        <w:spacing w:line="360" w:lineRule="auto"/>
        <w:ind w:firstLine="480" w:firstLineChars="200"/>
        <w:rPr>
          <w:rFonts w:ascii="宋体" w:hAnsi="宋体"/>
          <w:sz w:val="24"/>
          <w:szCs w:val="24"/>
        </w:rPr>
      </w:pPr>
      <w:r>
        <w:rPr>
          <w:rFonts w:hint="eastAsia" w:ascii="宋体" w:hAnsi="宋体" w:cs="宋体"/>
          <w:sz w:val="24"/>
          <w:szCs w:val="24"/>
        </w:rPr>
        <w:t>1）负责甲方10kv三个配电室，从201、202进线至低压开关柜出线端子运行维修工作。其中包括：变压器4台，高压开关柜12面，低压开关柜23面，直流柜1面，中央信号盘1面，二次回路继电器4面，提供检查记录。</w:t>
      </w:r>
    </w:p>
    <w:p w14:paraId="3335D485">
      <w:pPr>
        <w:snapToGrid w:val="0"/>
        <w:spacing w:line="360" w:lineRule="auto"/>
        <w:ind w:firstLine="480" w:firstLineChars="200"/>
        <w:rPr>
          <w:rFonts w:ascii="宋体" w:hAnsi="宋体"/>
          <w:sz w:val="24"/>
          <w:szCs w:val="24"/>
        </w:rPr>
      </w:pPr>
      <w:r>
        <w:rPr>
          <w:rFonts w:hint="eastAsia" w:ascii="宋体" w:hAnsi="宋体" w:cs="宋体"/>
          <w:sz w:val="24"/>
          <w:szCs w:val="24"/>
        </w:rPr>
        <w:t>2）负责一、二次设备停、发电倒闸操作，按运行规程执行，并填写操作票，保证供电设备安全运行。</w:t>
      </w:r>
    </w:p>
    <w:p w14:paraId="1332AC62">
      <w:pPr>
        <w:snapToGrid w:val="0"/>
        <w:spacing w:line="360" w:lineRule="auto"/>
        <w:ind w:firstLine="480" w:firstLineChars="200"/>
        <w:rPr>
          <w:rFonts w:ascii="宋体" w:hAnsi="宋体"/>
          <w:sz w:val="24"/>
          <w:szCs w:val="24"/>
        </w:rPr>
      </w:pPr>
      <w:r>
        <w:rPr>
          <w:rFonts w:hint="eastAsia" w:ascii="宋体" w:hAnsi="宋体" w:cs="宋体"/>
          <w:sz w:val="24"/>
          <w:szCs w:val="24"/>
        </w:rPr>
        <w:t>3）负责一、二次设备故障情况下正确处理事故，不扩大事故，减少停电时间，并及时排除故障确保安全运行。按供电规程规定对工作范围内全部高低压设备、直流系统、仪表、保护、二次回路提供全天候24小时突发性事故抢修及外力因素造成的事故抢修工作，在最短时间内恢复供电。</w:t>
      </w:r>
    </w:p>
    <w:p w14:paraId="05F267E7">
      <w:pPr>
        <w:snapToGrid w:val="0"/>
        <w:spacing w:line="360" w:lineRule="auto"/>
        <w:ind w:firstLine="480" w:firstLineChars="200"/>
        <w:rPr>
          <w:rFonts w:ascii="宋体" w:hAnsi="宋体"/>
          <w:sz w:val="24"/>
          <w:szCs w:val="24"/>
        </w:rPr>
      </w:pPr>
      <w:r>
        <w:rPr>
          <w:rFonts w:hint="eastAsia" w:ascii="宋体" w:hAnsi="宋体" w:cs="宋体"/>
          <w:sz w:val="24"/>
          <w:szCs w:val="24"/>
        </w:rPr>
        <w:t>4）负责电容器正常运行，定期检查维护，在设备正常情况下，保证功率因数在0.9以上，保证不因功率因数低而受到供电管理部门的罚款。</w:t>
      </w:r>
    </w:p>
    <w:p w14:paraId="43801F19">
      <w:pPr>
        <w:snapToGrid w:val="0"/>
        <w:spacing w:line="360" w:lineRule="auto"/>
        <w:ind w:firstLine="480" w:firstLineChars="200"/>
        <w:rPr>
          <w:rFonts w:ascii="宋体" w:hAnsi="宋体"/>
          <w:sz w:val="24"/>
          <w:szCs w:val="24"/>
        </w:rPr>
      </w:pPr>
      <w:r>
        <w:rPr>
          <w:rFonts w:hint="eastAsia" w:ascii="宋体" w:hAnsi="宋体" w:cs="宋体"/>
          <w:sz w:val="24"/>
          <w:szCs w:val="24"/>
        </w:rPr>
        <w:t>5）负责所辖设备每天进行定时巡视、检查，每天不少于12次。</w:t>
      </w:r>
    </w:p>
    <w:p w14:paraId="094107D3">
      <w:pPr>
        <w:snapToGrid w:val="0"/>
        <w:spacing w:line="360" w:lineRule="auto"/>
        <w:ind w:firstLine="480" w:firstLineChars="200"/>
        <w:rPr>
          <w:rFonts w:ascii="宋体" w:hAnsi="宋体"/>
          <w:sz w:val="24"/>
          <w:szCs w:val="24"/>
        </w:rPr>
      </w:pPr>
      <w:r>
        <w:rPr>
          <w:rFonts w:hint="eastAsia" w:ascii="宋体" w:hAnsi="宋体" w:cs="宋体"/>
          <w:sz w:val="24"/>
          <w:szCs w:val="24"/>
        </w:rPr>
        <w:t>6）熟悉供电方案，熟知供电系统上级电源运行方式并及时与上级电力公司调度部门联系。根据本配电室实际运行状态和保护方式制定切实可行的“现场运行规程”做好事故及应急预案。及时处理实发事故，保证用户用电可靠性，防止因处理不当损坏设备或延误供电。</w:t>
      </w:r>
    </w:p>
    <w:p w14:paraId="69FA0BC5">
      <w:pPr>
        <w:snapToGrid w:val="0"/>
        <w:spacing w:line="360" w:lineRule="auto"/>
        <w:ind w:firstLine="480" w:firstLineChars="200"/>
        <w:rPr>
          <w:rFonts w:ascii="宋体" w:hAnsi="宋体"/>
          <w:sz w:val="24"/>
          <w:szCs w:val="24"/>
        </w:rPr>
      </w:pPr>
      <w:r>
        <w:rPr>
          <w:rFonts w:hint="eastAsia" w:ascii="宋体" w:hAnsi="宋体" w:cs="宋体"/>
          <w:sz w:val="24"/>
          <w:szCs w:val="24"/>
        </w:rPr>
        <w:t>7）负责配电室及设备的清洁卫生、整洁规范。</w:t>
      </w:r>
    </w:p>
    <w:p w14:paraId="03A88B2D">
      <w:pPr>
        <w:snapToGrid w:val="0"/>
        <w:spacing w:line="360" w:lineRule="auto"/>
        <w:ind w:firstLine="480" w:firstLineChars="200"/>
        <w:rPr>
          <w:rFonts w:ascii="宋体" w:hAnsi="宋体"/>
          <w:sz w:val="24"/>
          <w:szCs w:val="24"/>
        </w:rPr>
      </w:pPr>
      <w:r>
        <w:rPr>
          <w:rFonts w:hint="eastAsia" w:ascii="宋体" w:hAnsi="宋体" w:cs="宋体"/>
          <w:sz w:val="24"/>
          <w:szCs w:val="24"/>
        </w:rPr>
        <w:t>8）负责防火、防盗，加强配电室外门管理制度，执行甲方有关制度规定。</w:t>
      </w:r>
    </w:p>
    <w:p w14:paraId="58E45338">
      <w:pPr>
        <w:snapToGrid w:val="0"/>
        <w:spacing w:line="360" w:lineRule="auto"/>
        <w:ind w:firstLine="480" w:firstLineChars="200"/>
        <w:rPr>
          <w:rFonts w:ascii="宋体" w:hAnsi="宋体"/>
          <w:sz w:val="24"/>
          <w:szCs w:val="24"/>
        </w:rPr>
      </w:pPr>
      <w:r>
        <w:rPr>
          <w:rFonts w:hint="eastAsia" w:ascii="宋体" w:hAnsi="宋体" w:cs="宋体"/>
          <w:sz w:val="24"/>
          <w:szCs w:val="24"/>
        </w:rPr>
        <w:t>9）做到认真巡视、检查，严格执行运行值班各项制度。</w:t>
      </w:r>
    </w:p>
    <w:p w14:paraId="4E2030F2">
      <w:pPr>
        <w:snapToGrid w:val="0"/>
        <w:spacing w:line="360" w:lineRule="auto"/>
        <w:ind w:firstLine="480" w:firstLineChars="200"/>
        <w:rPr>
          <w:rFonts w:ascii="宋体" w:hAnsi="宋体"/>
          <w:sz w:val="24"/>
          <w:szCs w:val="24"/>
        </w:rPr>
      </w:pPr>
      <w:r>
        <w:rPr>
          <w:rFonts w:hint="eastAsia" w:ascii="宋体" w:hAnsi="宋体" w:cs="宋体"/>
          <w:sz w:val="24"/>
          <w:szCs w:val="24"/>
        </w:rPr>
        <w:t>10）协议期间不出任何因乙方人员责任导致的责任事故、小动物事故、人身事故。</w:t>
      </w:r>
    </w:p>
    <w:p w14:paraId="5BF8DAF9">
      <w:pPr>
        <w:snapToGrid w:val="0"/>
        <w:spacing w:line="360" w:lineRule="auto"/>
        <w:ind w:firstLine="480" w:firstLineChars="200"/>
        <w:rPr>
          <w:rFonts w:ascii="宋体" w:hAnsi="宋体"/>
          <w:sz w:val="24"/>
          <w:szCs w:val="24"/>
        </w:rPr>
      </w:pPr>
      <w:r>
        <w:rPr>
          <w:rFonts w:hint="eastAsia" w:ascii="宋体" w:hAnsi="宋体" w:cs="宋体"/>
          <w:sz w:val="24"/>
          <w:szCs w:val="24"/>
        </w:rPr>
        <w:t>11)严格执行操作票制度，不出误操作事故，及时处理设备缺陷保证设备健康运行，保证用户安全用电。</w:t>
      </w:r>
    </w:p>
    <w:p w14:paraId="57D7DDA4">
      <w:pPr>
        <w:snapToGrid w:val="0"/>
        <w:spacing w:line="360" w:lineRule="auto"/>
        <w:ind w:firstLine="480" w:firstLineChars="200"/>
        <w:rPr>
          <w:rFonts w:ascii="宋体" w:hAnsi="宋体"/>
          <w:sz w:val="24"/>
          <w:szCs w:val="24"/>
        </w:rPr>
      </w:pPr>
      <w:r>
        <w:rPr>
          <w:rFonts w:hint="eastAsia" w:ascii="宋体" w:hAnsi="宋体" w:cs="宋体"/>
          <w:sz w:val="24"/>
          <w:szCs w:val="24"/>
        </w:rPr>
        <w:t>12)做好定期年检工作包括：发电机组的试验、绝缘工具试验、设备检修、设备内部清扫工作。</w:t>
      </w:r>
    </w:p>
    <w:p w14:paraId="0B40499D">
      <w:pPr>
        <w:snapToGrid w:val="0"/>
        <w:spacing w:line="360" w:lineRule="auto"/>
        <w:ind w:firstLine="480" w:firstLineChars="200"/>
        <w:rPr>
          <w:rFonts w:ascii="宋体" w:hAnsi="宋体"/>
          <w:sz w:val="24"/>
          <w:szCs w:val="24"/>
        </w:rPr>
      </w:pPr>
      <w:r>
        <w:rPr>
          <w:rFonts w:hint="eastAsia" w:ascii="宋体" w:hAnsi="宋体" w:cs="宋体"/>
          <w:sz w:val="24"/>
          <w:szCs w:val="24"/>
        </w:rPr>
        <w:t>13)做好日常的维护工作（更换二次保险、指示灯以及可不停电进行的其它维护工作）。</w:t>
      </w:r>
    </w:p>
    <w:p w14:paraId="6F35E9A5">
      <w:pPr>
        <w:snapToGrid w:val="0"/>
        <w:spacing w:line="360" w:lineRule="auto"/>
        <w:ind w:firstLine="480" w:firstLineChars="200"/>
        <w:rPr>
          <w:rFonts w:ascii="宋体" w:hAnsi="宋体"/>
          <w:sz w:val="24"/>
          <w:szCs w:val="24"/>
        </w:rPr>
      </w:pPr>
      <w:r>
        <w:rPr>
          <w:rFonts w:hint="eastAsia" w:ascii="宋体" w:hAnsi="宋体" w:cs="宋体"/>
          <w:sz w:val="24"/>
          <w:szCs w:val="24"/>
        </w:rPr>
        <w:t>14)及时消除发现的缺陷，重大危急缺陷一般不超过2小时内消除危急缺陷；一般缺陷(在不影响正常运行及安全使用的情况下)不超过5天消除。</w:t>
      </w:r>
    </w:p>
    <w:p w14:paraId="02F64570">
      <w:pPr>
        <w:snapToGrid w:val="0"/>
        <w:spacing w:line="360" w:lineRule="auto"/>
        <w:ind w:firstLine="480" w:firstLineChars="200"/>
        <w:rPr>
          <w:rFonts w:ascii="宋体" w:hAnsi="宋体"/>
          <w:sz w:val="24"/>
          <w:szCs w:val="24"/>
        </w:rPr>
      </w:pPr>
      <w:r>
        <w:rPr>
          <w:rFonts w:hint="eastAsia" w:ascii="宋体" w:hAnsi="宋体" w:cs="宋体"/>
          <w:sz w:val="24"/>
          <w:szCs w:val="24"/>
        </w:rPr>
        <w:t>15)负责制定高压设备的运行、保养计划。</w:t>
      </w:r>
    </w:p>
    <w:p w14:paraId="0A1031B2">
      <w:pPr>
        <w:snapToGrid w:val="0"/>
        <w:spacing w:line="360" w:lineRule="auto"/>
        <w:ind w:firstLine="480" w:firstLineChars="200"/>
        <w:rPr>
          <w:rFonts w:ascii="宋体" w:hAnsi="宋体"/>
          <w:sz w:val="24"/>
          <w:szCs w:val="24"/>
        </w:rPr>
      </w:pPr>
      <w:r>
        <w:rPr>
          <w:rFonts w:hint="eastAsia" w:ascii="宋体" w:hAnsi="宋体" w:cs="宋体"/>
          <w:sz w:val="24"/>
          <w:szCs w:val="24"/>
          <w:lang w:val="en-US" w:eastAsia="zh-CN"/>
        </w:rPr>
        <w:t>2.</w:t>
      </w:r>
      <w:r>
        <w:rPr>
          <w:rFonts w:hint="eastAsia" w:ascii="宋体" w:hAnsi="宋体" w:cs="宋体"/>
          <w:sz w:val="24"/>
          <w:szCs w:val="24"/>
        </w:rPr>
        <w:t>工作要求及标准</w:t>
      </w:r>
    </w:p>
    <w:p w14:paraId="1ABA3B23">
      <w:pPr>
        <w:snapToGrid w:val="0"/>
        <w:spacing w:line="360" w:lineRule="auto"/>
        <w:ind w:firstLine="480" w:firstLineChars="200"/>
        <w:rPr>
          <w:rFonts w:ascii="宋体" w:hAnsi="宋体"/>
          <w:sz w:val="24"/>
          <w:szCs w:val="24"/>
        </w:rPr>
      </w:pPr>
      <w:r>
        <w:rPr>
          <w:rFonts w:hint="eastAsia" w:ascii="宋体" w:hAnsi="宋体" w:cs="宋体"/>
          <w:sz w:val="24"/>
          <w:szCs w:val="24"/>
        </w:rPr>
        <w:t>高压配电系统运行维护是指为保证供电系统正常运行对高压电器设备、电线电缆、电气照明装置等设备进行日常管理和维护。</w:t>
      </w:r>
    </w:p>
    <w:p w14:paraId="22BEE66B">
      <w:pPr>
        <w:snapToGrid w:val="0"/>
        <w:spacing w:line="360" w:lineRule="auto"/>
        <w:ind w:firstLine="480" w:firstLineChars="200"/>
        <w:rPr>
          <w:rFonts w:ascii="宋体" w:hAnsi="宋体"/>
          <w:sz w:val="24"/>
          <w:szCs w:val="24"/>
        </w:rPr>
      </w:pPr>
      <w:r>
        <w:rPr>
          <w:rFonts w:hint="eastAsia" w:ascii="宋体" w:hAnsi="宋体" w:cs="宋体"/>
          <w:sz w:val="24"/>
          <w:szCs w:val="24"/>
        </w:rPr>
        <w:t>1、维护内容：</w:t>
      </w:r>
    </w:p>
    <w:p w14:paraId="37FFB988">
      <w:pPr>
        <w:snapToGrid w:val="0"/>
        <w:spacing w:line="360" w:lineRule="auto"/>
        <w:ind w:firstLine="480" w:firstLineChars="200"/>
        <w:rPr>
          <w:rFonts w:ascii="宋体" w:hAnsi="宋体"/>
          <w:sz w:val="24"/>
          <w:szCs w:val="24"/>
        </w:rPr>
      </w:pPr>
      <w:r>
        <w:rPr>
          <w:rFonts w:hint="eastAsia" w:ascii="宋体" w:hAnsi="宋体" w:cs="宋体"/>
          <w:sz w:val="24"/>
          <w:szCs w:val="24"/>
        </w:rPr>
        <w:t>（1）对供电系统高压电器设备、电线电缆、电气照明装置等设备正常运行使用进行日常管理和养护维修；</w:t>
      </w:r>
    </w:p>
    <w:p w14:paraId="16FEBA2C">
      <w:pPr>
        <w:snapToGrid w:val="0"/>
        <w:spacing w:line="360" w:lineRule="auto"/>
        <w:ind w:firstLine="480" w:firstLineChars="200"/>
        <w:rPr>
          <w:rFonts w:ascii="宋体" w:hAnsi="宋体"/>
          <w:sz w:val="24"/>
          <w:szCs w:val="24"/>
        </w:rPr>
      </w:pPr>
      <w:r>
        <w:rPr>
          <w:rFonts w:hint="eastAsia" w:ascii="宋体" w:hAnsi="宋体" w:cs="宋体"/>
          <w:sz w:val="24"/>
          <w:szCs w:val="24"/>
        </w:rPr>
        <w:t>（2）建立各项设备档案；</w:t>
      </w:r>
    </w:p>
    <w:p w14:paraId="6CC60435">
      <w:pPr>
        <w:snapToGrid w:val="0"/>
        <w:spacing w:line="360" w:lineRule="auto"/>
        <w:ind w:firstLine="480" w:firstLineChars="200"/>
        <w:rPr>
          <w:rFonts w:ascii="宋体" w:hAnsi="宋体"/>
          <w:sz w:val="24"/>
          <w:szCs w:val="24"/>
        </w:rPr>
      </w:pPr>
      <w:r>
        <w:rPr>
          <w:rFonts w:hint="eastAsia" w:ascii="宋体" w:hAnsi="宋体" w:cs="宋体"/>
          <w:sz w:val="24"/>
          <w:szCs w:val="24"/>
        </w:rPr>
        <w:t>（3）建立、落实配送电运行制度、电气维修制度和配电房管理制度、24小时运行维修值班制度并做好运行记录等；</w:t>
      </w:r>
    </w:p>
    <w:p w14:paraId="568020F8">
      <w:pPr>
        <w:snapToGrid w:val="0"/>
        <w:spacing w:line="360" w:lineRule="auto"/>
        <w:ind w:firstLine="480" w:firstLineChars="200"/>
        <w:rPr>
          <w:rFonts w:ascii="宋体" w:hAnsi="宋体"/>
          <w:sz w:val="24"/>
          <w:szCs w:val="24"/>
        </w:rPr>
      </w:pPr>
      <w:r>
        <w:rPr>
          <w:rFonts w:hint="eastAsia" w:ascii="宋体" w:hAnsi="宋体" w:cs="宋体"/>
          <w:sz w:val="24"/>
          <w:szCs w:val="24"/>
        </w:rPr>
        <w:t>（4）及时排除故障，保证供电设施完好；</w:t>
      </w:r>
    </w:p>
    <w:p w14:paraId="4A2ED625">
      <w:pPr>
        <w:snapToGrid w:val="0"/>
        <w:spacing w:line="360" w:lineRule="auto"/>
        <w:ind w:firstLine="480" w:firstLineChars="200"/>
        <w:rPr>
          <w:rFonts w:ascii="宋体" w:hAnsi="宋体"/>
          <w:sz w:val="24"/>
          <w:szCs w:val="24"/>
        </w:rPr>
      </w:pPr>
      <w:r>
        <w:rPr>
          <w:rFonts w:hint="eastAsia" w:ascii="宋体" w:hAnsi="宋体" w:cs="宋体"/>
          <w:sz w:val="24"/>
          <w:szCs w:val="24"/>
        </w:rPr>
        <w:t>（5）定期清扫变压器、配电装置检查仪表、空开配电盘等是否正常，出现问题及时更换；</w:t>
      </w:r>
    </w:p>
    <w:p w14:paraId="56FBBD79">
      <w:pPr>
        <w:snapToGrid w:val="0"/>
        <w:spacing w:line="360" w:lineRule="auto"/>
        <w:ind w:firstLine="480" w:firstLineChars="200"/>
        <w:rPr>
          <w:rFonts w:ascii="宋体" w:hAnsi="宋体"/>
          <w:sz w:val="24"/>
          <w:szCs w:val="24"/>
        </w:rPr>
      </w:pPr>
      <w:r>
        <w:rPr>
          <w:rFonts w:hint="eastAsia" w:ascii="宋体" w:hAnsi="宋体" w:cs="宋体"/>
          <w:sz w:val="24"/>
          <w:szCs w:val="24"/>
        </w:rPr>
        <w:t>（6）建立节电措施。</w:t>
      </w:r>
    </w:p>
    <w:p w14:paraId="7D20D11E">
      <w:pPr>
        <w:snapToGrid w:val="0"/>
        <w:spacing w:line="360" w:lineRule="auto"/>
        <w:ind w:firstLine="480" w:firstLineChars="200"/>
        <w:rPr>
          <w:rFonts w:ascii="宋体" w:hAnsi="宋体"/>
          <w:sz w:val="24"/>
          <w:szCs w:val="24"/>
        </w:rPr>
      </w:pPr>
      <w:r>
        <w:rPr>
          <w:rFonts w:hint="eastAsia" w:ascii="宋体" w:hAnsi="宋体" w:cs="宋体"/>
          <w:sz w:val="24"/>
          <w:szCs w:val="24"/>
        </w:rPr>
        <w:t>2、维护标准：</w:t>
      </w:r>
    </w:p>
    <w:p w14:paraId="7361BCB8">
      <w:pPr>
        <w:snapToGrid w:val="0"/>
        <w:spacing w:line="360" w:lineRule="auto"/>
        <w:ind w:firstLine="480" w:firstLineChars="200"/>
        <w:rPr>
          <w:rFonts w:ascii="宋体" w:hAnsi="宋体"/>
          <w:sz w:val="24"/>
          <w:szCs w:val="24"/>
        </w:rPr>
      </w:pPr>
      <w:r>
        <w:rPr>
          <w:rFonts w:hint="eastAsia" w:ascii="宋体" w:hAnsi="宋体" w:cs="宋体"/>
          <w:sz w:val="24"/>
          <w:szCs w:val="24"/>
        </w:rPr>
        <w:t>（1）统筹规划，做到合理、节约用电；</w:t>
      </w:r>
    </w:p>
    <w:p w14:paraId="2B926830">
      <w:pPr>
        <w:snapToGrid w:val="0"/>
        <w:spacing w:line="360" w:lineRule="auto"/>
        <w:ind w:firstLine="480" w:firstLineChars="200"/>
        <w:rPr>
          <w:rFonts w:ascii="宋体" w:hAnsi="宋体"/>
          <w:sz w:val="24"/>
          <w:szCs w:val="24"/>
        </w:rPr>
      </w:pPr>
      <w:r>
        <w:rPr>
          <w:rFonts w:hint="eastAsia" w:ascii="宋体" w:hAnsi="宋体" w:cs="宋体"/>
          <w:sz w:val="24"/>
          <w:szCs w:val="24"/>
        </w:rPr>
        <w:t>（2）供电运行和维修人员必须持证上岗；</w:t>
      </w:r>
    </w:p>
    <w:p w14:paraId="4D60E878">
      <w:pPr>
        <w:pStyle w:val="5"/>
        <w:bidi w:val="0"/>
      </w:pPr>
      <w:r>
        <w:rPr>
          <w:rFonts w:hint="eastAsia"/>
          <w:lang w:val="en-US" w:eastAsia="zh-CN"/>
        </w:rPr>
        <w:t>（三）</w:t>
      </w:r>
      <w:r>
        <w:rPr>
          <w:rFonts w:hint="eastAsia"/>
        </w:rPr>
        <w:t>舞台灯光设备运行管理</w:t>
      </w:r>
    </w:p>
    <w:p w14:paraId="3F3844A5">
      <w:pPr>
        <w:spacing w:line="360" w:lineRule="auto"/>
        <w:ind w:firstLine="480" w:firstLineChars="200"/>
        <w:rPr>
          <w:rFonts w:hint="eastAsia"/>
          <w:sz w:val="24"/>
          <w:szCs w:val="24"/>
        </w:rPr>
      </w:pPr>
      <w:r>
        <w:rPr>
          <w:rFonts w:hint="eastAsia"/>
          <w:sz w:val="24"/>
          <w:szCs w:val="24"/>
        </w:rPr>
        <w:t>工</w:t>
      </w:r>
      <w:r>
        <w:rPr>
          <w:rFonts w:hint="eastAsia" w:ascii="宋体" w:hAnsi="宋体"/>
          <w:sz w:val="24"/>
          <w:szCs w:val="24"/>
        </w:rPr>
        <w:t>作要求：为我校报告厅、音乐厅提供相关技术人员支持，保障舞台灯光及音响等设备正常运转，提升舞台效果，保障设备合理使用。每年保障不少于2</w:t>
      </w:r>
      <w:r>
        <w:rPr>
          <w:rFonts w:ascii="宋体" w:hAnsi="宋体"/>
          <w:sz w:val="24"/>
          <w:szCs w:val="24"/>
        </w:rPr>
        <w:t>0</w:t>
      </w:r>
      <w:r>
        <w:rPr>
          <w:rFonts w:hint="eastAsia" w:ascii="宋体" w:hAnsi="宋体"/>
          <w:sz w:val="24"/>
          <w:szCs w:val="24"/>
        </w:rPr>
        <w:t>次大型活动</w:t>
      </w:r>
      <w:r>
        <w:rPr>
          <w:rFonts w:hint="eastAsia"/>
          <w:sz w:val="24"/>
          <w:szCs w:val="24"/>
        </w:rPr>
        <w:t>。</w:t>
      </w:r>
    </w:p>
    <w:p w14:paraId="48E16402">
      <w:pPr>
        <w:pStyle w:val="5"/>
        <w:bidi w:val="0"/>
        <w:rPr>
          <w:rFonts w:ascii="宋体" w:hAnsi="宋体"/>
          <w:b/>
          <w:bCs/>
          <w:sz w:val="24"/>
          <w:szCs w:val="24"/>
        </w:rPr>
      </w:pPr>
      <w:r>
        <w:rPr>
          <w:rFonts w:hint="eastAsia"/>
          <w:sz w:val="24"/>
          <w:szCs w:val="24"/>
          <w:lang w:eastAsia="zh-CN"/>
        </w:rPr>
        <w:t>（</w:t>
      </w:r>
      <w:r>
        <w:rPr>
          <w:rFonts w:hint="eastAsia"/>
          <w:sz w:val="24"/>
          <w:szCs w:val="24"/>
          <w:lang w:val="en-US" w:eastAsia="zh-CN"/>
        </w:rPr>
        <w:t>四</w:t>
      </w:r>
      <w:r>
        <w:rPr>
          <w:rFonts w:hint="eastAsia"/>
          <w:sz w:val="24"/>
          <w:szCs w:val="24"/>
          <w:lang w:eastAsia="zh-CN"/>
        </w:rPr>
        <w:t>）</w:t>
      </w:r>
      <w:r>
        <w:rPr>
          <w:sz w:val="24"/>
          <w:szCs w:val="24"/>
        </w:rPr>
        <w:t xml:space="preserve"> </w:t>
      </w:r>
      <w:r>
        <w:rPr>
          <w:rFonts w:hint="eastAsia" w:ascii="宋体" w:hAnsi="宋体" w:cs="宋体"/>
          <w:b/>
          <w:bCs/>
          <w:sz w:val="24"/>
          <w:szCs w:val="24"/>
        </w:rPr>
        <w:t>公共设施设备运行维护作业标准</w:t>
      </w:r>
    </w:p>
    <w:tbl>
      <w:tblPr>
        <w:tblStyle w:val="13"/>
        <w:tblW w:w="8354" w:type="dxa"/>
        <w:tblInd w:w="1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61"/>
        <w:gridCol w:w="1291"/>
        <w:gridCol w:w="5802"/>
      </w:tblGrid>
      <w:tr w14:paraId="0D839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1" w:type="dxa"/>
          </w:tcPr>
          <w:p w14:paraId="51736B72">
            <w:pPr>
              <w:jc w:val="center"/>
              <w:rPr>
                <w:rFonts w:ascii="宋体" w:hAnsi="宋体"/>
                <w:sz w:val="24"/>
                <w:szCs w:val="24"/>
              </w:rPr>
            </w:pPr>
            <w:r>
              <w:rPr>
                <w:rFonts w:hint="eastAsia" w:ascii="宋体" w:hAnsi="宋体" w:cs="宋体"/>
                <w:kern w:val="0"/>
                <w:sz w:val="24"/>
                <w:szCs w:val="24"/>
              </w:rPr>
              <w:t>内容</w:t>
            </w:r>
          </w:p>
        </w:tc>
        <w:tc>
          <w:tcPr>
            <w:tcW w:w="1291" w:type="dxa"/>
            <w:vAlign w:val="center"/>
          </w:tcPr>
          <w:p w14:paraId="52C6700A">
            <w:pPr>
              <w:jc w:val="center"/>
              <w:rPr>
                <w:rFonts w:ascii="宋体" w:hAnsi="宋体"/>
                <w:kern w:val="0"/>
                <w:sz w:val="24"/>
                <w:szCs w:val="24"/>
              </w:rPr>
            </w:pPr>
            <w:r>
              <w:rPr>
                <w:rFonts w:hint="eastAsia" w:ascii="宋体" w:hAnsi="宋体" w:cs="宋体"/>
                <w:kern w:val="0"/>
                <w:sz w:val="24"/>
                <w:szCs w:val="24"/>
              </w:rPr>
              <w:t>分类</w:t>
            </w:r>
          </w:p>
        </w:tc>
        <w:tc>
          <w:tcPr>
            <w:tcW w:w="5802" w:type="dxa"/>
            <w:vAlign w:val="center"/>
          </w:tcPr>
          <w:p w14:paraId="59A6D5A3">
            <w:pPr>
              <w:jc w:val="center"/>
              <w:rPr>
                <w:rFonts w:ascii="宋体" w:hAnsi="宋体"/>
                <w:kern w:val="0"/>
                <w:sz w:val="24"/>
                <w:szCs w:val="24"/>
              </w:rPr>
            </w:pPr>
            <w:r>
              <w:rPr>
                <w:rFonts w:hint="eastAsia" w:ascii="宋体" w:hAnsi="宋体" w:cs="宋体"/>
                <w:kern w:val="0"/>
                <w:sz w:val="24"/>
                <w:szCs w:val="24"/>
              </w:rPr>
              <w:t>标准及规范</w:t>
            </w:r>
          </w:p>
        </w:tc>
      </w:tr>
      <w:tr w14:paraId="58A31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0" w:hRule="atLeast"/>
        </w:trPr>
        <w:tc>
          <w:tcPr>
            <w:tcW w:w="1261" w:type="dxa"/>
            <w:vMerge w:val="restart"/>
          </w:tcPr>
          <w:p w14:paraId="6C1DCACF">
            <w:pPr>
              <w:jc w:val="center"/>
              <w:rPr>
                <w:rFonts w:ascii="宋体" w:hAnsi="宋体"/>
                <w:b/>
                <w:bCs/>
                <w:kern w:val="0"/>
                <w:sz w:val="24"/>
                <w:szCs w:val="24"/>
              </w:rPr>
            </w:pPr>
          </w:p>
          <w:p w14:paraId="74CCE0BE">
            <w:pPr>
              <w:jc w:val="center"/>
              <w:rPr>
                <w:rFonts w:ascii="宋体" w:hAnsi="宋体"/>
                <w:b/>
                <w:bCs/>
                <w:kern w:val="0"/>
                <w:sz w:val="24"/>
                <w:szCs w:val="24"/>
              </w:rPr>
            </w:pPr>
          </w:p>
          <w:p w14:paraId="6AD10C63">
            <w:pPr>
              <w:jc w:val="center"/>
              <w:rPr>
                <w:rFonts w:ascii="宋体" w:hAnsi="宋体"/>
                <w:b/>
                <w:bCs/>
                <w:kern w:val="0"/>
                <w:sz w:val="24"/>
                <w:szCs w:val="24"/>
              </w:rPr>
            </w:pPr>
          </w:p>
          <w:p w14:paraId="78C4CBCA">
            <w:pPr>
              <w:jc w:val="center"/>
              <w:rPr>
                <w:rFonts w:ascii="宋体" w:hAnsi="宋体"/>
                <w:b/>
                <w:bCs/>
                <w:kern w:val="0"/>
                <w:sz w:val="24"/>
                <w:szCs w:val="24"/>
              </w:rPr>
            </w:pPr>
          </w:p>
          <w:p w14:paraId="080E1E82">
            <w:pPr>
              <w:jc w:val="center"/>
              <w:rPr>
                <w:rFonts w:ascii="宋体" w:hAnsi="宋体"/>
                <w:b/>
                <w:bCs/>
                <w:kern w:val="0"/>
                <w:sz w:val="24"/>
                <w:szCs w:val="24"/>
              </w:rPr>
            </w:pPr>
          </w:p>
          <w:p w14:paraId="779C0C2A">
            <w:pPr>
              <w:jc w:val="center"/>
              <w:rPr>
                <w:rFonts w:ascii="宋体" w:hAnsi="宋体"/>
                <w:b/>
                <w:bCs/>
                <w:kern w:val="0"/>
                <w:sz w:val="24"/>
                <w:szCs w:val="24"/>
              </w:rPr>
            </w:pPr>
          </w:p>
          <w:p w14:paraId="5C52DB5E">
            <w:pPr>
              <w:jc w:val="center"/>
              <w:rPr>
                <w:rFonts w:ascii="宋体" w:hAnsi="宋体"/>
                <w:b/>
                <w:bCs/>
                <w:kern w:val="0"/>
                <w:sz w:val="24"/>
                <w:szCs w:val="24"/>
              </w:rPr>
            </w:pPr>
          </w:p>
          <w:p w14:paraId="432745AE">
            <w:pPr>
              <w:jc w:val="center"/>
              <w:rPr>
                <w:rFonts w:ascii="宋体" w:hAnsi="宋体"/>
                <w:sz w:val="24"/>
                <w:szCs w:val="24"/>
              </w:rPr>
            </w:pPr>
            <w:r>
              <w:rPr>
                <w:rFonts w:hint="eastAsia" w:ascii="宋体" w:hAnsi="宋体" w:cs="宋体"/>
                <w:b/>
                <w:bCs/>
                <w:kern w:val="0"/>
                <w:sz w:val="24"/>
                <w:szCs w:val="24"/>
              </w:rPr>
              <w:t>仪容仪表</w:t>
            </w:r>
          </w:p>
        </w:tc>
        <w:tc>
          <w:tcPr>
            <w:tcW w:w="1291" w:type="dxa"/>
            <w:vAlign w:val="center"/>
          </w:tcPr>
          <w:p w14:paraId="6DC1D666">
            <w:pPr>
              <w:widowControl/>
              <w:jc w:val="center"/>
              <w:rPr>
                <w:rFonts w:ascii="宋体" w:hAnsi="宋体"/>
                <w:kern w:val="0"/>
                <w:sz w:val="24"/>
                <w:szCs w:val="24"/>
              </w:rPr>
            </w:pPr>
            <w:r>
              <w:rPr>
                <w:rFonts w:hint="eastAsia" w:ascii="宋体" w:hAnsi="宋体" w:cs="宋体"/>
                <w:kern w:val="0"/>
                <w:sz w:val="24"/>
                <w:szCs w:val="24"/>
              </w:rPr>
              <w:t>工装着装</w:t>
            </w:r>
          </w:p>
        </w:tc>
        <w:tc>
          <w:tcPr>
            <w:tcW w:w="5802" w:type="dxa"/>
            <w:vAlign w:val="center"/>
          </w:tcPr>
          <w:p w14:paraId="44FC8FCB">
            <w:pPr>
              <w:jc w:val="left"/>
              <w:rPr>
                <w:rFonts w:ascii="宋体" w:hAnsi="宋体"/>
                <w:sz w:val="24"/>
                <w:szCs w:val="24"/>
              </w:rPr>
            </w:pPr>
            <w:r>
              <w:rPr>
                <w:rFonts w:hint="eastAsia" w:ascii="宋体" w:hAnsi="宋体" w:cs="宋体"/>
                <w:sz w:val="24"/>
                <w:szCs w:val="24"/>
              </w:rPr>
              <w:t xml:space="preserve">1、维修人员着装统一，工装整洁、完好、合体无脱线、残破、缺扣现象 </w:t>
            </w:r>
          </w:p>
          <w:p w14:paraId="4B7AADD5">
            <w:pPr>
              <w:jc w:val="left"/>
              <w:rPr>
                <w:rFonts w:ascii="宋体" w:hAnsi="宋体"/>
                <w:sz w:val="24"/>
                <w:szCs w:val="24"/>
              </w:rPr>
            </w:pPr>
            <w:r>
              <w:rPr>
                <w:rFonts w:hint="eastAsia" w:ascii="宋体" w:hAnsi="宋体" w:cs="宋体"/>
                <w:sz w:val="24"/>
                <w:szCs w:val="24"/>
              </w:rPr>
              <w:t>2、裤子干净、平整不卷裤腿</w:t>
            </w:r>
          </w:p>
        </w:tc>
      </w:tr>
      <w:tr w14:paraId="45761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8" w:hRule="atLeast"/>
        </w:trPr>
        <w:tc>
          <w:tcPr>
            <w:tcW w:w="1261" w:type="dxa"/>
            <w:vMerge w:val="continue"/>
          </w:tcPr>
          <w:p w14:paraId="11C2CD24">
            <w:pPr>
              <w:jc w:val="center"/>
              <w:rPr>
                <w:rFonts w:ascii="宋体" w:hAnsi="宋体"/>
                <w:sz w:val="24"/>
                <w:szCs w:val="24"/>
              </w:rPr>
            </w:pPr>
          </w:p>
        </w:tc>
        <w:tc>
          <w:tcPr>
            <w:tcW w:w="1291" w:type="dxa"/>
          </w:tcPr>
          <w:p w14:paraId="3F4E443D">
            <w:pPr>
              <w:jc w:val="center"/>
              <w:rPr>
                <w:rFonts w:ascii="宋体" w:hAnsi="宋体"/>
                <w:kern w:val="0"/>
                <w:sz w:val="24"/>
                <w:szCs w:val="24"/>
              </w:rPr>
            </w:pPr>
          </w:p>
          <w:p w14:paraId="22CE2418">
            <w:pPr>
              <w:jc w:val="center"/>
              <w:rPr>
                <w:rFonts w:ascii="宋体" w:hAnsi="宋体"/>
                <w:kern w:val="0"/>
                <w:sz w:val="24"/>
                <w:szCs w:val="24"/>
              </w:rPr>
            </w:pPr>
          </w:p>
          <w:p w14:paraId="711EA4E8">
            <w:pPr>
              <w:jc w:val="center"/>
              <w:rPr>
                <w:rFonts w:ascii="宋体" w:hAnsi="宋体"/>
                <w:sz w:val="24"/>
                <w:szCs w:val="24"/>
              </w:rPr>
            </w:pPr>
            <w:r>
              <w:rPr>
                <w:rFonts w:hint="eastAsia" w:ascii="宋体" w:hAnsi="宋体" w:cs="宋体"/>
                <w:kern w:val="0"/>
                <w:sz w:val="24"/>
                <w:szCs w:val="24"/>
              </w:rPr>
              <w:t>面部及发型</w:t>
            </w:r>
          </w:p>
        </w:tc>
        <w:tc>
          <w:tcPr>
            <w:tcW w:w="5802" w:type="dxa"/>
          </w:tcPr>
          <w:p w14:paraId="3D43B4A7">
            <w:pPr>
              <w:jc w:val="left"/>
              <w:rPr>
                <w:rFonts w:ascii="宋体" w:hAnsi="宋体"/>
                <w:sz w:val="24"/>
                <w:szCs w:val="24"/>
              </w:rPr>
            </w:pPr>
            <w:r>
              <w:rPr>
                <w:rFonts w:hint="eastAsia" w:ascii="宋体" w:hAnsi="宋体" w:cs="宋体"/>
                <w:sz w:val="24"/>
                <w:szCs w:val="24"/>
              </w:rPr>
              <w:t>1、面部清洁，不蓄长胡须，经常修剪鼻毛</w:t>
            </w:r>
          </w:p>
          <w:p w14:paraId="0D7F9D25">
            <w:pPr>
              <w:jc w:val="left"/>
              <w:rPr>
                <w:rFonts w:ascii="宋体" w:hAnsi="宋体"/>
                <w:sz w:val="24"/>
                <w:szCs w:val="24"/>
              </w:rPr>
            </w:pPr>
            <w:r>
              <w:rPr>
                <w:rFonts w:hint="eastAsia" w:ascii="宋体" w:hAnsi="宋体" w:cs="宋体"/>
                <w:sz w:val="24"/>
                <w:szCs w:val="24"/>
              </w:rPr>
              <w:t>2、发型标准不蓄长发，严禁剃光头，不留怪异发型，头发要求前额不得齐眉，鬓角不得盖耳或超出耳根，后部不得齐领，发色要求黑色</w:t>
            </w:r>
          </w:p>
        </w:tc>
      </w:tr>
      <w:tr w14:paraId="0BEED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261" w:type="dxa"/>
            <w:vMerge w:val="continue"/>
          </w:tcPr>
          <w:p w14:paraId="18956CFC">
            <w:pPr>
              <w:jc w:val="center"/>
              <w:rPr>
                <w:rFonts w:ascii="宋体" w:hAnsi="宋体"/>
                <w:sz w:val="24"/>
                <w:szCs w:val="24"/>
              </w:rPr>
            </w:pPr>
          </w:p>
        </w:tc>
        <w:tc>
          <w:tcPr>
            <w:tcW w:w="1291" w:type="dxa"/>
          </w:tcPr>
          <w:p w14:paraId="70CE0FC7">
            <w:pPr>
              <w:jc w:val="center"/>
              <w:rPr>
                <w:rFonts w:ascii="宋体" w:hAnsi="宋体"/>
                <w:sz w:val="24"/>
                <w:szCs w:val="24"/>
              </w:rPr>
            </w:pPr>
            <w:r>
              <w:rPr>
                <w:rFonts w:hint="eastAsia" w:ascii="宋体" w:hAnsi="宋体" w:cs="宋体"/>
                <w:sz w:val="24"/>
                <w:szCs w:val="24"/>
              </w:rPr>
              <w:t>工牌</w:t>
            </w:r>
          </w:p>
        </w:tc>
        <w:tc>
          <w:tcPr>
            <w:tcW w:w="5802" w:type="dxa"/>
          </w:tcPr>
          <w:p w14:paraId="2C78B743">
            <w:pPr>
              <w:widowControl/>
              <w:jc w:val="left"/>
              <w:rPr>
                <w:rFonts w:ascii="宋体" w:hAnsi="宋体"/>
                <w:sz w:val="24"/>
                <w:szCs w:val="24"/>
              </w:rPr>
            </w:pPr>
          </w:p>
          <w:p w14:paraId="3AAF2196">
            <w:pPr>
              <w:widowControl/>
              <w:jc w:val="left"/>
              <w:rPr>
                <w:rFonts w:ascii="宋体" w:hAnsi="宋体"/>
                <w:sz w:val="24"/>
                <w:szCs w:val="24"/>
              </w:rPr>
            </w:pPr>
            <w:r>
              <w:rPr>
                <w:rFonts w:hint="eastAsia" w:ascii="宋体" w:hAnsi="宋体" w:cs="宋体"/>
                <w:sz w:val="24"/>
                <w:szCs w:val="24"/>
              </w:rPr>
              <w:t>工牌统一佩戴于左胸上方口袋边缘，工牌完好无损，名字清晰</w:t>
            </w:r>
          </w:p>
        </w:tc>
      </w:tr>
      <w:tr w14:paraId="4489F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9" w:hRule="atLeast"/>
        </w:trPr>
        <w:tc>
          <w:tcPr>
            <w:tcW w:w="1261" w:type="dxa"/>
            <w:vMerge w:val="continue"/>
          </w:tcPr>
          <w:p w14:paraId="6C0A2D89">
            <w:pPr>
              <w:jc w:val="center"/>
              <w:rPr>
                <w:rFonts w:ascii="宋体" w:hAnsi="宋体"/>
                <w:sz w:val="24"/>
                <w:szCs w:val="24"/>
              </w:rPr>
            </w:pPr>
          </w:p>
        </w:tc>
        <w:tc>
          <w:tcPr>
            <w:tcW w:w="1291" w:type="dxa"/>
            <w:vAlign w:val="center"/>
          </w:tcPr>
          <w:p w14:paraId="4EF984A5">
            <w:pPr>
              <w:widowControl/>
              <w:jc w:val="center"/>
              <w:rPr>
                <w:rFonts w:ascii="宋体" w:hAnsi="宋体"/>
                <w:kern w:val="0"/>
                <w:sz w:val="24"/>
                <w:szCs w:val="24"/>
              </w:rPr>
            </w:pPr>
            <w:r>
              <w:rPr>
                <w:rFonts w:hint="eastAsia" w:ascii="宋体" w:hAnsi="宋体" w:cs="宋体"/>
                <w:kern w:val="0"/>
                <w:sz w:val="24"/>
                <w:szCs w:val="24"/>
              </w:rPr>
              <w:t>手部</w:t>
            </w:r>
          </w:p>
        </w:tc>
        <w:tc>
          <w:tcPr>
            <w:tcW w:w="5802" w:type="dxa"/>
            <w:vAlign w:val="center"/>
          </w:tcPr>
          <w:p w14:paraId="1DEFEE60">
            <w:pPr>
              <w:widowControl/>
              <w:jc w:val="left"/>
              <w:rPr>
                <w:rFonts w:ascii="宋体" w:hAnsi="宋体"/>
                <w:sz w:val="24"/>
                <w:szCs w:val="24"/>
              </w:rPr>
            </w:pPr>
            <w:r>
              <w:rPr>
                <w:rFonts w:hint="eastAsia" w:ascii="宋体" w:hAnsi="宋体" w:cs="宋体"/>
                <w:sz w:val="24"/>
                <w:szCs w:val="24"/>
              </w:rPr>
              <w:t>袖扣全部扣齐不挽袖，不佩戴饰物、饰品</w:t>
            </w:r>
          </w:p>
        </w:tc>
      </w:tr>
      <w:tr w14:paraId="561D6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 w:hRule="atLeast"/>
        </w:trPr>
        <w:tc>
          <w:tcPr>
            <w:tcW w:w="1261" w:type="dxa"/>
            <w:vMerge w:val="continue"/>
          </w:tcPr>
          <w:p w14:paraId="3FE9A820">
            <w:pPr>
              <w:jc w:val="center"/>
              <w:rPr>
                <w:rFonts w:ascii="宋体" w:hAnsi="宋体"/>
                <w:sz w:val="24"/>
                <w:szCs w:val="24"/>
              </w:rPr>
            </w:pPr>
          </w:p>
        </w:tc>
        <w:tc>
          <w:tcPr>
            <w:tcW w:w="1291" w:type="dxa"/>
          </w:tcPr>
          <w:p w14:paraId="2954935E">
            <w:pPr>
              <w:ind w:firstLine="480" w:firstLineChars="200"/>
              <w:rPr>
                <w:rFonts w:ascii="宋体" w:hAnsi="宋体"/>
                <w:kern w:val="0"/>
                <w:sz w:val="24"/>
                <w:szCs w:val="24"/>
              </w:rPr>
            </w:pPr>
            <w:r>
              <w:rPr>
                <w:rFonts w:hint="eastAsia" w:ascii="宋体" w:hAnsi="宋体" w:cs="宋体"/>
                <w:kern w:val="0"/>
                <w:sz w:val="24"/>
                <w:szCs w:val="24"/>
              </w:rPr>
              <w:t>脚部</w:t>
            </w:r>
          </w:p>
        </w:tc>
        <w:tc>
          <w:tcPr>
            <w:tcW w:w="5802" w:type="dxa"/>
          </w:tcPr>
          <w:p w14:paraId="6E09AA5A">
            <w:pPr>
              <w:jc w:val="left"/>
              <w:rPr>
                <w:rFonts w:ascii="宋体" w:hAnsi="宋体"/>
                <w:sz w:val="24"/>
                <w:szCs w:val="24"/>
              </w:rPr>
            </w:pPr>
            <w:r>
              <w:rPr>
                <w:rFonts w:hint="eastAsia" w:ascii="宋体" w:hAnsi="宋体" w:cs="宋体"/>
                <w:sz w:val="24"/>
                <w:szCs w:val="24"/>
              </w:rPr>
              <w:t>脚穿黑色或深色袜，皮鞋（安全鞋）无破损、保持鞋面清洁</w:t>
            </w:r>
          </w:p>
        </w:tc>
      </w:tr>
      <w:tr w14:paraId="485E5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1261" w:type="dxa"/>
            <w:vMerge w:val="restart"/>
          </w:tcPr>
          <w:p w14:paraId="3734E98C">
            <w:pPr>
              <w:jc w:val="center"/>
              <w:rPr>
                <w:rFonts w:ascii="宋体" w:hAnsi="宋体"/>
                <w:b/>
                <w:bCs/>
                <w:kern w:val="0"/>
                <w:sz w:val="24"/>
                <w:szCs w:val="24"/>
              </w:rPr>
            </w:pPr>
          </w:p>
          <w:p w14:paraId="571D7631">
            <w:pPr>
              <w:jc w:val="center"/>
              <w:rPr>
                <w:rFonts w:ascii="宋体" w:hAnsi="宋体"/>
                <w:b/>
                <w:bCs/>
                <w:kern w:val="0"/>
                <w:sz w:val="24"/>
                <w:szCs w:val="24"/>
              </w:rPr>
            </w:pPr>
          </w:p>
          <w:p w14:paraId="6C8A9A6C">
            <w:pPr>
              <w:jc w:val="center"/>
              <w:rPr>
                <w:rFonts w:ascii="宋体" w:hAnsi="宋体"/>
                <w:b/>
                <w:bCs/>
                <w:kern w:val="0"/>
                <w:sz w:val="24"/>
                <w:szCs w:val="24"/>
              </w:rPr>
            </w:pPr>
          </w:p>
          <w:p w14:paraId="234350D4">
            <w:pPr>
              <w:jc w:val="center"/>
              <w:rPr>
                <w:rFonts w:ascii="宋体" w:hAnsi="宋体"/>
                <w:b/>
                <w:bCs/>
                <w:kern w:val="0"/>
                <w:sz w:val="24"/>
                <w:szCs w:val="24"/>
              </w:rPr>
            </w:pPr>
          </w:p>
          <w:p w14:paraId="7442154B">
            <w:pPr>
              <w:jc w:val="center"/>
              <w:rPr>
                <w:rFonts w:ascii="宋体" w:hAnsi="宋体"/>
                <w:b/>
                <w:bCs/>
                <w:kern w:val="0"/>
                <w:sz w:val="24"/>
                <w:szCs w:val="24"/>
              </w:rPr>
            </w:pPr>
          </w:p>
          <w:p w14:paraId="429D1EFC">
            <w:pPr>
              <w:jc w:val="center"/>
              <w:rPr>
                <w:rFonts w:ascii="宋体" w:hAnsi="宋体"/>
                <w:b/>
                <w:bCs/>
                <w:kern w:val="0"/>
                <w:sz w:val="24"/>
                <w:szCs w:val="24"/>
              </w:rPr>
            </w:pPr>
          </w:p>
          <w:p w14:paraId="59F25674">
            <w:pPr>
              <w:jc w:val="center"/>
              <w:rPr>
                <w:rFonts w:ascii="宋体" w:hAnsi="宋体"/>
                <w:b/>
                <w:bCs/>
                <w:kern w:val="0"/>
                <w:sz w:val="24"/>
                <w:szCs w:val="24"/>
              </w:rPr>
            </w:pPr>
          </w:p>
          <w:p w14:paraId="0DF78D14">
            <w:pPr>
              <w:jc w:val="center"/>
              <w:rPr>
                <w:rFonts w:ascii="宋体" w:hAnsi="宋体"/>
                <w:b/>
                <w:bCs/>
                <w:kern w:val="0"/>
                <w:sz w:val="24"/>
                <w:szCs w:val="24"/>
              </w:rPr>
            </w:pPr>
          </w:p>
          <w:p w14:paraId="2CB5E562">
            <w:pPr>
              <w:jc w:val="center"/>
              <w:rPr>
                <w:rFonts w:ascii="宋体" w:hAnsi="宋体"/>
                <w:b/>
                <w:bCs/>
                <w:kern w:val="0"/>
                <w:sz w:val="24"/>
                <w:szCs w:val="24"/>
              </w:rPr>
            </w:pPr>
          </w:p>
          <w:p w14:paraId="46643EC2">
            <w:pPr>
              <w:jc w:val="center"/>
              <w:rPr>
                <w:rFonts w:ascii="宋体" w:hAnsi="宋体"/>
                <w:b/>
                <w:bCs/>
                <w:kern w:val="0"/>
                <w:sz w:val="24"/>
                <w:szCs w:val="24"/>
              </w:rPr>
            </w:pPr>
          </w:p>
          <w:p w14:paraId="66A09A42">
            <w:pPr>
              <w:jc w:val="center"/>
              <w:rPr>
                <w:rFonts w:ascii="宋体" w:hAnsi="宋体"/>
                <w:sz w:val="24"/>
                <w:szCs w:val="24"/>
              </w:rPr>
            </w:pPr>
            <w:r>
              <w:rPr>
                <w:rFonts w:hint="eastAsia" w:ascii="宋体" w:hAnsi="宋体" w:cs="宋体"/>
                <w:b/>
                <w:bCs/>
                <w:kern w:val="0"/>
                <w:sz w:val="24"/>
                <w:szCs w:val="24"/>
              </w:rPr>
              <w:t>行为规范</w:t>
            </w:r>
          </w:p>
        </w:tc>
        <w:tc>
          <w:tcPr>
            <w:tcW w:w="1291" w:type="dxa"/>
          </w:tcPr>
          <w:p w14:paraId="29F5401F">
            <w:pPr>
              <w:ind w:firstLine="240" w:firstLineChars="100"/>
              <w:rPr>
                <w:rFonts w:ascii="宋体" w:hAnsi="宋体"/>
                <w:kern w:val="0"/>
                <w:sz w:val="24"/>
                <w:szCs w:val="24"/>
              </w:rPr>
            </w:pPr>
            <w:r>
              <w:rPr>
                <w:rFonts w:hint="eastAsia" w:ascii="宋体" w:hAnsi="宋体" w:cs="宋体"/>
                <w:kern w:val="0"/>
                <w:sz w:val="24"/>
                <w:szCs w:val="24"/>
              </w:rPr>
              <w:t>岗位站姿</w:t>
            </w:r>
          </w:p>
        </w:tc>
        <w:tc>
          <w:tcPr>
            <w:tcW w:w="5802" w:type="dxa"/>
            <w:vAlign w:val="center"/>
          </w:tcPr>
          <w:p w14:paraId="1B32D1C7">
            <w:pPr>
              <w:widowControl/>
              <w:jc w:val="left"/>
              <w:rPr>
                <w:rFonts w:ascii="宋体" w:hAnsi="宋体"/>
                <w:sz w:val="24"/>
                <w:szCs w:val="24"/>
              </w:rPr>
            </w:pPr>
            <w:r>
              <w:rPr>
                <w:rFonts w:hint="eastAsia" w:ascii="宋体" w:hAnsi="宋体" w:cs="宋体"/>
                <w:sz w:val="24"/>
                <w:szCs w:val="24"/>
              </w:rPr>
              <w:t>挺胸、抬头、面带微笑，两腿自然伸直站立，脚尖分开45度</w:t>
            </w:r>
          </w:p>
        </w:tc>
      </w:tr>
      <w:tr w14:paraId="60BC5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2" w:hRule="atLeast"/>
        </w:trPr>
        <w:tc>
          <w:tcPr>
            <w:tcW w:w="1261" w:type="dxa"/>
            <w:vMerge w:val="continue"/>
          </w:tcPr>
          <w:p w14:paraId="073B01F9">
            <w:pPr>
              <w:jc w:val="center"/>
              <w:rPr>
                <w:rFonts w:ascii="宋体" w:hAnsi="宋体"/>
                <w:sz w:val="24"/>
                <w:szCs w:val="24"/>
              </w:rPr>
            </w:pPr>
          </w:p>
        </w:tc>
        <w:tc>
          <w:tcPr>
            <w:tcW w:w="1291" w:type="dxa"/>
            <w:vAlign w:val="center"/>
          </w:tcPr>
          <w:p w14:paraId="516C06D6">
            <w:pPr>
              <w:widowControl/>
              <w:ind w:firstLine="240" w:firstLineChars="100"/>
              <w:rPr>
                <w:rFonts w:ascii="宋体" w:hAnsi="宋体"/>
                <w:sz w:val="24"/>
                <w:szCs w:val="24"/>
              </w:rPr>
            </w:pPr>
            <w:r>
              <w:rPr>
                <w:rFonts w:hint="eastAsia" w:ascii="宋体" w:hAnsi="宋体" w:cs="宋体"/>
                <w:sz w:val="24"/>
                <w:szCs w:val="24"/>
              </w:rPr>
              <w:t>室外行走</w:t>
            </w:r>
          </w:p>
        </w:tc>
        <w:tc>
          <w:tcPr>
            <w:tcW w:w="5802" w:type="dxa"/>
            <w:vAlign w:val="center"/>
          </w:tcPr>
          <w:p w14:paraId="5EBA7407">
            <w:pPr>
              <w:widowControl/>
              <w:jc w:val="left"/>
              <w:rPr>
                <w:rFonts w:ascii="宋体" w:hAnsi="宋体"/>
                <w:sz w:val="24"/>
                <w:szCs w:val="24"/>
              </w:rPr>
            </w:pPr>
            <w:r>
              <w:rPr>
                <w:rFonts w:hint="eastAsia" w:ascii="宋体" w:hAnsi="宋体" w:cs="宋体"/>
                <w:sz w:val="24"/>
                <w:szCs w:val="24"/>
              </w:rPr>
              <w:t>挺胸抬头，行走姿势自然，大方得体，不搂肩搭背，不大声喧哗，公共区域不吸烟、不走捷径踏草坪</w:t>
            </w:r>
          </w:p>
        </w:tc>
      </w:tr>
      <w:tr w14:paraId="2F50C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0" w:hRule="atLeast"/>
        </w:trPr>
        <w:tc>
          <w:tcPr>
            <w:tcW w:w="1261" w:type="dxa"/>
            <w:vMerge w:val="continue"/>
          </w:tcPr>
          <w:p w14:paraId="5F9043CA">
            <w:pPr>
              <w:jc w:val="center"/>
              <w:rPr>
                <w:rFonts w:ascii="宋体" w:hAnsi="宋体"/>
                <w:sz w:val="24"/>
                <w:szCs w:val="24"/>
              </w:rPr>
            </w:pPr>
          </w:p>
        </w:tc>
        <w:tc>
          <w:tcPr>
            <w:tcW w:w="1291" w:type="dxa"/>
            <w:vAlign w:val="center"/>
          </w:tcPr>
          <w:p w14:paraId="5848782B">
            <w:pPr>
              <w:widowControl/>
              <w:jc w:val="center"/>
              <w:rPr>
                <w:rFonts w:ascii="宋体" w:hAnsi="宋体"/>
                <w:sz w:val="24"/>
                <w:szCs w:val="24"/>
              </w:rPr>
            </w:pPr>
            <w:r>
              <w:rPr>
                <w:rFonts w:hint="eastAsia" w:ascii="宋体" w:hAnsi="宋体" w:cs="宋体"/>
                <w:sz w:val="24"/>
                <w:szCs w:val="24"/>
              </w:rPr>
              <w:t>致意礼</w:t>
            </w:r>
          </w:p>
        </w:tc>
        <w:tc>
          <w:tcPr>
            <w:tcW w:w="5802" w:type="dxa"/>
            <w:vAlign w:val="center"/>
          </w:tcPr>
          <w:p w14:paraId="295ED9E0">
            <w:pPr>
              <w:widowControl/>
              <w:jc w:val="left"/>
              <w:rPr>
                <w:rFonts w:ascii="宋体" w:hAnsi="宋体"/>
                <w:sz w:val="24"/>
                <w:szCs w:val="24"/>
              </w:rPr>
            </w:pPr>
            <w:r>
              <w:rPr>
                <w:rFonts w:hint="eastAsia" w:ascii="宋体" w:hAnsi="宋体" w:cs="宋体"/>
                <w:sz w:val="24"/>
                <w:szCs w:val="24"/>
              </w:rPr>
              <w:t>1、路遇客户，应暂时停止操作，主动让路，并向业户点头、问好，面带微笑，与业户沟通时面带微笑并保持适当的（一米以外的）距离</w:t>
            </w:r>
          </w:p>
          <w:p w14:paraId="7A92FE40">
            <w:pPr>
              <w:widowControl/>
              <w:jc w:val="left"/>
              <w:rPr>
                <w:rFonts w:ascii="宋体" w:hAnsi="宋体"/>
                <w:sz w:val="24"/>
                <w:szCs w:val="24"/>
              </w:rPr>
            </w:pPr>
            <w:r>
              <w:rPr>
                <w:rFonts w:hint="eastAsia" w:ascii="宋体" w:hAnsi="宋体" w:cs="宋体"/>
                <w:sz w:val="24"/>
                <w:szCs w:val="24"/>
              </w:rPr>
              <w:t>2、进出门遇客人时，应站立在一旁，先让客人进出，如果方便的话，还应为其拉门</w:t>
            </w:r>
          </w:p>
          <w:p w14:paraId="19E70159">
            <w:pPr>
              <w:widowControl/>
              <w:jc w:val="left"/>
              <w:rPr>
                <w:rFonts w:ascii="宋体" w:hAnsi="宋体"/>
                <w:sz w:val="24"/>
                <w:szCs w:val="24"/>
              </w:rPr>
            </w:pPr>
            <w:r>
              <w:rPr>
                <w:rFonts w:hint="eastAsia" w:ascii="宋体" w:hAnsi="宋体" w:cs="宋体"/>
                <w:sz w:val="24"/>
                <w:szCs w:val="24"/>
              </w:rPr>
              <w:t>3、与客人同上楼梯时，业户在前，下楼时，业户在后</w:t>
            </w:r>
          </w:p>
        </w:tc>
      </w:tr>
      <w:tr w14:paraId="52D1E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9" w:hRule="atLeast"/>
        </w:trPr>
        <w:tc>
          <w:tcPr>
            <w:tcW w:w="1261" w:type="dxa"/>
            <w:vMerge w:val="continue"/>
          </w:tcPr>
          <w:p w14:paraId="6549FD18">
            <w:pPr>
              <w:jc w:val="center"/>
              <w:rPr>
                <w:rFonts w:ascii="宋体" w:hAnsi="宋体"/>
                <w:sz w:val="24"/>
                <w:szCs w:val="24"/>
              </w:rPr>
            </w:pPr>
          </w:p>
        </w:tc>
        <w:tc>
          <w:tcPr>
            <w:tcW w:w="1291" w:type="dxa"/>
            <w:vAlign w:val="center"/>
          </w:tcPr>
          <w:p w14:paraId="517078A8">
            <w:pPr>
              <w:widowControl/>
              <w:jc w:val="center"/>
              <w:rPr>
                <w:rFonts w:ascii="宋体" w:hAnsi="宋体"/>
                <w:sz w:val="24"/>
                <w:szCs w:val="24"/>
              </w:rPr>
            </w:pPr>
            <w:r>
              <w:rPr>
                <w:rFonts w:hint="eastAsia" w:ascii="宋体" w:hAnsi="宋体" w:cs="宋体"/>
                <w:sz w:val="24"/>
                <w:szCs w:val="24"/>
              </w:rPr>
              <w:t>室外作业</w:t>
            </w:r>
          </w:p>
        </w:tc>
        <w:tc>
          <w:tcPr>
            <w:tcW w:w="5802" w:type="dxa"/>
            <w:vAlign w:val="center"/>
          </w:tcPr>
          <w:p w14:paraId="56EDBF3C">
            <w:pPr>
              <w:widowControl/>
              <w:jc w:val="left"/>
              <w:rPr>
                <w:rFonts w:ascii="宋体" w:hAnsi="宋体"/>
                <w:sz w:val="24"/>
                <w:szCs w:val="24"/>
              </w:rPr>
            </w:pPr>
            <w:r>
              <w:rPr>
                <w:rFonts w:hint="eastAsia" w:ascii="宋体" w:hAnsi="宋体" w:cs="宋体"/>
                <w:sz w:val="24"/>
                <w:szCs w:val="24"/>
              </w:rPr>
              <w:t>进行室外工作，在可能影响到客户的工作时，应摆放警示标示。涉及到有安全隐患必须布置警戒带隔离危险区域</w:t>
            </w:r>
          </w:p>
        </w:tc>
      </w:tr>
      <w:tr w14:paraId="25D4C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6" w:hRule="atLeast"/>
        </w:trPr>
        <w:tc>
          <w:tcPr>
            <w:tcW w:w="1261" w:type="dxa"/>
            <w:vMerge w:val="continue"/>
          </w:tcPr>
          <w:p w14:paraId="151206BA">
            <w:pPr>
              <w:jc w:val="center"/>
              <w:rPr>
                <w:rFonts w:ascii="宋体" w:hAnsi="宋体"/>
                <w:sz w:val="24"/>
                <w:szCs w:val="24"/>
              </w:rPr>
            </w:pPr>
          </w:p>
        </w:tc>
        <w:tc>
          <w:tcPr>
            <w:tcW w:w="1291" w:type="dxa"/>
            <w:vAlign w:val="center"/>
          </w:tcPr>
          <w:p w14:paraId="5D52E658">
            <w:pPr>
              <w:widowControl/>
              <w:jc w:val="center"/>
              <w:rPr>
                <w:rFonts w:ascii="宋体" w:hAnsi="宋体"/>
                <w:sz w:val="24"/>
                <w:szCs w:val="24"/>
              </w:rPr>
            </w:pPr>
            <w:r>
              <w:rPr>
                <w:rFonts w:hint="eastAsia" w:ascii="宋体" w:hAnsi="宋体" w:cs="宋体"/>
                <w:sz w:val="24"/>
                <w:szCs w:val="24"/>
              </w:rPr>
              <w:t>室内作业</w:t>
            </w:r>
          </w:p>
        </w:tc>
        <w:tc>
          <w:tcPr>
            <w:tcW w:w="5802" w:type="dxa"/>
            <w:vAlign w:val="center"/>
          </w:tcPr>
          <w:p w14:paraId="5CAE9A37">
            <w:pPr>
              <w:widowControl/>
              <w:jc w:val="left"/>
              <w:rPr>
                <w:rFonts w:ascii="宋体" w:hAnsi="宋体"/>
                <w:sz w:val="24"/>
                <w:szCs w:val="24"/>
              </w:rPr>
            </w:pPr>
            <w:r>
              <w:rPr>
                <w:rFonts w:hint="eastAsia" w:ascii="宋体" w:hAnsi="宋体" w:cs="宋体"/>
                <w:sz w:val="24"/>
                <w:szCs w:val="24"/>
              </w:rPr>
              <w:t>确定排查判断好故障原因 做好防范措施后展开维修 轻拿轻放施工维修工具，维修范围内保持墙地面卫生 小心施工以防损坏周围物品</w:t>
            </w:r>
          </w:p>
        </w:tc>
      </w:tr>
      <w:tr w14:paraId="1549D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trPr>
        <w:tc>
          <w:tcPr>
            <w:tcW w:w="1261" w:type="dxa"/>
            <w:vMerge w:val="continue"/>
          </w:tcPr>
          <w:p w14:paraId="2ED02BB6">
            <w:pPr>
              <w:jc w:val="center"/>
              <w:rPr>
                <w:rFonts w:ascii="宋体" w:hAnsi="宋体"/>
                <w:sz w:val="24"/>
                <w:szCs w:val="24"/>
              </w:rPr>
            </w:pPr>
          </w:p>
        </w:tc>
        <w:tc>
          <w:tcPr>
            <w:tcW w:w="1291" w:type="dxa"/>
          </w:tcPr>
          <w:p w14:paraId="015FAEDA">
            <w:pPr>
              <w:jc w:val="center"/>
              <w:rPr>
                <w:rFonts w:ascii="宋体" w:hAnsi="宋体"/>
                <w:sz w:val="24"/>
                <w:szCs w:val="24"/>
              </w:rPr>
            </w:pPr>
          </w:p>
          <w:p w14:paraId="6958369A">
            <w:pPr>
              <w:jc w:val="center"/>
              <w:rPr>
                <w:rFonts w:ascii="宋体" w:hAnsi="宋体"/>
                <w:sz w:val="24"/>
                <w:szCs w:val="24"/>
              </w:rPr>
            </w:pPr>
            <w:r>
              <w:rPr>
                <w:rFonts w:hint="eastAsia" w:ascii="宋体" w:hAnsi="宋体" w:cs="宋体"/>
                <w:sz w:val="24"/>
                <w:szCs w:val="24"/>
              </w:rPr>
              <w:t>架梯作业</w:t>
            </w:r>
          </w:p>
        </w:tc>
        <w:tc>
          <w:tcPr>
            <w:tcW w:w="5802" w:type="dxa"/>
          </w:tcPr>
          <w:p w14:paraId="2C7F8778">
            <w:pPr>
              <w:jc w:val="left"/>
              <w:rPr>
                <w:rFonts w:ascii="宋体" w:hAnsi="宋体"/>
                <w:sz w:val="24"/>
                <w:szCs w:val="24"/>
              </w:rPr>
            </w:pPr>
            <w:r>
              <w:rPr>
                <w:rFonts w:hint="eastAsia" w:ascii="宋体" w:hAnsi="宋体" w:cs="宋体"/>
                <w:sz w:val="24"/>
                <w:szCs w:val="24"/>
              </w:rPr>
              <w:t>金属梯应梯脚无破损 木梯应牢固结实，登高作业应严格执行2人作业操作规程并做好安全防范措施</w:t>
            </w:r>
          </w:p>
        </w:tc>
      </w:tr>
      <w:tr w14:paraId="3D2DC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261" w:type="dxa"/>
            <w:vMerge w:val="restart"/>
          </w:tcPr>
          <w:p w14:paraId="724F17C6">
            <w:pPr>
              <w:jc w:val="center"/>
              <w:rPr>
                <w:rFonts w:ascii="宋体" w:hAnsi="宋体"/>
                <w:b/>
                <w:bCs/>
                <w:kern w:val="0"/>
                <w:sz w:val="24"/>
                <w:szCs w:val="24"/>
              </w:rPr>
            </w:pPr>
          </w:p>
          <w:p w14:paraId="33318E50">
            <w:pPr>
              <w:jc w:val="center"/>
              <w:rPr>
                <w:rFonts w:ascii="宋体" w:hAnsi="宋体"/>
                <w:b/>
                <w:bCs/>
                <w:kern w:val="0"/>
                <w:sz w:val="24"/>
                <w:szCs w:val="24"/>
              </w:rPr>
            </w:pPr>
          </w:p>
          <w:p w14:paraId="2063C0E3">
            <w:pPr>
              <w:jc w:val="center"/>
              <w:rPr>
                <w:rFonts w:ascii="宋体" w:hAnsi="宋体"/>
                <w:b/>
                <w:bCs/>
                <w:kern w:val="0"/>
                <w:sz w:val="24"/>
                <w:szCs w:val="24"/>
              </w:rPr>
            </w:pPr>
          </w:p>
          <w:p w14:paraId="4D281E8D">
            <w:pPr>
              <w:jc w:val="center"/>
              <w:rPr>
                <w:rFonts w:ascii="宋体" w:hAnsi="宋体"/>
                <w:b/>
                <w:bCs/>
                <w:kern w:val="0"/>
                <w:sz w:val="24"/>
                <w:szCs w:val="24"/>
              </w:rPr>
            </w:pPr>
          </w:p>
          <w:p w14:paraId="508C9CA0">
            <w:pPr>
              <w:jc w:val="center"/>
              <w:rPr>
                <w:rFonts w:ascii="宋体" w:hAnsi="宋体"/>
                <w:b/>
                <w:bCs/>
                <w:kern w:val="0"/>
                <w:sz w:val="24"/>
                <w:szCs w:val="24"/>
              </w:rPr>
            </w:pPr>
          </w:p>
          <w:p w14:paraId="2089ED12">
            <w:pPr>
              <w:jc w:val="center"/>
              <w:rPr>
                <w:rFonts w:ascii="宋体" w:hAnsi="宋体"/>
                <w:b/>
                <w:bCs/>
                <w:kern w:val="0"/>
                <w:sz w:val="24"/>
                <w:szCs w:val="24"/>
              </w:rPr>
            </w:pPr>
          </w:p>
          <w:p w14:paraId="5108492F">
            <w:pPr>
              <w:jc w:val="center"/>
              <w:rPr>
                <w:rFonts w:ascii="宋体" w:hAnsi="宋体"/>
                <w:b/>
                <w:bCs/>
                <w:kern w:val="0"/>
                <w:sz w:val="24"/>
                <w:szCs w:val="24"/>
              </w:rPr>
            </w:pPr>
          </w:p>
          <w:p w14:paraId="30540493">
            <w:pPr>
              <w:jc w:val="center"/>
              <w:rPr>
                <w:rFonts w:ascii="宋体" w:hAnsi="宋体"/>
                <w:b/>
                <w:bCs/>
                <w:kern w:val="0"/>
                <w:sz w:val="24"/>
                <w:szCs w:val="24"/>
              </w:rPr>
            </w:pPr>
          </w:p>
          <w:p w14:paraId="08DF4B7B">
            <w:pPr>
              <w:rPr>
                <w:rFonts w:ascii="宋体" w:hAnsi="宋体"/>
                <w:sz w:val="24"/>
                <w:szCs w:val="24"/>
              </w:rPr>
            </w:pPr>
            <w:r>
              <w:rPr>
                <w:rFonts w:hint="eastAsia" w:ascii="宋体" w:hAnsi="宋体" w:cs="宋体"/>
                <w:b/>
                <w:bCs/>
                <w:kern w:val="0"/>
                <w:sz w:val="24"/>
                <w:szCs w:val="24"/>
              </w:rPr>
              <w:t>维修注意事项</w:t>
            </w:r>
          </w:p>
        </w:tc>
        <w:tc>
          <w:tcPr>
            <w:tcW w:w="1291" w:type="dxa"/>
            <w:vAlign w:val="center"/>
          </w:tcPr>
          <w:p w14:paraId="04B78C55">
            <w:pPr>
              <w:widowControl/>
              <w:jc w:val="center"/>
              <w:rPr>
                <w:rFonts w:ascii="宋体" w:hAnsi="宋体"/>
                <w:sz w:val="24"/>
                <w:szCs w:val="24"/>
              </w:rPr>
            </w:pPr>
            <w:r>
              <w:rPr>
                <w:rFonts w:hint="eastAsia" w:ascii="宋体" w:hAnsi="宋体" w:cs="宋体"/>
                <w:sz w:val="24"/>
                <w:szCs w:val="24"/>
              </w:rPr>
              <w:t>维修时间</w:t>
            </w:r>
          </w:p>
        </w:tc>
        <w:tc>
          <w:tcPr>
            <w:tcW w:w="5802" w:type="dxa"/>
            <w:vAlign w:val="center"/>
          </w:tcPr>
          <w:p w14:paraId="58C73968">
            <w:pPr>
              <w:widowControl/>
              <w:jc w:val="left"/>
              <w:rPr>
                <w:rFonts w:ascii="宋体" w:hAnsi="宋体"/>
                <w:sz w:val="24"/>
                <w:szCs w:val="24"/>
              </w:rPr>
            </w:pPr>
            <w:r>
              <w:rPr>
                <w:rFonts w:hint="eastAsia" w:ascii="宋体" w:hAnsi="宋体" w:cs="宋体"/>
                <w:sz w:val="24"/>
                <w:szCs w:val="24"/>
              </w:rPr>
              <w:t>按商定时间安排相应的工作人员，持《维修派工单》、服务工具前往需维修地点进行维修服务</w:t>
            </w:r>
          </w:p>
        </w:tc>
      </w:tr>
      <w:tr w14:paraId="1BD57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1" w:type="dxa"/>
            <w:vMerge w:val="continue"/>
          </w:tcPr>
          <w:p w14:paraId="7FA926BE">
            <w:pPr>
              <w:jc w:val="center"/>
              <w:rPr>
                <w:rFonts w:ascii="宋体" w:hAnsi="宋体"/>
                <w:sz w:val="24"/>
                <w:szCs w:val="24"/>
              </w:rPr>
            </w:pPr>
          </w:p>
        </w:tc>
        <w:tc>
          <w:tcPr>
            <w:tcW w:w="1291" w:type="dxa"/>
            <w:vAlign w:val="center"/>
          </w:tcPr>
          <w:p w14:paraId="2D83AE7B">
            <w:pPr>
              <w:widowControl/>
              <w:jc w:val="center"/>
              <w:rPr>
                <w:rFonts w:ascii="宋体" w:hAnsi="宋体"/>
                <w:sz w:val="24"/>
                <w:szCs w:val="24"/>
              </w:rPr>
            </w:pPr>
            <w:r>
              <w:rPr>
                <w:rFonts w:hint="eastAsia" w:ascii="宋体" w:hAnsi="宋体" w:cs="宋体"/>
                <w:sz w:val="24"/>
                <w:szCs w:val="24"/>
              </w:rPr>
              <w:t>工具携带齐全</w:t>
            </w:r>
          </w:p>
        </w:tc>
        <w:tc>
          <w:tcPr>
            <w:tcW w:w="5802" w:type="dxa"/>
            <w:vAlign w:val="center"/>
          </w:tcPr>
          <w:p w14:paraId="60632E30">
            <w:pPr>
              <w:widowControl/>
              <w:jc w:val="left"/>
              <w:rPr>
                <w:rFonts w:ascii="宋体" w:hAnsi="宋体"/>
                <w:sz w:val="24"/>
                <w:szCs w:val="24"/>
              </w:rPr>
            </w:pPr>
            <w:r>
              <w:rPr>
                <w:rFonts w:hint="eastAsia" w:ascii="宋体" w:hAnsi="宋体" w:cs="宋体"/>
                <w:sz w:val="24"/>
                <w:szCs w:val="24"/>
              </w:rPr>
              <w:t>1、维修专员维修前应将工具配备齐全</w:t>
            </w:r>
          </w:p>
          <w:p w14:paraId="5764933B">
            <w:pPr>
              <w:widowControl/>
              <w:jc w:val="left"/>
              <w:rPr>
                <w:rFonts w:ascii="宋体" w:hAnsi="宋体"/>
                <w:sz w:val="24"/>
                <w:szCs w:val="24"/>
              </w:rPr>
            </w:pPr>
            <w:r>
              <w:rPr>
                <w:rFonts w:hint="eastAsia" w:ascii="宋体" w:hAnsi="宋体" w:cs="宋体"/>
                <w:sz w:val="24"/>
                <w:szCs w:val="24"/>
              </w:rPr>
              <w:t>2、常用工具包括（充电手钻、十字改锥、平口改锥、活动扳手、防水胶布、生料带、黑绝缘胶布、组合工具包、奶头锤、手电筒、斜口钳、万用表、壁纸刀、移动插线板、电工尖嘴钳、数显测电笔、管钳、平口钳、内、外六方扳子、钢锯弓）等</w:t>
            </w:r>
          </w:p>
        </w:tc>
      </w:tr>
      <w:tr w14:paraId="272AF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261" w:type="dxa"/>
            <w:vMerge w:val="continue"/>
          </w:tcPr>
          <w:p w14:paraId="08627AF2">
            <w:pPr>
              <w:jc w:val="center"/>
              <w:rPr>
                <w:rFonts w:ascii="宋体" w:hAnsi="宋体"/>
                <w:sz w:val="24"/>
                <w:szCs w:val="24"/>
              </w:rPr>
            </w:pPr>
          </w:p>
        </w:tc>
        <w:tc>
          <w:tcPr>
            <w:tcW w:w="1291" w:type="dxa"/>
          </w:tcPr>
          <w:p w14:paraId="2EDC6B6A">
            <w:pPr>
              <w:jc w:val="center"/>
              <w:rPr>
                <w:rFonts w:ascii="宋体" w:hAnsi="宋体"/>
                <w:sz w:val="24"/>
                <w:szCs w:val="24"/>
              </w:rPr>
            </w:pPr>
            <w:r>
              <w:rPr>
                <w:rFonts w:hint="eastAsia" w:ascii="宋体" w:hAnsi="宋体" w:cs="宋体"/>
                <w:sz w:val="24"/>
                <w:szCs w:val="24"/>
              </w:rPr>
              <w:t>鞋套穿戴</w:t>
            </w:r>
          </w:p>
        </w:tc>
        <w:tc>
          <w:tcPr>
            <w:tcW w:w="5802" w:type="dxa"/>
          </w:tcPr>
          <w:p w14:paraId="4778AA59">
            <w:pPr>
              <w:jc w:val="left"/>
              <w:rPr>
                <w:rFonts w:ascii="宋体" w:hAnsi="宋体"/>
                <w:sz w:val="24"/>
                <w:szCs w:val="24"/>
              </w:rPr>
            </w:pPr>
            <w:r>
              <w:rPr>
                <w:rFonts w:hint="eastAsia" w:ascii="宋体" w:hAnsi="宋体" w:cs="宋体"/>
                <w:sz w:val="24"/>
                <w:szCs w:val="24"/>
              </w:rPr>
              <w:t>进入室内，必须穿上一双鞋套，避免地面污染</w:t>
            </w:r>
          </w:p>
        </w:tc>
      </w:tr>
      <w:tr w14:paraId="787BE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61" w:type="dxa"/>
            <w:vMerge w:val="continue"/>
          </w:tcPr>
          <w:p w14:paraId="48EB6D2C">
            <w:pPr>
              <w:jc w:val="center"/>
              <w:rPr>
                <w:rFonts w:ascii="宋体" w:hAnsi="宋体"/>
                <w:sz w:val="24"/>
                <w:szCs w:val="24"/>
              </w:rPr>
            </w:pPr>
          </w:p>
        </w:tc>
        <w:tc>
          <w:tcPr>
            <w:tcW w:w="1291" w:type="dxa"/>
          </w:tcPr>
          <w:p w14:paraId="722B06F5">
            <w:pPr>
              <w:jc w:val="center"/>
              <w:rPr>
                <w:rFonts w:ascii="宋体" w:hAnsi="宋体"/>
                <w:sz w:val="24"/>
                <w:szCs w:val="24"/>
              </w:rPr>
            </w:pPr>
            <w:r>
              <w:rPr>
                <w:rFonts w:hint="eastAsia" w:ascii="宋体" w:hAnsi="宋体" w:cs="宋体"/>
                <w:sz w:val="24"/>
                <w:szCs w:val="24"/>
              </w:rPr>
              <w:t>手套穿戴</w:t>
            </w:r>
          </w:p>
        </w:tc>
        <w:tc>
          <w:tcPr>
            <w:tcW w:w="5802" w:type="dxa"/>
          </w:tcPr>
          <w:p w14:paraId="4E1166EF">
            <w:pPr>
              <w:jc w:val="left"/>
              <w:rPr>
                <w:rFonts w:ascii="宋体" w:hAnsi="宋体"/>
                <w:sz w:val="24"/>
                <w:szCs w:val="24"/>
              </w:rPr>
            </w:pPr>
            <w:r>
              <w:rPr>
                <w:rFonts w:hint="eastAsia" w:ascii="宋体" w:hAnsi="宋体" w:cs="宋体"/>
                <w:sz w:val="24"/>
                <w:szCs w:val="24"/>
              </w:rPr>
              <w:t>维修操作前戴上一双手套同时避免弄脏设备、地面、墙身等</w:t>
            </w:r>
          </w:p>
        </w:tc>
      </w:tr>
      <w:tr w14:paraId="16611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trPr>
        <w:tc>
          <w:tcPr>
            <w:tcW w:w="1261" w:type="dxa"/>
            <w:vMerge w:val="continue"/>
          </w:tcPr>
          <w:p w14:paraId="34DBB683">
            <w:pPr>
              <w:jc w:val="center"/>
              <w:rPr>
                <w:rFonts w:ascii="宋体" w:hAnsi="宋体"/>
                <w:sz w:val="24"/>
                <w:szCs w:val="24"/>
              </w:rPr>
            </w:pPr>
          </w:p>
        </w:tc>
        <w:tc>
          <w:tcPr>
            <w:tcW w:w="1291" w:type="dxa"/>
            <w:vAlign w:val="center"/>
          </w:tcPr>
          <w:p w14:paraId="42FED298">
            <w:pPr>
              <w:widowControl/>
              <w:rPr>
                <w:rFonts w:ascii="宋体" w:hAnsi="宋体"/>
                <w:sz w:val="24"/>
                <w:szCs w:val="24"/>
              </w:rPr>
            </w:pPr>
            <w:r>
              <w:rPr>
                <w:rFonts w:hint="eastAsia" w:ascii="宋体" w:hAnsi="宋体" w:cs="宋体"/>
                <w:sz w:val="24"/>
                <w:szCs w:val="24"/>
              </w:rPr>
              <w:t>问题判断</w:t>
            </w:r>
          </w:p>
        </w:tc>
        <w:tc>
          <w:tcPr>
            <w:tcW w:w="5802" w:type="dxa"/>
            <w:vAlign w:val="center"/>
          </w:tcPr>
          <w:p w14:paraId="560D1700">
            <w:pPr>
              <w:widowControl/>
              <w:jc w:val="left"/>
              <w:rPr>
                <w:rFonts w:ascii="宋体" w:hAnsi="宋体"/>
                <w:sz w:val="24"/>
                <w:szCs w:val="24"/>
              </w:rPr>
            </w:pPr>
            <w:r>
              <w:rPr>
                <w:rFonts w:hint="eastAsia" w:ascii="宋体" w:hAnsi="宋体" w:cs="宋体"/>
                <w:sz w:val="24"/>
                <w:szCs w:val="24"/>
              </w:rPr>
              <w:t>维修人员应准确判断维修问题的原因及所需更换的零部件</w:t>
            </w:r>
          </w:p>
          <w:p w14:paraId="6F0834B5">
            <w:pPr>
              <w:pStyle w:val="8"/>
              <w:rPr>
                <w:sz w:val="24"/>
                <w:szCs w:val="24"/>
              </w:rPr>
            </w:pPr>
          </w:p>
        </w:tc>
      </w:tr>
      <w:tr w14:paraId="65074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2" w:hRule="atLeast"/>
        </w:trPr>
        <w:tc>
          <w:tcPr>
            <w:tcW w:w="1261" w:type="dxa"/>
            <w:vMerge w:val="continue"/>
          </w:tcPr>
          <w:p w14:paraId="376DDD45">
            <w:pPr>
              <w:jc w:val="center"/>
              <w:rPr>
                <w:rFonts w:ascii="宋体" w:hAnsi="宋体"/>
                <w:sz w:val="24"/>
                <w:szCs w:val="24"/>
              </w:rPr>
            </w:pPr>
          </w:p>
        </w:tc>
        <w:tc>
          <w:tcPr>
            <w:tcW w:w="1291" w:type="dxa"/>
            <w:vAlign w:val="center"/>
          </w:tcPr>
          <w:p w14:paraId="3786ADE2">
            <w:pPr>
              <w:widowControl/>
              <w:rPr>
                <w:rFonts w:ascii="宋体" w:hAnsi="宋体"/>
                <w:sz w:val="24"/>
                <w:szCs w:val="24"/>
              </w:rPr>
            </w:pPr>
            <w:r>
              <w:rPr>
                <w:rFonts w:hint="eastAsia" w:ascii="宋体" w:hAnsi="宋体" w:cs="宋体"/>
                <w:sz w:val="24"/>
                <w:szCs w:val="24"/>
              </w:rPr>
              <w:t>移动物品</w:t>
            </w:r>
          </w:p>
        </w:tc>
        <w:tc>
          <w:tcPr>
            <w:tcW w:w="5802" w:type="dxa"/>
            <w:vAlign w:val="center"/>
          </w:tcPr>
          <w:p w14:paraId="5934B587">
            <w:pPr>
              <w:widowControl/>
              <w:jc w:val="left"/>
              <w:rPr>
                <w:rFonts w:ascii="宋体" w:hAnsi="宋体"/>
                <w:sz w:val="24"/>
                <w:szCs w:val="24"/>
              </w:rPr>
            </w:pPr>
            <w:r>
              <w:rPr>
                <w:rFonts w:hint="eastAsia" w:ascii="宋体" w:hAnsi="宋体" w:cs="宋体"/>
                <w:sz w:val="24"/>
                <w:szCs w:val="24"/>
              </w:rPr>
              <w:t>1、需要移动摆放的物品时，必须事先说明，并征求校方同意</w:t>
            </w:r>
          </w:p>
          <w:p w14:paraId="1C00DAA1">
            <w:pPr>
              <w:widowControl/>
              <w:jc w:val="left"/>
              <w:rPr>
                <w:rFonts w:ascii="宋体" w:hAnsi="宋体"/>
                <w:sz w:val="24"/>
                <w:szCs w:val="24"/>
              </w:rPr>
            </w:pPr>
            <w:r>
              <w:rPr>
                <w:rFonts w:hint="eastAsia" w:ascii="宋体" w:hAnsi="宋体" w:cs="宋体"/>
                <w:sz w:val="24"/>
                <w:szCs w:val="24"/>
              </w:rPr>
              <w:t>2、需要移动物品时，不允许在地板或地毯上推来拖去，必须将物品抬离地面，单人抬不动的需要双人搬起</w:t>
            </w:r>
          </w:p>
        </w:tc>
      </w:tr>
      <w:tr w14:paraId="1F5CD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3" w:hRule="atLeast"/>
        </w:trPr>
        <w:tc>
          <w:tcPr>
            <w:tcW w:w="1261" w:type="dxa"/>
            <w:vMerge w:val="continue"/>
          </w:tcPr>
          <w:p w14:paraId="65EE7461">
            <w:pPr>
              <w:jc w:val="center"/>
              <w:rPr>
                <w:rFonts w:ascii="宋体" w:hAnsi="宋体"/>
                <w:sz w:val="24"/>
                <w:szCs w:val="24"/>
              </w:rPr>
            </w:pPr>
          </w:p>
        </w:tc>
        <w:tc>
          <w:tcPr>
            <w:tcW w:w="1291" w:type="dxa"/>
            <w:vAlign w:val="center"/>
          </w:tcPr>
          <w:p w14:paraId="5449389C">
            <w:pPr>
              <w:widowControl/>
              <w:jc w:val="center"/>
              <w:rPr>
                <w:rFonts w:ascii="宋体" w:hAnsi="宋体"/>
                <w:sz w:val="24"/>
                <w:szCs w:val="24"/>
              </w:rPr>
            </w:pPr>
            <w:r>
              <w:rPr>
                <w:rFonts w:hint="eastAsia" w:ascii="宋体" w:hAnsi="宋体" w:cs="宋体"/>
                <w:sz w:val="24"/>
                <w:szCs w:val="24"/>
              </w:rPr>
              <w:t>工具摆放</w:t>
            </w:r>
          </w:p>
        </w:tc>
        <w:tc>
          <w:tcPr>
            <w:tcW w:w="5802" w:type="dxa"/>
            <w:vAlign w:val="center"/>
          </w:tcPr>
          <w:p w14:paraId="0356A37E">
            <w:pPr>
              <w:widowControl/>
              <w:jc w:val="left"/>
              <w:rPr>
                <w:rFonts w:ascii="宋体" w:hAnsi="宋体"/>
                <w:sz w:val="24"/>
                <w:szCs w:val="24"/>
              </w:rPr>
            </w:pPr>
            <w:r>
              <w:rPr>
                <w:rFonts w:hint="eastAsia" w:ascii="宋体" w:hAnsi="宋体" w:cs="宋体"/>
                <w:sz w:val="24"/>
                <w:szCs w:val="24"/>
              </w:rPr>
              <w:t>作业前，工程维修人员将常用工具应配备齐全，用工具箱、工具袋进行携带，维修时有序摆放到合适区域</w:t>
            </w:r>
          </w:p>
        </w:tc>
      </w:tr>
      <w:tr w14:paraId="75A96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1261" w:type="dxa"/>
            <w:vMerge w:val="continue"/>
          </w:tcPr>
          <w:p w14:paraId="3B67A27D">
            <w:pPr>
              <w:jc w:val="center"/>
              <w:rPr>
                <w:rFonts w:ascii="宋体" w:hAnsi="宋体"/>
                <w:sz w:val="24"/>
                <w:szCs w:val="24"/>
              </w:rPr>
            </w:pPr>
          </w:p>
        </w:tc>
        <w:tc>
          <w:tcPr>
            <w:tcW w:w="1291" w:type="dxa"/>
            <w:vAlign w:val="center"/>
          </w:tcPr>
          <w:p w14:paraId="34DE3B88">
            <w:pPr>
              <w:widowControl/>
              <w:jc w:val="center"/>
              <w:rPr>
                <w:rFonts w:ascii="宋体" w:hAnsi="宋体"/>
                <w:sz w:val="24"/>
                <w:szCs w:val="24"/>
              </w:rPr>
            </w:pPr>
            <w:r>
              <w:rPr>
                <w:rFonts w:hint="eastAsia" w:ascii="宋体" w:hAnsi="宋体" w:cs="宋体"/>
                <w:sz w:val="24"/>
                <w:szCs w:val="24"/>
              </w:rPr>
              <w:t>现场清理</w:t>
            </w:r>
          </w:p>
        </w:tc>
        <w:tc>
          <w:tcPr>
            <w:tcW w:w="5802" w:type="dxa"/>
            <w:vAlign w:val="center"/>
          </w:tcPr>
          <w:p w14:paraId="7F1B737D">
            <w:pPr>
              <w:widowControl/>
              <w:jc w:val="left"/>
              <w:rPr>
                <w:rFonts w:ascii="宋体" w:hAnsi="宋体"/>
                <w:sz w:val="24"/>
                <w:szCs w:val="24"/>
              </w:rPr>
            </w:pPr>
            <w:r>
              <w:rPr>
                <w:rFonts w:hint="eastAsia" w:ascii="宋体" w:hAnsi="宋体" w:cs="宋体"/>
                <w:sz w:val="24"/>
                <w:szCs w:val="24"/>
              </w:rPr>
              <w:t>维修工作完毕用清洁工具彻底清理现场恢复原样</w:t>
            </w:r>
          </w:p>
        </w:tc>
      </w:tr>
      <w:tr w14:paraId="5E82D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6" w:hRule="atLeast"/>
        </w:trPr>
        <w:tc>
          <w:tcPr>
            <w:tcW w:w="1261" w:type="dxa"/>
            <w:vMerge w:val="continue"/>
          </w:tcPr>
          <w:p w14:paraId="51A5E26C">
            <w:pPr>
              <w:jc w:val="center"/>
              <w:rPr>
                <w:rFonts w:ascii="宋体" w:hAnsi="宋体"/>
                <w:sz w:val="24"/>
                <w:szCs w:val="24"/>
              </w:rPr>
            </w:pPr>
          </w:p>
        </w:tc>
        <w:tc>
          <w:tcPr>
            <w:tcW w:w="1291" w:type="dxa"/>
            <w:vAlign w:val="center"/>
          </w:tcPr>
          <w:p w14:paraId="4FDFED19">
            <w:pPr>
              <w:widowControl/>
              <w:jc w:val="center"/>
              <w:rPr>
                <w:rFonts w:ascii="宋体" w:hAnsi="宋体"/>
                <w:sz w:val="24"/>
                <w:szCs w:val="24"/>
              </w:rPr>
            </w:pPr>
            <w:r>
              <w:rPr>
                <w:rFonts w:hint="eastAsia" w:ascii="宋体" w:hAnsi="宋体" w:cs="宋体"/>
                <w:sz w:val="24"/>
                <w:szCs w:val="24"/>
              </w:rPr>
              <w:t>维修确认</w:t>
            </w:r>
          </w:p>
        </w:tc>
        <w:tc>
          <w:tcPr>
            <w:tcW w:w="5802" w:type="dxa"/>
            <w:vAlign w:val="center"/>
          </w:tcPr>
          <w:p w14:paraId="0FFB57BA">
            <w:pPr>
              <w:widowControl/>
              <w:jc w:val="left"/>
              <w:rPr>
                <w:rFonts w:ascii="宋体" w:hAnsi="宋体"/>
                <w:sz w:val="24"/>
                <w:szCs w:val="24"/>
              </w:rPr>
            </w:pPr>
            <w:r>
              <w:rPr>
                <w:rFonts w:hint="eastAsia" w:ascii="宋体" w:hAnsi="宋体" w:cs="宋体"/>
                <w:sz w:val="24"/>
                <w:szCs w:val="24"/>
              </w:rPr>
              <w:t>维修确认，在维修结束后，与校方人员进行确认</w:t>
            </w:r>
          </w:p>
        </w:tc>
      </w:tr>
      <w:tr w14:paraId="457ED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1261" w:type="dxa"/>
            <w:vMerge w:val="restart"/>
          </w:tcPr>
          <w:p w14:paraId="562A13E2">
            <w:pPr>
              <w:jc w:val="center"/>
              <w:rPr>
                <w:rFonts w:ascii="宋体" w:hAnsi="宋体"/>
                <w:b/>
                <w:bCs/>
                <w:kern w:val="0"/>
                <w:sz w:val="24"/>
                <w:szCs w:val="24"/>
              </w:rPr>
            </w:pPr>
          </w:p>
          <w:p w14:paraId="4BD91E2E">
            <w:pPr>
              <w:jc w:val="center"/>
              <w:rPr>
                <w:rFonts w:ascii="宋体" w:hAnsi="宋体"/>
                <w:b/>
                <w:bCs/>
                <w:kern w:val="0"/>
                <w:sz w:val="24"/>
                <w:szCs w:val="24"/>
              </w:rPr>
            </w:pPr>
          </w:p>
          <w:p w14:paraId="213FE5C9">
            <w:pPr>
              <w:jc w:val="center"/>
              <w:rPr>
                <w:rFonts w:ascii="宋体" w:hAnsi="宋体"/>
                <w:b/>
                <w:bCs/>
                <w:kern w:val="0"/>
                <w:sz w:val="24"/>
                <w:szCs w:val="24"/>
              </w:rPr>
            </w:pPr>
          </w:p>
          <w:p w14:paraId="2DFE04AD">
            <w:pPr>
              <w:jc w:val="center"/>
              <w:rPr>
                <w:rFonts w:ascii="宋体" w:hAnsi="宋体"/>
                <w:b/>
                <w:bCs/>
                <w:sz w:val="24"/>
                <w:szCs w:val="24"/>
              </w:rPr>
            </w:pPr>
            <w:r>
              <w:rPr>
                <w:rFonts w:hint="eastAsia" w:ascii="宋体" w:hAnsi="宋体" w:cs="宋体"/>
                <w:b/>
                <w:bCs/>
                <w:kern w:val="0"/>
                <w:sz w:val="24"/>
                <w:szCs w:val="24"/>
              </w:rPr>
              <w:t>档案管理</w:t>
            </w:r>
          </w:p>
        </w:tc>
        <w:tc>
          <w:tcPr>
            <w:tcW w:w="1291" w:type="dxa"/>
            <w:vAlign w:val="center"/>
          </w:tcPr>
          <w:p w14:paraId="5D3514E6">
            <w:pPr>
              <w:widowControl/>
              <w:jc w:val="center"/>
              <w:rPr>
                <w:rFonts w:ascii="宋体" w:hAnsi="宋体"/>
                <w:sz w:val="24"/>
                <w:szCs w:val="24"/>
              </w:rPr>
            </w:pPr>
            <w:r>
              <w:rPr>
                <w:rFonts w:hint="eastAsia" w:ascii="宋体" w:hAnsi="宋体" w:cs="宋体"/>
                <w:sz w:val="24"/>
                <w:szCs w:val="24"/>
              </w:rPr>
              <w:t>档案归档</w:t>
            </w:r>
          </w:p>
        </w:tc>
        <w:tc>
          <w:tcPr>
            <w:tcW w:w="5802" w:type="dxa"/>
            <w:vAlign w:val="center"/>
          </w:tcPr>
          <w:p w14:paraId="5C56829F">
            <w:pPr>
              <w:widowControl/>
              <w:jc w:val="left"/>
              <w:rPr>
                <w:rFonts w:ascii="宋体" w:hAnsi="宋体"/>
                <w:sz w:val="24"/>
                <w:szCs w:val="24"/>
              </w:rPr>
            </w:pPr>
            <w:r>
              <w:rPr>
                <w:rFonts w:hint="eastAsia" w:ascii="宋体" w:hAnsi="宋体" w:cs="宋体"/>
                <w:sz w:val="24"/>
                <w:szCs w:val="24"/>
              </w:rPr>
              <w:t>项目工程资料，应按不同专业和文件类别进行分类、编号、装盒标识，并分别存放</w:t>
            </w:r>
          </w:p>
        </w:tc>
      </w:tr>
      <w:tr w14:paraId="174C6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4" w:hRule="atLeast"/>
        </w:trPr>
        <w:tc>
          <w:tcPr>
            <w:tcW w:w="1261" w:type="dxa"/>
            <w:vMerge w:val="continue"/>
          </w:tcPr>
          <w:p w14:paraId="6F9911AC">
            <w:pPr>
              <w:jc w:val="center"/>
              <w:rPr>
                <w:rFonts w:ascii="宋体" w:hAnsi="宋体"/>
                <w:b/>
                <w:bCs/>
                <w:sz w:val="24"/>
                <w:szCs w:val="24"/>
              </w:rPr>
            </w:pPr>
          </w:p>
        </w:tc>
        <w:tc>
          <w:tcPr>
            <w:tcW w:w="1291" w:type="dxa"/>
            <w:vAlign w:val="center"/>
          </w:tcPr>
          <w:p w14:paraId="67A7DDA3">
            <w:pPr>
              <w:widowControl/>
              <w:jc w:val="center"/>
              <w:rPr>
                <w:rFonts w:ascii="宋体" w:hAnsi="宋体"/>
                <w:sz w:val="24"/>
                <w:szCs w:val="24"/>
              </w:rPr>
            </w:pPr>
            <w:r>
              <w:rPr>
                <w:rFonts w:hint="eastAsia" w:ascii="宋体" w:hAnsi="宋体" w:cs="宋体"/>
                <w:sz w:val="24"/>
                <w:szCs w:val="24"/>
              </w:rPr>
              <w:t>档案编号</w:t>
            </w:r>
          </w:p>
        </w:tc>
        <w:tc>
          <w:tcPr>
            <w:tcW w:w="5802" w:type="dxa"/>
            <w:vAlign w:val="center"/>
          </w:tcPr>
          <w:p w14:paraId="518F85BB">
            <w:pPr>
              <w:widowControl/>
              <w:jc w:val="left"/>
              <w:rPr>
                <w:rFonts w:ascii="宋体" w:hAnsi="宋体"/>
                <w:sz w:val="24"/>
                <w:szCs w:val="24"/>
              </w:rPr>
            </w:pPr>
            <w:r>
              <w:rPr>
                <w:rFonts w:hint="eastAsia" w:ascii="宋体" w:hAnsi="宋体" w:cs="宋体"/>
                <w:sz w:val="24"/>
                <w:szCs w:val="24"/>
              </w:rPr>
              <w:t>对项目工程资料，在专业不同的基础上分类后按接收的先后顺序进行编号，并在首页打印出目录表。</w:t>
            </w:r>
          </w:p>
        </w:tc>
      </w:tr>
      <w:tr w14:paraId="21D92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trPr>
        <w:tc>
          <w:tcPr>
            <w:tcW w:w="1261" w:type="dxa"/>
            <w:vMerge w:val="continue"/>
          </w:tcPr>
          <w:p w14:paraId="6CDED55A">
            <w:pPr>
              <w:jc w:val="center"/>
              <w:rPr>
                <w:rFonts w:ascii="宋体" w:hAnsi="宋体"/>
                <w:b/>
                <w:bCs/>
                <w:sz w:val="24"/>
                <w:szCs w:val="24"/>
              </w:rPr>
            </w:pPr>
          </w:p>
        </w:tc>
        <w:tc>
          <w:tcPr>
            <w:tcW w:w="1291" w:type="dxa"/>
            <w:vAlign w:val="center"/>
          </w:tcPr>
          <w:p w14:paraId="45324BB0">
            <w:pPr>
              <w:widowControl/>
              <w:jc w:val="center"/>
              <w:rPr>
                <w:rFonts w:ascii="宋体" w:hAnsi="宋体"/>
                <w:sz w:val="24"/>
                <w:szCs w:val="24"/>
              </w:rPr>
            </w:pPr>
            <w:r>
              <w:rPr>
                <w:rFonts w:hint="eastAsia" w:ascii="宋体" w:hAnsi="宋体" w:cs="宋体"/>
                <w:sz w:val="24"/>
                <w:szCs w:val="24"/>
              </w:rPr>
              <w:t>档案标识</w:t>
            </w:r>
          </w:p>
        </w:tc>
        <w:tc>
          <w:tcPr>
            <w:tcW w:w="5802" w:type="dxa"/>
            <w:vAlign w:val="center"/>
          </w:tcPr>
          <w:p w14:paraId="1857DD4A">
            <w:pPr>
              <w:widowControl/>
              <w:jc w:val="left"/>
              <w:rPr>
                <w:rFonts w:ascii="宋体" w:hAnsi="宋体"/>
                <w:sz w:val="24"/>
                <w:szCs w:val="24"/>
              </w:rPr>
            </w:pPr>
            <w:r>
              <w:rPr>
                <w:rFonts w:hint="eastAsia" w:ascii="宋体" w:hAnsi="宋体" w:cs="宋体"/>
                <w:sz w:val="24"/>
                <w:szCs w:val="24"/>
              </w:rPr>
              <w:t>对已分类和编号的文件，应在档案盒上进行标识，标识应简单清晰、明了、易懂</w:t>
            </w:r>
          </w:p>
        </w:tc>
      </w:tr>
      <w:tr w14:paraId="6F373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trPr>
        <w:tc>
          <w:tcPr>
            <w:tcW w:w="1261" w:type="dxa"/>
            <w:vMerge w:val="continue"/>
          </w:tcPr>
          <w:p w14:paraId="68BEE3B8">
            <w:pPr>
              <w:jc w:val="center"/>
              <w:rPr>
                <w:rFonts w:ascii="宋体" w:hAnsi="宋体"/>
                <w:b/>
                <w:bCs/>
                <w:sz w:val="24"/>
                <w:szCs w:val="24"/>
              </w:rPr>
            </w:pPr>
          </w:p>
        </w:tc>
        <w:tc>
          <w:tcPr>
            <w:tcW w:w="1291" w:type="dxa"/>
            <w:vAlign w:val="center"/>
          </w:tcPr>
          <w:p w14:paraId="00493FD8">
            <w:pPr>
              <w:widowControl/>
              <w:jc w:val="center"/>
              <w:rPr>
                <w:rFonts w:ascii="宋体" w:hAnsi="宋体"/>
                <w:sz w:val="24"/>
                <w:szCs w:val="24"/>
              </w:rPr>
            </w:pPr>
            <w:r>
              <w:rPr>
                <w:rFonts w:hint="eastAsia" w:ascii="宋体" w:hAnsi="宋体" w:cs="宋体"/>
                <w:sz w:val="24"/>
                <w:szCs w:val="24"/>
              </w:rPr>
              <w:t>档案摆放</w:t>
            </w:r>
          </w:p>
        </w:tc>
        <w:tc>
          <w:tcPr>
            <w:tcW w:w="5802" w:type="dxa"/>
            <w:vAlign w:val="center"/>
          </w:tcPr>
          <w:p w14:paraId="3623BABE">
            <w:pPr>
              <w:widowControl/>
              <w:jc w:val="left"/>
              <w:rPr>
                <w:rFonts w:ascii="宋体" w:hAnsi="宋体"/>
                <w:sz w:val="24"/>
                <w:szCs w:val="24"/>
              </w:rPr>
            </w:pPr>
            <w:r>
              <w:rPr>
                <w:rFonts w:hint="eastAsia" w:ascii="宋体" w:hAnsi="宋体" w:cs="宋体"/>
                <w:sz w:val="24"/>
                <w:szCs w:val="24"/>
              </w:rPr>
              <w:t>档案放入档案柜，摆放整齐</w:t>
            </w:r>
          </w:p>
        </w:tc>
      </w:tr>
      <w:tr w14:paraId="64216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trPr>
        <w:tc>
          <w:tcPr>
            <w:tcW w:w="1261" w:type="dxa"/>
            <w:vMerge w:val="restart"/>
          </w:tcPr>
          <w:p w14:paraId="6B782744">
            <w:pPr>
              <w:jc w:val="center"/>
              <w:rPr>
                <w:rFonts w:ascii="宋体" w:hAnsi="宋体"/>
                <w:b/>
                <w:bCs/>
                <w:kern w:val="0"/>
                <w:sz w:val="24"/>
                <w:szCs w:val="24"/>
              </w:rPr>
            </w:pPr>
          </w:p>
          <w:p w14:paraId="23395B65">
            <w:pPr>
              <w:jc w:val="center"/>
              <w:rPr>
                <w:rFonts w:ascii="宋体" w:hAnsi="宋体"/>
                <w:b/>
                <w:bCs/>
                <w:kern w:val="0"/>
                <w:sz w:val="24"/>
                <w:szCs w:val="24"/>
              </w:rPr>
            </w:pPr>
          </w:p>
          <w:p w14:paraId="13030580">
            <w:pPr>
              <w:jc w:val="center"/>
              <w:rPr>
                <w:rFonts w:ascii="宋体" w:hAnsi="宋体"/>
                <w:b/>
                <w:bCs/>
                <w:kern w:val="0"/>
                <w:sz w:val="24"/>
                <w:szCs w:val="24"/>
              </w:rPr>
            </w:pPr>
          </w:p>
          <w:p w14:paraId="44D3692D">
            <w:pPr>
              <w:jc w:val="center"/>
              <w:rPr>
                <w:rFonts w:ascii="宋体" w:hAnsi="宋体"/>
                <w:b/>
                <w:bCs/>
                <w:kern w:val="0"/>
                <w:sz w:val="24"/>
                <w:szCs w:val="24"/>
              </w:rPr>
            </w:pPr>
          </w:p>
          <w:p w14:paraId="2425C894">
            <w:pPr>
              <w:rPr>
                <w:rFonts w:ascii="宋体" w:hAnsi="宋体"/>
                <w:b/>
                <w:bCs/>
                <w:kern w:val="0"/>
                <w:sz w:val="24"/>
                <w:szCs w:val="24"/>
              </w:rPr>
            </w:pPr>
          </w:p>
          <w:p w14:paraId="21F39816">
            <w:pPr>
              <w:jc w:val="center"/>
              <w:rPr>
                <w:rFonts w:ascii="宋体" w:hAnsi="宋体"/>
                <w:b/>
                <w:bCs/>
                <w:kern w:val="0"/>
                <w:sz w:val="24"/>
                <w:szCs w:val="24"/>
              </w:rPr>
            </w:pPr>
          </w:p>
          <w:p w14:paraId="327DD374">
            <w:pPr>
              <w:jc w:val="center"/>
              <w:rPr>
                <w:rFonts w:ascii="宋体" w:hAnsi="宋体"/>
                <w:b/>
                <w:bCs/>
                <w:kern w:val="0"/>
                <w:sz w:val="24"/>
                <w:szCs w:val="24"/>
              </w:rPr>
            </w:pPr>
            <w:r>
              <w:rPr>
                <w:rFonts w:hint="eastAsia" w:ascii="宋体" w:hAnsi="宋体" w:cs="宋体"/>
                <w:b/>
                <w:bCs/>
                <w:kern w:val="0"/>
                <w:sz w:val="24"/>
                <w:szCs w:val="24"/>
              </w:rPr>
              <w:t>设备房</w:t>
            </w:r>
          </w:p>
          <w:p w14:paraId="3A16815A">
            <w:pPr>
              <w:jc w:val="center"/>
              <w:rPr>
                <w:rFonts w:ascii="宋体" w:hAnsi="宋体"/>
                <w:b/>
                <w:bCs/>
                <w:sz w:val="24"/>
                <w:szCs w:val="24"/>
              </w:rPr>
            </w:pPr>
            <w:r>
              <w:rPr>
                <w:rFonts w:hint="eastAsia" w:ascii="宋体" w:hAnsi="宋体" w:cs="宋体"/>
                <w:b/>
                <w:bCs/>
                <w:kern w:val="0"/>
                <w:sz w:val="24"/>
                <w:szCs w:val="24"/>
              </w:rPr>
              <w:t>标准</w:t>
            </w:r>
          </w:p>
        </w:tc>
        <w:tc>
          <w:tcPr>
            <w:tcW w:w="1291" w:type="dxa"/>
            <w:vAlign w:val="center"/>
          </w:tcPr>
          <w:p w14:paraId="2D5D8A8A">
            <w:pPr>
              <w:widowControl/>
              <w:jc w:val="center"/>
              <w:rPr>
                <w:rFonts w:ascii="宋体" w:hAnsi="宋体"/>
                <w:sz w:val="24"/>
                <w:szCs w:val="24"/>
              </w:rPr>
            </w:pPr>
            <w:r>
              <w:rPr>
                <w:rFonts w:hint="eastAsia" w:ascii="宋体" w:hAnsi="宋体" w:cs="宋体"/>
                <w:sz w:val="24"/>
                <w:szCs w:val="24"/>
              </w:rPr>
              <w:t>制度上墙</w:t>
            </w:r>
          </w:p>
        </w:tc>
        <w:tc>
          <w:tcPr>
            <w:tcW w:w="5802" w:type="dxa"/>
            <w:vAlign w:val="center"/>
          </w:tcPr>
          <w:p w14:paraId="2D35130A">
            <w:pPr>
              <w:widowControl/>
              <w:jc w:val="left"/>
              <w:rPr>
                <w:rFonts w:ascii="宋体" w:hAnsi="宋体"/>
                <w:sz w:val="24"/>
                <w:szCs w:val="24"/>
              </w:rPr>
            </w:pPr>
            <w:r>
              <w:rPr>
                <w:rFonts w:hint="eastAsia" w:ascii="宋体" w:hAnsi="宋体" w:cs="宋体"/>
                <w:sz w:val="24"/>
                <w:szCs w:val="24"/>
              </w:rPr>
              <w:t>设备房悬挂作业指导书、岗位职责、设备房管理规定并要求平整有序</w:t>
            </w:r>
          </w:p>
        </w:tc>
      </w:tr>
      <w:tr w14:paraId="17F91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1261" w:type="dxa"/>
            <w:vMerge w:val="continue"/>
          </w:tcPr>
          <w:p w14:paraId="3E89D0E4">
            <w:pPr>
              <w:jc w:val="center"/>
              <w:rPr>
                <w:rFonts w:ascii="宋体" w:hAnsi="宋体"/>
                <w:sz w:val="24"/>
                <w:szCs w:val="24"/>
              </w:rPr>
            </w:pPr>
          </w:p>
        </w:tc>
        <w:tc>
          <w:tcPr>
            <w:tcW w:w="1291" w:type="dxa"/>
            <w:vAlign w:val="center"/>
          </w:tcPr>
          <w:p w14:paraId="794769C7">
            <w:pPr>
              <w:widowControl/>
              <w:jc w:val="center"/>
              <w:rPr>
                <w:rFonts w:ascii="宋体" w:hAnsi="宋体"/>
                <w:sz w:val="24"/>
                <w:szCs w:val="24"/>
              </w:rPr>
            </w:pPr>
            <w:r>
              <w:rPr>
                <w:rFonts w:hint="eastAsia" w:ascii="宋体" w:hAnsi="宋体" w:cs="宋体"/>
                <w:sz w:val="24"/>
                <w:szCs w:val="24"/>
              </w:rPr>
              <w:t>照明要求</w:t>
            </w:r>
          </w:p>
        </w:tc>
        <w:tc>
          <w:tcPr>
            <w:tcW w:w="5802" w:type="dxa"/>
            <w:vAlign w:val="center"/>
          </w:tcPr>
          <w:p w14:paraId="5C493BF2">
            <w:pPr>
              <w:widowControl/>
              <w:jc w:val="left"/>
              <w:rPr>
                <w:rFonts w:ascii="宋体" w:hAnsi="宋体"/>
                <w:sz w:val="24"/>
                <w:szCs w:val="24"/>
              </w:rPr>
            </w:pPr>
            <w:r>
              <w:rPr>
                <w:rFonts w:hint="eastAsia" w:ascii="宋体" w:hAnsi="宋体" w:cs="宋体"/>
                <w:sz w:val="24"/>
                <w:szCs w:val="24"/>
              </w:rPr>
              <w:t>水泵房控制柜室、配电房应安装防潮灯</w:t>
            </w:r>
          </w:p>
        </w:tc>
      </w:tr>
      <w:tr w14:paraId="37F78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1" w:hRule="atLeast"/>
        </w:trPr>
        <w:tc>
          <w:tcPr>
            <w:tcW w:w="1261" w:type="dxa"/>
            <w:vMerge w:val="continue"/>
          </w:tcPr>
          <w:p w14:paraId="684B1B7C">
            <w:pPr>
              <w:jc w:val="center"/>
              <w:rPr>
                <w:rFonts w:ascii="宋体" w:hAnsi="宋体"/>
                <w:sz w:val="24"/>
                <w:szCs w:val="24"/>
              </w:rPr>
            </w:pPr>
          </w:p>
        </w:tc>
        <w:tc>
          <w:tcPr>
            <w:tcW w:w="1291" w:type="dxa"/>
          </w:tcPr>
          <w:p w14:paraId="7FE917D5">
            <w:pPr>
              <w:jc w:val="center"/>
              <w:rPr>
                <w:rFonts w:ascii="宋体" w:hAnsi="宋体"/>
                <w:sz w:val="24"/>
                <w:szCs w:val="24"/>
              </w:rPr>
            </w:pPr>
            <w:r>
              <w:rPr>
                <w:rFonts w:hint="eastAsia" w:ascii="宋体" w:hAnsi="宋体" w:cs="宋体"/>
                <w:sz w:val="24"/>
                <w:szCs w:val="24"/>
              </w:rPr>
              <w:t>设施标准</w:t>
            </w:r>
          </w:p>
        </w:tc>
        <w:tc>
          <w:tcPr>
            <w:tcW w:w="5802" w:type="dxa"/>
          </w:tcPr>
          <w:p w14:paraId="62CAD4A6">
            <w:pPr>
              <w:jc w:val="left"/>
              <w:rPr>
                <w:rFonts w:ascii="宋体" w:hAnsi="宋体"/>
                <w:sz w:val="24"/>
                <w:szCs w:val="24"/>
              </w:rPr>
            </w:pPr>
            <w:r>
              <w:rPr>
                <w:rFonts w:hint="eastAsia" w:ascii="宋体" w:hAnsi="宋体" w:cs="宋体"/>
                <w:sz w:val="24"/>
                <w:szCs w:val="24"/>
              </w:rPr>
              <w:t>设备房最低标准安装散热风机并由时钟控制、配置应急灯、温湿度计</w:t>
            </w:r>
          </w:p>
        </w:tc>
      </w:tr>
      <w:tr w14:paraId="53465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8" w:hRule="atLeast"/>
        </w:trPr>
        <w:tc>
          <w:tcPr>
            <w:tcW w:w="1261" w:type="dxa"/>
            <w:vMerge w:val="continue"/>
          </w:tcPr>
          <w:p w14:paraId="2DFB9231">
            <w:pPr>
              <w:jc w:val="center"/>
              <w:rPr>
                <w:rFonts w:ascii="宋体" w:hAnsi="宋体"/>
                <w:sz w:val="24"/>
                <w:szCs w:val="24"/>
              </w:rPr>
            </w:pPr>
          </w:p>
        </w:tc>
        <w:tc>
          <w:tcPr>
            <w:tcW w:w="1291" w:type="dxa"/>
            <w:vAlign w:val="center"/>
          </w:tcPr>
          <w:p w14:paraId="2BF994E3">
            <w:pPr>
              <w:widowControl/>
              <w:jc w:val="center"/>
              <w:rPr>
                <w:rFonts w:ascii="宋体" w:hAnsi="宋体"/>
                <w:sz w:val="24"/>
                <w:szCs w:val="24"/>
              </w:rPr>
            </w:pPr>
            <w:r>
              <w:rPr>
                <w:rFonts w:hint="eastAsia" w:ascii="宋体" w:hAnsi="宋体" w:cs="宋体"/>
                <w:sz w:val="24"/>
                <w:szCs w:val="24"/>
              </w:rPr>
              <w:t>空调安装</w:t>
            </w:r>
          </w:p>
        </w:tc>
        <w:tc>
          <w:tcPr>
            <w:tcW w:w="5802" w:type="dxa"/>
            <w:vAlign w:val="center"/>
          </w:tcPr>
          <w:p w14:paraId="07CBD0F0">
            <w:pPr>
              <w:widowControl/>
              <w:jc w:val="left"/>
              <w:rPr>
                <w:rFonts w:ascii="宋体" w:hAnsi="宋体"/>
                <w:sz w:val="24"/>
                <w:szCs w:val="24"/>
              </w:rPr>
            </w:pPr>
            <w:r>
              <w:rPr>
                <w:rFonts w:hint="eastAsia" w:ascii="宋体" w:hAnsi="宋体" w:cs="宋体"/>
                <w:sz w:val="24"/>
                <w:szCs w:val="24"/>
              </w:rPr>
              <w:t>部分温度过高的电梯机房、配电房安装空调</w:t>
            </w:r>
          </w:p>
        </w:tc>
      </w:tr>
      <w:tr w14:paraId="21384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1261" w:type="dxa"/>
            <w:vMerge w:val="continue"/>
          </w:tcPr>
          <w:p w14:paraId="0D71EBED">
            <w:pPr>
              <w:jc w:val="center"/>
              <w:rPr>
                <w:rFonts w:ascii="宋体" w:hAnsi="宋体"/>
                <w:sz w:val="24"/>
                <w:szCs w:val="24"/>
              </w:rPr>
            </w:pPr>
          </w:p>
        </w:tc>
        <w:tc>
          <w:tcPr>
            <w:tcW w:w="1291" w:type="dxa"/>
            <w:vAlign w:val="center"/>
          </w:tcPr>
          <w:p w14:paraId="7DC2B964">
            <w:pPr>
              <w:widowControl/>
              <w:jc w:val="center"/>
              <w:rPr>
                <w:rFonts w:ascii="宋体" w:hAnsi="宋体"/>
                <w:sz w:val="24"/>
                <w:szCs w:val="24"/>
              </w:rPr>
            </w:pPr>
            <w:r>
              <w:rPr>
                <w:rFonts w:hint="eastAsia" w:ascii="宋体" w:hAnsi="宋体" w:cs="宋体"/>
                <w:sz w:val="24"/>
                <w:szCs w:val="24"/>
              </w:rPr>
              <w:t>机房地面</w:t>
            </w:r>
          </w:p>
        </w:tc>
        <w:tc>
          <w:tcPr>
            <w:tcW w:w="5802" w:type="dxa"/>
            <w:vAlign w:val="center"/>
          </w:tcPr>
          <w:p w14:paraId="6E3900C8">
            <w:pPr>
              <w:widowControl/>
              <w:jc w:val="left"/>
              <w:rPr>
                <w:rFonts w:ascii="宋体" w:hAnsi="宋体"/>
                <w:sz w:val="24"/>
                <w:szCs w:val="24"/>
              </w:rPr>
            </w:pPr>
            <w:r>
              <w:rPr>
                <w:rFonts w:hint="eastAsia" w:ascii="宋体" w:hAnsi="宋体" w:cs="宋体"/>
                <w:sz w:val="24"/>
                <w:szCs w:val="24"/>
              </w:rPr>
              <w:t>地面铺防滑砖、墙面、天花板刷白，无有碍观感的物品存在</w:t>
            </w:r>
          </w:p>
        </w:tc>
      </w:tr>
      <w:tr w14:paraId="090D3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1261" w:type="dxa"/>
            <w:vMerge w:val="continue"/>
          </w:tcPr>
          <w:p w14:paraId="1A789EF5">
            <w:pPr>
              <w:jc w:val="center"/>
              <w:rPr>
                <w:rFonts w:ascii="宋体" w:hAnsi="宋体"/>
                <w:sz w:val="24"/>
                <w:szCs w:val="24"/>
              </w:rPr>
            </w:pPr>
          </w:p>
        </w:tc>
        <w:tc>
          <w:tcPr>
            <w:tcW w:w="1291" w:type="dxa"/>
            <w:vAlign w:val="center"/>
          </w:tcPr>
          <w:p w14:paraId="1F3129BC">
            <w:pPr>
              <w:widowControl/>
              <w:jc w:val="center"/>
              <w:rPr>
                <w:rFonts w:ascii="宋体" w:hAnsi="宋体"/>
                <w:sz w:val="24"/>
                <w:szCs w:val="24"/>
              </w:rPr>
            </w:pPr>
            <w:r>
              <w:rPr>
                <w:rFonts w:hint="eastAsia" w:ascii="宋体" w:hAnsi="宋体" w:cs="宋体"/>
                <w:sz w:val="24"/>
                <w:szCs w:val="24"/>
              </w:rPr>
              <w:t>消防电话</w:t>
            </w:r>
          </w:p>
        </w:tc>
        <w:tc>
          <w:tcPr>
            <w:tcW w:w="5802" w:type="dxa"/>
          </w:tcPr>
          <w:p w14:paraId="43C3A7DB">
            <w:pPr>
              <w:jc w:val="left"/>
              <w:rPr>
                <w:rFonts w:ascii="宋体" w:hAnsi="宋体"/>
                <w:sz w:val="24"/>
                <w:szCs w:val="24"/>
              </w:rPr>
            </w:pPr>
            <w:r>
              <w:rPr>
                <w:rFonts w:hint="eastAsia" w:ascii="宋体" w:hAnsi="宋体" w:cs="宋体"/>
                <w:sz w:val="24"/>
                <w:szCs w:val="24"/>
              </w:rPr>
              <w:t>设备房需安装消防电话</w:t>
            </w:r>
          </w:p>
        </w:tc>
      </w:tr>
      <w:tr w14:paraId="4DEE7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1261" w:type="dxa"/>
            <w:vMerge w:val="continue"/>
          </w:tcPr>
          <w:p w14:paraId="63C0817D">
            <w:pPr>
              <w:jc w:val="center"/>
              <w:rPr>
                <w:rFonts w:ascii="宋体" w:hAnsi="宋体"/>
                <w:sz w:val="24"/>
                <w:szCs w:val="24"/>
              </w:rPr>
            </w:pPr>
          </w:p>
        </w:tc>
        <w:tc>
          <w:tcPr>
            <w:tcW w:w="1291" w:type="dxa"/>
            <w:vAlign w:val="center"/>
          </w:tcPr>
          <w:p w14:paraId="17BE61F4">
            <w:pPr>
              <w:widowControl/>
              <w:jc w:val="center"/>
              <w:rPr>
                <w:rFonts w:ascii="宋体" w:hAnsi="宋体"/>
                <w:sz w:val="24"/>
                <w:szCs w:val="24"/>
              </w:rPr>
            </w:pPr>
            <w:r>
              <w:rPr>
                <w:rFonts w:hint="eastAsia" w:ascii="宋体" w:hAnsi="宋体" w:cs="宋体"/>
                <w:sz w:val="24"/>
                <w:szCs w:val="24"/>
              </w:rPr>
              <w:t>灭火器配备</w:t>
            </w:r>
          </w:p>
        </w:tc>
        <w:tc>
          <w:tcPr>
            <w:tcW w:w="5802" w:type="dxa"/>
            <w:vAlign w:val="center"/>
          </w:tcPr>
          <w:p w14:paraId="252C0D21">
            <w:pPr>
              <w:widowControl/>
              <w:jc w:val="left"/>
              <w:rPr>
                <w:rFonts w:ascii="宋体" w:hAnsi="宋体"/>
                <w:sz w:val="24"/>
                <w:szCs w:val="24"/>
              </w:rPr>
            </w:pPr>
            <w:r>
              <w:rPr>
                <w:rFonts w:hint="eastAsia" w:ascii="宋体" w:hAnsi="宋体" w:cs="宋体"/>
                <w:sz w:val="24"/>
                <w:szCs w:val="24"/>
              </w:rPr>
              <w:t>设备房应配置灭火器，每个独立的房间最少配一瓶二氧化氮灭火器，配电房应配置手推车灭火器</w:t>
            </w:r>
          </w:p>
        </w:tc>
      </w:tr>
      <w:tr w14:paraId="3F43F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1" w:hRule="atLeast"/>
        </w:trPr>
        <w:tc>
          <w:tcPr>
            <w:tcW w:w="1261" w:type="dxa"/>
            <w:vMerge w:val="continue"/>
          </w:tcPr>
          <w:p w14:paraId="0A9FBC40">
            <w:pPr>
              <w:jc w:val="center"/>
              <w:rPr>
                <w:rFonts w:ascii="宋体" w:hAnsi="宋体"/>
                <w:sz w:val="24"/>
                <w:szCs w:val="24"/>
              </w:rPr>
            </w:pPr>
          </w:p>
        </w:tc>
        <w:tc>
          <w:tcPr>
            <w:tcW w:w="1291" w:type="dxa"/>
            <w:vAlign w:val="center"/>
          </w:tcPr>
          <w:p w14:paraId="015EEF03">
            <w:pPr>
              <w:widowControl/>
              <w:jc w:val="center"/>
              <w:rPr>
                <w:rFonts w:ascii="宋体" w:hAnsi="宋体"/>
                <w:sz w:val="24"/>
                <w:szCs w:val="24"/>
              </w:rPr>
            </w:pPr>
            <w:r>
              <w:rPr>
                <w:rFonts w:hint="eastAsia" w:ascii="宋体" w:hAnsi="宋体" w:cs="宋体"/>
                <w:sz w:val="24"/>
                <w:szCs w:val="24"/>
              </w:rPr>
              <w:t>防鼠板安装</w:t>
            </w:r>
          </w:p>
        </w:tc>
        <w:tc>
          <w:tcPr>
            <w:tcW w:w="5802" w:type="dxa"/>
            <w:vAlign w:val="center"/>
          </w:tcPr>
          <w:p w14:paraId="44D900BF">
            <w:pPr>
              <w:widowControl/>
              <w:jc w:val="left"/>
              <w:rPr>
                <w:rFonts w:ascii="宋体" w:hAnsi="宋体"/>
                <w:sz w:val="24"/>
                <w:szCs w:val="24"/>
              </w:rPr>
            </w:pPr>
            <w:r>
              <w:rPr>
                <w:rFonts w:hint="eastAsia" w:ascii="宋体" w:hAnsi="宋体" w:cs="宋体"/>
                <w:sz w:val="24"/>
                <w:szCs w:val="24"/>
              </w:rPr>
              <w:t>发电机房、配电房及重要机房门应安装400MM防鼠板，如出现地下室入口处低于市政地平或靠近市政用的泄洪水渠，则防鼠板改为500MM的水泥隔墙</w:t>
            </w:r>
          </w:p>
        </w:tc>
      </w:tr>
    </w:tbl>
    <w:p w14:paraId="7F969419">
      <w:pPr>
        <w:rPr>
          <w:rFonts w:ascii="宋体" w:hAnsi="宋体"/>
          <w:sz w:val="24"/>
          <w:szCs w:val="24"/>
        </w:rPr>
      </w:pPr>
    </w:p>
    <w:p w14:paraId="4F34633C">
      <w:pPr>
        <w:pStyle w:val="11"/>
        <w:ind w:left="420"/>
        <w:rPr>
          <w:sz w:val="24"/>
          <w:szCs w:val="24"/>
        </w:rPr>
      </w:pPr>
    </w:p>
    <w:p w14:paraId="0CBD722B">
      <w:pPr>
        <w:spacing w:line="360" w:lineRule="auto"/>
        <w:ind w:firstLine="480" w:firstLineChars="200"/>
        <w:rPr>
          <w:rFonts w:hint="eastAsia"/>
          <w:sz w:val="24"/>
          <w:szCs w:val="24"/>
        </w:rPr>
      </w:pPr>
    </w:p>
    <w:p w14:paraId="376537AE">
      <w:pPr>
        <w:pStyle w:val="5"/>
        <w:bidi w:val="0"/>
        <w:rPr>
          <w:b/>
          <w:bCs/>
        </w:rPr>
      </w:pPr>
      <w:r>
        <w:rPr>
          <w:rFonts w:hint="eastAsia" w:ascii="宋体" w:hAnsi="宋体" w:cs="仿宋_GB2312"/>
          <w:b/>
          <w:bCs/>
          <w:szCs w:val="24"/>
          <w:lang w:eastAsia="zh-CN"/>
        </w:rPr>
        <w:t>（</w:t>
      </w:r>
      <w:r>
        <w:rPr>
          <w:rFonts w:hint="eastAsia" w:ascii="宋体" w:hAnsi="宋体" w:cs="仿宋_GB2312"/>
          <w:b/>
          <w:bCs/>
          <w:szCs w:val="24"/>
          <w:lang w:val="en-US" w:eastAsia="zh-CN"/>
        </w:rPr>
        <w:t>五</w:t>
      </w:r>
      <w:r>
        <w:rPr>
          <w:rFonts w:hint="eastAsia" w:ascii="宋体" w:hAnsi="宋体" w:cs="仿宋_GB2312"/>
          <w:b/>
          <w:bCs/>
          <w:szCs w:val="24"/>
          <w:lang w:eastAsia="zh-CN"/>
        </w:rPr>
        <w:t>）</w:t>
      </w:r>
      <w:r>
        <w:rPr>
          <w:rFonts w:hint="eastAsia" w:ascii="宋体" w:hAnsi="宋体" w:cs="仿宋_GB2312"/>
          <w:b/>
          <w:bCs/>
          <w:szCs w:val="24"/>
          <w:lang w:val="en-US" w:eastAsia="zh-CN"/>
        </w:rPr>
        <w:t>保洁</w:t>
      </w:r>
      <w:r>
        <w:rPr>
          <w:rFonts w:hint="eastAsia"/>
          <w:b/>
          <w:bCs/>
        </w:rPr>
        <w:t>服务要求</w:t>
      </w:r>
    </w:p>
    <w:p w14:paraId="4115EE58">
      <w:pPr>
        <w:pStyle w:val="7"/>
        <w:bidi w:val="0"/>
      </w:pPr>
      <w:r>
        <w:rPr>
          <w:rFonts w:hint="eastAsia"/>
          <w:lang w:val="en-US" w:eastAsia="zh-CN"/>
        </w:rPr>
        <w:t>1、</w:t>
      </w:r>
      <w:r>
        <w:rPr>
          <w:rFonts w:hint="eastAsia"/>
        </w:rPr>
        <w:t>服务内容</w:t>
      </w:r>
    </w:p>
    <w:p w14:paraId="09E846E7">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校园保洁服务：校园内公共道路、广场等硬地面的清扫、保洁服务，不含绿地、花房保洁服务。</w:t>
      </w:r>
    </w:p>
    <w:p w14:paraId="59C46F42">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楼宇保洁服务：楼宇内部公共区域保洁，含大堂、楼道、楼梯间、电梯、公共卫生间、公共水房、会议室等未锁闭的区域，不含教室、办公室、宿舍、校方自行管理的所有房间。</w:t>
      </w:r>
    </w:p>
    <w:p w14:paraId="2CA63CE4">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配合学校及其他部门做好相关卫生防控工作和各类突发事件应急处理。</w:t>
      </w:r>
    </w:p>
    <w:p w14:paraId="007AB2D0">
      <w:pPr>
        <w:pStyle w:val="7"/>
        <w:bidi w:val="0"/>
      </w:pPr>
      <w:r>
        <w:rPr>
          <w:rFonts w:hint="eastAsia"/>
          <w:lang w:val="en-US" w:eastAsia="zh-CN"/>
        </w:rPr>
        <w:t>2、</w:t>
      </w:r>
      <w:r>
        <w:rPr>
          <w:rFonts w:hint="eastAsia"/>
        </w:rPr>
        <w:t>服务标准</w:t>
      </w:r>
    </w:p>
    <w:tbl>
      <w:tblPr>
        <w:tblStyle w:val="13"/>
        <w:tblW w:w="0" w:type="auto"/>
        <w:jc w:val="center"/>
        <w:tblLayout w:type="autofit"/>
        <w:tblCellMar>
          <w:top w:w="0" w:type="dxa"/>
          <w:left w:w="108" w:type="dxa"/>
          <w:bottom w:w="0" w:type="dxa"/>
          <w:right w:w="108" w:type="dxa"/>
        </w:tblCellMar>
      </w:tblPr>
      <w:tblGrid>
        <w:gridCol w:w="603"/>
        <w:gridCol w:w="1181"/>
        <w:gridCol w:w="1596"/>
        <w:gridCol w:w="5142"/>
      </w:tblGrid>
      <w:tr w14:paraId="7D3D6041">
        <w:tblPrEx>
          <w:tblCellMar>
            <w:top w:w="0" w:type="dxa"/>
            <w:left w:w="108" w:type="dxa"/>
            <w:bottom w:w="0" w:type="dxa"/>
            <w:right w:w="108" w:type="dxa"/>
          </w:tblCellMar>
        </w:tblPrEx>
        <w:trPr>
          <w:trHeight w:val="454" w:hRule="atLeast"/>
          <w:jc w:val="center"/>
        </w:trPr>
        <w:tc>
          <w:tcPr>
            <w:tcW w:w="611"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71B3C7D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序号</w:t>
            </w:r>
          </w:p>
        </w:tc>
        <w:tc>
          <w:tcPr>
            <w:tcW w:w="1186"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0C34458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服务项目</w:t>
            </w:r>
          </w:p>
        </w:tc>
        <w:tc>
          <w:tcPr>
            <w:tcW w:w="1627"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3432E18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项目分类</w:t>
            </w:r>
          </w:p>
        </w:tc>
        <w:tc>
          <w:tcPr>
            <w:tcW w:w="532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228739D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清洁标准</w:t>
            </w:r>
          </w:p>
        </w:tc>
      </w:tr>
      <w:tr w14:paraId="397F74CA">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26B0C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E26C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大堂</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E74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C8B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保持干净，无尘、无渍、无网状物</w:t>
            </w:r>
          </w:p>
        </w:tc>
      </w:tr>
      <w:tr w14:paraId="0ADBB5EE">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D61F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6DBD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D1C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墙面及踢脚板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177C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无尘、无渍、无手印</w:t>
            </w:r>
          </w:p>
        </w:tc>
      </w:tr>
      <w:tr w14:paraId="410D3901">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12729">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D781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11E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F41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地板保持光洁、明亮，地毯清洁，无污渍、水渍、尘渍、痰渍、杂物</w:t>
            </w:r>
          </w:p>
        </w:tc>
      </w:tr>
      <w:tr w14:paraId="2F0852D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3ADA6">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1729F">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1D2D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消火栓箱</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237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干净、整洁，内部设备完好无损</w:t>
            </w:r>
          </w:p>
        </w:tc>
      </w:tr>
      <w:tr w14:paraId="0ACCECEF">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42C53">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B422E">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EDFA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大门、玻璃</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D5B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无手印、污渍，门框、门框无尘土</w:t>
            </w:r>
          </w:p>
        </w:tc>
      </w:tr>
      <w:tr w14:paraId="5969DF76">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77FB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88CD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A0E1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指示牌、标识牌</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9E5C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无尘、无渍</w:t>
            </w:r>
          </w:p>
        </w:tc>
      </w:tr>
      <w:tr w14:paraId="1E1FAAB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D13A9">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0B45F">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2D6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大厅、走道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88BA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摆放物品等干净、无尘</w:t>
            </w:r>
          </w:p>
        </w:tc>
      </w:tr>
      <w:tr w14:paraId="3658997F">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AED1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B32B3">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楼层</w:t>
            </w:r>
          </w:p>
          <w:p w14:paraId="4B195B5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03F0">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地面</w:t>
            </w:r>
          </w:p>
          <w:p w14:paraId="1AF6D38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（含地脚线）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F9B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保持干净、无污渍、水渍、尘渍、痰渍、杂物</w:t>
            </w:r>
          </w:p>
        </w:tc>
      </w:tr>
      <w:tr w14:paraId="7C65B99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871FA">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60E27">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4D04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墙面（含腰线）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C2D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w:t>
            </w:r>
          </w:p>
        </w:tc>
      </w:tr>
      <w:tr w14:paraId="66701387">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F84E0">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8298E">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D4A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天花、灯具灯罩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AB8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无污渍、无尘、无蜘蛛网</w:t>
            </w:r>
          </w:p>
        </w:tc>
      </w:tr>
      <w:tr w14:paraId="3ACF188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F0AE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8C8C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6B93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开关</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7EA0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保持干净无污渍</w:t>
            </w:r>
          </w:p>
        </w:tc>
      </w:tr>
      <w:tr w14:paraId="16F03521">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DB35B">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6D69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CC2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玻璃窗</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814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无手印、无尘、无水渍</w:t>
            </w:r>
          </w:p>
        </w:tc>
      </w:tr>
      <w:tr w14:paraId="6118CB84">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27226">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60A53">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149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指示牌、悬挂牌</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AF7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无尘、无蜘蛛网</w:t>
            </w:r>
          </w:p>
        </w:tc>
      </w:tr>
      <w:tr w14:paraId="2440A21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58AE6">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ABF38">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3BE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消防设施、设备</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353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w:t>
            </w:r>
          </w:p>
        </w:tc>
      </w:tr>
      <w:tr w14:paraId="19B0BE1C">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3C86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D042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卫生间</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13A9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B53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无尘、无污渍、保持瓷砖明洁如新</w:t>
            </w:r>
          </w:p>
        </w:tc>
      </w:tr>
      <w:tr w14:paraId="25E56594">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83D63">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8E32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C578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38D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无尘、无污渍、无纸屑、无水渍、保持瓷砖光亮清洁干净</w:t>
            </w:r>
          </w:p>
        </w:tc>
      </w:tr>
      <w:tr w14:paraId="31D8AE87">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E860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EA7F1">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37D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门</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B9F7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无手印、无污渍</w:t>
            </w:r>
          </w:p>
        </w:tc>
      </w:tr>
      <w:tr w14:paraId="276E2BD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78043">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EC006">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34C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玻璃镜面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72A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无尘、无污渍、无水渍、无手印、无皂液、保持镜面明净</w:t>
            </w:r>
          </w:p>
        </w:tc>
      </w:tr>
      <w:tr w14:paraId="46F0B893">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7DCC6">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9B1B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008F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小便器、小便器、洗手盆</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57F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保持无渍、无垢、无臭、并保持水流畅通无阻，瓷器明洁如新</w:t>
            </w:r>
          </w:p>
        </w:tc>
      </w:tr>
      <w:tr w14:paraId="244AAA1E">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7A31A">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CFAF8">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956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台面、洗手盆</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1AD5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保持无渍、无垢、并保持水流畅通无阻，瓷器明洁如新</w:t>
            </w:r>
          </w:p>
        </w:tc>
      </w:tr>
      <w:tr w14:paraId="47AFEDBF">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437EF">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1079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08A6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卫生间隔板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9D21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无污渍、痰渍、保持洁净</w:t>
            </w:r>
          </w:p>
        </w:tc>
      </w:tr>
      <w:tr w14:paraId="642C42B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BB6F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26EFA">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691E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4FB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无尘土、无污渍、无蜘蛛网</w:t>
            </w:r>
          </w:p>
        </w:tc>
      </w:tr>
      <w:tr w14:paraId="6641DC5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0793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1B931">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5E4A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垃圾桶</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B378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无污渍、无异味，垃圾及时倾倒，垃圾袋及时更换</w:t>
            </w:r>
          </w:p>
        </w:tc>
      </w:tr>
      <w:tr w14:paraId="6E019E85">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BE93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E053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9298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DAE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各种设备设施完好，发现损坏及时报修</w:t>
            </w:r>
          </w:p>
        </w:tc>
      </w:tr>
      <w:tr w14:paraId="6D4F1E01">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84031">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119F5">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B66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环境</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CCF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空气清新无异味</w:t>
            </w:r>
          </w:p>
        </w:tc>
      </w:tr>
      <w:tr w14:paraId="38C703A2">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A5DED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16E4B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茶水间</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861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瓷砖墙面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9047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无尘、无污渍、保持瓷砖明洁如新</w:t>
            </w:r>
          </w:p>
        </w:tc>
      </w:tr>
      <w:tr w14:paraId="08DBF4D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24BBF">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D6DAA">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A40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AF9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无尘、无污渍、无纸屑、无水渍、边角无杂物，保持瓷砖光亮清洁干净</w:t>
            </w:r>
          </w:p>
        </w:tc>
      </w:tr>
      <w:tr w14:paraId="4D8E69B8">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FF235">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71A8F">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5701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水槽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E30B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干净整洁，无污水、无残渣</w:t>
            </w:r>
          </w:p>
        </w:tc>
      </w:tr>
      <w:tr w14:paraId="2072B93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A50F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9ABC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8E5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水池</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5EE2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干净、光亮，无污物</w:t>
            </w:r>
          </w:p>
        </w:tc>
      </w:tr>
      <w:tr w14:paraId="04BB63EF">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E7B1F">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0CAAA">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B9D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5C7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各种设备设施完好，发现损坏及时报修</w:t>
            </w:r>
          </w:p>
        </w:tc>
      </w:tr>
      <w:tr w14:paraId="37EC3F71">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B2358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D3F4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电梯</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A005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天花灯饰、排气口、气扇、按钮按键</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0C4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无尘、无污渍、无手印、无蜘蛛网</w:t>
            </w:r>
          </w:p>
        </w:tc>
      </w:tr>
      <w:tr w14:paraId="555D3698">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2C13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EB24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F981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轿厢、梯门、梯身</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529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无污渍、无手印、保持不锈钢亮丽的金属光泽</w:t>
            </w:r>
          </w:p>
        </w:tc>
      </w:tr>
      <w:tr w14:paraId="1418D3BE">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12340">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4C1D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150D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CBCD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保持干净、无污渍、无纸屑、烟蒂</w:t>
            </w:r>
          </w:p>
        </w:tc>
      </w:tr>
      <w:tr w14:paraId="729B743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F7BE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59FA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EC8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轨道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BF6E">
            <w:pPr>
              <w:jc w:val="left"/>
              <w:rPr>
                <w:rFonts w:ascii="宋体" w:hAnsi="宋体" w:cs="宋体"/>
                <w:color w:val="000000"/>
                <w:szCs w:val="21"/>
              </w:rPr>
            </w:pPr>
          </w:p>
        </w:tc>
      </w:tr>
      <w:tr w14:paraId="6C391C80">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5A93B">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D375E">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AF8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C11F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设备完好无损，发现损坏及时报修</w:t>
            </w:r>
          </w:p>
        </w:tc>
      </w:tr>
      <w:tr w14:paraId="3A56E502">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AFA8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8312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楼梯</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81C2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地面、梯级</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B11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保持干净、无污渍、尘渍、痰渍</w:t>
            </w:r>
          </w:p>
        </w:tc>
      </w:tr>
      <w:tr w14:paraId="2B4151D9">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3DEEC">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FC3F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01A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墙面、踢脚板、开关</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6A4B">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保持干净，无尘、无污渍</w:t>
            </w:r>
          </w:p>
        </w:tc>
      </w:tr>
      <w:tr w14:paraId="6B6D551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A97FF">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64884">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3EC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顶板、灯具</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632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无蜘蛛网、无灰尘</w:t>
            </w:r>
          </w:p>
        </w:tc>
      </w:tr>
      <w:tr w14:paraId="039C8CD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8A45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86FF6">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D5D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扶手、栏杆</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49F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无污渍、无手印、无灰尘</w:t>
            </w:r>
          </w:p>
        </w:tc>
      </w:tr>
      <w:tr w14:paraId="67657DC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9CE46">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4F8C8">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E33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楼道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1E3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无堆放物</w:t>
            </w:r>
          </w:p>
        </w:tc>
      </w:tr>
      <w:tr w14:paraId="50BF00A9">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DD0C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7</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EB4A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室外保洁</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6ADA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室外环境和“门前三包”责任区</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132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保持干净，无乱堆乱放，无积水，无违法张贴、喷涂，无乱刻乱画</w:t>
            </w:r>
          </w:p>
        </w:tc>
      </w:tr>
      <w:tr w14:paraId="2AB7C2A3">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6D10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0F24E">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4B5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院内环境</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D82C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卫生整洁无死角，无杂物堆放，道路通畅，周边草坪、绿地保持干净，无杂物、无烟头</w:t>
            </w:r>
          </w:p>
        </w:tc>
      </w:tr>
      <w:tr w14:paraId="357A5725">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4250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D108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821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灯杆、路牌、座椅、护栏、园林设施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B220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无灰尘、无水迹、无污渍、无蛛网</w:t>
            </w:r>
          </w:p>
        </w:tc>
      </w:tr>
      <w:tr w14:paraId="0059AB00">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4A132">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8DAAB">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5DD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垃圾箱桶</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770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无明显污渍、异味</w:t>
            </w:r>
          </w:p>
        </w:tc>
      </w:tr>
      <w:tr w14:paraId="1F8C069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D95EC">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E6355">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234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院内设备设施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64C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摆放整齐，发现损坏及时报修</w:t>
            </w:r>
          </w:p>
        </w:tc>
      </w:tr>
      <w:tr w14:paraId="00CD6E8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0F190">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BD3F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53F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雨水箅子</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B6B1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及时清理雨水篦子避免淤堵</w:t>
            </w:r>
          </w:p>
        </w:tc>
      </w:tr>
      <w:tr w14:paraId="26F8EAE6">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CF04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35485">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16A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扫雪铲冰</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1534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及时做好扫雪铲冰工作</w:t>
            </w:r>
          </w:p>
        </w:tc>
      </w:tr>
      <w:tr w14:paraId="483B9550">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7BA1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w:t>
            </w:r>
          </w:p>
        </w:tc>
        <w:tc>
          <w:tcPr>
            <w:tcW w:w="1186" w:type="dxa"/>
            <w:vMerge w:val="restart"/>
            <w:tcBorders>
              <w:top w:val="single" w:color="000000" w:sz="4" w:space="0"/>
              <w:left w:val="single" w:color="000000" w:sz="4" w:space="0"/>
              <w:right w:val="single" w:color="000000" w:sz="4" w:space="0"/>
            </w:tcBorders>
            <w:shd w:val="clear" w:color="auto" w:fill="auto"/>
            <w:vAlign w:val="center"/>
          </w:tcPr>
          <w:p w14:paraId="1B5B295F">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地下车库</w:t>
            </w:r>
          </w:p>
          <w:p w14:paraId="17836BE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自行车棚</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2F9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C80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无尘土、无杂物，随时清理杂物、易燃物</w:t>
            </w:r>
          </w:p>
        </w:tc>
      </w:tr>
      <w:tr w14:paraId="31483DF4">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D0BB1">
            <w:pPr>
              <w:jc w:val="center"/>
              <w:rPr>
                <w:rFonts w:ascii="宋体" w:hAnsi="宋体" w:cs="宋体"/>
                <w:color w:val="000000"/>
                <w:szCs w:val="21"/>
              </w:rPr>
            </w:pPr>
          </w:p>
        </w:tc>
        <w:tc>
          <w:tcPr>
            <w:tcW w:w="1186" w:type="dxa"/>
            <w:vMerge w:val="continue"/>
            <w:tcBorders>
              <w:left w:val="single" w:color="000000" w:sz="4" w:space="0"/>
              <w:right w:val="single" w:color="000000" w:sz="4" w:space="0"/>
            </w:tcBorders>
            <w:shd w:val="clear" w:color="auto" w:fill="auto"/>
            <w:vAlign w:val="center"/>
          </w:tcPr>
          <w:p w14:paraId="3956CE6E">
            <w:pP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2DF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消防设施、道闸</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76A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无杂物、无积尘，确保车道畅通，保证消防安全</w:t>
            </w:r>
          </w:p>
        </w:tc>
      </w:tr>
      <w:tr w14:paraId="083E25E4">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84C14">
            <w:pPr>
              <w:jc w:val="center"/>
              <w:rPr>
                <w:rFonts w:ascii="宋体" w:hAnsi="宋体" w:cs="宋体"/>
                <w:color w:val="000000"/>
                <w:szCs w:val="21"/>
              </w:rPr>
            </w:pPr>
          </w:p>
        </w:tc>
        <w:tc>
          <w:tcPr>
            <w:tcW w:w="1186" w:type="dxa"/>
            <w:vMerge w:val="continue"/>
            <w:tcBorders>
              <w:left w:val="single" w:color="000000" w:sz="4" w:space="0"/>
              <w:bottom w:val="nil"/>
              <w:right w:val="single" w:color="000000" w:sz="4" w:space="0"/>
            </w:tcBorders>
            <w:shd w:val="clear" w:color="auto" w:fill="auto"/>
            <w:vAlign w:val="center"/>
          </w:tcPr>
          <w:p w14:paraId="6F593424">
            <w:pPr>
              <w:widowControl/>
              <w:jc w:val="left"/>
              <w:textAlignment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EEF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门面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0C87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无积水、无结块、无杂物</w:t>
            </w:r>
          </w:p>
        </w:tc>
      </w:tr>
      <w:tr w14:paraId="5AFB673D">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04208">
            <w:pPr>
              <w:jc w:val="center"/>
              <w:rPr>
                <w:rFonts w:ascii="宋体" w:hAnsi="宋体" w:cs="宋体"/>
                <w:color w:val="000000"/>
                <w:szCs w:val="21"/>
              </w:rPr>
            </w:pPr>
          </w:p>
        </w:tc>
        <w:tc>
          <w:tcPr>
            <w:tcW w:w="1186" w:type="dxa"/>
            <w:tcBorders>
              <w:top w:val="nil"/>
              <w:left w:val="single" w:color="000000" w:sz="4" w:space="0"/>
              <w:bottom w:val="single" w:color="000000" w:sz="4" w:space="0"/>
              <w:right w:val="single" w:color="000000" w:sz="4" w:space="0"/>
            </w:tcBorders>
            <w:shd w:val="clear" w:color="auto" w:fill="auto"/>
            <w:vAlign w:val="center"/>
          </w:tcPr>
          <w:p w14:paraId="45A2FB52">
            <w:pP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172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自行车棚</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484A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车辆摆放整齐，确保车道畅通，保证消防安全</w:t>
            </w:r>
          </w:p>
        </w:tc>
      </w:tr>
      <w:tr w14:paraId="27C8A093">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9E17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9</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85EF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平台</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露天花园</w:t>
            </w:r>
          </w:p>
        </w:tc>
        <w:tc>
          <w:tcPr>
            <w:tcW w:w="1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E026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平台</w:t>
            </w:r>
          </w:p>
        </w:tc>
        <w:tc>
          <w:tcPr>
            <w:tcW w:w="5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9A71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每周定期清理平台，保持雨漏畅通</w:t>
            </w:r>
          </w:p>
        </w:tc>
      </w:tr>
      <w:tr w14:paraId="6617D3B9">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D53C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043ED">
            <w:pPr>
              <w:jc w:val="center"/>
              <w:rPr>
                <w:rFonts w:ascii="宋体" w:hAnsi="宋体" w:cs="宋体"/>
                <w:color w:val="000000"/>
                <w:szCs w:val="21"/>
              </w:rPr>
            </w:pPr>
          </w:p>
        </w:tc>
        <w:tc>
          <w:tcPr>
            <w:tcW w:w="1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E821B">
            <w:pPr>
              <w:jc w:val="center"/>
              <w:rPr>
                <w:rFonts w:ascii="宋体" w:hAnsi="宋体" w:cs="宋体"/>
                <w:color w:val="000000"/>
                <w:szCs w:val="21"/>
              </w:rPr>
            </w:pPr>
          </w:p>
        </w:tc>
        <w:tc>
          <w:tcPr>
            <w:tcW w:w="5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9E21D">
            <w:pPr>
              <w:jc w:val="left"/>
              <w:rPr>
                <w:rFonts w:ascii="宋体" w:hAnsi="宋体" w:cs="宋体"/>
                <w:color w:val="000000"/>
                <w:szCs w:val="21"/>
              </w:rPr>
            </w:pPr>
          </w:p>
        </w:tc>
      </w:tr>
      <w:tr w14:paraId="1C2A16D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17C8C">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8D5E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275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露天花园</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53D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每天清理，保持干净，无杂物、无烟头</w:t>
            </w:r>
          </w:p>
        </w:tc>
      </w:tr>
      <w:tr w14:paraId="7092B1E0">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9933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10</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EDB83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浴室</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FEF3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CF2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无尘、无污渍、保持瓷砖明洁如新</w:t>
            </w:r>
          </w:p>
        </w:tc>
      </w:tr>
      <w:tr w14:paraId="57357CA1">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EBD4C">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32BCA">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190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A13C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无尘、无污渍、无纸屑、无水渍、保持瓷砖光亮清洁干净</w:t>
            </w:r>
          </w:p>
        </w:tc>
      </w:tr>
      <w:tr w14:paraId="12D40EE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E4AC3">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3751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06F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玻璃镜面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6830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无尘、无污渍、无水渍、无手印、无皂液、保持镜面明净</w:t>
            </w:r>
          </w:p>
        </w:tc>
      </w:tr>
      <w:tr w14:paraId="4386FC3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6E4F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C85F7">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9D9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电镀件</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224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保持无渍、无垢、并保持水流畅通无阻，瓷器明洁如新</w:t>
            </w:r>
          </w:p>
        </w:tc>
      </w:tr>
      <w:tr w14:paraId="164ACD14">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3E1CB">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5BE4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1BC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隔板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8E1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无污渍、痰渍、保持洁净</w:t>
            </w:r>
          </w:p>
        </w:tc>
      </w:tr>
      <w:tr w14:paraId="04AEC371">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9B64E">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CA351">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952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65C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无尘土、无污渍、无蜘蛛网</w:t>
            </w:r>
          </w:p>
        </w:tc>
      </w:tr>
      <w:tr w14:paraId="3B9D2AD8">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48BF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AA03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753F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B70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各种设备设施完好，发现损坏及时报修</w:t>
            </w:r>
          </w:p>
        </w:tc>
      </w:tr>
      <w:tr w14:paraId="4F650B9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2F961">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8D58E">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9ED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环境</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064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空气清新</w:t>
            </w:r>
          </w:p>
        </w:tc>
      </w:tr>
      <w:tr w14:paraId="50AEC3EB">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B794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11</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85577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体育场馆</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758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墙面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BCA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无尘、无污渍、保持瓷砖明洁如新</w:t>
            </w:r>
          </w:p>
        </w:tc>
      </w:tr>
      <w:tr w14:paraId="54A6E59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E43A3">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F019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D399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725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无尘、无污渍、无纸屑、无水渍、保持瓷砖光亮清洁干净，条凳摆放整齐</w:t>
            </w:r>
          </w:p>
        </w:tc>
      </w:tr>
      <w:tr w14:paraId="5BF448B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7F6B4">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6C341">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8F6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综合馆门前</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463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无尘、无污渍、无水渍、无手印、无皂液、保持镜面明净</w:t>
            </w:r>
          </w:p>
        </w:tc>
      </w:tr>
      <w:tr w14:paraId="608CE4E9">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64647">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565E3">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2AEC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楼梯间</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A7DD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保持楼梯及扶手干净、光亮、无痰迹、无污渍、无水迹</w:t>
            </w:r>
          </w:p>
        </w:tc>
      </w:tr>
      <w:tr w14:paraId="1D765A65">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29F0B">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3F8B">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291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公共通道走廊</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B93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无杂物，干净、光亮、无痰迹、无污渍、无水迹</w:t>
            </w:r>
          </w:p>
        </w:tc>
      </w:tr>
      <w:tr w14:paraId="0CAD815A">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E1D1D">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02370">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CE1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天花、灯罩</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2BBD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无尘土、无污渍、无蜘蛛网</w:t>
            </w:r>
          </w:p>
        </w:tc>
      </w:tr>
      <w:tr w14:paraId="78DB43ED">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D7719">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687D2">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82B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AD0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干净整洁，各种设备设施完好，发现损坏及时报修</w:t>
            </w:r>
          </w:p>
        </w:tc>
      </w:tr>
      <w:tr w14:paraId="30935283">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3F28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12</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6EB8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排水沟</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D9F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排水沟</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306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每月定期清理，保持通畅无阻，每日保持目视干净、无杂物、无积水、无堵塞、无异味</w:t>
            </w:r>
          </w:p>
        </w:tc>
      </w:tr>
      <w:tr w14:paraId="4910AC6E">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22D61">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13D16">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25E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下水道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762D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每月定期清理，保持通畅无阻，每日保持目视干净、无杂物、无积水、无堵塞、无异味</w:t>
            </w:r>
          </w:p>
        </w:tc>
      </w:tr>
      <w:tr w14:paraId="4EC7B579">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8E3D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13</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AED71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宿舍区域</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477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公共区域地面</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ABA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干净整洁，无杂物、无污渍、无水渍</w:t>
            </w:r>
          </w:p>
        </w:tc>
      </w:tr>
      <w:tr w14:paraId="41B4A7D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30282">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8895F">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F373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公共区域通道</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9C1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干净整洁，无杂物、无污渍、无水渍</w:t>
            </w:r>
          </w:p>
        </w:tc>
      </w:tr>
      <w:tr w14:paraId="7A40B997">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2BD98">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794AE">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207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公共区域洗漱间</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9DB2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干净整洁，无杂物、无污渍、无水渍</w:t>
            </w:r>
          </w:p>
        </w:tc>
      </w:tr>
      <w:tr w14:paraId="41D8230B">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83914">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3C04B">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793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公共区域卫生间</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C197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干净整洁，无杂物、无污渍、无水渍</w:t>
            </w:r>
          </w:p>
        </w:tc>
      </w:tr>
      <w:tr w14:paraId="3D2024D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48DCB">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26F3C">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AE31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垃圾箱桶</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E04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无污渍、无痰渍、无尘渍，垃圾日产日清，无堆积</w:t>
            </w:r>
          </w:p>
        </w:tc>
      </w:tr>
      <w:tr w14:paraId="334AB042">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88FFA">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663E7">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0CC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设备设施</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B829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光亮、无污渍</w:t>
            </w:r>
          </w:p>
        </w:tc>
      </w:tr>
      <w:tr w14:paraId="025534DA">
        <w:tblPrEx>
          <w:tblCellMar>
            <w:top w:w="0" w:type="dxa"/>
            <w:left w:w="108" w:type="dxa"/>
            <w:bottom w:w="0" w:type="dxa"/>
            <w:right w:w="108" w:type="dxa"/>
          </w:tblCellMar>
        </w:tblPrEx>
        <w:trPr>
          <w:trHeight w:val="454" w:hRule="atLeast"/>
          <w:jc w:val="center"/>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9D1F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14</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CF566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垃圾房、垃圾桶（车）、垃圾分类</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778C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垃圾桶（车）</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12E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无垃圾粘附物</w:t>
            </w:r>
          </w:p>
        </w:tc>
      </w:tr>
      <w:tr w14:paraId="3CC655BC">
        <w:tblPrEx>
          <w:tblCellMar>
            <w:top w:w="0" w:type="dxa"/>
            <w:left w:w="108" w:type="dxa"/>
            <w:bottom w:w="0" w:type="dxa"/>
            <w:right w:w="108" w:type="dxa"/>
          </w:tblCellMar>
        </w:tblPrEx>
        <w:trPr>
          <w:trHeight w:val="454" w:hRule="atLeast"/>
          <w:jc w:val="center"/>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E1B5C">
            <w:pPr>
              <w:jc w:val="center"/>
              <w:rPr>
                <w:rFonts w:ascii="宋体" w:hAnsi="宋体" w:cs="宋体"/>
                <w:color w:val="000000"/>
                <w:szCs w:val="21"/>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EEBA9">
            <w:pPr>
              <w:jc w:val="center"/>
              <w:rPr>
                <w:rFonts w:ascii="宋体" w:hAnsi="宋体" w:cs="宋体"/>
                <w:color w:val="000000"/>
                <w:szCs w:val="21"/>
              </w:rPr>
            </w:pP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830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垃圾房</w:t>
            </w:r>
          </w:p>
        </w:tc>
        <w:tc>
          <w:tcPr>
            <w:tcW w:w="5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523A3">
            <w:pPr>
              <w:widowControl/>
              <w:textAlignment w:val="center"/>
              <w:rPr>
                <w:rFonts w:ascii="宋体" w:hAnsi="宋体" w:cs="宋体"/>
                <w:color w:val="000000"/>
                <w:szCs w:val="21"/>
              </w:rPr>
            </w:pPr>
            <w:r>
              <w:rPr>
                <w:rFonts w:hint="eastAsia" w:ascii="宋体" w:hAnsi="宋体" w:cs="宋体"/>
                <w:color w:val="000000"/>
                <w:kern w:val="0"/>
                <w:szCs w:val="21"/>
                <w:lang w:bidi="ar"/>
              </w:rPr>
              <w:t>每天清洁垃圾房，保持地面干净、干燥、无异味，墙面无附着物，无污迹。垃圾桶（车）保持表面清洁、摆放整齐，按照相关规定做好垃圾分类处理工作，并按指定地点分类堆放。</w:t>
            </w:r>
          </w:p>
        </w:tc>
      </w:tr>
    </w:tbl>
    <w:p w14:paraId="11BBF6D7">
      <w:pPr>
        <w:adjustRightInd w:val="0"/>
        <w:snapToGrid w:val="0"/>
        <w:spacing w:line="480" w:lineRule="exact"/>
        <w:ind w:left="440"/>
        <w:rPr>
          <w:rFonts w:hint="eastAsia" w:ascii="Times New Roman" w:hAnsi="Times New Roman" w:eastAsia="宋体" w:cs="Times New Roman"/>
          <w:sz w:val="24"/>
          <w:lang w:val="zh-TW" w:eastAsia="zh-TW"/>
        </w:rPr>
      </w:pPr>
      <w:r>
        <w:rPr>
          <w:rFonts w:hint="eastAsia" w:ascii="Times New Roman" w:hAnsi="Times New Roman" w:eastAsia="宋体" w:cs="Times New Roman"/>
          <w:sz w:val="24"/>
          <w:lang w:val="zh-TW" w:eastAsia="zh-TW"/>
        </w:rPr>
        <w:t>1.报价应包含保洁人员费用、保洁用品、保洁耗材</w:t>
      </w:r>
      <w:r>
        <w:rPr>
          <w:rFonts w:hint="eastAsia" w:ascii="Times New Roman" w:hAnsi="Times New Roman" w:eastAsia="宋体" w:cs="Times New Roman"/>
          <w:sz w:val="24"/>
          <w:lang w:val="zh-TW" w:eastAsia="zh-CN"/>
        </w:rPr>
        <w:t>（</w:t>
      </w:r>
      <w:r>
        <w:rPr>
          <w:rFonts w:hint="eastAsia" w:ascii="Times New Roman" w:hAnsi="Times New Roman" w:eastAsia="宋体" w:cs="Times New Roman"/>
          <w:sz w:val="24"/>
          <w:lang w:val="en-US" w:eastAsia="zh-CN"/>
        </w:rPr>
        <w:t>不包含卫生间洗手液及擦手纸及卫生纸）</w:t>
      </w:r>
      <w:r>
        <w:rPr>
          <w:rFonts w:hint="eastAsia" w:ascii="Times New Roman" w:hAnsi="Times New Roman" w:eastAsia="宋体" w:cs="Times New Roman"/>
          <w:sz w:val="24"/>
          <w:lang w:val="zh-TW" w:eastAsia="zh-TW"/>
        </w:rPr>
        <w:t>等保洁服务放生的所有费用。</w:t>
      </w:r>
    </w:p>
    <w:p w14:paraId="72F9521F">
      <w:pPr>
        <w:adjustRightInd w:val="0"/>
        <w:snapToGrid w:val="0"/>
        <w:spacing w:line="480" w:lineRule="exact"/>
        <w:ind w:left="440"/>
        <w:rPr>
          <w:sz w:val="24"/>
          <w:lang w:val="zh-TW" w:eastAsia="zh-TW"/>
        </w:rPr>
      </w:pPr>
      <w:r>
        <w:rPr>
          <w:sz w:val="24"/>
        </w:rPr>
        <w:t>2</w:t>
      </w:r>
      <w:r>
        <w:rPr>
          <w:rFonts w:hint="eastAsia"/>
          <w:sz w:val="24"/>
        </w:rPr>
        <w:t>.</w:t>
      </w:r>
      <w:r>
        <w:rPr>
          <w:rFonts w:hint="eastAsia"/>
          <w:sz w:val="24"/>
          <w:lang w:val="zh-TW" w:eastAsia="zh-TW"/>
        </w:rPr>
        <w:t>卫生保洁所使用的清洗消毒消耗品无毒无害,符合环保卫生要求｡</w:t>
      </w:r>
    </w:p>
    <w:p w14:paraId="748A46AD">
      <w:pPr>
        <w:adjustRightInd w:val="0"/>
        <w:snapToGrid w:val="0"/>
        <w:spacing w:line="480" w:lineRule="exact"/>
        <w:ind w:left="440"/>
        <w:rPr>
          <w:rFonts w:hint="eastAsia"/>
          <w:lang w:val="en-US" w:eastAsia="zh-CN"/>
        </w:rPr>
      </w:pPr>
      <w:r>
        <w:rPr>
          <w:sz w:val="24"/>
        </w:rPr>
        <w:t>3</w:t>
      </w:r>
      <w:r>
        <w:rPr>
          <w:rFonts w:hint="eastAsia"/>
          <w:sz w:val="24"/>
        </w:rPr>
        <w:t>.按照相关规定做好垃圾分类处理工作，并按指定地点分类堆放。</w:t>
      </w:r>
    </w:p>
    <w:p w14:paraId="5C8E1BB5">
      <w:pPr>
        <w:pStyle w:val="5"/>
        <w:numPr>
          <w:ilvl w:val="0"/>
          <w:numId w:val="0"/>
        </w:numPr>
        <w:bidi w:val="0"/>
        <w:rPr>
          <w:rFonts w:hint="eastAsia"/>
          <w:lang w:val="en-US" w:eastAsia="zh-CN"/>
        </w:rPr>
      </w:pPr>
      <w:r>
        <w:rPr>
          <w:rFonts w:hint="eastAsia"/>
          <w:lang w:val="en-US" w:eastAsia="zh-CN"/>
        </w:rPr>
        <w:t>（六）绿化养护服务要求</w:t>
      </w:r>
    </w:p>
    <w:p w14:paraId="7EA789B3">
      <w:pPr>
        <w:pageBreakBefore w:val="0"/>
        <w:kinsoku/>
        <w:wordWrap w:val="0"/>
        <w:overflowPunct/>
        <w:bidi w:val="0"/>
        <w:spacing w:before="3" w:line="374" w:lineRule="auto"/>
        <w:ind w:left="0" w:leftChars="0" w:right="-13" w:rightChars="0" w:firstLine="544" w:firstLineChars="200"/>
        <w:rPr>
          <w:rFonts w:hint="default" w:ascii="宋体" w:hAnsi="宋体" w:eastAsia="宋体" w:cs="宋体"/>
          <w:spacing w:val="10"/>
          <w:sz w:val="24"/>
          <w:szCs w:val="24"/>
          <w:highlight w:val="none"/>
          <w:lang w:val="en-US" w:eastAsia="zh-CN"/>
        </w:rPr>
      </w:pPr>
      <w:r>
        <w:rPr>
          <w:rFonts w:hint="eastAsia" w:ascii="宋体" w:hAnsi="宋体" w:eastAsia="宋体" w:cs="宋体"/>
          <w:spacing w:val="16"/>
          <w:sz w:val="24"/>
          <w:szCs w:val="24"/>
          <w:highlight w:val="none"/>
          <w:lang w:val="en-US" w:eastAsia="zh-CN"/>
        </w:rPr>
        <w:t>1.</w:t>
      </w:r>
      <w:r>
        <w:rPr>
          <w:rFonts w:hint="eastAsia" w:ascii="宋体" w:hAnsi="宋体" w:eastAsia="宋体" w:cs="宋体"/>
          <w:spacing w:val="9"/>
          <w:sz w:val="24"/>
          <w:szCs w:val="24"/>
          <w:highlight w:val="none"/>
          <w:lang w:val="en-US" w:eastAsia="zh-CN"/>
        </w:rPr>
        <w:t>服务标准及范围</w:t>
      </w:r>
      <w:r>
        <w:rPr>
          <w:rFonts w:hint="eastAsia" w:ascii="宋体" w:hAnsi="宋体" w:eastAsia="宋体" w:cs="宋体"/>
          <w:spacing w:val="9"/>
          <w:sz w:val="24"/>
          <w:szCs w:val="24"/>
          <w:highlight w:val="none"/>
        </w:rPr>
        <w:t>：</w:t>
      </w:r>
      <w:r>
        <w:rPr>
          <w:rFonts w:hint="eastAsia" w:ascii="宋体" w:hAnsi="宋体" w:eastAsia="宋体" w:cs="宋体"/>
          <w:spacing w:val="10"/>
          <w:sz w:val="24"/>
          <w:szCs w:val="24"/>
          <w:highlight w:val="none"/>
          <w:lang w:val="en-US" w:eastAsia="zh-CN"/>
        </w:rPr>
        <w:t>对北京市大兴区第一中学西校区绿地（草坪、乔灌木、竹类、绿篱，色带，花卉、草皮等）进行日常养护，包括苗木浇水、施肥、修剪、病虫害防治、补种补栽等，适用的标准、规范包括国家、北京市、行业及政府相关管理部门现行的养护标准、规范及相关规定。对于同一类标准、规范以其最新版本或最新发布的为准。本项目采用“北京市城镇绿地养护管理分级质量”二级绿地养护标准，具体如下：</w:t>
      </w:r>
    </w:p>
    <w:tbl>
      <w:tblPr>
        <w:tblStyle w:val="14"/>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1189"/>
        <w:gridCol w:w="6002"/>
      </w:tblGrid>
      <w:tr w14:paraId="09C9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138" w:type="dxa"/>
            <w:noWrap w:val="0"/>
            <w:vAlign w:val="center"/>
          </w:tcPr>
          <w:p w14:paraId="18FAAB60">
            <w:pPr>
              <w:pStyle w:val="20"/>
              <w:ind w:left="0" w:leftChars="0" w:firstLine="0" w:firstLineChars="0"/>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序号</w:t>
            </w:r>
          </w:p>
        </w:tc>
        <w:tc>
          <w:tcPr>
            <w:tcW w:w="1189" w:type="dxa"/>
            <w:noWrap w:val="0"/>
            <w:vAlign w:val="center"/>
          </w:tcPr>
          <w:p w14:paraId="2B0348CF">
            <w:pPr>
              <w:pStyle w:val="20"/>
              <w:ind w:left="0" w:leftChars="0" w:firstLine="0" w:firstLineChars="0"/>
              <w:jc w:val="center"/>
              <w:rPr>
                <w:rFonts w:hint="eastAsia"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品种</w:t>
            </w:r>
            <w:r>
              <w:rPr>
                <w:rFonts w:hint="eastAsia" w:ascii="宋体" w:hAnsi="宋体" w:eastAsia="宋体" w:cs="宋体"/>
                <w:sz w:val="24"/>
                <w:szCs w:val="24"/>
                <w:highlight w:val="none"/>
                <w:vertAlign w:val="baseline"/>
                <w:lang w:val="en-US" w:eastAsia="zh-CN"/>
              </w:rPr>
              <w:t>分类</w:t>
            </w:r>
          </w:p>
        </w:tc>
        <w:tc>
          <w:tcPr>
            <w:tcW w:w="6002" w:type="dxa"/>
            <w:noWrap w:val="0"/>
            <w:vAlign w:val="center"/>
          </w:tcPr>
          <w:p w14:paraId="2E04FCED">
            <w:pPr>
              <w:pStyle w:val="20"/>
              <w:jc w:val="center"/>
              <w:rPr>
                <w:rFonts w:hint="eastAsia"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养护标准</w:t>
            </w:r>
          </w:p>
        </w:tc>
      </w:tr>
      <w:tr w14:paraId="7D04A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613CC9DD">
            <w:pPr>
              <w:pStyle w:val="20"/>
              <w:ind w:left="0" w:leftChars="0" w:firstLine="0" w:firstLineChars="0"/>
              <w:jc w:val="center"/>
              <w:rPr>
                <w:rFonts w:hint="eastAsia"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1</w:t>
            </w:r>
          </w:p>
        </w:tc>
        <w:tc>
          <w:tcPr>
            <w:tcW w:w="1189" w:type="dxa"/>
            <w:noWrap w:val="0"/>
            <w:vAlign w:val="center"/>
          </w:tcPr>
          <w:p w14:paraId="01D07CCD">
            <w:pPr>
              <w:pStyle w:val="20"/>
              <w:spacing w:line="240" w:lineRule="auto"/>
              <w:ind w:left="0" w:leftChars="0" w:firstLine="0" w:firstLineChars="0"/>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绿地</w:t>
            </w:r>
          </w:p>
        </w:tc>
        <w:tc>
          <w:tcPr>
            <w:tcW w:w="6002" w:type="dxa"/>
            <w:noWrap w:val="0"/>
            <w:vAlign w:val="top"/>
          </w:tcPr>
          <w:p w14:paraId="2A82F7AC">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4F51278C">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（1）成坪高度应符合 GB/T 18247.7要求，基本平整；</w:t>
            </w:r>
          </w:p>
          <w:p w14:paraId="0944880A">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（2）修剪后基本无残留草屑，剪口基本无明显撕裂现象。</w:t>
            </w:r>
          </w:p>
          <w:p w14:paraId="4BC187A9">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2、生长势:生长基本良好</w:t>
            </w:r>
          </w:p>
          <w:p w14:paraId="4F4B7ADB">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3、排灌：草坪无明显失水萎蔫现象。</w:t>
            </w:r>
          </w:p>
          <w:p w14:paraId="444CDFCA">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4、有害生物防治:草坪草受害度≤10%</w:t>
            </w:r>
          </w:p>
          <w:p w14:paraId="7C213399">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5、绿色期：冷季型草不低于240d，暖季型草不少于160d。</w:t>
            </w:r>
          </w:p>
          <w:p w14:paraId="406B047D">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6、覆盖度：≥90%</w:t>
            </w:r>
          </w:p>
          <w:p w14:paraId="1B7B65C9">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7、补植完成时间：≤7d </w:t>
            </w:r>
          </w:p>
        </w:tc>
      </w:tr>
      <w:tr w14:paraId="7155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3B084F51">
            <w:pPr>
              <w:pStyle w:val="20"/>
              <w:spacing w:line="240" w:lineRule="auto"/>
              <w:ind w:left="0" w:leftChars="0" w:firstLine="0" w:firstLineChars="0"/>
              <w:jc w:val="center"/>
              <w:rPr>
                <w:rFonts w:hint="default"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2</w:t>
            </w:r>
          </w:p>
        </w:tc>
        <w:tc>
          <w:tcPr>
            <w:tcW w:w="1189" w:type="dxa"/>
            <w:noWrap w:val="0"/>
            <w:vAlign w:val="center"/>
          </w:tcPr>
          <w:p w14:paraId="72C9585C">
            <w:pPr>
              <w:pStyle w:val="20"/>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乔木</w:t>
            </w:r>
          </w:p>
        </w:tc>
        <w:tc>
          <w:tcPr>
            <w:tcW w:w="6002" w:type="dxa"/>
            <w:noWrap w:val="0"/>
            <w:vAlign w:val="top"/>
          </w:tcPr>
          <w:p w14:paraId="16272DFD">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5731D68D">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（1）树林、树丛具有基本完整的外貌，有一定的群落结构；</w:t>
            </w:r>
          </w:p>
          <w:p w14:paraId="464664C4">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（2）孤植树树形基本完美，树冠基本饱满；</w:t>
            </w:r>
          </w:p>
          <w:p w14:paraId="43DF8B02">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（3）行道树无死树，缺株≤8%，树冠基本统一，树干基本挺直；</w:t>
            </w:r>
          </w:p>
          <w:p w14:paraId="6D75D828">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（4）绿篱基本无缺株，修剪面平整饱</w:t>
            </w:r>
          </w:p>
          <w:p w14:paraId="217BADAF">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满，直线处平直，曲线处弧度圆润。</w:t>
            </w:r>
          </w:p>
          <w:p w14:paraId="36874F69">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2、生长势:植株生长量和色泽基本正常，观花、观果树种基本正常开花结果，无大型枯枝。</w:t>
            </w:r>
          </w:p>
          <w:p w14:paraId="1CCDB955">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3、排灌：植株失水或积水现象1d内消除。</w:t>
            </w:r>
          </w:p>
          <w:p w14:paraId="693A483D">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w:t>
            </w:r>
          </w:p>
          <w:p w14:paraId="2A48BC72">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（1）无严重危害状；</w:t>
            </w:r>
          </w:p>
          <w:p w14:paraId="7FFE33F7">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（2）枝叶受害率≤12%，树干受害率≤8%。</w:t>
            </w:r>
          </w:p>
          <w:p w14:paraId="5BFF4104">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5、补植完成时间：≤20d </w:t>
            </w:r>
          </w:p>
        </w:tc>
      </w:tr>
      <w:tr w14:paraId="058A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00A2524E">
            <w:pPr>
              <w:pStyle w:val="20"/>
              <w:spacing w:line="240" w:lineRule="auto"/>
              <w:ind w:left="0" w:leftChars="0" w:firstLine="0" w:firstLineChars="0"/>
              <w:jc w:val="center"/>
              <w:rPr>
                <w:rFonts w:hint="default" w:ascii="宋体"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3</w:t>
            </w:r>
          </w:p>
        </w:tc>
        <w:tc>
          <w:tcPr>
            <w:tcW w:w="1189" w:type="dxa"/>
            <w:noWrap w:val="0"/>
            <w:vAlign w:val="center"/>
          </w:tcPr>
          <w:p w14:paraId="01B717F4">
            <w:pPr>
              <w:pStyle w:val="20"/>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竹类</w:t>
            </w:r>
          </w:p>
        </w:tc>
        <w:tc>
          <w:tcPr>
            <w:tcW w:w="6002" w:type="dxa"/>
            <w:noWrap w:val="0"/>
            <w:vAlign w:val="top"/>
          </w:tcPr>
          <w:p w14:paraId="4782D075">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6FA92AF4">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（1）竹竿挺直，枝叶青翠；</w:t>
            </w:r>
          </w:p>
          <w:p w14:paraId="32C8D9B9">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（2）死竹及枯竹≤8%；</w:t>
            </w:r>
          </w:p>
          <w:p w14:paraId="38A56E7B">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（3）林相基本完整。</w:t>
            </w:r>
          </w:p>
          <w:p w14:paraId="3A9FE819">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w:t>
            </w:r>
          </w:p>
          <w:p w14:paraId="575A951F">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（1）植株生长良好；</w:t>
            </w:r>
          </w:p>
          <w:p w14:paraId="612C7204">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（2）竹鞭无明显裸露。</w:t>
            </w:r>
          </w:p>
          <w:p w14:paraId="386D0AA3">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3、排灌：植株失水萎蔫现象1d～2d内消除。</w:t>
            </w:r>
          </w:p>
          <w:p w14:paraId="2A4B2140">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w:t>
            </w:r>
          </w:p>
          <w:p w14:paraId="2D10AF5C">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（1）无严重危害状；</w:t>
            </w:r>
          </w:p>
          <w:p w14:paraId="4E9DEC3B">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（2）竹叶、竹梢、竹竿受害率控制在≤10%。</w:t>
            </w:r>
          </w:p>
        </w:tc>
      </w:tr>
      <w:tr w14:paraId="5C49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7E4D96E3">
            <w:pPr>
              <w:pStyle w:val="20"/>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4</w:t>
            </w:r>
          </w:p>
        </w:tc>
        <w:tc>
          <w:tcPr>
            <w:tcW w:w="1189" w:type="dxa"/>
            <w:noWrap w:val="0"/>
            <w:vAlign w:val="center"/>
          </w:tcPr>
          <w:p w14:paraId="42D698AA">
            <w:pPr>
              <w:pStyle w:val="20"/>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灌木</w:t>
            </w:r>
          </w:p>
        </w:tc>
        <w:tc>
          <w:tcPr>
            <w:tcW w:w="6002" w:type="dxa"/>
            <w:noWrap w:val="0"/>
            <w:vAlign w:val="top"/>
          </w:tcPr>
          <w:p w14:paraId="5068C4C5">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70238290">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（1）树林、树丛具有基本完整的外貌，有一定的群落结构；</w:t>
            </w:r>
          </w:p>
          <w:p w14:paraId="5F66E0F1">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（2）孤植树树形基本完美，树冠基本饱满；</w:t>
            </w:r>
          </w:p>
          <w:p w14:paraId="4C14BDF9">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（3）行道树无死树，缺株≤8%，树冠基本统一，树干基本挺直；</w:t>
            </w:r>
          </w:p>
          <w:p w14:paraId="1A18B99F">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（4）绿篱基本无缺株，修剪面平整饱</w:t>
            </w:r>
          </w:p>
          <w:p w14:paraId="4E966C0C">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满，直线处平直，曲线处弧度圆润。</w:t>
            </w:r>
          </w:p>
          <w:p w14:paraId="04707D40">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2、生长势:植株生长量和色泽基本正常，观花、观果树种基本正常开花结果，无大型枯枝。</w:t>
            </w:r>
          </w:p>
          <w:p w14:paraId="2765F455">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3、排灌：植株失水或积水现象1d内消除。</w:t>
            </w:r>
          </w:p>
          <w:p w14:paraId="7454DDA4">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w:t>
            </w:r>
          </w:p>
          <w:p w14:paraId="051C3105">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（1）无严重危害状；</w:t>
            </w:r>
          </w:p>
          <w:p w14:paraId="238D7636">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（2）枝叶受害率≤12%，树干受害率≤8%。</w:t>
            </w:r>
          </w:p>
          <w:p w14:paraId="7AF86B61">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5、补植完成时间：≤20d。</w:t>
            </w:r>
          </w:p>
        </w:tc>
      </w:tr>
      <w:tr w14:paraId="5DB4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6AD0517D">
            <w:pPr>
              <w:pStyle w:val="20"/>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5</w:t>
            </w:r>
          </w:p>
        </w:tc>
        <w:tc>
          <w:tcPr>
            <w:tcW w:w="1189" w:type="dxa"/>
            <w:noWrap w:val="0"/>
            <w:vAlign w:val="center"/>
          </w:tcPr>
          <w:p w14:paraId="7DD95183">
            <w:pPr>
              <w:pStyle w:val="20"/>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hAnsi="宋体" w:eastAsia="宋体" w:cs="宋体"/>
                <w:sz w:val="24"/>
                <w:szCs w:val="24"/>
                <w:highlight w:val="none"/>
                <w:vertAlign w:val="baseline"/>
                <w:lang w:val="en-US" w:eastAsia="zh-CN"/>
              </w:rPr>
              <w:t>植草(灌木）草坪</w:t>
            </w:r>
          </w:p>
        </w:tc>
        <w:tc>
          <w:tcPr>
            <w:tcW w:w="6002" w:type="dxa"/>
            <w:noWrap w:val="0"/>
            <w:vAlign w:val="top"/>
          </w:tcPr>
          <w:p w14:paraId="61F291EC">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7AD0E681">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（1）成坪高度应符合 GB/T 18247.7要求，基本平整；</w:t>
            </w:r>
          </w:p>
          <w:p w14:paraId="5392D8A6">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（2）修剪后基本无残留草屑，剪口基本无明显撕裂现象。</w:t>
            </w:r>
          </w:p>
          <w:p w14:paraId="5AAF9F7C">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2、生长势:生长基本良好</w:t>
            </w:r>
          </w:p>
          <w:p w14:paraId="457F1AB6">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3、排灌：草坪无明显失水萎蔫现象。</w:t>
            </w:r>
          </w:p>
          <w:p w14:paraId="79D04F84">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4、有害生物防治:草坪草受害度≤10%</w:t>
            </w:r>
          </w:p>
          <w:p w14:paraId="733223CC">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5、绿色期：冷季型草不低于240d，暖季型草不少于160d。</w:t>
            </w:r>
          </w:p>
          <w:p w14:paraId="56FAB1EA">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6、覆盖度：≥90%</w:t>
            </w:r>
          </w:p>
          <w:p w14:paraId="68EC5D75">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7、补植完成时间：≤7d </w:t>
            </w:r>
          </w:p>
        </w:tc>
      </w:tr>
      <w:tr w14:paraId="5743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5BA59AC3">
            <w:pPr>
              <w:pStyle w:val="20"/>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6</w:t>
            </w:r>
          </w:p>
        </w:tc>
        <w:tc>
          <w:tcPr>
            <w:tcW w:w="1189" w:type="dxa"/>
            <w:noWrap w:val="0"/>
            <w:vAlign w:val="center"/>
          </w:tcPr>
          <w:p w14:paraId="467570B8">
            <w:pPr>
              <w:pStyle w:val="20"/>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绿篱</w:t>
            </w:r>
          </w:p>
        </w:tc>
        <w:tc>
          <w:tcPr>
            <w:tcW w:w="6002" w:type="dxa"/>
            <w:noWrap w:val="0"/>
            <w:vAlign w:val="top"/>
          </w:tcPr>
          <w:p w14:paraId="31790B44">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长势丰满，叶色正常，保持整洁及良好的形状；</w:t>
            </w:r>
          </w:p>
          <w:p w14:paraId="0082ECA6">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及时修剪、补植，力求种类、规格等与原有的接近。</w:t>
            </w:r>
          </w:p>
        </w:tc>
      </w:tr>
      <w:tr w14:paraId="3F298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38A622D3">
            <w:pPr>
              <w:pStyle w:val="20"/>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7</w:t>
            </w:r>
          </w:p>
        </w:tc>
        <w:tc>
          <w:tcPr>
            <w:tcW w:w="1189" w:type="dxa"/>
            <w:noWrap w:val="0"/>
            <w:vAlign w:val="center"/>
          </w:tcPr>
          <w:p w14:paraId="26E8929F">
            <w:pPr>
              <w:pStyle w:val="20"/>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色带</w:t>
            </w:r>
          </w:p>
        </w:tc>
        <w:tc>
          <w:tcPr>
            <w:tcW w:w="6002" w:type="dxa"/>
            <w:noWrap w:val="0"/>
            <w:vAlign w:val="top"/>
          </w:tcPr>
          <w:p w14:paraId="21E07457">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长势丰满，叶色正常，保持整洁及良好的形状；</w:t>
            </w:r>
          </w:p>
          <w:p w14:paraId="4A9965EF">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及时修剪、补植，力求种类、规格等与原有的接近。</w:t>
            </w:r>
          </w:p>
        </w:tc>
      </w:tr>
      <w:tr w14:paraId="52CFB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38A93BFF">
            <w:pPr>
              <w:pStyle w:val="20"/>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8</w:t>
            </w:r>
          </w:p>
        </w:tc>
        <w:tc>
          <w:tcPr>
            <w:tcW w:w="1189" w:type="dxa"/>
            <w:noWrap w:val="0"/>
            <w:vAlign w:val="center"/>
          </w:tcPr>
          <w:p w14:paraId="3AE06674">
            <w:pPr>
              <w:pStyle w:val="20"/>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花卉</w:t>
            </w:r>
          </w:p>
        </w:tc>
        <w:tc>
          <w:tcPr>
            <w:tcW w:w="6002" w:type="dxa"/>
            <w:noWrap w:val="0"/>
            <w:vAlign w:val="top"/>
          </w:tcPr>
          <w:p w14:paraId="0AB34F68">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6D005D9C">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（1）缺株倒伏的花苗≤12%；</w:t>
            </w:r>
          </w:p>
          <w:p w14:paraId="02FAF1C1">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（2）枯枝、残花量≤8%。</w:t>
            </w:r>
          </w:p>
          <w:p w14:paraId="7384BA71">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2、花期：基本一致。</w:t>
            </w:r>
          </w:p>
          <w:p w14:paraId="0B28D964">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3、生长势</w:t>
            </w:r>
          </w:p>
          <w:p w14:paraId="6568DBE2">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（1）植株生长基本健壮；</w:t>
            </w:r>
          </w:p>
          <w:p w14:paraId="75DCE5FF">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（2）茎干粗壮，基部分枝强健，蓬径基本饱满；</w:t>
            </w:r>
          </w:p>
          <w:p w14:paraId="6A019807">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（3）株高基本一致。</w:t>
            </w:r>
          </w:p>
          <w:p w14:paraId="1AB2E73B">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4、排灌：植株基本无失水萎蔫现象。</w:t>
            </w:r>
          </w:p>
          <w:p w14:paraId="0D331C76">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5、有害生物防治</w:t>
            </w:r>
          </w:p>
          <w:p w14:paraId="565CE31E">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（1）无严重有害生物危害状；</w:t>
            </w:r>
          </w:p>
          <w:p w14:paraId="72F24F29">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（2）植株受害率≤10%。</w:t>
            </w:r>
          </w:p>
          <w:p w14:paraId="1D66107E">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6、覆盖度：≥90%</w:t>
            </w:r>
          </w:p>
          <w:p w14:paraId="5650A8FF">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7、补植完成时间：≤6d </w:t>
            </w:r>
          </w:p>
        </w:tc>
      </w:tr>
      <w:tr w14:paraId="2A6C6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138" w:type="dxa"/>
            <w:noWrap w:val="0"/>
            <w:vAlign w:val="center"/>
          </w:tcPr>
          <w:p w14:paraId="3C3CBB29">
            <w:pPr>
              <w:pStyle w:val="20"/>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9</w:t>
            </w:r>
          </w:p>
        </w:tc>
        <w:tc>
          <w:tcPr>
            <w:tcW w:w="1189" w:type="dxa"/>
            <w:noWrap w:val="0"/>
            <w:vAlign w:val="center"/>
          </w:tcPr>
          <w:p w14:paraId="6C2615D1">
            <w:pPr>
              <w:pStyle w:val="20"/>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攀缘植物</w:t>
            </w:r>
          </w:p>
        </w:tc>
        <w:tc>
          <w:tcPr>
            <w:tcW w:w="6002" w:type="dxa"/>
            <w:noWrap w:val="0"/>
            <w:vAlign w:val="top"/>
          </w:tcPr>
          <w:p w14:paraId="4EADECB9">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长势丰满，叶色正常，保持整洁及良好的形状；</w:t>
            </w:r>
          </w:p>
          <w:p w14:paraId="62C4D3C0">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及时修剪、补植，力求种类、规格等与原有的接近。</w:t>
            </w:r>
          </w:p>
        </w:tc>
      </w:tr>
      <w:tr w14:paraId="47D49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8" w:type="dxa"/>
            <w:noWrap w:val="0"/>
            <w:vAlign w:val="center"/>
          </w:tcPr>
          <w:p w14:paraId="60E62E10">
            <w:pPr>
              <w:pStyle w:val="20"/>
              <w:spacing w:line="240" w:lineRule="auto"/>
              <w:ind w:left="0" w:leftChars="0" w:firstLine="0" w:firstLineChars="0"/>
              <w:jc w:val="center"/>
              <w:rPr>
                <w:rFonts w:hint="default" w:hAnsi="宋体" w:eastAsia="宋体" w:cs="宋体"/>
                <w:sz w:val="24"/>
                <w:szCs w:val="24"/>
                <w:highlight w:val="none"/>
                <w:vertAlign w:val="baseline"/>
                <w:lang w:val="en-US" w:eastAsia="zh-CN"/>
              </w:rPr>
            </w:pPr>
            <w:r>
              <w:rPr>
                <w:rFonts w:hint="eastAsia" w:hAnsi="宋体" w:eastAsia="宋体" w:cs="宋体"/>
                <w:sz w:val="24"/>
                <w:szCs w:val="24"/>
                <w:highlight w:val="none"/>
                <w:vertAlign w:val="baseline"/>
                <w:lang w:val="en-US" w:eastAsia="zh-CN"/>
              </w:rPr>
              <w:t>10</w:t>
            </w:r>
          </w:p>
        </w:tc>
        <w:tc>
          <w:tcPr>
            <w:tcW w:w="1189" w:type="dxa"/>
            <w:noWrap w:val="0"/>
            <w:vAlign w:val="center"/>
          </w:tcPr>
          <w:p w14:paraId="1FF2B0D2">
            <w:pPr>
              <w:pStyle w:val="20"/>
              <w:spacing w:line="240" w:lineRule="auto"/>
              <w:ind w:left="0" w:leftChars="0" w:firstLine="0" w:firstLineChars="0"/>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草皮</w:t>
            </w:r>
          </w:p>
        </w:tc>
        <w:tc>
          <w:tcPr>
            <w:tcW w:w="6002" w:type="dxa"/>
            <w:noWrap w:val="0"/>
            <w:vAlign w:val="top"/>
          </w:tcPr>
          <w:p w14:paraId="55C9E8B1">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1、整体效果</w:t>
            </w:r>
          </w:p>
          <w:p w14:paraId="7FF99290">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（1）成坪高度应符合 GB/T 18247.7要求，基本平整；</w:t>
            </w:r>
          </w:p>
          <w:p w14:paraId="18B04223">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（2）修剪后基本无残留草屑，剪口基本无明显撕裂现象。</w:t>
            </w:r>
          </w:p>
          <w:p w14:paraId="019C6880">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2、生长势:生长基本良好</w:t>
            </w:r>
          </w:p>
          <w:p w14:paraId="6C3E71D9">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3、排灌：草坪无明显失水萎蔫现象。</w:t>
            </w:r>
          </w:p>
          <w:p w14:paraId="006E4252">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4、有害生物防治:草坪草受害度≤10%</w:t>
            </w:r>
          </w:p>
          <w:p w14:paraId="38BB47C0">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5、绿色期：冷季型草不低于240d，暖季型草不少于160d。</w:t>
            </w:r>
          </w:p>
          <w:p w14:paraId="5FBAE798">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6、覆盖度：≥90%</w:t>
            </w:r>
          </w:p>
          <w:p w14:paraId="17279751">
            <w:pPr>
              <w:pStyle w:val="20"/>
              <w:ind w:left="0" w:leftChars="0" w:firstLine="0" w:firstLineChars="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 xml:space="preserve">7、补植完成时间：≤7d </w:t>
            </w:r>
          </w:p>
        </w:tc>
      </w:tr>
    </w:tbl>
    <w:p w14:paraId="6EE201CD">
      <w:pPr>
        <w:pStyle w:val="20"/>
        <w:numPr>
          <w:ilvl w:val="0"/>
          <w:numId w:val="0"/>
        </w:numPr>
        <w:spacing w:line="360" w:lineRule="auto"/>
        <w:ind w:leftChars="100" w:firstLine="480" w:firstLineChars="200"/>
        <w:rPr>
          <w:rFonts w:hint="eastAsia" w:ascii="宋体" w:hAnsi="宋体" w:eastAsia="宋体" w:cs="宋体"/>
          <w:sz w:val="24"/>
          <w:szCs w:val="24"/>
          <w:highlight w:val="none"/>
          <w:lang w:val="en-US" w:eastAsia="zh-CN"/>
        </w:rPr>
      </w:pPr>
      <w:r>
        <w:rPr>
          <w:rFonts w:hint="eastAsia" w:hAnsi="宋体" w:eastAsia="宋体" w:cs="宋体"/>
          <w:sz w:val="24"/>
          <w:szCs w:val="24"/>
          <w:highlight w:val="none"/>
          <w:lang w:val="en-US" w:eastAsia="zh-CN"/>
        </w:rPr>
        <w:t>2.</w:t>
      </w:r>
      <w:r>
        <w:rPr>
          <w:rFonts w:hint="eastAsia" w:ascii="宋体" w:hAnsi="宋体" w:eastAsia="宋体" w:cs="宋体"/>
          <w:sz w:val="24"/>
          <w:szCs w:val="24"/>
          <w:highlight w:val="none"/>
          <w:lang w:val="en-US" w:eastAsia="zh-CN"/>
        </w:rPr>
        <w:t>服务内容：</w:t>
      </w:r>
    </w:p>
    <w:p w14:paraId="136D87E0">
      <w:pPr>
        <w:pStyle w:val="20"/>
        <w:numPr>
          <w:ilvl w:val="0"/>
          <w:numId w:val="2"/>
        </w:numPr>
        <w:spacing w:line="360" w:lineRule="auto"/>
        <w:ind w:left="827" w:leftChars="394" w:firstLine="12" w:firstLineChars="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绿地内的苗木、植物、花卉、草坪等均属于养护范围；</w:t>
      </w:r>
    </w:p>
    <w:p w14:paraId="5F7F9F6E">
      <w:pPr>
        <w:pStyle w:val="20"/>
        <w:numPr>
          <w:ilvl w:val="0"/>
          <w:numId w:val="2"/>
        </w:numPr>
        <w:spacing w:line="360" w:lineRule="auto"/>
        <w:ind w:left="827" w:leftChars="394" w:firstLine="12" w:firstLineChars="5"/>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养护内容包括修剪、打药、施肥、冬季防寒、一般性有害生物的防治等；</w:t>
      </w:r>
    </w:p>
    <w:p w14:paraId="7E4E1AAF">
      <w:pPr>
        <w:pStyle w:val="20"/>
        <w:numPr>
          <w:ilvl w:val="0"/>
          <w:numId w:val="2"/>
        </w:numPr>
        <w:spacing w:line="360" w:lineRule="auto"/>
        <w:ind w:left="827" w:leftChars="394" w:firstLine="12" w:firstLineChars="5"/>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其他日常养护工作。</w:t>
      </w:r>
    </w:p>
    <w:p w14:paraId="601D4145">
      <w:pPr>
        <w:pStyle w:val="5"/>
        <w:bidi w:val="0"/>
        <w:rPr>
          <w:rFonts w:hint="default"/>
          <w:lang w:val="en-US" w:eastAsia="zh-CN"/>
        </w:rPr>
      </w:pPr>
      <w:r>
        <w:rPr>
          <w:rFonts w:hint="eastAsia"/>
          <w:lang w:eastAsia="zh-CN"/>
        </w:rPr>
        <w:t>（</w:t>
      </w:r>
      <w:r>
        <w:rPr>
          <w:rFonts w:hint="eastAsia"/>
          <w:lang w:val="en-US" w:eastAsia="zh-CN"/>
        </w:rPr>
        <w:t>七</w:t>
      </w:r>
      <w:r>
        <w:rPr>
          <w:rFonts w:hint="eastAsia"/>
          <w:lang w:eastAsia="zh-CN"/>
        </w:rPr>
        <w:t>）</w:t>
      </w:r>
      <w:r>
        <w:rPr>
          <w:rFonts w:hint="eastAsia"/>
          <w:lang w:val="en-US" w:eastAsia="zh-CN"/>
        </w:rPr>
        <w:t>人员配置要求</w:t>
      </w:r>
    </w:p>
    <w:tbl>
      <w:tblPr>
        <w:tblStyle w:val="13"/>
        <w:tblW w:w="8897" w:type="dxa"/>
        <w:tblInd w:w="0" w:type="dxa"/>
        <w:tblLayout w:type="fixed"/>
        <w:tblCellMar>
          <w:top w:w="0" w:type="dxa"/>
          <w:left w:w="108" w:type="dxa"/>
          <w:bottom w:w="0" w:type="dxa"/>
          <w:right w:w="108" w:type="dxa"/>
        </w:tblCellMar>
      </w:tblPr>
      <w:tblGrid>
        <w:gridCol w:w="774"/>
        <w:gridCol w:w="1456"/>
        <w:gridCol w:w="1123"/>
        <w:gridCol w:w="4835"/>
        <w:gridCol w:w="709"/>
      </w:tblGrid>
      <w:tr w14:paraId="01D4B1D5">
        <w:tblPrEx>
          <w:tblCellMar>
            <w:top w:w="0" w:type="dxa"/>
            <w:left w:w="108" w:type="dxa"/>
            <w:bottom w:w="0" w:type="dxa"/>
            <w:right w:w="108" w:type="dxa"/>
          </w:tblCellMar>
        </w:tblPrEx>
        <w:trPr>
          <w:trHeight w:val="523" w:hRule="atLeast"/>
        </w:trPr>
        <w:tc>
          <w:tcPr>
            <w:tcW w:w="774" w:type="dxa"/>
            <w:tcBorders>
              <w:top w:val="single" w:color="auto" w:sz="4" w:space="0"/>
              <w:left w:val="single" w:color="auto" w:sz="4" w:space="0"/>
              <w:bottom w:val="single" w:color="auto" w:sz="4" w:space="0"/>
              <w:right w:val="single" w:color="auto" w:sz="4" w:space="0"/>
            </w:tcBorders>
            <w:noWrap/>
            <w:vAlign w:val="center"/>
          </w:tcPr>
          <w:p w14:paraId="29498835">
            <w:pPr>
              <w:widowControl/>
              <w:jc w:val="center"/>
              <w:rPr>
                <w:rFonts w:asciiTheme="minorEastAsia" w:hAnsiTheme="minorEastAsia" w:cstheme="minorEastAsia"/>
                <w:kern w:val="0"/>
                <w:sz w:val="24"/>
                <w:szCs w:val="24"/>
              </w:rPr>
            </w:pPr>
            <w:r>
              <w:rPr>
                <w:rFonts w:hint="eastAsia" w:asciiTheme="minorEastAsia" w:hAnsiTheme="minorEastAsia" w:eastAsiaTheme="minorEastAsia" w:cstheme="minorEastAsia"/>
                <w:kern w:val="0"/>
                <w:sz w:val="24"/>
                <w:szCs w:val="24"/>
              </w:rPr>
              <w:t>序号</w:t>
            </w:r>
          </w:p>
        </w:tc>
        <w:tc>
          <w:tcPr>
            <w:tcW w:w="1456" w:type="dxa"/>
            <w:tcBorders>
              <w:top w:val="single" w:color="auto" w:sz="4" w:space="0"/>
              <w:left w:val="nil"/>
              <w:bottom w:val="single" w:color="auto" w:sz="4" w:space="0"/>
              <w:right w:val="single" w:color="auto" w:sz="4" w:space="0"/>
            </w:tcBorders>
            <w:noWrap/>
            <w:vAlign w:val="center"/>
          </w:tcPr>
          <w:p w14:paraId="799EAAB9">
            <w:pPr>
              <w:widowControl/>
              <w:jc w:val="center"/>
              <w:rPr>
                <w:rFonts w:asciiTheme="minorEastAsia" w:hAnsiTheme="minorEastAsia" w:cstheme="minorEastAsia"/>
                <w:kern w:val="0"/>
                <w:sz w:val="24"/>
                <w:szCs w:val="24"/>
              </w:rPr>
            </w:pPr>
            <w:r>
              <w:rPr>
                <w:rFonts w:hint="eastAsia" w:asciiTheme="minorEastAsia" w:hAnsiTheme="minorEastAsia" w:eastAsiaTheme="minorEastAsia" w:cstheme="minorEastAsia"/>
                <w:kern w:val="0"/>
                <w:sz w:val="24"/>
                <w:szCs w:val="24"/>
              </w:rPr>
              <w:t>名称</w:t>
            </w:r>
          </w:p>
        </w:tc>
        <w:tc>
          <w:tcPr>
            <w:tcW w:w="1123" w:type="dxa"/>
            <w:tcBorders>
              <w:top w:val="single" w:color="auto" w:sz="4" w:space="0"/>
              <w:left w:val="nil"/>
              <w:bottom w:val="single" w:color="auto" w:sz="4" w:space="0"/>
              <w:right w:val="single" w:color="auto" w:sz="4" w:space="0"/>
            </w:tcBorders>
            <w:noWrap/>
            <w:vAlign w:val="center"/>
          </w:tcPr>
          <w:p w14:paraId="54A66FB1">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人员配置</w:t>
            </w:r>
          </w:p>
        </w:tc>
        <w:tc>
          <w:tcPr>
            <w:tcW w:w="4835" w:type="dxa"/>
            <w:tcBorders>
              <w:top w:val="single" w:color="auto" w:sz="4" w:space="0"/>
              <w:left w:val="nil"/>
              <w:bottom w:val="single" w:color="auto" w:sz="4" w:space="0"/>
              <w:right w:val="single" w:color="auto" w:sz="4" w:space="0"/>
            </w:tcBorders>
            <w:noWrap/>
            <w:vAlign w:val="center"/>
          </w:tcPr>
          <w:p w14:paraId="2704AB2A">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人员要求</w:t>
            </w:r>
          </w:p>
        </w:tc>
        <w:tc>
          <w:tcPr>
            <w:tcW w:w="709" w:type="dxa"/>
            <w:tcBorders>
              <w:top w:val="single" w:color="auto" w:sz="4" w:space="0"/>
              <w:left w:val="nil"/>
              <w:bottom w:val="single" w:color="auto" w:sz="4" w:space="0"/>
              <w:right w:val="single" w:color="auto" w:sz="4" w:space="0"/>
            </w:tcBorders>
            <w:vAlign w:val="center"/>
          </w:tcPr>
          <w:p w14:paraId="718C6942">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备注</w:t>
            </w:r>
          </w:p>
        </w:tc>
      </w:tr>
      <w:tr w14:paraId="23A18262">
        <w:tblPrEx>
          <w:tblCellMar>
            <w:top w:w="0" w:type="dxa"/>
            <w:left w:w="108" w:type="dxa"/>
            <w:bottom w:w="0" w:type="dxa"/>
            <w:right w:w="108" w:type="dxa"/>
          </w:tblCellMar>
        </w:tblPrEx>
        <w:trPr>
          <w:trHeight w:val="523" w:hRule="atLeast"/>
        </w:trPr>
        <w:tc>
          <w:tcPr>
            <w:tcW w:w="774" w:type="dxa"/>
            <w:tcBorders>
              <w:top w:val="single" w:color="auto" w:sz="4" w:space="0"/>
              <w:left w:val="single" w:color="auto" w:sz="4" w:space="0"/>
              <w:bottom w:val="single" w:color="auto" w:sz="4" w:space="0"/>
              <w:right w:val="single" w:color="auto" w:sz="4" w:space="0"/>
            </w:tcBorders>
            <w:noWrap/>
            <w:vAlign w:val="center"/>
          </w:tcPr>
          <w:p w14:paraId="6B83E3D8">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1456" w:type="dxa"/>
            <w:tcBorders>
              <w:top w:val="single" w:color="auto" w:sz="4" w:space="0"/>
              <w:left w:val="nil"/>
              <w:bottom w:val="single" w:color="auto" w:sz="4" w:space="0"/>
              <w:right w:val="single" w:color="auto" w:sz="4" w:space="0"/>
            </w:tcBorders>
            <w:noWrap/>
            <w:vAlign w:val="center"/>
          </w:tcPr>
          <w:p w14:paraId="75EA758B">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管理人员</w:t>
            </w:r>
          </w:p>
        </w:tc>
        <w:tc>
          <w:tcPr>
            <w:tcW w:w="1123" w:type="dxa"/>
            <w:tcBorders>
              <w:top w:val="single" w:color="auto" w:sz="4" w:space="0"/>
              <w:left w:val="nil"/>
              <w:bottom w:val="single" w:color="auto" w:sz="4" w:space="0"/>
              <w:right w:val="single" w:color="auto" w:sz="4" w:space="0"/>
            </w:tcBorders>
            <w:noWrap/>
            <w:vAlign w:val="center"/>
          </w:tcPr>
          <w:p w14:paraId="3D6C414A">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2</w:t>
            </w:r>
            <w:r>
              <w:rPr>
                <w:rFonts w:hint="eastAsia" w:asciiTheme="minorEastAsia" w:hAnsiTheme="minorEastAsia" w:eastAsiaTheme="minorEastAsia" w:cstheme="minorEastAsia"/>
                <w:kern w:val="0"/>
                <w:sz w:val="24"/>
                <w:szCs w:val="24"/>
              </w:rPr>
              <w:t>人</w:t>
            </w:r>
          </w:p>
        </w:tc>
        <w:tc>
          <w:tcPr>
            <w:tcW w:w="4835" w:type="dxa"/>
            <w:tcBorders>
              <w:top w:val="single" w:color="auto" w:sz="4" w:space="0"/>
              <w:left w:val="nil"/>
              <w:bottom w:val="single" w:color="auto" w:sz="4" w:space="0"/>
              <w:right w:val="single" w:color="auto" w:sz="4" w:space="0"/>
            </w:tcBorders>
            <w:noWrap/>
            <w:vAlign w:val="center"/>
          </w:tcPr>
          <w:p w14:paraId="056BA299">
            <w:pPr>
              <w:widowControl/>
              <w:spacing w:line="240" w:lineRule="auto"/>
              <w:jc w:val="center"/>
              <w:rPr>
                <w:rFonts w:asciiTheme="minorEastAsia" w:hAnsiTheme="minorEastAsia" w:eastAsiaTheme="minorEastAsia" w:cstheme="minorEastAsia"/>
                <w:kern w:val="0"/>
                <w:sz w:val="24"/>
                <w:szCs w:val="24"/>
              </w:rPr>
            </w:pPr>
            <w:r>
              <w:rPr>
                <w:rFonts w:hint="eastAsia" w:ascii="宋体" w:hAnsi="宋体" w:cs="宋体"/>
                <w:sz w:val="24"/>
                <w:szCs w:val="24"/>
              </w:rPr>
              <w:t>具有五年以上相应职位的工作经验，熟悉房屋、水、电维修工作，精通设备、工程项目管理和各类机电设备的工作原理，有很好的故障排查能力，能够很好的组织落实设备维护、日常运行、维修的管理工作。</w:t>
            </w:r>
          </w:p>
        </w:tc>
        <w:tc>
          <w:tcPr>
            <w:tcW w:w="709" w:type="dxa"/>
            <w:tcBorders>
              <w:top w:val="single" w:color="auto" w:sz="4" w:space="0"/>
              <w:left w:val="nil"/>
              <w:bottom w:val="single" w:color="auto" w:sz="4" w:space="0"/>
              <w:right w:val="single" w:color="auto" w:sz="4" w:space="0"/>
            </w:tcBorders>
            <w:vAlign w:val="center"/>
          </w:tcPr>
          <w:p w14:paraId="1A327217">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含1名经理</w:t>
            </w:r>
          </w:p>
        </w:tc>
      </w:tr>
      <w:tr w14:paraId="6D20E54A">
        <w:tblPrEx>
          <w:tblCellMar>
            <w:top w:w="0" w:type="dxa"/>
            <w:left w:w="108" w:type="dxa"/>
            <w:bottom w:w="0" w:type="dxa"/>
            <w:right w:w="108" w:type="dxa"/>
          </w:tblCellMar>
        </w:tblPrEx>
        <w:trPr>
          <w:trHeight w:val="979" w:hRule="atLeast"/>
        </w:trPr>
        <w:tc>
          <w:tcPr>
            <w:tcW w:w="774" w:type="dxa"/>
            <w:tcBorders>
              <w:top w:val="nil"/>
              <w:left w:val="single" w:color="auto" w:sz="4" w:space="0"/>
              <w:bottom w:val="single" w:color="auto" w:sz="4" w:space="0"/>
              <w:right w:val="single" w:color="auto" w:sz="4" w:space="0"/>
            </w:tcBorders>
            <w:noWrap/>
            <w:vAlign w:val="center"/>
          </w:tcPr>
          <w:p w14:paraId="1022830A">
            <w:pPr>
              <w:widowControl/>
              <w:jc w:val="center"/>
              <w:rPr>
                <w:rFonts w:asciiTheme="minorEastAsia" w:hAnsiTheme="minorEastAsia" w:cstheme="minorEastAsia"/>
                <w:kern w:val="0"/>
                <w:sz w:val="24"/>
                <w:szCs w:val="24"/>
              </w:rPr>
            </w:pPr>
            <w:r>
              <w:rPr>
                <w:rFonts w:asciiTheme="minorEastAsia" w:hAnsiTheme="minorEastAsia" w:eastAsiaTheme="minorEastAsia" w:cstheme="minorEastAsia"/>
                <w:kern w:val="0"/>
                <w:sz w:val="24"/>
                <w:szCs w:val="24"/>
              </w:rPr>
              <w:t>2</w:t>
            </w:r>
          </w:p>
        </w:tc>
        <w:tc>
          <w:tcPr>
            <w:tcW w:w="1456" w:type="dxa"/>
            <w:tcBorders>
              <w:top w:val="nil"/>
              <w:left w:val="nil"/>
              <w:bottom w:val="single" w:color="auto" w:sz="4" w:space="0"/>
              <w:right w:val="single" w:color="auto" w:sz="4" w:space="0"/>
            </w:tcBorders>
            <w:noWrap/>
            <w:vAlign w:val="center"/>
          </w:tcPr>
          <w:p w14:paraId="7DD2A3FF">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lang w:val="en-US" w:eastAsia="zh-CN"/>
              </w:rPr>
              <w:t>综合</w:t>
            </w:r>
            <w:r>
              <w:rPr>
                <w:rFonts w:hint="eastAsia" w:asciiTheme="minorEastAsia" w:hAnsiTheme="minorEastAsia" w:cstheme="minorEastAsia"/>
                <w:kern w:val="0"/>
                <w:sz w:val="24"/>
                <w:szCs w:val="24"/>
              </w:rPr>
              <w:t>维修工</w:t>
            </w:r>
          </w:p>
        </w:tc>
        <w:tc>
          <w:tcPr>
            <w:tcW w:w="1123" w:type="dxa"/>
            <w:tcBorders>
              <w:top w:val="nil"/>
              <w:left w:val="nil"/>
              <w:bottom w:val="single" w:color="auto" w:sz="4" w:space="0"/>
              <w:right w:val="single" w:color="auto" w:sz="4" w:space="0"/>
            </w:tcBorders>
            <w:noWrap/>
            <w:vAlign w:val="center"/>
          </w:tcPr>
          <w:p w14:paraId="1ABCF898">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lang w:val="en-US" w:eastAsia="zh-CN"/>
              </w:rPr>
              <w:t>4</w:t>
            </w:r>
            <w:r>
              <w:rPr>
                <w:rFonts w:hint="eastAsia" w:asciiTheme="minorEastAsia" w:hAnsiTheme="minorEastAsia" w:cstheme="minorEastAsia"/>
                <w:kern w:val="0"/>
                <w:sz w:val="24"/>
                <w:szCs w:val="24"/>
              </w:rPr>
              <w:t>人</w:t>
            </w:r>
          </w:p>
        </w:tc>
        <w:tc>
          <w:tcPr>
            <w:tcW w:w="4835" w:type="dxa"/>
            <w:tcBorders>
              <w:top w:val="nil"/>
              <w:left w:val="nil"/>
              <w:bottom w:val="single" w:color="auto" w:sz="4" w:space="0"/>
              <w:right w:val="single" w:color="auto" w:sz="4" w:space="0"/>
            </w:tcBorders>
            <w:noWrap/>
            <w:vAlign w:val="center"/>
          </w:tcPr>
          <w:p w14:paraId="70E2D1BD">
            <w:pPr>
              <w:snapToGrid w:val="0"/>
              <w:spacing w:line="240" w:lineRule="auto"/>
              <w:jc w:val="center"/>
              <w:rPr>
                <w:rFonts w:asciiTheme="minorEastAsia" w:hAnsiTheme="minorEastAsia" w:cstheme="minorEastAsia"/>
                <w:kern w:val="0"/>
                <w:sz w:val="24"/>
                <w:szCs w:val="24"/>
              </w:rPr>
            </w:pPr>
            <w:r>
              <w:rPr>
                <w:rFonts w:hint="eastAsia" w:ascii="宋体" w:hAnsi="宋体" w:cs="宋体"/>
                <w:sz w:val="24"/>
                <w:szCs w:val="24"/>
              </w:rPr>
              <w:t>具有五年以上工作经验及管理经验；须持有特种作业操作证；具有良好的身体素质；文明上岗，统一着装，标志明显；公司应配备随身工具。</w:t>
            </w:r>
          </w:p>
        </w:tc>
        <w:tc>
          <w:tcPr>
            <w:tcW w:w="709" w:type="dxa"/>
            <w:tcBorders>
              <w:top w:val="nil"/>
              <w:left w:val="nil"/>
              <w:bottom w:val="single" w:color="auto" w:sz="4" w:space="0"/>
              <w:right w:val="single" w:color="auto" w:sz="4" w:space="0"/>
            </w:tcBorders>
            <w:vAlign w:val="center"/>
          </w:tcPr>
          <w:p w14:paraId="038B579C">
            <w:pPr>
              <w:widowControl/>
              <w:jc w:val="center"/>
              <w:rPr>
                <w:rFonts w:asciiTheme="minorEastAsia" w:hAnsiTheme="minorEastAsia" w:cstheme="minorEastAsia"/>
                <w:kern w:val="0"/>
                <w:sz w:val="24"/>
                <w:szCs w:val="24"/>
              </w:rPr>
            </w:pPr>
          </w:p>
        </w:tc>
      </w:tr>
      <w:tr w14:paraId="52A187A1">
        <w:tblPrEx>
          <w:tblCellMar>
            <w:top w:w="0" w:type="dxa"/>
            <w:left w:w="108" w:type="dxa"/>
            <w:bottom w:w="0" w:type="dxa"/>
            <w:right w:w="108" w:type="dxa"/>
          </w:tblCellMar>
        </w:tblPrEx>
        <w:trPr>
          <w:trHeight w:val="270" w:hRule="atLeast"/>
        </w:trPr>
        <w:tc>
          <w:tcPr>
            <w:tcW w:w="774" w:type="dxa"/>
            <w:tcBorders>
              <w:top w:val="nil"/>
              <w:left w:val="single" w:color="auto" w:sz="4" w:space="0"/>
              <w:bottom w:val="single" w:color="auto" w:sz="4" w:space="0"/>
              <w:right w:val="single" w:color="auto" w:sz="4" w:space="0"/>
            </w:tcBorders>
            <w:noWrap/>
            <w:vAlign w:val="center"/>
          </w:tcPr>
          <w:p w14:paraId="731242AC">
            <w:pPr>
              <w:widowControl/>
              <w:jc w:val="center"/>
              <w:rPr>
                <w:rFonts w:asciiTheme="minorEastAsia" w:hAnsiTheme="minorEastAsia" w:cstheme="minorEastAsia"/>
                <w:kern w:val="0"/>
                <w:sz w:val="24"/>
                <w:szCs w:val="24"/>
              </w:rPr>
            </w:pPr>
            <w:r>
              <w:rPr>
                <w:rFonts w:asciiTheme="minorEastAsia" w:hAnsiTheme="minorEastAsia" w:eastAsiaTheme="minorEastAsia" w:cstheme="minorEastAsia"/>
                <w:kern w:val="0"/>
                <w:sz w:val="24"/>
                <w:szCs w:val="24"/>
              </w:rPr>
              <w:t>3</w:t>
            </w:r>
          </w:p>
        </w:tc>
        <w:tc>
          <w:tcPr>
            <w:tcW w:w="1456" w:type="dxa"/>
            <w:tcBorders>
              <w:top w:val="nil"/>
              <w:left w:val="nil"/>
              <w:bottom w:val="single" w:color="auto" w:sz="4" w:space="0"/>
              <w:right w:val="single" w:color="auto" w:sz="4" w:space="0"/>
            </w:tcBorders>
            <w:noWrap/>
            <w:vAlign w:val="center"/>
          </w:tcPr>
          <w:p w14:paraId="7E12B1FC">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电工</w:t>
            </w:r>
          </w:p>
        </w:tc>
        <w:tc>
          <w:tcPr>
            <w:tcW w:w="1123" w:type="dxa"/>
            <w:tcBorders>
              <w:top w:val="nil"/>
              <w:left w:val="nil"/>
              <w:bottom w:val="single" w:color="auto" w:sz="4" w:space="0"/>
              <w:right w:val="single" w:color="auto" w:sz="4" w:space="0"/>
            </w:tcBorders>
            <w:noWrap/>
            <w:vAlign w:val="center"/>
          </w:tcPr>
          <w:p w14:paraId="52872B71">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rPr>
              <w:t>2人</w:t>
            </w:r>
          </w:p>
        </w:tc>
        <w:tc>
          <w:tcPr>
            <w:tcW w:w="4835" w:type="dxa"/>
            <w:tcBorders>
              <w:top w:val="nil"/>
              <w:left w:val="nil"/>
              <w:bottom w:val="single" w:color="auto" w:sz="4" w:space="0"/>
              <w:right w:val="single" w:color="auto" w:sz="4" w:space="0"/>
            </w:tcBorders>
            <w:noWrap/>
            <w:vAlign w:val="center"/>
          </w:tcPr>
          <w:p w14:paraId="058ABBA7">
            <w:pPr>
              <w:widowControl/>
              <w:jc w:val="center"/>
              <w:rPr>
                <w:rFonts w:asciiTheme="minorEastAsia" w:hAnsiTheme="minorEastAsia" w:cstheme="minorEastAsia"/>
                <w:kern w:val="0"/>
                <w:sz w:val="24"/>
                <w:szCs w:val="24"/>
              </w:rPr>
            </w:pPr>
            <w:r>
              <w:rPr>
                <w:rFonts w:hint="eastAsia" w:ascii="宋体" w:hAnsi="宋体" w:cs="宋体"/>
                <w:sz w:val="24"/>
                <w:szCs w:val="24"/>
              </w:rPr>
              <w:t>具有五年以上工作经验及管理经验；须持有特种作业操作证；具有良好的身体素质；文明上岗，统一着装，标志明显；公司应配备随身工具。</w:t>
            </w:r>
          </w:p>
        </w:tc>
        <w:tc>
          <w:tcPr>
            <w:tcW w:w="709" w:type="dxa"/>
            <w:tcBorders>
              <w:top w:val="nil"/>
              <w:left w:val="nil"/>
              <w:bottom w:val="single" w:color="auto" w:sz="4" w:space="0"/>
              <w:right w:val="single" w:color="auto" w:sz="4" w:space="0"/>
            </w:tcBorders>
            <w:vAlign w:val="center"/>
          </w:tcPr>
          <w:p w14:paraId="6073920A">
            <w:pPr>
              <w:widowControl/>
              <w:jc w:val="center"/>
              <w:rPr>
                <w:rFonts w:asciiTheme="minorEastAsia" w:hAnsiTheme="minorEastAsia" w:cstheme="minorEastAsia"/>
                <w:kern w:val="0"/>
                <w:sz w:val="24"/>
                <w:szCs w:val="24"/>
              </w:rPr>
            </w:pPr>
          </w:p>
        </w:tc>
      </w:tr>
      <w:tr w14:paraId="10F306B9">
        <w:tblPrEx>
          <w:tblCellMar>
            <w:top w:w="0" w:type="dxa"/>
            <w:left w:w="108" w:type="dxa"/>
            <w:bottom w:w="0" w:type="dxa"/>
            <w:right w:w="108" w:type="dxa"/>
          </w:tblCellMar>
        </w:tblPrEx>
        <w:trPr>
          <w:trHeight w:val="540" w:hRule="atLeast"/>
        </w:trPr>
        <w:tc>
          <w:tcPr>
            <w:tcW w:w="774" w:type="dxa"/>
            <w:tcBorders>
              <w:top w:val="nil"/>
              <w:left w:val="single" w:color="auto" w:sz="4" w:space="0"/>
              <w:bottom w:val="single" w:color="auto" w:sz="4" w:space="0"/>
              <w:right w:val="single" w:color="auto" w:sz="4" w:space="0"/>
            </w:tcBorders>
            <w:noWrap/>
            <w:vAlign w:val="center"/>
          </w:tcPr>
          <w:p w14:paraId="5D6BA10E">
            <w:pPr>
              <w:widowControl/>
              <w:jc w:val="center"/>
              <w:rPr>
                <w:rFonts w:asciiTheme="minorEastAsia" w:hAnsiTheme="minorEastAsia" w:cstheme="minorEastAsia"/>
                <w:kern w:val="0"/>
                <w:sz w:val="24"/>
                <w:szCs w:val="24"/>
              </w:rPr>
            </w:pPr>
            <w:r>
              <w:rPr>
                <w:rFonts w:asciiTheme="minorEastAsia" w:hAnsiTheme="minorEastAsia" w:eastAsiaTheme="minorEastAsia" w:cstheme="minorEastAsia"/>
                <w:kern w:val="0"/>
                <w:sz w:val="24"/>
                <w:szCs w:val="24"/>
              </w:rPr>
              <w:t>4</w:t>
            </w:r>
          </w:p>
        </w:tc>
        <w:tc>
          <w:tcPr>
            <w:tcW w:w="1456" w:type="dxa"/>
            <w:tcBorders>
              <w:top w:val="nil"/>
              <w:left w:val="nil"/>
              <w:bottom w:val="single" w:color="auto" w:sz="4" w:space="0"/>
              <w:right w:val="single" w:color="auto" w:sz="4" w:space="0"/>
            </w:tcBorders>
            <w:noWrap/>
            <w:vAlign w:val="center"/>
          </w:tcPr>
          <w:p w14:paraId="474BC4AC">
            <w:pPr>
              <w:widowControl/>
              <w:jc w:val="center"/>
              <w:rPr>
                <w:rFonts w:hint="default" w:eastAsia="宋体" w:asciiTheme="minorEastAsia" w:hAnsi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水工</w:t>
            </w:r>
          </w:p>
        </w:tc>
        <w:tc>
          <w:tcPr>
            <w:tcW w:w="1123" w:type="dxa"/>
            <w:tcBorders>
              <w:top w:val="nil"/>
              <w:left w:val="nil"/>
              <w:bottom w:val="single" w:color="auto" w:sz="4" w:space="0"/>
              <w:right w:val="single" w:color="auto" w:sz="4" w:space="0"/>
            </w:tcBorders>
            <w:noWrap/>
            <w:vAlign w:val="center"/>
          </w:tcPr>
          <w:p w14:paraId="7E3EABB5">
            <w:pPr>
              <w:widowControl/>
              <w:jc w:val="center"/>
              <w:rPr>
                <w:rFonts w:asciiTheme="minorEastAsia" w:hAnsiTheme="minorEastAsia" w:cstheme="minorEastAsia"/>
                <w:kern w:val="0"/>
                <w:sz w:val="24"/>
                <w:szCs w:val="24"/>
              </w:rPr>
            </w:pPr>
            <w:r>
              <w:rPr>
                <w:rFonts w:hint="eastAsia" w:asciiTheme="minorEastAsia" w:hAnsiTheme="minorEastAsia" w:cstheme="minorEastAsia"/>
                <w:kern w:val="0"/>
                <w:sz w:val="24"/>
                <w:szCs w:val="24"/>
                <w:lang w:val="en-US" w:eastAsia="zh-CN"/>
              </w:rPr>
              <w:t>1</w:t>
            </w:r>
            <w:r>
              <w:rPr>
                <w:rFonts w:hint="eastAsia" w:asciiTheme="minorEastAsia" w:hAnsiTheme="minorEastAsia" w:cstheme="minorEastAsia"/>
                <w:kern w:val="0"/>
                <w:sz w:val="24"/>
                <w:szCs w:val="24"/>
              </w:rPr>
              <w:t>人</w:t>
            </w:r>
          </w:p>
        </w:tc>
        <w:tc>
          <w:tcPr>
            <w:tcW w:w="4835" w:type="dxa"/>
            <w:tcBorders>
              <w:top w:val="nil"/>
              <w:left w:val="nil"/>
              <w:bottom w:val="single" w:color="auto" w:sz="4" w:space="0"/>
              <w:right w:val="single" w:color="auto" w:sz="4" w:space="0"/>
            </w:tcBorders>
            <w:noWrap/>
            <w:vAlign w:val="center"/>
          </w:tcPr>
          <w:p w14:paraId="4EED531C">
            <w:pPr>
              <w:widowControl/>
              <w:jc w:val="center"/>
              <w:rPr>
                <w:rFonts w:asciiTheme="minorEastAsia" w:hAnsiTheme="minorEastAsia" w:cstheme="minorEastAsia"/>
                <w:kern w:val="0"/>
                <w:sz w:val="24"/>
                <w:szCs w:val="24"/>
              </w:rPr>
            </w:pPr>
            <w:r>
              <w:rPr>
                <w:rFonts w:hint="eastAsia" w:ascii="宋体" w:hAnsi="宋体" w:cs="宋体"/>
                <w:sz w:val="24"/>
                <w:szCs w:val="24"/>
              </w:rPr>
              <w:t>具有五年以上工作经验及管理经验；具有良好的身体素质；文明上岗，统一着装，标志明显；公司应配备随身工具。</w:t>
            </w:r>
          </w:p>
        </w:tc>
        <w:tc>
          <w:tcPr>
            <w:tcW w:w="709" w:type="dxa"/>
            <w:tcBorders>
              <w:top w:val="nil"/>
              <w:left w:val="nil"/>
              <w:bottom w:val="single" w:color="auto" w:sz="4" w:space="0"/>
              <w:right w:val="single" w:color="auto" w:sz="4" w:space="0"/>
            </w:tcBorders>
            <w:vAlign w:val="center"/>
          </w:tcPr>
          <w:p w14:paraId="012B1452">
            <w:pPr>
              <w:widowControl/>
              <w:jc w:val="center"/>
              <w:rPr>
                <w:rFonts w:asciiTheme="minorEastAsia" w:hAnsiTheme="minorEastAsia" w:cstheme="minorEastAsia"/>
                <w:kern w:val="0"/>
                <w:sz w:val="24"/>
                <w:szCs w:val="24"/>
              </w:rPr>
            </w:pPr>
          </w:p>
        </w:tc>
      </w:tr>
      <w:tr w14:paraId="792F0E23">
        <w:tblPrEx>
          <w:tblCellMar>
            <w:top w:w="0" w:type="dxa"/>
            <w:left w:w="108" w:type="dxa"/>
            <w:bottom w:w="0" w:type="dxa"/>
            <w:right w:w="108" w:type="dxa"/>
          </w:tblCellMar>
        </w:tblPrEx>
        <w:trPr>
          <w:trHeight w:val="540" w:hRule="atLeast"/>
        </w:trPr>
        <w:tc>
          <w:tcPr>
            <w:tcW w:w="774" w:type="dxa"/>
            <w:tcBorders>
              <w:top w:val="nil"/>
              <w:left w:val="single" w:color="auto" w:sz="4" w:space="0"/>
              <w:bottom w:val="single" w:color="auto" w:sz="4" w:space="0"/>
              <w:right w:val="single" w:color="auto" w:sz="4" w:space="0"/>
            </w:tcBorders>
            <w:noWrap/>
            <w:vAlign w:val="center"/>
          </w:tcPr>
          <w:p w14:paraId="432334CD">
            <w:pPr>
              <w:widowControl/>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1456" w:type="dxa"/>
            <w:tcBorders>
              <w:top w:val="nil"/>
              <w:left w:val="nil"/>
              <w:bottom w:val="single" w:color="auto" w:sz="4" w:space="0"/>
              <w:right w:val="single" w:color="auto" w:sz="4" w:space="0"/>
            </w:tcBorders>
            <w:noWrap/>
            <w:vAlign w:val="center"/>
          </w:tcPr>
          <w:p w14:paraId="5251CAEC">
            <w:pPr>
              <w:widowControl/>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电梯安全员</w:t>
            </w:r>
          </w:p>
        </w:tc>
        <w:tc>
          <w:tcPr>
            <w:tcW w:w="1123" w:type="dxa"/>
            <w:tcBorders>
              <w:top w:val="nil"/>
              <w:left w:val="nil"/>
              <w:bottom w:val="single" w:color="auto" w:sz="4" w:space="0"/>
              <w:right w:val="single" w:color="auto" w:sz="4" w:space="0"/>
            </w:tcBorders>
            <w:noWrap/>
            <w:vAlign w:val="center"/>
          </w:tcPr>
          <w:p w14:paraId="2A77CDEA">
            <w:pPr>
              <w:widowControl/>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1人</w:t>
            </w:r>
          </w:p>
        </w:tc>
        <w:tc>
          <w:tcPr>
            <w:tcW w:w="4835" w:type="dxa"/>
            <w:tcBorders>
              <w:top w:val="nil"/>
              <w:left w:val="nil"/>
              <w:bottom w:val="single" w:color="auto" w:sz="4" w:space="0"/>
              <w:right w:val="single" w:color="auto" w:sz="4" w:space="0"/>
            </w:tcBorders>
            <w:noWrap/>
            <w:vAlign w:val="center"/>
          </w:tcPr>
          <w:p w14:paraId="5A0C6B78">
            <w:pPr>
              <w:widowControl/>
              <w:jc w:val="center"/>
              <w:rPr>
                <w:rFonts w:hint="eastAsia" w:ascii="宋体" w:hAnsi="宋体" w:cs="宋体"/>
                <w:color w:val="FF0000"/>
                <w:sz w:val="24"/>
                <w:szCs w:val="24"/>
              </w:rPr>
            </w:pPr>
            <w:r>
              <w:rPr>
                <w:rFonts w:hint="eastAsia" w:ascii="宋体" w:hAnsi="宋体" w:eastAsia="宋体" w:cs="宋体"/>
                <w:sz w:val="24"/>
                <w:szCs w:val="24"/>
              </w:rPr>
              <w:t>具有五年以上工作经验及管理经验；须持有特种作业操作证；具有良好的身体素质；文明上岗，统一着装，标志明显；公司应配备随身工具。</w:t>
            </w:r>
          </w:p>
        </w:tc>
        <w:tc>
          <w:tcPr>
            <w:tcW w:w="709" w:type="dxa"/>
            <w:tcBorders>
              <w:top w:val="nil"/>
              <w:left w:val="nil"/>
              <w:bottom w:val="single" w:color="auto" w:sz="4" w:space="0"/>
              <w:right w:val="single" w:color="auto" w:sz="4" w:space="0"/>
            </w:tcBorders>
            <w:vAlign w:val="center"/>
          </w:tcPr>
          <w:p w14:paraId="1C4B1500">
            <w:pPr>
              <w:widowControl/>
              <w:jc w:val="center"/>
              <w:rPr>
                <w:rFonts w:asciiTheme="minorEastAsia" w:hAnsiTheme="minorEastAsia" w:cstheme="minorEastAsia"/>
                <w:kern w:val="0"/>
                <w:sz w:val="24"/>
                <w:szCs w:val="24"/>
              </w:rPr>
            </w:pPr>
          </w:p>
        </w:tc>
      </w:tr>
      <w:tr w14:paraId="7E69A7BA">
        <w:tblPrEx>
          <w:tblCellMar>
            <w:top w:w="0" w:type="dxa"/>
            <w:left w:w="108" w:type="dxa"/>
            <w:bottom w:w="0" w:type="dxa"/>
            <w:right w:w="108" w:type="dxa"/>
          </w:tblCellMar>
        </w:tblPrEx>
        <w:trPr>
          <w:trHeight w:val="540" w:hRule="atLeast"/>
        </w:trPr>
        <w:tc>
          <w:tcPr>
            <w:tcW w:w="774" w:type="dxa"/>
            <w:tcBorders>
              <w:top w:val="nil"/>
              <w:left w:val="single" w:color="auto" w:sz="4" w:space="0"/>
              <w:bottom w:val="single" w:color="auto" w:sz="4" w:space="0"/>
              <w:right w:val="single" w:color="auto" w:sz="4" w:space="0"/>
            </w:tcBorders>
            <w:noWrap/>
            <w:vAlign w:val="center"/>
          </w:tcPr>
          <w:p w14:paraId="01E73960">
            <w:pPr>
              <w:widowControl/>
              <w:jc w:val="center"/>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val="en-US" w:eastAsia="zh-CN"/>
              </w:rPr>
              <w:t>6</w:t>
            </w:r>
          </w:p>
        </w:tc>
        <w:tc>
          <w:tcPr>
            <w:tcW w:w="1456" w:type="dxa"/>
            <w:tcBorders>
              <w:top w:val="nil"/>
              <w:left w:val="nil"/>
              <w:bottom w:val="single" w:color="auto" w:sz="4" w:space="0"/>
              <w:right w:val="single" w:color="auto" w:sz="4" w:space="0"/>
            </w:tcBorders>
            <w:noWrap/>
            <w:vAlign w:val="center"/>
          </w:tcPr>
          <w:p w14:paraId="04C0CDFF">
            <w:pPr>
              <w:widowControl/>
              <w:jc w:val="center"/>
              <w:rPr>
                <w:rFonts w:hint="eastAsia" w:asciiTheme="minorEastAsia" w:hAnsiTheme="minorEastAsia" w:eastAsiaTheme="minorEastAsia" w:cstheme="minorEastAsia"/>
                <w:kern w:val="0"/>
                <w:sz w:val="24"/>
                <w:szCs w:val="24"/>
                <w:lang w:eastAsia="zh-CN"/>
              </w:rPr>
            </w:pPr>
          </w:p>
          <w:p w14:paraId="734EDDB6">
            <w:pPr>
              <w:pStyle w:val="11"/>
              <w:ind w:left="0" w:leftChars="0" w:firstLine="0" w:firstLineChars="0"/>
              <w:jc w:val="center"/>
              <w:rPr>
                <w:rFonts w:hint="default"/>
                <w:sz w:val="24"/>
                <w:szCs w:val="24"/>
                <w:lang w:val="en-US" w:eastAsia="zh-CN"/>
              </w:rPr>
            </w:pPr>
            <w:r>
              <w:rPr>
                <w:rFonts w:hint="eastAsia"/>
                <w:sz w:val="24"/>
                <w:szCs w:val="24"/>
                <w:lang w:val="en-US" w:eastAsia="zh-CN"/>
              </w:rPr>
              <w:t>保洁主管</w:t>
            </w:r>
          </w:p>
        </w:tc>
        <w:tc>
          <w:tcPr>
            <w:tcW w:w="1123" w:type="dxa"/>
            <w:tcBorders>
              <w:top w:val="nil"/>
              <w:left w:val="nil"/>
              <w:bottom w:val="single" w:color="auto" w:sz="4" w:space="0"/>
              <w:right w:val="single" w:color="auto" w:sz="4" w:space="0"/>
            </w:tcBorders>
            <w:noWrap/>
            <w:vAlign w:val="center"/>
          </w:tcPr>
          <w:p w14:paraId="2B7F0046">
            <w:pPr>
              <w:widowControl/>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1人</w:t>
            </w:r>
          </w:p>
        </w:tc>
        <w:tc>
          <w:tcPr>
            <w:tcW w:w="4835" w:type="dxa"/>
            <w:tcBorders>
              <w:top w:val="nil"/>
              <w:left w:val="nil"/>
              <w:bottom w:val="single" w:color="auto" w:sz="4" w:space="0"/>
              <w:right w:val="single" w:color="auto" w:sz="4" w:space="0"/>
            </w:tcBorders>
            <w:shd w:val="clear" w:color="auto" w:fill="auto"/>
            <w:noWrap/>
            <w:vAlign w:val="center"/>
          </w:tcPr>
          <w:p w14:paraId="41D28609">
            <w:pPr>
              <w:widowControl/>
              <w:jc w:val="center"/>
              <w:rPr>
                <w:rFonts w:hint="eastAsia" w:eastAsia="宋体" w:asciiTheme="minorEastAsia" w:hAnsiTheme="minorEastAsia" w:cstheme="minorEastAsia"/>
                <w:kern w:val="0"/>
                <w:sz w:val="24"/>
                <w:szCs w:val="24"/>
                <w:lang w:val="en-US" w:eastAsia="zh-CN" w:bidi="ar-SA"/>
              </w:rPr>
            </w:pPr>
            <w:r>
              <w:rPr>
                <w:rFonts w:hint="eastAsia" w:ascii="宋体" w:hAnsi="宋体" w:cs="宋体"/>
                <w:sz w:val="24"/>
                <w:szCs w:val="24"/>
              </w:rPr>
              <w:t>具有五年以上工作经验及管理经验；具有良好的身体素质；文明上岗，统一着装，标志明显</w:t>
            </w:r>
            <w:r>
              <w:rPr>
                <w:rFonts w:hint="eastAsia" w:ascii="宋体" w:hAnsi="宋体" w:cs="宋体"/>
                <w:sz w:val="24"/>
                <w:szCs w:val="24"/>
                <w:lang w:eastAsia="zh-CN"/>
              </w:rPr>
              <w:t>。</w:t>
            </w:r>
          </w:p>
        </w:tc>
        <w:tc>
          <w:tcPr>
            <w:tcW w:w="709" w:type="dxa"/>
            <w:tcBorders>
              <w:top w:val="nil"/>
              <w:left w:val="nil"/>
              <w:bottom w:val="single" w:color="auto" w:sz="4" w:space="0"/>
              <w:right w:val="single" w:color="auto" w:sz="4" w:space="0"/>
            </w:tcBorders>
            <w:vAlign w:val="center"/>
          </w:tcPr>
          <w:p w14:paraId="49A54906">
            <w:pPr>
              <w:widowControl/>
              <w:jc w:val="center"/>
              <w:rPr>
                <w:rFonts w:asciiTheme="minorEastAsia" w:hAnsiTheme="minorEastAsia" w:cstheme="minorEastAsia"/>
                <w:kern w:val="0"/>
                <w:sz w:val="24"/>
                <w:szCs w:val="24"/>
              </w:rPr>
            </w:pPr>
          </w:p>
        </w:tc>
      </w:tr>
      <w:tr w14:paraId="21CE89E2">
        <w:tblPrEx>
          <w:tblCellMar>
            <w:top w:w="0" w:type="dxa"/>
            <w:left w:w="108" w:type="dxa"/>
            <w:bottom w:w="0" w:type="dxa"/>
            <w:right w:w="108" w:type="dxa"/>
          </w:tblCellMar>
        </w:tblPrEx>
        <w:trPr>
          <w:trHeight w:val="513" w:hRule="atLeast"/>
        </w:trPr>
        <w:tc>
          <w:tcPr>
            <w:tcW w:w="774" w:type="dxa"/>
            <w:tcBorders>
              <w:top w:val="nil"/>
              <w:left w:val="single" w:color="auto" w:sz="4" w:space="0"/>
              <w:bottom w:val="single" w:color="auto" w:sz="4" w:space="0"/>
              <w:right w:val="single" w:color="auto" w:sz="4" w:space="0"/>
            </w:tcBorders>
            <w:noWrap/>
            <w:vAlign w:val="center"/>
          </w:tcPr>
          <w:p w14:paraId="580A3386">
            <w:pPr>
              <w:widowControl/>
              <w:jc w:val="center"/>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val="en-US" w:eastAsia="zh-CN"/>
              </w:rPr>
              <w:t>7</w:t>
            </w:r>
          </w:p>
        </w:tc>
        <w:tc>
          <w:tcPr>
            <w:tcW w:w="1456" w:type="dxa"/>
            <w:tcBorders>
              <w:top w:val="nil"/>
              <w:left w:val="nil"/>
              <w:bottom w:val="single" w:color="auto" w:sz="4" w:space="0"/>
              <w:right w:val="single" w:color="auto" w:sz="4" w:space="0"/>
            </w:tcBorders>
            <w:noWrap/>
            <w:vAlign w:val="center"/>
          </w:tcPr>
          <w:p w14:paraId="57C156B8">
            <w:pPr>
              <w:widowControl/>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保洁员</w:t>
            </w:r>
          </w:p>
        </w:tc>
        <w:tc>
          <w:tcPr>
            <w:tcW w:w="1123" w:type="dxa"/>
            <w:tcBorders>
              <w:top w:val="nil"/>
              <w:left w:val="nil"/>
              <w:bottom w:val="single" w:color="auto" w:sz="4" w:space="0"/>
              <w:right w:val="single" w:color="auto" w:sz="4" w:space="0"/>
            </w:tcBorders>
            <w:noWrap/>
            <w:vAlign w:val="center"/>
          </w:tcPr>
          <w:p w14:paraId="3A9B5AA5">
            <w:pPr>
              <w:widowControl/>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35人</w:t>
            </w:r>
          </w:p>
        </w:tc>
        <w:tc>
          <w:tcPr>
            <w:tcW w:w="4835" w:type="dxa"/>
            <w:tcBorders>
              <w:top w:val="nil"/>
              <w:left w:val="nil"/>
              <w:bottom w:val="single" w:color="auto" w:sz="4" w:space="0"/>
              <w:right w:val="single" w:color="auto" w:sz="4" w:space="0"/>
            </w:tcBorders>
            <w:noWrap/>
            <w:vAlign w:val="center"/>
          </w:tcPr>
          <w:p w14:paraId="60301279">
            <w:pPr>
              <w:widowControl/>
              <w:jc w:val="center"/>
              <w:rPr>
                <w:rFonts w:asciiTheme="minorEastAsia" w:hAnsiTheme="minorEastAsia" w:cstheme="minorEastAsia"/>
                <w:kern w:val="0"/>
                <w:sz w:val="24"/>
                <w:szCs w:val="24"/>
              </w:rPr>
            </w:pPr>
            <w:r>
              <w:rPr>
                <w:rFonts w:hint="eastAsia" w:ascii="宋体" w:hAnsi="宋体" w:cs="宋体"/>
                <w:sz w:val="24"/>
                <w:szCs w:val="24"/>
              </w:rPr>
              <w:t>具有良好的身体素质；文明上岗，统一着装，标志明显</w:t>
            </w:r>
            <w:r>
              <w:rPr>
                <w:rFonts w:hint="eastAsia" w:ascii="宋体" w:hAnsi="宋体" w:cs="宋体"/>
                <w:sz w:val="24"/>
                <w:szCs w:val="24"/>
                <w:lang w:eastAsia="zh-CN"/>
              </w:rPr>
              <w:t>。</w:t>
            </w:r>
          </w:p>
        </w:tc>
        <w:tc>
          <w:tcPr>
            <w:tcW w:w="709" w:type="dxa"/>
            <w:tcBorders>
              <w:top w:val="nil"/>
              <w:left w:val="nil"/>
              <w:bottom w:val="single" w:color="auto" w:sz="4" w:space="0"/>
              <w:right w:val="single" w:color="auto" w:sz="4" w:space="0"/>
            </w:tcBorders>
            <w:vAlign w:val="center"/>
          </w:tcPr>
          <w:p w14:paraId="49E20D1A">
            <w:pPr>
              <w:widowControl/>
              <w:jc w:val="center"/>
              <w:rPr>
                <w:rFonts w:asciiTheme="minorEastAsia" w:hAnsiTheme="minorEastAsia" w:cstheme="minorEastAsia"/>
                <w:kern w:val="0"/>
                <w:sz w:val="24"/>
                <w:szCs w:val="24"/>
              </w:rPr>
            </w:pPr>
          </w:p>
        </w:tc>
      </w:tr>
      <w:tr w14:paraId="12FD60E7">
        <w:tblPrEx>
          <w:tblCellMar>
            <w:top w:w="0" w:type="dxa"/>
            <w:left w:w="108" w:type="dxa"/>
            <w:bottom w:w="0" w:type="dxa"/>
            <w:right w:w="108" w:type="dxa"/>
          </w:tblCellMar>
        </w:tblPrEx>
        <w:trPr>
          <w:trHeight w:val="540" w:hRule="atLeast"/>
        </w:trPr>
        <w:tc>
          <w:tcPr>
            <w:tcW w:w="774" w:type="dxa"/>
            <w:tcBorders>
              <w:top w:val="nil"/>
              <w:left w:val="single" w:color="auto" w:sz="4" w:space="0"/>
              <w:bottom w:val="single" w:color="auto" w:sz="4" w:space="0"/>
              <w:right w:val="single" w:color="auto" w:sz="4" w:space="0"/>
            </w:tcBorders>
            <w:noWrap/>
            <w:vAlign w:val="center"/>
          </w:tcPr>
          <w:p w14:paraId="1995722C">
            <w:pPr>
              <w:widowControl/>
              <w:jc w:val="center"/>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val="en-US" w:eastAsia="zh-CN"/>
              </w:rPr>
              <w:t>8</w:t>
            </w:r>
          </w:p>
        </w:tc>
        <w:tc>
          <w:tcPr>
            <w:tcW w:w="1456" w:type="dxa"/>
            <w:tcBorders>
              <w:top w:val="nil"/>
              <w:left w:val="nil"/>
              <w:bottom w:val="single" w:color="auto" w:sz="4" w:space="0"/>
              <w:right w:val="single" w:color="auto" w:sz="4" w:space="0"/>
            </w:tcBorders>
            <w:noWrap/>
            <w:vAlign w:val="center"/>
          </w:tcPr>
          <w:p w14:paraId="3E84B550">
            <w:pPr>
              <w:widowControl/>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绿化工</w:t>
            </w:r>
          </w:p>
        </w:tc>
        <w:tc>
          <w:tcPr>
            <w:tcW w:w="1123" w:type="dxa"/>
            <w:tcBorders>
              <w:top w:val="nil"/>
              <w:left w:val="nil"/>
              <w:bottom w:val="single" w:color="auto" w:sz="4" w:space="0"/>
              <w:right w:val="single" w:color="auto" w:sz="4" w:space="0"/>
            </w:tcBorders>
            <w:noWrap/>
            <w:vAlign w:val="center"/>
          </w:tcPr>
          <w:p w14:paraId="05E8D287">
            <w:pPr>
              <w:widowControl/>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6人</w:t>
            </w:r>
          </w:p>
        </w:tc>
        <w:tc>
          <w:tcPr>
            <w:tcW w:w="4835" w:type="dxa"/>
            <w:tcBorders>
              <w:top w:val="nil"/>
              <w:left w:val="nil"/>
              <w:bottom w:val="single" w:color="auto" w:sz="4" w:space="0"/>
              <w:right w:val="single" w:color="auto" w:sz="4" w:space="0"/>
            </w:tcBorders>
            <w:noWrap/>
            <w:vAlign w:val="center"/>
          </w:tcPr>
          <w:p w14:paraId="31CEEE47">
            <w:pPr>
              <w:widowControl/>
              <w:jc w:val="center"/>
              <w:rPr>
                <w:rFonts w:asciiTheme="minorEastAsia" w:hAnsiTheme="minorEastAsia" w:cstheme="minorEastAsia"/>
                <w:kern w:val="0"/>
                <w:sz w:val="24"/>
                <w:szCs w:val="24"/>
              </w:rPr>
            </w:pPr>
            <w:r>
              <w:rPr>
                <w:rFonts w:hint="eastAsia" w:ascii="宋体" w:hAnsi="宋体" w:cs="宋体"/>
                <w:sz w:val="24"/>
                <w:szCs w:val="24"/>
              </w:rPr>
              <w:t>具有五年以上工作经验及管理经验；具有良好的身体素质；文明上岗，统一着装，标志明显</w:t>
            </w:r>
            <w:r>
              <w:rPr>
                <w:rFonts w:hint="eastAsia" w:ascii="宋体" w:hAnsi="宋体" w:cs="宋体"/>
                <w:sz w:val="24"/>
                <w:szCs w:val="24"/>
                <w:lang w:eastAsia="zh-CN"/>
              </w:rPr>
              <w:t>。</w:t>
            </w:r>
          </w:p>
        </w:tc>
        <w:tc>
          <w:tcPr>
            <w:tcW w:w="709" w:type="dxa"/>
            <w:tcBorders>
              <w:top w:val="nil"/>
              <w:left w:val="nil"/>
              <w:bottom w:val="single" w:color="auto" w:sz="4" w:space="0"/>
              <w:right w:val="single" w:color="auto" w:sz="4" w:space="0"/>
            </w:tcBorders>
            <w:vAlign w:val="center"/>
          </w:tcPr>
          <w:p w14:paraId="1811D353">
            <w:pPr>
              <w:widowControl/>
              <w:jc w:val="center"/>
              <w:rPr>
                <w:rFonts w:asciiTheme="minorEastAsia" w:hAnsiTheme="minorEastAsia" w:cstheme="minorEastAsia"/>
                <w:kern w:val="0"/>
                <w:sz w:val="24"/>
                <w:szCs w:val="24"/>
              </w:rPr>
            </w:pPr>
          </w:p>
        </w:tc>
      </w:tr>
      <w:tr w14:paraId="64010B91">
        <w:tblPrEx>
          <w:tblCellMar>
            <w:top w:w="0" w:type="dxa"/>
            <w:left w:w="108" w:type="dxa"/>
            <w:bottom w:w="0" w:type="dxa"/>
            <w:right w:w="108" w:type="dxa"/>
          </w:tblCellMar>
        </w:tblPrEx>
        <w:trPr>
          <w:trHeight w:val="540" w:hRule="atLeast"/>
        </w:trPr>
        <w:tc>
          <w:tcPr>
            <w:tcW w:w="774" w:type="dxa"/>
            <w:tcBorders>
              <w:top w:val="nil"/>
              <w:left w:val="single" w:color="auto" w:sz="4" w:space="0"/>
              <w:bottom w:val="single" w:color="auto" w:sz="4" w:space="0"/>
              <w:right w:val="single" w:color="auto" w:sz="4" w:space="0"/>
            </w:tcBorders>
            <w:noWrap/>
            <w:vAlign w:val="center"/>
          </w:tcPr>
          <w:p w14:paraId="0B0F8C0B">
            <w:pPr>
              <w:widowControl/>
              <w:jc w:val="center"/>
              <w:rPr>
                <w:rFonts w:asciiTheme="minorEastAsia" w:hAnsiTheme="minorEastAsia" w:eastAsiaTheme="minorEastAsia" w:cstheme="minorEastAsia"/>
                <w:kern w:val="0"/>
                <w:sz w:val="24"/>
                <w:szCs w:val="24"/>
              </w:rPr>
            </w:pPr>
          </w:p>
        </w:tc>
        <w:tc>
          <w:tcPr>
            <w:tcW w:w="1456" w:type="dxa"/>
            <w:tcBorders>
              <w:top w:val="nil"/>
              <w:left w:val="nil"/>
              <w:bottom w:val="single" w:color="auto" w:sz="4" w:space="0"/>
              <w:right w:val="single" w:color="auto" w:sz="4" w:space="0"/>
            </w:tcBorders>
            <w:noWrap/>
            <w:vAlign w:val="center"/>
          </w:tcPr>
          <w:p w14:paraId="1215CCD0">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合计</w:t>
            </w:r>
          </w:p>
        </w:tc>
        <w:tc>
          <w:tcPr>
            <w:tcW w:w="1123" w:type="dxa"/>
            <w:tcBorders>
              <w:top w:val="nil"/>
              <w:left w:val="nil"/>
              <w:bottom w:val="single" w:color="auto" w:sz="4" w:space="0"/>
              <w:right w:val="single" w:color="auto" w:sz="4" w:space="0"/>
            </w:tcBorders>
            <w:noWrap/>
            <w:vAlign w:val="center"/>
          </w:tcPr>
          <w:p w14:paraId="56F35550">
            <w:pPr>
              <w:widowControl/>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52</w:t>
            </w:r>
            <w:r>
              <w:rPr>
                <w:rFonts w:hint="eastAsia" w:asciiTheme="minorEastAsia" w:hAnsiTheme="minorEastAsia" w:eastAsiaTheme="minorEastAsia" w:cstheme="minorEastAsia"/>
                <w:kern w:val="0"/>
                <w:sz w:val="24"/>
                <w:szCs w:val="24"/>
              </w:rPr>
              <w:t>人</w:t>
            </w:r>
          </w:p>
        </w:tc>
        <w:tc>
          <w:tcPr>
            <w:tcW w:w="4835" w:type="dxa"/>
            <w:tcBorders>
              <w:top w:val="nil"/>
              <w:left w:val="nil"/>
              <w:bottom w:val="single" w:color="auto" w:sz="4" w:space="0"/>
              <w:right w:val="single" w:color="auto" w:sz="4" w:space="0"/>
            </w:tcBorders>
            <w:noWrap/>
            <w:vAlign w:val="center"/>
          </w:tcPr>
          <w:p w14:paraId="79820A39">
            <w:pPr>
              <w:widowControl/>
              <w:jc w:val="left"/>
              <w:rPr>
                <w:rFonts w:asciiTheme="minorEastAsia" w:hAnsiTheme="minorEastAsia" w:cstheme="minorEastAsia"/>
                <w:kern w:val="0"/>
                <w:sz w:val="24"/>
                <w:szCs w:val="24"/>
              </w:rPr>
            </w:pPr>
          </w:p>
        </w:tc>
        <w:tc>
          <w:tcPr>
            <w:tcW w:w="709" w:type="dxa"/>
            <w:tcBorders>
              <w:top w:val="nil"/>
              <w:left w:val="nil"/>
              <w:bottom w:val="single" w:color="auto" w:sz="4" w:space="0"/>
              <w:right w:val="single" w:color="auto" w:sz="4" w:space="0"/>
            </w:tcBorders>
            <w:vAlign w:val="center"/>
          </w:tcPr>
          <w:p w14:paraId="3099E753">
            <w:pPr>
              <w:widowControl/>
              <w:jc w:val="left"/>
              <w:rPr>
                <w:rFonts w:asciiTheme="minorEastAsia" w:hAnsiTheme="minorEastAsia" w:cstheme="minorEastAsia"/>
                <w:kern w:val="0"/>
                <w:sz w:val="24"/>
                <w:szCs w:val="24"/>
              </w:rPr>
            </w:pPr>
          </w:p>
        </w:tc>
      </w:tr>
    </w:tbl>
    <w:p w14:paraId="7F4C0094">
      <w:pPr>
        <w:pStyle w:val="11"/>
        <w:ind w:left="0" w:leftChars="0"/>
        <w:rPr>
          <w:rFonts w:hint="eastAsia"/>
          <w:b/>
          <w:sz w:val="24"/>
          <w:szCs w:val="24"/>
        </w:rPr>
      </w:pPr>
    </w:p>
    <w:p w14:paraId="5E32C509">
      <w:pPr>
        <w:pStyle w:val="5"/>
        <w:bidi w:val="0"/>
      </w:pPr>
      <w:r>
        <w:rPr>
          <w:rFonts w:hint="eastAsia"/>
          <w:lang w:eastAsia="zh-CN"/>
        </w:rPr>
        <w:t>（</w:t>
      </w:r>
      <w:r>
        <w:rPr>
          <w:rFonts w:hint="eastAsia"/>
          <w:lang w:val="en-US" w:eastAsia="zh-CN"/>
        </w:rPr>
        <w:t>八</w:t>
      </w:r>
      <w:r>
        <w:rPr>
          <w:rFonts w:hint="eastAsia"/>
          <w:lang w:eastAsia="zh-CN"/>
        </w:rPr>
        <w:t>）</w:t>
      </w:r>
      <w:r>
        <w:rPr>
          <w:rFonts w:hint="eastAsia"/>
        </w:rPr>
        <w:t>日常管理与规章制度</w:t>
      </w:r>
    </w:p>
    <w:p w14:paraId="6215505B">
      <w:pPr>
        <w:pStyle w:val="11"/>
        <w:ind w:left="0" w:leftChars="0" w:firstLine="480" w:firstLineChars="200"/>
        <w:rPr>
          <w:sz w:val="24"/>
          <w:szCs w:val="24"/>
        </w:rPr>
      </w:pPr>
      <w:r>
        <w:rPr>
          <w:rFonts w:hint="eastAsia"/>
          <w:sz w:val="24"/>
          <w:szCs w:val="24"/>
        </w:rPr>
        <w:t>在日常物业管理过程中，投标人须具备健全的管理规章制度。</w:t>
      </w:r>
    </w:p>
    <w:p w14:paraId="1232B1C3">
      <w:pPr>
        <w:pStyle w:val="11"/>
        <w:ind w:left="199" w:leftChars="95"/>
        <w:rPr>
          <w:sz w:val="24"/>
          <w:szCs w:val="24"/>
        </w:rPr>
      </w:pPr>
      <w:r>
        <w:rPr>
          <w:rFonts w:hint="eastAsia"/>
          <w:sz w:val="24"/>
          <w:szCs w:val="24"/>
        </w:rPr>
        <w:t>1.具有明晰的项目管理机构图，以及工作职能组织运行图，确保管理机构设置合理，内部管理职责分工明细。</w:t>
      </w:r>
    </w:p>
    <w:p w14:paraId="3533446E">
      <w:pPr>
        <w:pStyle w:val="11"/>
        <w:ind w:left="199" w:leftChars="95"/>
        <w:rPr>
          <w:sz w:val="24"/>
          <w:szCs w:val="24"/>
        </w:rPr>
      </w:pPr>
      <w:r>
        <w:rPr>
          <w:rFonts w:hint="eastAsia"/>
          <w:sz w:val="24"/>
          <w:szCs w:val="24"/>
        </w:rPr>
        <w:t>2.供应商除具有健全的公司内部管理制度外，同时针对采购需求内容还须具有各项服务管理制度（如设备设施管理制度、人员管理制度</w:t>
      </w:r>
      <w:r>
        <w:rPr>
          <w:rFonts w:hint="eastAsia"/>
          <w:sz w:val="24"/>
          <w:szCs w:val="24"/>
          <w:lang w:eastAsia="zh-CN"/>
        </w:rPr>
        <w:t>、</w:t>
      </w:r>
      <w:r>
        <w:rPr>
          <w:rFonts w:hint="eastAsia"/>
          <w:sz w:val="24"/>
        </w:rPr>
        <w:t>保密制度</w:t>
      </w:r>
      <w:r>
        <w:rPr>
          <w:rFonts w:hint="eastAsia"/>
          <w:sz w:val="24"/>
          <w:szCs w:val="24"/>
        </w:rPr>
        <w:t>等），以强化内部控制。</w:t>
      </w:r>
    </w:p>
    <w:p w14:paraId="6AE22AB8">
      <w:pPr>
        <w:pStyle w:val="11"/>
        <w:ind w:left="199" w:leftChars="95"/>
        <w:rPr>
          <w:sz w:val="24"/>
          <w:szCs w:val="24"/>
        </w:rPr>
      </w:pPr>
      <w:r>
        <w:rPr>
          <w:rFonts w:hint="eastAsia"/>
          <w:sz w:val="24"/>
          <w:szCs w:val="24"/>
        </w:rPr>
        <w:t>3.加强员工日常管理，制有健全的培训制度、考核办法、奖惩制度等，确保员工队伍的专业性和稳定性。</w:t>
      </w:r>
    </w:p>
    <w:p w14:paraId="61825E26">
      <w:pPr>
        <w:pStyle w:val="11"/>
        <w:ind w:left="199" w:leftChars="95"/>
        <w:rPr>
          <w:sz w:val="24"/>
          <w:szCs w:val="24"/>
        </w:rPr>
      </w:pPr>
      <w:r>
        <w:rPr>
          <w:rFonts w:hint="eastAsia"/>
          <w:sz w:val="24"/>
          <w:szCs w:val="24"/>
        </w:rPr>
        <w:t>4.做好采购单位的保密工作，供应商有严格的保密制度。</w:t>
      </w:r>
    </w:p>
    <w:p w14:paraId="1E07F74F">
      <w:pPr>
        <w:pStyle w:val="5"/>
        <w:bidi w:val="0"/>
      </w:pPr>
      <w:r>
        <w:rPr>
          <w:rFonts w:hint="eastAsia"/>
          <w:lang w:eastAsia="zh-CN"/>
        </w:rPr>
        <w:t>（</w:t>
      </w:r>
      <w:r>
        <w:rPr>
          <w:rFonts w:hint="eastAsia"/>
          <w:lang w:val="en-US" w:eastAsia="zh-CN"/>
        </w:rPr>
        <w:t>九</w:t>
      </w:r>
      <w:r>
        <w:rPr>
          <w:rFonts w:hint="eastAsia"/>
          <w:lang w:eastAsia="zh-CN"/>
        </w:rPr>
        <w:t>）</w:t>
      </w:r>
      <w:r>
        <w:rPr>
          <w:rFonts w:hint="eastAsia"/>
        </w:rPr>
        <w:t>紧急响应</w:t>
      </w:r>
    </w:p>
    <w:p w14:paraId="74F7098B">
      <w:pPr>
        <w:pStyle w:val="11"/>
        <w:ind w:left="199" w:leftChars="95"/>
        <w:rPr>
          <w:sz w:val="24"/>
          <w:szCs w:val="24"/>
        </w:rPr>
      </w:pPr>
      <w:r>
        <w:rPr>
          <w:rFonts w:hint="eastAsia"/>
          <w:sz w:val="24"/>
          <w:szCs w:val="24"/>
        </w:rPr>
        <w:t>1、紧急响应机制</w:t>
      </w:r>
    </w:p>
    <w:p w14:paraId="5B495A9A">
      <w:pPr>
        <w:pStyle w:val="11"/>
        <w:ind w:left="199" w:leftChars="95"/>
        <w:rPr>
          <w:sz w:val="24"/>
          <w:szCs w:val="24"/>
        </w:rPr>
      </w:pPr>
      <w:r>
        <w:rPr>
          <w:rFonts w:hint="eastAsia"/>
          <w:sz w:val="24"/>
          <w:szCs w:val="24"/>
        </w:rPr>
        <w:t>投标人应建立一套完善的紧急响应机制，该机制应包括但不限于以下内容：</w:t>
      </w:r>
    </w:p>
    <w:p w14:paraId="1E3889E7">
      <w:pPr>
        <w:pStyle w:val="11"/>
        <w:ind w:left="199" w:leftChars="95"/>
        <w:rPr>
          <w:sz w:val="24"/>
          <w:szCs w:val="24"/>
        </w:rPr>
      </w:pPr>
      <w:r>
        <w:rPr>
          <w:rFonts w:hint="eastAsia"/>
          <w:sz w:val="24"/>
          <w:szCs w:val="24"/>
        </w:rPr>
        <w:t>（1）组织架构与职责分工：明确紧急响应的负责人、各相关部门及岗位的职责，确保在紧急情况下能够迅速形成合力，共同应对。</w:t>
      </w:r>
    </w:p>
    <w:p w14:paraId="63641FC4">
      <w:pPr>
        <w:pStyle w:val="11"/>
        <w:ind w:left="199" w:leftChars="95"/>
        <w:rPr>
          <w:sz w:val="24"/>
          <w:szCs w:val="24"/>
        </w:rPr>
      </w:pPr>
      <w:r>
        <w:rPr>
          <w:rFonts w:hint="eastAsia"/>
          <w:sz w:val="24"/>
          <w:szCs w:val="24"/>
        </w:rPr>
        <w:t>（2）通讯与信息报告：建立紧急通讯渠道，确保在紧急情况下能够迅速传递信息。同时，制定信息报告制度，明确紧急信息的报告流程、内容和时限，以便及时向上级部门或相关单位报告。</w:t>
      </w:r>
    </w:p>
    <w:p w14:paraId="300F3AE4">
      <w:pPr>
        <w:pStyle w:val="11"/>
        <w:ind w:left="199" w:leftChars="95"/>
        <w:rPr>
          <w:sz w:val="24"/>
          <w:szCs w:val="24"/>
        </w:rPr>
      </w:pPr>
      <w:r>
        <w:rPr>
          <w:rFonts w:hint="eastAsia"/>
          <w:sz w:val="24"/>
          <w:szCs w:val="24"/>
        </w:rPr>
        <w:t>（3）应急资源储备：储备必要的应急物资，确保在紧急情况下能够迅速投入使用，满足应急处置的需要。</w:t>
      </w:r>
    </w:p>
    <w:p w14:paraId="56C327D8">
      <w:pPr>
        <w:pStyle w:val="5"/>
        <w:bidi w:val="0"/>
      </w:pPr>
      <w:r>
        <w:rPr>
          <w:rFonts w:hint="eastAsia"/>
          <w:lang w:eastAsia="zh-CN"/>
        </w:rPr>
        <w:t>（</w:t>
      </w:r>
      <w:r>
        <w:rPr>
          <w:rFonts w:hint="eastAsia"/>
          <w:lang w:val="en-US" w:eastAsia="zh-CN"/>
        </w:rPr>
        <w:t>十</w:t>
      </w:r>
      <w:r>
        <w:rPr>
          <w:rFonts w:hint="eastAsia"/>
          <w:lang w:eastAsia="zh-CN"/>
        </w:rPr>
        <w:t>）</w:t>
      </w:r>
      <w:r>
        <w:rPr>
          <w:rFonts w:hint="eastAsia"/>
        </w:rPr>
        <w:t>应急预案</w:t>
      </w:r>
    </w:p>
    <w:p w14:paraId="4EF1A49A">
      <w:pPr>
        <w:pStyle w:val="11"/>
        <w:ind w:left="199" w:leftChars="95"/>
        <w:rPr>
          <w:sz w:val="24"/>
          <w:szCs w:val="24"/>
        </w:rPr>
      </w:pPr>
      <w:r>
        <w:rPr>
          <w:rFonts w:hint="eastAsia"/>
          <w:sz w:val="24"/>
          <w:szCs w:val="24"/>
        </w:rPr>
        <w:t>投标人应针对可能发生的突发事件，制定详细的应急预案。这些预案应包括但不限于以下内容：</w:t>
      </w:r>
    </w:p>
    <w:p w14:paraId="20985B80">
      <w:pPr>
        <w:pStyle w:val="11"/>
        <w:ind w:left="199" w:leftChars="95"/>
        <w:rPr>
          <w:sz w:val="24"/>
          <w:szCs w:val="24"/>
        </w:rPr>
      </w:pPr>
      <w:r>
        <w:rPr>
          <w:rFonts w:hint="eastAsia"/>
          <w:sz w:val="24"/>
          <w:szCs w:val="24"/>
        </w:rPr>
        <w:t>（1）应急响应流程：明确突发事件发生后，从发现、报告、处置到总结的全过程。</w:t>
      </w:r>
    </w:p>
    <w:p w14:paraId="367917F0">
      <w:pPr>
        <w:pStyle w:val="11"/>
        <w:ind w:left="199" w:leftChars="95"/>
        <w:rPr>
          <w:sz w:val="24"/>
          <w:szCs w:val="24"/>
        </w:rPr>
      </w:pPr>
      <w:r>
        <w:rPr>
          <w:rFonts w:hint="eastAsia"/>
          <w:sz w:val="24"/>
          <w:szCs w:val="24"/>
        </w:rPr>
        <w:t>（2）应急处置措施：针对不同类型的突发事件，制定具体的应急处置措施，确保在紧急情况下能够迅速、有效地应对。</w:t>
      </w:r>
    </w:p>
    <w:p w14:paraId="7FE0FC15">
      <w:pPr>
        <w:pStyle w:val="5"/>
        <w:bidi w:val="0"/>
      </w:pPr>
      <w:r>
        <w:rPr>
          <w:rFonts w:hint="eastAsia"/>
          <w:lang w:eastAsia="zh-CN"/>
        </w:rPr>
        <w:t>（</w:t>
      </w:r>
      <w:r>
        <w:rPr>
          <w:rFonts w:hint="eastAsia"/>
          <w:lang w:val="en-US" w:eastAsia="zh-CN"/>
        </w:rPr>
        <w:t>十一</w:t>
      </w:r>
      <w:r>
        <w:rPr>
          <w:rFonts w:hint="eastAsia"/>
          <w:lang w:eastAsia="zh-CN"/>
        </w:rPr>
        <w:t>）</w:t>
      </w:r>
      <w:r>
        <w:rPr>
          <w:rFonts w:hint="eastAsia"/>
        </w:rPr>
        <w:t>节能管理措施</w:t>
      </w:r>
    </w:p>
    <w:p w14:paraId="6B03663D">
      <w:pPr>
        <w:pStyle w:val="11"/>
        <w:ind w:left="199" w:leftChars="95"/>
        <w:rPr>
          <w:sz w:val="24"/>
          <w:szCs w:val="24"/>
        </w:rPr>
      </w:pPr>
      <w:r>
        <w:rPr>
          <w:rFonts w:hint="eastAsia"/>
          <w:sz w:val="24"/>
          <w:szCs w:val="24"/>
        </w:rPr>
        <w:t>1.配合采购单位做好节能环保型单位的创建工作，确保节能管理措施到位。</w:t>
      </w:r>
    </w:p>
    <w:p w14:paraId="4C9EB74D">
      <w:pPr>
        <w:pStyle w:val="11"/>
        <w:ind w:left="199" w:leftChars="95"/>
        <w:rPr>
          <w:sz w:val="24"/>
          <w:szCs w:val="24"/>
        </w:rPr>
      </w:pPr>
      <w:r>
        <w:rPr>
          <w:rFonts w:hint="eastAsia"/>
          <w:sz w:val="24"/>
          <w:szCs w:val="24"/>
        </w:rPr>
        <w:t>2.供应商应制定详细的节能管理方案，包括校园、楼道等公共场所灯具节能措施。</w:t>
      </w:r>
    </w:p>
    <w:p w14:paraId="6A2F5F2E">
      <w:pPr>
        <w:pStyle w:val="11"/>
        <w:ind w:left="199" w:leftChars="95"/>
        <w:rPr>
          <w:sz w:val="24"/>
          <w:szCs w:val="24"/>
        </w:rPr>
      </w:pPr>
      <w:r>
        <w:rPr>
          <w:rFonts w:hint="eastAsia"/>
          <w:sz w:val="24"/>
          <w:szCs w:val="24"/>
        </w:rPr>
        <w:t>3.供应商针对节能管理，须提出行之有效的方法，确保措施的可实施性。</w:t>
      </w:r>
    </w:p>
    <w:p w14:paraId="769BA4B7">
      <w:pPr>
        <w:pStyle w:val="11"/>
        <w:ind w:left="199" w:leftChars="95"/>
        <w:rPr>
          <w:rFonts w:hint="eastAsia"/>
          <w:sz w:val="24"/>
          <w:szCs w:val="24"/>
        </w:rPr>
      </w:pPr>
      <w:r>
        <w:rPr>
          <w:rFonts w:hint="eastAsia"/>
          <w:sz w:val="24"/>
          <w:szCs w:val="24"/>
        </w:rPr>
        <w:t>4.日常管理过程中，还应做好相关服务人员的节能的专业培训工作。</w:t>
      </w:r>
    </w:p>
    <w:p w14:paraId="79C0A898">
      <w:pPr>
        <w:pStyle w:val="5"/>
        <w:bidi w:val="0"/>
        <w:rPr>
          <w:rFonts w:hint="eastAsia" w:ascii="宋体" w:hAnsi="Times New Roman" w:eastAsia="宋体" w:cs="Times New Roman"/>
          <w:lang w:val="en-US" w:eastAsia="zh-CN"/>
        </w:rPr>
      </w:pPr>
      <w:r>
        <w:rPr>
          <w:rFonts w:hint="eastAsia" w:ascii="宋体" w:hAnsi="Times New Roman" w:eastAsia="宋体" w:cs="Times New Roman"/>
          <w:lang w:eastAsia="zh-CN"/>
        </w:rPr>
        <w:t>（</w:t>
      </w:r>
      <w:r>
        <w:rPr>
          <w:rFonts w:hint="eastAsia" w:ascii="宋体" w:hAnsi="Times New Roman" w:eastAsia="宋体" w:cs="Times New Roman"/>
          <w:lang w:val="en-US" w:eastAsia="zh-CN"/>
        </w:rPr>
        <w:t>十二</w:t>
      </w:r>
      <w:r>
        <w:rPr>
          <w:rFonts w:hint="eastAsia" w:ascii="宋体" w:hAnsi="Times New Roman" w:eastAsia="宋体" w:cs="Times New Roman"/>
          <w:lang w:eastAsia="zh-CN"/>
        </w:rPr>
        <w:t>）</w:t>
      </w:r>
      <w:r>
        <w:rPr>
          <w:rFonts w:hint="eastAsia" w:ascii="宋体" w:hAnsi="Times New Roman" w:eastAsia="宋体" w:cs="Times New Roman"/>
          <w:lang w:val="en-US" w:eastAsia="zh-CN"/>
        </w:rPr>
        <w:t>培训方案及考核方案</w:t>
      </w:r>
    </w:p>
    <w:p w14:paraId="2412B6EE">
      <w:pPr>
        <w:pStyle w:val="11"/>
        <w:ind w:left="199" w:leftChars="95"/>
        <w:rPr>
          <w:rFonts w:hint="eastAsia" w:hAnsi="Times New Roman" w:cs="Times New Roman"/>
          <w:sz w:val="24"/>
          <w:szCs w:val="24"/>
          <w:lang w:val="en-US" w:eastAsia="zh-CN"/>
        </w:rPr>
      </w:pPr>
      <w:r>
        <w:rPr>
          <w:rFonts w:hint="eastAsia" w:hAnsi="Times New Roman" w:cs="Times New Roman"/>
          <w:sz w:val="24"/>
          <w:szCs w:val="24"/>
          <w:lang w:val="en-US" w:eastAsia="zh-CN"/>
        </w:rPr>
        <w:t>1.制定专项节能培训方案，明确对象与目标，开展多类型培训，采用现场实操、研讨方式落实培训计划。</w:t>
      </w:r>
    </w:p>
    <w:p w14:paraId="3ABF9888">
      <w:pPr>
        <w:pStyle w:val="11"/>
        <w:ind w:left="199" w:leftChars="95"/>
        <w:rPr>
          <w:rFonts w:hint="eastAsia" w:hAnsi="Times New Roman" w:cs="Times New Roman"/>
          <w:sz w:val="24"/>
          <w:szCs w:val="24"/>
          <w:lang w:val="en-US" w:eastAsia="zh-CN"/>
        </w:rPr>
      </w:pPr>
      <w:r>
        <w:rPr>
          <w:rFonts w:hint="eastAsia" w:hAnsi="Times New Roman" w:cs="Times New Roman"/>
          <w:sz w:val="24"/>
          <w:szCs w:val="24"/>
          <w:lang w:val="en-US" w:eastAsia="zh-CN"/>
        </w:rPr>
        <w:t>2.建立员工节能考核方案，设专项考核小组，实施岗前实操考核，资料留痕，考核结果关联绩效履职。</w:t>
      </w:r>
    </w:p>
    <w:p w14:paraId="51E21DDC">
      <w:pPr>
        <w:pStyle w:val="11"/>
        <w:ind w:left="199" w:leftChars="95"/>
        <w:rPr>
          <w:rFonts w:hint="default" w:hAnsi="Times New Roman" w:cs="Times New Roman"/>
          <w:sz w:val="24"/>
          <w:szCs w:val="24"/>
          <w:lang w:val="en-US" w:eastAsia="zh-CN"/>
        </w:rPr>
      </w:pPr>
      <w:r>
        <w:rPr>
          <w:rFonts w:hint="eastAsia" w:hAnsi="Times New Roman" w:cs="Times New Roman"/>
          <w:sz w:val="24"/>
          <w:szCs w:val="24"/>
          <w:lang w:val="en-US" w:eastAsia="zh-CN"/>
        </w:rPr>
        <w:t>3.培训考核全程留痕建档，定期报送成果，配合节能创建验收，持续落实各项节能管理措施。</w:t>
      </w:r>
    </w:p>
    <w:p w14:paraId="5862612B">
      <w:pPr>
        <w:numPr>
          <w:ilvl w:val="0"/>
          <w:numId w:val="0"/>
        </w:numPr>
        <w:adjustRightInd w:val="0"/>
        <w:spacing w:line="360" w:lineRule="atLeast"/>
        <w:ind w:leftChars="0"/>
        <w:jc w:val="left"/>
        <w:textAlignment w:val="baseline"/>
        <w:rPr>
          <w:rFonts w:hint="eastAsia" w:asciiTheme="minorEastAsia" w:hAnsiTheme="minorEastAsia" w:eastAsiaTheme="minorEastAsia" w:cstheme="minorEastAsia"/>
          <w:kern w:val="0"/>
          <w:sz w:val="36"/>
          <w:szCs w:val="36"/>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8AA1D">
    <w:pPr>
      <w:spacing w:line="194" w:lineRule="exact"/>
      <w:ind w:left="5550"/>
      <w:rPr>
        <w:rFonts w:ascii="Arial" w:hAnsi="Arial" w:eastAsia="Arial" w:cs="Arial"/>
        <w:sz w:val="15"/>
        <w:szCs w:val="15"/>
      </w:rPr>
    </w:pPr>
    <w:r>
      <w:rPr>
        <w:rFonts w:ascii="Arial" w:hAnsi="Arial" w:eastAsia="Arial" w:cs="Arial"/>
        <w:spacing w:val="-2"/>
        <w:position w:val="1"/>
        <w:sz w:val="15"/>
        <w:szCs w:val="15"/>
      </w:rPr>
      <w:t>35</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4E9145"/>
    <w:multiLevelType w:val="singleLevel"/>
    <w:tmpl w:val="CE4E9145"/>
    <w:lvl w:ilvl="0" w:tentative="0">
      <w:start w:val="1"/>
      <w:numFmt w:val="decimal"/>
      <w:suff w:val="nothing"/>
      <w:lvlText w:val="（%1）"/>
      <w:lvlJc w:val="left"/>
    </w:lvl>
  </w:abstractNum>
  <w:abstractNum w:abstractNumId="1">
    <w:nsid w:val="1FCD4497"/>
    <w:multiLevelType w:val="multilevel"/>
    <w:tmpl w:val="1FCD4497"/>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C50C39"/>
    <w:rsid w:val="02891DD2"/>
    <w:rsid w:val="0AB64446"/>
    <w:rsid w:val="102C1535"/>
    <w:rsid w:val="12EB5890"/>
    <w:rsid w:val="18A745A9"/>
    <w:rsid w:val="1B1A4E7F"/>
    <w:rsid w:val="1F863415"/>
    <w:rsid w:val="1FC23CA6"/>
    <w:rsid w:val="1FE43FA1"/>
    <w:rsid w:val="20076F97"/>
    <w:rsid w:val="215D1C6E"/>
    <w:rsid w:val="216904BC"/>
    <w:rsid w:val="258969DB"/>
    <w:rsid w:val="268234C6"/>
    <w:rsid w:val="2E727AFB"/>
    <w:rsid w:val="328D3512"/>
    <w:rsid w:val="33DE566E"/>
    <w:rsid w:val="33F047EE"/>
    <w:rsid w:val="373B65B1"/>
    <w:rsid w:val="3CC50C39"/>
    <w:rsid w:val="3CE433F0"/>
    <w:rsid w:val="3EA9022B"/>
    <w:rsid w:val="3FAC388C"/>
    <w:rsid w:val="40582770"/>
    <w:rsid w:val="40AD420F"/>
    <w:rsid w:val="446819FD"/>
    <w:rsid w:val="4618439E"/>
    <w:rsid w:val="463827CD"/>
    <w:rsid w:val="46503FBA"/>
    <w:rsid w:val="46C95B1B"/>
    <w:rsid w:val="53605111"/>
    <w:rsid w:val="539A76E2"/>
    <w:rsid w:val="595D7451"/>
    <w:rsid w:val="5998379D"/>
    <w:rsid w:val="5AA62860"/>
    <w:rsid w:val="5BF464C3"/>
    <w:rsid w:val="64666E72"/>
    <w:rsid w:val="65BB7807"/>
    <w:rsid w:val="66AA26A7"/>
    <w:rsid w:val="684B23DC"/>
    <w:rsid w:val="6B050157"/>
    <w:rsid w:val="6B655916"/>
    <w:rsid w:val="6B91677C"/>
    <w:rsid w:val="6D9C44AE"/>
    <w:rsid w:val="70FB7A0A"/>
    <w:rsid w:val="716845D3"/>
    <w:rsid w:val="72944642"/>
    <w:rsid w:val="79876FC5"/>
    <w:rsid w:val="7A724563"/>
    <w:rsid w:val="7C6C2E92"/>
    <w:rsid w:val="7D6801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qFormat/>
    <w:uiPriority w:val="0"/>
    <w:pPr>
      <w:keepNext/>
      <w:keepLines/>
      <w:adjustRightInd w:val="0"/>
      <w:spacing w:before="280" w:after="290" w:line="376" w:lineRule="atLeast"/>
      <w:textAlignment w:val="baseline"/>
      <w:outlineLvl w:val="4"/>
    </w:pPr>
    <w:rPr>
      <w:b/>
      <w:kern w:val="0"/>
      <w:sz w:val="28"/>
      <w:szCs w:val="20"/>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index 1"/>
    <w:basedOn w:val="1"/>
    <w:next w:val="1"/>
    <w:unhideWhenUsed/>
    <w:qFormat/>
    <w:uiPriority w:val="99"/>
    <w:pPr>
      <w:framePr w:wrap="around" w:vAnchor="margin" w:hAnchor="text" w:y="1"/>
    </w:pPr>
    <w:rPr>
      <w:b/>
    </w:rPr>
  </w:style>
  <w:style w:type="paragraph" w:styleId="8">
    <w:name w:val="Body Text"/>
    <w:basedOn w:val="1"/>
    <w:qFormat/>
    <w:uiPriority w:val="0"/>
    <w:pPr>
      <w:tabs>
        <w:tab w:val="left" w:pos="567"/>
      </w:tabs>
      <w:spacing w:before="120" w:line="22" w:lineRule="atLeast"/>
    </w:pPr>
    <w:rPr>
      <w:rFonts w:ascii="宋体" w:hAnsi="宋体"/>
      <w:sz w:val="24"/>
    </w:rPr>
  </w:style>
  <w:style w:type="paragraph" w:styleId="9">
    <w:name w:val="toc 3"/>
    <w:basedOn w:val="1"/>
    <w:next w:val="1"/>
    <w:qFormat/>
    <w:uiPriority w:val="39"/>
    <w:pPr>
      <w:ind w:left="840" w:leftChars="400"/>
    </w:pPr>
  </w:style>
  <w:style w:type="paragraph" w:styleId="10">
    <w:name w:val="Plain Text"/>
    <w:basedOn w:val="1"/>
    <w:qFormat/>
    <w:uiPriority w:val="0"/>
    <w:rPr>
      <w:rFonts w:ascii="宋体" w:hAnsi="Courier New" w:eastAsiaTheme="minorEastAsia" w:cstheme="minorBidi"/>
      <w:szCs w:val="22"/>
    </w:rPr>
  </w:style>
  <w:style w:type="paragraph" w:styleId="11">
    <w:name w:val="Body Text Indent 2"/>
    <w:basedOn w:val="1"/>
    <w:qFormat/>
    <w:uiPriority w:val="0"/>
    <w:pPr>
      <w:ind w:firstLine="480" w:firstLineChars="200"/>
    </w:pPr>
    <w:rPr>
      <w:rFonts w:ascii="仿宋_GB2312" w:eastAsia="仿宋_GB2312"/>
      <w:sz w:val="24"/>
    </w:r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目录 11"/>
    <w:next w:val="1"/>
    <w:qFormat/>
    <w:uiPriority w:val="0"/>
    <w:pPr>
      <w:wordWrap w:val="0"/>
      <w:jc w:val="both"/>
    </w:pPr>
    <w:rPr>
      <w:rFonts w:ascii="Calibri" w:hAnsi="Calibri" w:eastAsia="宋体" w:cs="Calibri"/>
      <w:sz w:val="21"/>
      <w:szCs w:val="22"/>
      <w:lang w:val="en-US" w:eastAsia="zh-CN" w:bidi="ar-SA"/>
    </w:rPr>
  </w:style>
  <w:style w:type="paragraph" w:customStyle="1" w:styleId="17">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18">
    <w:name w:val="Normal_0"/>
    <w:qFormat/>
    <w:uiPriority w:val="0"/>
    <w:pPr>
      <w:spacing w:before="120" w:after="240"/>
      <w:jc w:val="both"/>
    </w:pPr>
    <w:rPr>
      <w:rFonts w:ascii="Calibri" w:hAnsi="Calibri" w:eastAsia="Calibri" w:cs="Times New Roman"/>
      <w:kern w:val="0"/>
      <w:sz w:val="22"/>
      <w:szCs w:val="22"/>
      <w:lang w:val="en-US" w:eastAsia="en-US" w:bidi="ar-SA"/>
    </w:rPr>
  </w:style>
  <w:style w:type="paragraph" w:customStyle="1" w:styleId="19">
    <w:name w:val="Table Text"/>
    <w:basedOn w:val="1"/>
    <w:semiHidden/>
    <w:qFormat/>
    <w:uiPriority w:val="0"/>
    <w:rPr>
      <w:rFonts w:ascii="Arial" w:hAnsi="Arial" w:eastAsia="Arial" w:cs="Arial"/>
      <w:sz w:val="21"/>
      <w:szCs w:val="21"/>
      <w:lang w:val="en-US" w:eastAsia="en-US" w:bidi="ar-SA"/>
    </w:rPr>
  </w:style>
  <w:style w:type="paragraph" w:customStyle="1" w:styleId="20">
    <w:name w:val="正文 "/>
    <w:basedOn w:val="1"/>
    <w:autoRedefine/>
    <w:qFormat/>
    <w:uiPriority w:val="0"/>
    <w:pPr>
      <w:widowControl w:val="0"/>
      <w:adjustRightInd w:val="0"/>
      <w:spacing w:line="318" w:lineRule="atLeast"/>
      <w:ind w:left="369" w:firstLine="369"/>
      <w:jc w:val="both"/>
      <w:textAlignment w:val="baseline"/>
    </w:pPr>
    <w:rPr>
      <w:rFonts w:ascii="宋体"/>
      <w:sz w:val="21"/>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7724</Words>
  <Characters>8484</Characters>
  <Lines>0</Lines>
  <Paragraphs>0</Paragraphs>
  <TotalTime>1</TotalTime>
  <ScaleCrop>false</ScaleCrop>
  <LinksUpToDate>false</LinksUpToDate>
  <CharactersWithSpaces>8662</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2025-08-06T02:29:00Z</dcterms:created>
  <dc:creator>地瓜彤</dc:creator>
  <cp:lastModifiedBy>大军子</cp:lastModifiedBy>
  <dcterms:modified xsi:type="dcterms:W3CDTF">2026-10-20T06:57:18Z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C5C9A495A2A9467FA2BFB0A851DE2A13_13</vt:lpwstr>
  </property>
  <property fmtid="{D5CDD505-2E9C-101B-9397-08002B2CF9AE}" pid="4" name="KSOTemplateDocerSaveRecord">
    <vt:lpwstr>eyJoZGlkIjoiZDNiZWRjZjQyZjA0M2MyZjBhNDVhMjg5NDY4NzkxOTYiLCJ1c2VySWQiOiIyODI5NTE4MTEifQ==</vt:lpwstr>
  </property>
</Properties>
</file>