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393B9">
      <w:pPr>
        <w:keepNext w:val="0"/>
        <w:keepLines w:val="0"/>
        <w:pageBreakBefore w:val="0"/>
        <w:widowControl/>
        <w:topLinePunct w:val="0"/>
        <w:bidi w:val="0"/>
        <w:spacing w:line="360" w:lineRule="auto"/>
        <w:jc w:val="center"/>
        <w:outlineLvl w:val="0"/>
        <w:rPr>
          <w:rFonts w:hint="eastAsia" w:asciiTheme="minorEastAsia" w:hAnsiTheme="minorEastAsia" w:eastAsiaTheme="minorEastAsia"/>
          <w:b/>
          <w:sz w:val="36"/>
          <w:szCs w:val="36"/>
          <w:lang w:val="en-US" w:eastAsia="zh-CN"/>
        </w:rPr>
      </w:pPr>
      <w:r>
        <w:rPr>
          <w:rFonts w:hint="eastAsia" w:asciiTheme="minorEastAsia" w:hAnsiTheme="minorEastAsia" w:eastAsiaTheme="minorEastAsia"/>
          <w:b/>
          <w:sz w:val="36"/>
          <w:szCs w:val="36"/>
        </w:rPr>
        <w:t>西城区雨污合流制入河排口治理项目（枣林前街排口流域）项目建设管理（二次）</w:t>
      </w:r>
      <w:r>
        <w:rPr>
          <w:rFonts w:hint="eastAsia" w:asciiTheme="minorEastAsia" w:hAnsiTheme="minorEastAsia" w:eastAsiaTheme="minorEastAsia"/>
          <w:b/>
          <w:sz w:val="36"/>
          <w:szCs w:val="36"/>
          <w:lang w:val="en-US" w:eastAsia="zh-CN"/>
        </w:rPr>
        <w:t>招标公告</w:t>
      </w:r>
      <w:bookmarkStart w:id="37" w:name="_GoBack"/>
      <w:bookmarkEnd w:id="37"/>
    </w:p>
    <w:p w14:paraId="0436DF9A">
      <w:pPr>
        <w:pStyle w:val="3"/>
        <w:keepNext w:val="0"/>
        <w:keepLines w:val="0"/>
        <w:pageBreakBefore w:val="0"/>
        <w:widowControl/>
        <w:topLinePunct w:val="0"/>
        <w:bidi w:val="0"/>
        <w:spacing w:before="0" w:line="360" w:lineRule="auto"/>
        <w:jc w:val="left"/>
        <w:rPr>
          <w:rFonts w:hint="eastAsia" w:asciiTheme="minorEastAsia" w:hAnsiTheme="minorEastAsia" w:eastAsiaTheme="minorEastAsia"/>
          <w:sz w:val="24"/>
          <w:szCs w:val="24"/>
        </w:rPr>
      </w:pPr>
      <w:bookmarkStart w:id="0" w:name="_Toc28359079"/>
      <w:bookmarkStart w:id="1" w:name="_Toc28359002"/>
      <w:bookmarkStart w:id="2" w:name="_Toc35393790"/>
      <w:bookmarkStart w:id="3" w:name="_Toc35393621"/>
      <w:bookmarkStart w:id="4" w:name="_Hlk24379207"/>
      <w:r>
        <w:rPr>
          <w:rFonts w:asciiTheme="minorEastAsia" w:hAnsiTheme="minorEastAsia" w:eastAsiaTheme="minorEastAsia"/>
          <w:sz w:val="24"/>
          <w:szCs w:val="24"/>
        </w:rPr>
        <w:t>一、项目基本情况</w:t>
      </w:r>
      <w:bookmarkEnd w:id="0"/>
      <w:bookmarkEnd w:id="1"/>
      <w:bookmarkEnd w:id="2"/>
      <w:bookmarkEnd w:id="3"/>
    </w:p>
    <w:p w14:paraId="482CBDAF">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u w:val="single"/>
        </w:rPr>
      </w:pPr>
      <w:r>
        <w:rPr>
          <w:rFonts w:asciiTheme="minorEastAsia" w:hAnsiTheme="minorEastAsia" w:eastAsiaTheme="minorEastAsia"/>
          <w:sz w:val="24"/>
        </w:rPr>
        <w:t>1.项目编号：</w:t>
      </w:r>
      <w:r>
        <w:rPr>
          <w:rFonts w:hint="eastAsia" w:asciiTheme="minorEastAsia" w:hAnsiTheme="minorEastAsia" w:eastAsiaTheme="minorEastAsia"/>
          <w:sz w:val="24"/>
          <w:u w:val="single"/>
        </w:rPr>
        <w:t>11010226210200023075-XM001</w:t>
      </w:r>
    </w:p>
    <w:p w14:paraId="7775C463">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eastAsia="zh-CN"/>
        </w:rPr>
      </w:pPr>
      <w:r>
        <w:rPr>
          <w:rFonts w:asciiTheme="minorEastAsia" w:hAnsiTheme="minorEastAsia" w:eastAsiaTheme="minorEastAsia"/>
          <w:sz w:val="24"/>
        </w:rPr>
        <w:t>2.项目名称：</w:t>
      </w:r>
      <w:r>
        <w:rPr>
          <w:rFonts w:hint="eastAsia" w:asciiTheme="minorEastAsia" w:hAnsiTheme="minorEastAsia" w:eastAsiaTheme="minorEastAsia"/>
          <w:sz w:val="24"/>
          <w:u w:val="single"/>
          <w:lang w:eastAsia="zh-CN"/>
        </w:rPr>
        <w:t>西城区雨污合流制入河排口治理项目（枣林前街排口流域）项目建设管理（二次）</w:t>
      </w:r>
    </w:p>
    <w:bookmarkEnd w:id="4"/>
    <w:p w14:paraId="7BFBF46F">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3.项目预算金额：</w:t>
      </w:r>
      <w:r>
        <w:rPr>
          <w:rFonts w:hint="eastAsia" w:asciiTheme="minorEastAsia" w:hAnsiTheme="minorEastAsia" w:eastAsiaTheme="minorEastAsia"/>
          <w:sz w:val="24"/>
          <w:u w:val="single"/>
        </w:rPr>
        <w:t>108.33</w:t>
      </w:r>
      <w:r>
        <w:rPr>
          <w:rFonts w:asciiTheme="minorEastAsia" w:hAnsiTheme="minorEastAsia" w:eastAsiaTheme="minorEastAsia"/>
          <w:sz w:val="24"/>
        </w:rPr>
        <w:t>万元、项目最高限价（如有）：</w:t>
      </w:r>
      <w:r>
        <w:rPr>
          <w:rFonts w:asciiTheme="minorEastAsia" w:hAnsiTheme="minorEastAsia" w:eastAsiaTheme="minorEastAsia"/>
          <w:sz w:val="24"/>
          <w:u w:val="single"/>
        </w:rPr>
        <w:t>108.33</w:t>
      </w:r>
      <w:r>
        <w:rPr>
          <w:rFonts w:asciiTheme="minorEastAsia" w:hAnsiTheme="minorEastAsia" w:eastAsiaTheme="minorEastAsia"/>
          <w:sz w:val="24"/>
        </w:rPr>
        <w:t>万元</w:t>
      </w:r>
    </w:p>
    <w:p w14:paraId="0BDD4AE0">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4.采购需求：</w:t>
      </w:r>
    </w:p>
    <w:tbl>
      <w:tblPr>
        <w:tblStyle w:val="5"/>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07"/>
        <w:gridCol w:w="1511"/>
        <w:gridCol w:w="735"/>
        <w:gridCol w:w="3608"/>
      </w:tblGrid>
      <w:tr w14:paraId="7AFC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438E334A">
            <w:pPr>
              <w:keepNext w:val="0"/>
              <w:keepLines w:val="0"/>
              <w:pageBreakBefore w:val="0"/>
              <w:widowControl/>
              <w:topLinePunct w:val="0"/>
              <w:bidi w:val="0"/>
              <w:spacing w:line="360" w:lineRule="auto"/>
              <w:jc w:val="center"/>
              <w:rPr>
                <w:rFonts w:hint="eastAsia" w:asciiTheme="minorEastAsia" w:hAnsiTheme="minorEastAsia" w:eastAsiaTheme="minorEastAsia"/>
                <w:bCs/>
                <w:sz w:val="24"/>
              </w:rPr>
            </w:pPr>
            <w:r>
              <w:rPr>
                <w:rFonts w:asciiTheme="minorEastAsia" w:hAnsiTheme="minorEastAsia" w:eastAsiaTheme="minorEastAsia"/>
                <w:bCs/>
                <w:sz w:val="24"/>
              </w:rPr>
              <w:t>包号</w:t>
            </w:r>
          </w:p>
        </w:tc>
        <w:tc>
          <w:tcPr>
            <w:tcW w:w="1907" w:type="dxa"/>
            <w:vAlign w:val="center"/>
          </w:tcPr>
          <w:p w14:paraId="41527566">
            <w:pPr>
              <w:keepNext w:val="0"/>
              <w:keepLines w:val="0"/>
              <w:pageBreakBefore w:val="0"/>
              <w:widowControl/>
              <w:topLinePunct w:val="0"/>
              <w:bidi w:val="0"/>
              <w:spacing w:line="360" w:lineRule="auto"/>
              <w:jc w:val="center"/>
              <w:rPr>
                <w:rFonts w:hint="eastAsia" w:asciiTheme="minorEastAsia" w:hAnsiTheme="minorEastAsia" w:eastAsiaTheme="minorEastAsia"/>
                <w:bCs/>
                <w:sz w:val="24"/>
              </w:rPr>
            </w:pPr>
            <w:r>
              <w:rPr>
                <w:rFonts w:asciiTheme="minorEastAsia" w:hAnsiTheme="minorEastAsia" w:eastAsiaTheme="minorEastAsia"/>
                <w:bCs/>
                <w:sz w:val="24"/>
              </w:rPr>
              <w:t>标的名称</w:t>
            </w:r>
          </w:p>
        </w:tc>
        <w:tc>
          <w:tcPr>
            <w:tcW w:w="1511" w:type="dxa"/>
            <w:vAlign w:val="center"/>
          </w:tcPr>
          <w:p w14:paraId="136EA9E4">
            <w:pPr>
              <w:keepNext w:val="0"/>
              <w:keepLines w:val="0"/>
              <w:pageBreakBefore w:val="0"/>
              <w:widowControl/>
              <w:topLinePunct w:val="0"/>
              <w:bidi w:val="0"/>
              <w:spacing w:line="360" w:lineRule="auto"/>
              <w:jc w:val="center"/>
              <w:rPr>
                <w:rFonts w:hint="eastAsia" w:asciiTheme="minorEastAsia" w:hAnsiTheme="minorEastAsia" w:eastAsiaTheme="minorEastAsia"/>
                <w:bCs/>
                <w:sz w:val="24"/>
              </w:rPr>
            </w:pPr>
            <w:r>
              <w:rPr>
                <w:rFonts w:asciiTheme="minorEastAsia" w:hAnsiTheme="minorEastAsia" w:eastAsiaTheme="minorEastAsia"/>
                <w:bCs/>
                <w:sz w:val="24"/>
              </w:rPr>
              <w:t>采购包预算金额</w:t>
            </w:r>
          </w:p>
          <w:p w14:paraId="17784F85">
            <w:pPr>
              <w:keepNext w:val="0"/>
              <w:keepLines w:val="0"/>
              <w:pageBreakBefore w:val="0"/>
              <w:widowControl/>
              <w:topLinePunct w:val="0"/>
              <w:bidi w:val="0"/>
              <w:spacing w:line="360" w:lineRule="auto"/>
              <w:jc w:val="center"/>
              <w:rPr>
                <w:rFonts w:hint="eastAsia" w:asciiTheme="minorEastAsia" w:hAnsiTheme="minorEastAsia" w:eastAsiaTheme="minorEastAsia"/>
                <w:bCs/>
                <w:sz w:val="24"/>
              </w:rPr>
            </w:pPr>
            <w:r>
              <w:rPr>
                <w:rFonts w:asciiTheme="minorEastAsia" w:hAnsiTheme="minorEastAsia" w:eastAsiaTheme="minorEastAsia"/>
                <w:bCs/>
                <w:sz w:val="24"/>
              </w:rPr>
              <w:t>（万元）</w:t>
            </w:r>
          </w:p>
        </w:tc>
        <w:tc>
          <w:tcPr>
            <w:tcW w:w="735" w:type="dxa"/>
            <w:vAlign w:val="center"/>
          </w:tcPr>
          <w:p w14:paraId="7D8F63ED">
            <w:pPr>
              <w:keepNext w:val="0"/>
              <w:keepLines w:val="0"/>
              <w:pageBreakBefore w:val="0"/>
              <w:widowControl/>
              <w:topLinePunct w:val="0"/>
              <w:bidi w:val="0"/>
              <w:spacing w:line="360" w:lineRule="auto"/>
              <w:jc w:val="center"/>
              <w:rPr>
                <w:rFonts w:hint="eastAsia" w:asciiTheme="minorEastAsia" w:hAnsiTheme="minorEastAsia" w:eastAsiaTheme="minorEastAsia"/>
                <w:bCs/>
                <w:sz w:val="24"/>
              </w:rPr>
            </w:pPr>
            <w:r>
              <w:rPr>
                <w:rFonts w:asciiTheme="minorEastAsia" w:hAnsiTheme="minorEastAsia" w:eastAsiaTheme="minorEastAsia"/>
                <w:bCs/>
                <w:sz w:val="24"/>
              </w:rPr>
              <w:t>数量</w:t>
            </w:r>
          </w:p>
        </w:tc>
        <w:tc>
          <w:tcPr>
            <w:tcW w:w="3608" w:type="dxa"/>
            <w:vAlign w:val="center"/>
          </w:tcPr>
          <w:p w14:paraId="00F9674C">
            <w:pPr>
              <w:keepNext w:val="0"/>
              <w:keepLines w:val="0"/>
              <w:pageBreakBefore w:val="0"/>
              <w:widowControl/>
              <w:topLinePunct w:val="0"/>
              <w:bidi w:val="0"/>
              <w:spacing w:line="360" w:lineRule="auto"/>
              <w:jc w:val="center"/>
              <w:rPr>
                <w:rFonts w:hint="eastAsia" w:asciiTheme="minorEastAsia" w:hAnsiTheme="minorEastAsia" w:eastAsiaTheme="minorEastAsia"/>
                <w:sz w:val="24"/>
              </w:rPr>
            </w:pPr>
            <w:r>
              <w:rPr>
                <w:rFonts w:asciiTheme="minorEastAsia" w:hAnsiTheme="minorEastAsia" w:eastAsiaTheme="minorEastAsia"/>
                <w:sz w:val="24"/>
              </w:rPr>
              <w:t>简要技术需求或服务要求</w:t>
            </w:r>
          </w:p>
        </w:tc>
      </w:tr>
      <w:tr w14:paraId="1A5C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688" w:type="dxa"/>
            <w:vAlign w:val="center"/>
          </w:tcPr>
          <w:p w14:paraId="45C0C486">
            <w:pPr>
              <w:keepNext w:val="0"/>
              <w:keepLines w:val="0"/>
              <w:pageBreakBefore w:val="0"/>
              <w:widowControl/>
              <w:topLinePunct w:val="0"/>
              <w:bidi w:val="0"/>
              <w:spacing w:line="360" w:lineRule="auto"/>
              <w:jc w:val="center"/>
              <w:rPr>
                <w:rFonts w:hint="eastAsia" w:asciiTheme="minorEastAsia" w:hAnsiTheme="minorEastAsia" w:eastAsiaTheme="minorEastAsia"/>
                <w:bCs/>
                <w:sz w:val="24"/>
              </w:rPr>
            </w:pPr>
            <w:r>
              <w:rPr>
                <w:rFonts w:hint="eastAsia" w:asciiTheme="minorEastAsia" w:hAnsiTheme="minorEastAsia" w:eastAsiaTheme="minorEastAsia"/>
                <w:bCs/>
                <w:sz w:val="24"/>
              </w:rPr>
              <w:t>1</w:t>
            </w:r>
          </w:p>
        </w:tc>
        <w:tc>
          <w:tcPr>
            <w:tcW w:w="1907" w:type="dxa"/>
            <w:vAlign w:val="center"/>
          </w:tcPr>
          <w:p w14:paraId="0F403182">
            <w:pPr>
              <w:keepNext w:val="0"/>
              <w:keepLines w:val="0"/>
              <w:pageBreakBefore w:val="0"/>
              <w:widowControl/>
              <w:topLinePunct w:val="0"/>
              <w:bidi w:val="0"/>
              <w:spacing w:line="360" w:lineRule="auto"/>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西城区雨污合流制入河排口治理项目（枣林前街排口流域）项目建设管理（二次）</w:t>
            </w:r>
          </w:p>
        </w:tc>
        <w:tc>
          <w:tcPr>
            <w:tcW w:w="1511" w:type="dxa"/>
            <w:vAlign w:val="center"/>
          </w:tcPr>
          <w:p w14:paraId="2CB80020">
            <w:pPr>
              <w:keepNext w:val="0"/>
              <w:keepLines w:val="0"/>
              <w:pageBreakBefore w:val="0"/>
              <w:widowControl/>
              <w:topLinePunct w:val="0"/>
              <w:bidi w:val="0"/>
              <w:spacing w:line="360" w:lineRule="auto"/>
              <w:jc w:val="center"/>
              <w:rPr>
                <w:rFonts w:hint="eastAsia" w:asciiTheme="minorEastAsia" w:hAnsiTheme="minorEastAsia" w:eastAsiaTheme="minorEastAsia"/>
                <w:bCs/>
                <w:sz w:val="24"/>
              </w:rPr>
            </w:pPr>
            <w:r>
              <w:rPr>
                <w:rFonts w:asciiTheme="minorEastAsia" w:hAnsiTheme="minorEastAsia" w:eastAsiaTheme="minorEastAsia"/>
                <w:sz w:val="24"/>
              </w:rPr>
              <w:t>108.33</w:t>
            </w:r>
          </w:p>
        </w:tc>
        <w:tc>
          <w:tcPr>
            <w:tcW w:w="735" w:type="dxa"/>
            <w:vAlign w:val="center"/>
          </w:tcPr>
          <w:p w14:paraId="29E9926F">
            <w:pPr>
              <w:keepNext w:val="0"/>
              <w:keepLines w:val="0"/>
              <w:pageBreakBefore w:val="0"/>
              <w:widowControl/>
              <w:topLinePunct w:val="0"/>
              <w:bidi w:val="0"/>
              <w:spacing w:line="360" w:lineRule="auto"/>
              <w:jc w:val="center"/>
              <w:rPr>
                <w:rFonts w:hint="eastAsia" w:asciiTheme="minorEastAsia" w:hAnsiTheme="minorEastAsia" w:eastAsiaTheme="minorEastAsia"/>
                <w:bCs/>
                <w:sz w:val="24"/>
              </w:rPr>
            </w:pPr>
            <w:r>
              <w:rPr>
                <w:rFonts w:hint="eastAsia" w:asciiTheme="minorEastAsia" w:hAnsiTheme="minorEastAsia" w:eastAsiaTheme="minorEastAsia"/>
                <w:bCs/>
                <w:sz w:val="24"/>
              </w:rPr>
              <w:t>1</w:t>
            </w:r>
          </w:p>
        </w:tc>
        <w:tc>
          <w:tcPr>
            <w:tcW w:w="3608" w:type="dxa"/>
            <w:vAlign w:val="center"/>
          </w:tcPr>
          <w:p w14:paraId="00A378C1">
            <w:pPr>
              <w:keepNext w:val="0"/>
              <w:keepLines w:val="0"/>
              <w:pageBreakBefore w:val="0"/>
              <w:widowControl/>
              <w:topLinePunct w:val="0"/>
              <w:bidi w:val="0"/>
              <w:spacing w:line="360" w:lineRule="auto"/>
              <w:jc w:val="center"/>
              <w:rPr>
                <w:rFonts w:hint="eastAsia" w:asciiTheme="minorEastAsia" w:hAnsiTheme="minorEastAsia" w:eastAsiaTheme="minorEastAsia"/>
                <w:kern w:val="0"/>
              </w:rPr>
            </w:pPr>
            <w:r>
              <w:rPr>
                <w:rFonts w:asciiTheme="minorEastAsia" w:hAnsiTheme="minorEastAsia" w:eastAsiaTheme="minorEastAsia"/>
                <w:sz w:val="24"/>
              </w:rPr>
              <w:t>负责协助采购人进行本项目的</w:t>
            </w:r>
            <w:r>
              <w:rPr>
                <w:rFonts w:hint="eastAsia" w:asciiTheme="minorEastAsia" w:hAnsiTheme="minorEastAsia" w:eastAsiaTheme="minorEastAsia"/>
                <w:sz w:val="24"/>
              </w:rPr>
              <w:t>项目</w:t>
            </w:r>
            <w:r>
              <w:rPr>
                <w:rFonts w:asciiTheme="minorEastAsia" w:hAnsiTheme="minorEastAsia" w:eastAsiaTheme="minorEastAsia"/>
                <w:sz w:val="24"/>
              </w:rPr>
              <w:t>建设管理（包括项目前期手续，项目的设计管理、采购组织及项目过程中的进度控制、质量控制、安全控制、竣工验收、结算评审、资料收集归档等相关工作）</w:t>
            </w:r>
            <w:r>
              <w:rPr>
                <w:rFonts w:hint="eastAsia" w:asciiTheme="minorEastAsia" w:hAnsiTheme="minorEastAsia" w:eastAsiaTheme="minorEastAsia"/>
                <w:sz w:val="24"/>
              </w:rPr>
              <w:t>，具体详见第五章采购需求。</w:t>
            </w:r>
          </w:p>
        </w:tc>
      </w:tr>
    </w:tbl>
    <w:p w14:paraId="605FDB6C">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p>
    <w:p w14:paraId="5871A1A0">
      <w:pPr>
        <w:pStyle w:val="7"/>
        <w:keepNext w:val="0"/>
        <w:keepLines w:val="0"/>
        <w:pageBreakBefore w:val="0"/>
        <w:widowControl/>
        <w:topLinePunct w:val="0"/>
        <w:bidi w:val="0"/>
        <w:spacing w:line="360" w:lineRule="auto"/>
        <w:ind w:firstLine="480"/>
        <w:rPr>
          <w:rFonts w:hint="eastAsia" w:asciiTheme="minorEastAsia" w:hAnsiTheme="minorEastAsia" w:eastAsiaTheme="minorEastAsia"/>
          <w:sz w:val="24"/>
          <w:u w:val="single"/>
        </w:rPr>
      </w:pPr>
      <w:r>
        <w:rPr>
          <w:rFonts w:hint="eastAsia" w:asciiTheme="minorEastAsia" w:hAnsiTheme="minorEastAsia" w:eastAsiaTheme="minorEastAsia"/>
          <w:sz w:val="24"/>
        </w:rPr>
        <w:t>5.</w:t>
      </w:r>
      <w:r>
        <w:rPr>
          <w:rFonts w:asciiTheme="minorEastAsia" w:hAnsiTheme="minorEastAsia" w:eastAsiaTheme="minorEastAsia"/>
          <w:sz w:val="24"/>
        </w:rPr>
        <w:t>合同履行期限：</w:t>
      </w:r>
      <w:r>
        <w:rPr>
          <w:rFonts w:asciiTheme="minorEastAsia" w:hAnsiTheme="minorEastAsia" w:eastAsiaTheme="minorEastAsia"/>
          <w:sz w:val="24"/>
          <w:u w:val="single"/>
        </w:rPr>
        <w:t>从签订</w:t>
      </w:r>
      <w:r>
        <w:rPr>
          <w:rFonts w:hint="eastAsia" w:asciiTheme="minorEastAsia" w:hAnsiTheme="minorEastAsia" w:eastAsiaTheme="minorEastAsia"/>
          <w:sz w:val="24"/>
          <w:u w:val="single"/>
        </w:rPr>
        <w:t>项目</w:t>
      </w:r>
      <w:r>
        <w:rPr>
          <w:rFonts w:asciiTheme="minorEastAsia" w:hAnsiTheme="minorEastAsia" w:eastAsiaTheme="minorEastAsia"/>
          <w:sz w:val="24"/>
          <w:u w:val="single"/>
        </w:rPr>
        <w:t>建设管理合同开始，经前期设计管理及相关手续的配合工作、实施阶段、工程竣工验收、竣工结算评审、直至完成审计为止。</w:t>
      </w:r>
    </w:p>
    <w:p w14:paraId="1A526220">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 xml:space="preserve">本项目是否接受联合体投标：□是  </w:t>
      </w:r>
      <w:r>
        <w:rPr>
          <w:rFonts w:hint="eastAsia" w:asciiTheme="minorEastAsia" w:hAnsiTheme="minorEastAsia" w:eastAsiaTheme="minorEastAsia"/>
          <w:sz w:val="24"/>
        </w:rPr>
        <w:t>■</w:t>
      </w:r>
      <w:r>
        <w:rPr>
          <w:rFonts w:asciiTheme="minorEastAsia" w:hAnsiTheme="minorEastAsia" w:eastAsiaTheme="minorEastAsia"/>
          <w:sz w:val="24"/>
        </w:rPr>
        <w:t>否。</w:t>
      </w:r>
    </w:p>
    <w:p w14:paraId="658B27C9">
      <w:pPr>
        <w:keepNext w:val="0"/>
        <w:keepLines w:val="0"/>
        <w:pageBreakBefore w:val="0"/>
        <w:widowControl/>
        <w:tabs>
          <w:tab w:val="left" w:pos="5294"/>
        </w:tabs>
        <w:topLinePunct w:val="0"/>
        <w:bidi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ab/>
      </w:r>
    </w:p>
    <w:p w14:paraId="268232C5">
      <w:pPr>
        <w:pStyle w:val="3"/>
        <w:keepNext w:val="0"/>
        <w:keepLines w:val="0"/>
        <w:pageBreakBefore w:val="0"/>
        <w:widowControl/>
        <w:topLinePunct w:val="0"/>
        <w:bidi w:val="0"/>
        <w:spacing w:before="0" w:line="360" w:lineRule="auto"/>
        <w:jc w:val="left"/>
        <w:rPr>
          <w:rFonts w:hint="eastAsia" w:asciiTheme="minorEastAsia" w:hAnsiTheme="minorEastAsia" w:eastAsiaTheme="minorEastAsia"/>
          <w:sz w:val="24"/>
          <w:szCs w:val="24"/>
        </w:rPr>
      </w:pPr>
      <w:bookmarkStart w:id="5" w:name="_Toc35393622"/>
      <w:bookmarkStart w:id="6" w:name="_Toc28359003"/>
      <w:bookmarkStart w:id="7" w:name="_Toc35393791"/>
      <w:bookmarkStart w:id="8" w:name="_Toc28359080"/>
      <w:r>
        <w:rPr>
          <w:rFonts w:asciiTheme="minorEastAsia" w:hAnsiTheme="minorEastAsia" w:eastAsiaTheme="minorEastAsia"/>
          <w:sz w:val="24"/>
          <w:szCs w:val="24"/>
        </w:rPr>
        <w:t>二、申请人的资格要求（须同时满足）</w:t>
      </w:r>
      <w:bookmarkEnd w:id="5"/>
      <w:bookmarkEnd w:id="6"/>
      <w:bookmarkEnd w:id="7"/>
      <w:bookmarkEnd w:id="8"/>
    </w:p>
    <w:p w14:paraId="6BE286DB">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1.满足《中华人民共和国政府采购法》第二十二条规定；</w:t>
      </w:r>
    </w:p>
    <w:p w14:paraId="6C5C70D9">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bookmarkStart w:id="9" w:name="_Toc28359004"/>
      <w:bookmarkStart w:id="10" w:name="_Toc28359081"/>
      <w:r>
        <w:rPr>
          <w:rFonts w:asciiTheme="minorEastAsia" w:hAnsiTheme="minorEastAsia" w:eastAsiaTheme="minorEastAsia"/>
          <w:sz w:val="24"/>
        </w:rPr>
        <w:t>2.落实政府采购政策需满足的资格要求：</w:t>
      </w:r>
    </w:p>
    <w:p w14:paraId="31622740">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2.1 中小企业政策</w:t>
      </w:r>
    </w:p>
    <w:p w14:paraId="1D8883D1">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sym w:font="Wingdings 2" w:char="00A3"/>
      </w:r>
      <w:r>
        <w:rPr>
          <w:rFonts w:asciiTheme="minorEastAsia" w:hAnsiTheme="minorEastAsia" w:eastAsiaTheme="minorEastAsia"/>
          <w:sz w:val="24"/>
        </w:rPr>
        <w:t>本项目不专门面向中小企业预留采购份额。</w:t>
      </w:r>
    </w:p>
    <w:p w14:paraId="193599EE">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 xml:space="preserve">本项目专门面向  </w:t>
      </w:r>
      <w:r>
        <w:rPr>
          <w:rFonts w:hint="eastAsia" w:asciiTheme="minorEastAsia" w:hAnsiTheme="minorEastAsia" w:eastAsiaTheme="minorEastAsia"/>
          <w:sz w:val="24"/>
        </w:rPr>
        <w:t xml:space="preserve"> ■</w:t>
      </w:r>
      <w:r>
        <w:rPr>
          <w:rFonts w:asciiTheme="minorEastAsia" w:hAnsiTheme="minorEastAsia" w:eastAsiaTheme="minorEastAsia"/>
          <w:sz w:val="24"/>
        </w:rPr>
        <w:t>中小</w:t>
      </w:r>
      <w:r>
        <w:rPr>
          <w:rFonts w:hint="eastAsia" w:asciiTheme="minorEastAsia" w:hAnsiTheme="minorEastAsia" w:eastAsiaTheme="minorEastAsia"/>
          <w:sz w:val="24"/>
        </w:rPr>
        <w:t xml:space="preserve">   </w:t>
      </w:r>
      <w:r>
        <w:rPr>
          <w:rFonts w:asciiTheme="minorEastAsia" w:hAnsiTheme="minorEastAsia" w:eastAsiaTheme="minorEastAsia"/>
          <w:sz w:val="24"/>
        </w:rPr>
        <w:t>□小微企业  采购。即：提供的货物全部由符合政策要求的中小/小微企业制造、服务全部由符合政策要求的中小/小微企业承接。</w:t>
      </w:r>
    </w:p>
    <w:p w14:paraId="385F115C">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sz w:val="24"/>
          <w:u w:val="single"/>
        </w:rPr>
        <w:t xml:space="preserve"> / </w:t>
      </w:r>
      <w:r>
        <w:rPr>
          <w:rFonts w:asciiTheme="minorEastAsia" w:hAnsiTheme="minorEastAsia" w:eastAsiaTheme="minorEastAsia"/>
          <w:sz w:val="24"/>
        </w:rPr>
        <w:t>。</w:t>
      </w:r>
    </w:p>
    <w:p w14:paraId="3229BE5B">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2.2 其它落实政府采购政策的资格要求（如有）：</w:t>
      </w:r>
      <w:r>
        <w:rPr>
          <w:rFonts w:hint="eastAsia" w:asciiTheme="minorEastAsia" w:hAnsiTheme="minorEastAsia" w:eastAsiaTheme="minorEastAsia"/>
          <w:sz w:val="24"/>
          <w:u w:val="single"/>
        </w:rPr>
        <w:t xml:space="preserve"> </w:t>
      </w:r>
      <w:r>
        <w:rPr>
          <w:rFonts w:hint="eastAsia" w:cs="宋体" w:asciiTheme="minorEastAsia" w:hAnsiTheme="minorEastAsia" w:eastAsiaTheme="minorEastAsia"/>
          <w:spacing w:val="1"/>
          <w:sz w:val="24"/>
          <w:u w:val="single"/>
        </w:rPr>
        <w:t xml:space="preserve">/ </w:t>
      </w:r>
      <w:r>
        <w:rPr>
          <w:rFonts w:asciiTheme="minorEastAsia" w:hAnsiTheme="minorEastAsia" w:eastAsiaTheme="minorEastAsia"/>
          <w:sz w:val="24"/>
        </w:rPr>
        <w:t>。</w:t>
      </w:r>
    </w:p>
    <w:p w14:paraId="06786AED">
      <w:pPr>
        <w:keepNext w:val="0"/>
        <w:keepLines w:val="0"/>
        <w:pageBreakBefore w:val="0"/>
        <w:widowControl/>
        <w:tabs>
          <w:tab w:val="center" w:pos="4776"/>
        </w:tabs>
        <w:topLinePunct w:val="0"/>
        <w:bidi w:val="0"/>
        <w:spacing w:line="360" w:lineRule="auto"/>
        <w:ind w:firstLine="480" w:firstLineChars="200"/>
        <w:rPr>
          <w:rFonts w:hint="eastAsia" w:asciiTheme="minorEastAsia" w:hAnsiTheme="minorEastAsia" w:eastAsiaTheme="minorEastAsia"/>
          <w:i/>
          <w:iCs/>
          <w:sz w:val="24"/>
          <w:u w:val="single"/>
        </w:rPr>
      </w:pPr>
      <w:r>
        <w:rPr>
          <w:rFonts w:asciiTheme="minorEastAsia" w:hAnsiTheme="minorEastAsia" w:eastAsiaTheme="minorEastAsia"/>
          <w:sz w:val="24"/>
        </w:rPr>
        <w:t>3.本项目的特定资格要求：</w:t>
      </w:r>
      <w:r>
        <w:rPr>
          <w:rFonts w:hint="eastAsia" w:asciiTheme="minorEastAsia" w:hAnsiTheme="minorEastAsia" w:eastAsiaTheme="minorEastAsia"/>
          <w:sz w:val="24"/>
        </w:rPr>
        <w:tab/>
      </w:r>
    </w:p>
    <w:p w14:paraId="54AAAC9C">
      <w:pPr>
        <w:keepNext w:val="0"/>
        <w:keepLines w:val="0"/>
        <w:pageBreakBefore w:val="0"/>
        <w:widowControl/>
        <w:tabs>
          <w:tab w:val="left" w:pos="900"/>
          <w:tab w:val="left" w:pos="1134"/>
          <w:tab w:val="left" w:pos="1589"/>
          <w:tab w:val="left" w:pos="5521"/>
        </w:tabs>
        <w:topLinePunct w:val="0"/>
        <w:bidi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3.1本项目是否属于政府购买服务：</w:t>
      </w:r>
    </w:p>
    <w:p w14:paraId="32ACC473">
      <w:pPr>
        <w:keepNext w:val="0"/>
        <w:keepLines w:val="0"/>
        <w:pageBreakBefore w:val="0"/>
        <w:widowControl/>
        <w:tabs>
          <w:tab w:val="left" w:pos="900"/>
          <w:tab w:val="left" w:pos="1134"/>
          <w:tab w:val="left" w:pos="1589"/>
          <w:tab w:val="left" w:pos="5521"/>
        </w:tabs>
        <w:topLinePunct w:val="0"/>
        <w:bidi w:val="0"/>
        <w:spacing w:line="360" w:lineRule="auto"/>
        <w:ind w:left="991" w:leftChars="472" w:firstLine="2"/>
        <w:rPr>
          <w:rFonts w:hint="eastAsia" w:asciiTheme="minorEastAsia" w:hAnsiTheme="minorEastAsia" w:eastAsiaTheme="minorEastAsia"/>
          <w:sz w:val="24"/>
        </w:rPr>
      </w:pPr>
      <w:r>
        <w:rPr>
          <w:rFonts w:asciiTheme="minorEastAsia" w:hAnsiTheme="minorEastAsia" w:eastAsiaTheme="minorEastAsia"/>
          <w:sz w:val="24"/>
        </w:rPr>
        <w:t>□否</w:t>
      </w:r>
    </w:p>
    <w:p w14:paraId="28F93935">
      <w:pPr>
        <w:keepNext w:val="0"/>
        <w:keepLines w:val="0"/>
        <w:pageBreakBefore w:val="0"/>
        <w:widowControl/>
        <w:tabs>
          <w:tab w:val="left" w:pos="900"/>
          <w:tab w:val="left" w:pos="1134"/>
          <w:tab w:val="left" w:pos="1589"/>
          <w:tab w:val="left" w:pos="5521"/>
        </w:tabs>
        <w:topLinePunct w:val="0"/>
        <w:bidi w:val="0"/>
        <w:spacing w:line="360" w:lineRule="auto"/>
        <w:ind w:left="991" w:leftChars="472" w:firstLine="2"/>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是，公益一类事业单位、使用事业编制且由财政拨款保障的群团组织，不得作为承接主体；</w:t>
      </w:r>
    </w:p>
    <w:p w14:paraId="7C148064">
      <w:pPr>
        <w:keepNext w:val="0"/>
        <w:keepLines w:val="0"/>
        <w:pageBreakBefore w:val="0"/>
        <w:widowControl/>
        <w:tabs>
          <w:tab w:val="left" w:pos="900"/>
          <w:tab w:val="left" w:pos="1134"/>
          <w:tab w:val="left" w:pos="1589"/>
          <w:tab w:val="left" w:pos="5521"/>
        </w:tabs>
        <w:wordWrap w:val="0"/>
        <w:topLinePunct w:val="0"/>
        <w:bidi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3.2其他特定资格要求：</w:t>
      </w:r>
    </w:p>
    <w:p w14:paraId="398E69E0">
      <w:pPr>
        <w:keepNext w:val="0"/>
        <w:keepLines w:val="0"/>
        <w:pageBreakBefore w:val="0"/>
        <w:widowControl/>
        <w:tabs>
          <w:tab w:val="left" w:pos="900"/>
          <w:tab w:val="left" w:pos="1134"/>
          <w:tab w:val="left" w:pos="1589"/>
          <w:tab w:val="left" w:pos="5521"/>
        </w:tabs>
        <w:wordWrap w:val="0"/>
        <w:topLinePunct w:val="0"/>
        <w:bidi w:val="0"/>
        <w:spacing w:line="360" w:lineRule="auto"/>
        <w:ind w:firstLine="480" w:firstLineChars="200"/>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1、单位负责人为同一人或者存在直接控股、管理关系的不同供应商，不得同时参加本项目投标；</w:t>
      </w:r>
    </w:p>
    <w:p w14:paraId="27807F6F">
      <w:pPr>
        <w:keepNext w:val="0"/>
        <w:keepLines w:val="0"/>
        <w:pageBreakBefore w:val="0"/>
        <w:widowControl/>
        <w:tabs>
          <w:tab w:val="left" w:pos="900"/>
          <w:tab w:val="left" w:pos="1134"/>
          <w:tab w:val="left" w:pos="1589"/>
          <w:tab w:val="left" w:pos="5521"/>
        </w:tabs>
        <w:wordWrap w:val="0"/>
        <w:topLinePunct w:val="0"/>
        <w:bidi w:val="0"/>
        <w:spacing w:line="360" w:lineRule="auto"/>
        <w:ind w:firstLine="480" w:firstLineChars="200"/>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u w:val="single"/>
        </w:rPr>
        <w:t>2、供应商不得被信用中国网站(www.creditchina.gov.cn) 列入失信被执行人或重大税收违法案件当事人名单，不得被中国政府采购网(www.ccgp.gov.cn ) 列入政府采购严重违法失信行为记录名单</w:t>
      </w:r>
      <w:r>
        <w:rPr>
          <w:rFonts w:hint="eastAsia" w:asciiTheme="minorEastAsia" w:hAnsiTheme="minorEastAsia" w:eastAsiaTheme="minorEastAsia"/>
          <w:sz w:val="24"/>
          <w:u w:val="single"/>
          <w:lang w:eastAsia="zh-CN"/>
        </w:rPr>
        <w:t>。</w:t>
      </w:r>
    </w:p>
    <w:bookmarkEnd w:id="9"/>
    <w:bookmarkEnd w:id="10"/>
    <w:p w14:paraId="07A57CA0">
      <w:pPr>
        <w:pStyle w:val="3"/>
        <w:keepNext w:val="0"/>
        <w:keepLines w:val="0"/>
        <w:pageBreakBefore w:val="0"/>
        <w:widowControl/>
        <w:topLinePunct w:val="0"/>
        <w:bidi w:val="0"/>
        <w:spacing w:before="0" w:line="360" w:lineRule="auto"/>
        <w:jc w:val="left"/>
        <w:rPr>
          <w:rFonts w:hint="eastAsia" w:asciiTheme="minorEastAsia" w:hAnsiTheme="minorEastAsia" w:eastAsiaTheme="minorEastAsia"/>
          <w:sz w:val="24"/>
          <w:szCs w:val="24"/>
        </w:rPr>
      </w:pPr>
      <w:bookmarkStart w:id="11" w:name="_Toc35393623"/>
      <w:bookmarkStart w:id="12" w:name="_Toc35393792"/>
      <w:r>
        <w:rPr>
          <w:rFonts w:asciiTheme="minorEastAsia" w:hAnsiTheme="minorEastAsia" w:eastAsiaTheme="minorEastAsia"/>
          <w:sz w:val="24"/>
          <w:szCs w:val="24"/>
        </w:rPr>
        <w:t>三、获取招标文件</w:t>
      </w:r>
      <w:bookmarkEnd w:id="11"/>
      <w:bookmarkEnd w:id="12"/>
    </w:p>
    <w:p w14:paraId="72AABB8C">
      <w:pPr>
        <w:keepNext w:val="0"/>
        <w:keepLines w:val="0"/>
        <w:pageBreakBefore w:val="0"/>
        <w:widowControl/>
        <w:topLinePunct w:val="0"/>
        <w:bidi w:val="0"/>
        <w:adjustRightInd w:val="0"/>
        <w:spacing w:line="360" w:lineRule="auto"/>
        <w:ind w:firstLine="480" w:firstLineChars="200"/>
        <w:rPr>
          <w:rFonts w:hint="eastAsia" w:asciiTheme="minorEastAsia" w:hAnsiTheme="minorEastAsia" w:eastAsiaTheme="minorEastAsia"/>
          <w:sz w:val="24"/>
          <w:lang w:bidi="ar"/>
        </w:rPr>
      </w:pPr>
      <w:r>
        <w:rPr>
          <w:rFonts w:asciiTheme="minorEastAsia" w:hAnsiTheme="minorEastAsia" w:eastAsiaTheme="minorEastAsia"/>
          <w:sz w:val="24"/>
          <w:lang w:bidi="ar"/>
        </w:rPr>
        <w:t>1.</w:t>
      </w:r>
      <w:bookmarkStart w:id="13" w:name="OLE_LINK4"/>
      <w:r>
        <w:rPr>
          <w:rFonts w:asciiTheme="minorEastAsia" w:hAnsiTheme="minorEastAsia" w:eastAsiaTheme="minorEastAsia"/>
          <w:sz w:val="24"/>
          <w:lang w:bidi="ar"/>
        </w:rPr>
        <w:t>时间</w:t>
      </w:r>
      <w:bookmarkEnd w:id="13"/>
      <w:r>
        <w:rPr>
          <w:rFonts w:asciiTheme="minorEastAsia" w:hAnsiTheme="minorEastAsia" w:eastAsiaTheme="minorEastAsia"/>
          <w:sz w:val="24"/>
          <w:lang w:bidi="ar"/>
        </w:rPr>
        <w:t>：</w:t>
      </w:r>
      <w:r>
        <w:rPr>
          <w:rFonts w:hint="eastAsia" w:asciiTheme="minorEastAsia" w:hAnsiTheme="minorEastAsia" w:eastAsiaTheme="minorEastAsia"/>
          <w:sz w:val="24"/>
          <w:u w:val="single"/>
          <w:lang w:bidi="ar"/>
        </w:rPr>
        <w:t>2026</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3</w:t>
      </w:r>
      <w:r>
        <w:rPr>
          <w:rFonts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2</w:t>
      </w:r>
      <w:r>
        <w:rPr>
          <w:rFonts w:asciiTheme="minorEastAsia" w:hAnsiTheme="minorEastAsia" w:eastAsiaTheme="minorEastAsia"/>
          <w:sz w:val="24"/>
          <w:lang w:bidi="ar"/>
        </w:rPr>
        <w:t>日至</w:t>
      </w:r>
      <w:r>
        <w:rPr>
          <w:rFonts w:hint="eastAsia" w:asciiTheme="minorEastAsia" w:hAnsiTheme="minorEastAsia" w:eastAsiaTheme="minorEastAsia"/>
          <w:sz w:val="24"/>
          <w:u w:val="single"/>
          <w:lang w:bidi="ar"/>
        </w:rPr>
        <w:t>2026</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3</w:t>
      </w:r>
      <w:r>
        <w:rPr>
          <w:rFonts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6</w:t>
      </w:r>
      <w:r>
        <w:rPr>
          <w:rFonts w:asciiTheme="minorEastAsia" w:hAnsiTheme="minorEastAsia" w:eastAsiaTheme="minorEastAsia"/>
          <w:sz w:val="24"/>
          <w:lang w:bidi="ar"/>
        </w:rPr>
        <w:t>日，每天上午</w:t>
      </w:r>
      <w:r>
        <w:rPr>
          <w:rFonts w:hint="eastAsia" w:asciiTheme="minorEastAsia" w:hAnsiTheme="minorEastAsia" w:eastAsiaTheme="minorEastAsia"/>
          <w:sz w:val="24"/>
          <w:u w:val="single"/>
        </w:rPr>
        <w:t>9：00</w:t>
      </w:r>
      <w:r>
        <w:rPr>
          <w:rFonts w:asciiTheme="minorEastAsia" w:hAnsiTheme="minorEastAsia" w:eastAsiaTheme="minorEastAsia"/>
          <w:sz w:val="24"/>
          <w:lang w:bidi="ar"/>
        </w:rPr>
        <w:t>至</w:t>
      </w:r>
      <w:r>
        <w:rPr>
          <w:rFonts w:hint="eastAsia" w:asciiTheme="minorEastAsia" w:hAnsiTheme="minorEastAsia" w:eastAsiaTheme="minorEastAsia"/>
          <w:sz w:val="24"/>
          <w:u w:val="single"/>
          <w:lang w:bidi="ar"/>
        </w:rPr>
        <w:t>12:00</w:t>
      </w:r>
      <w:r>
        <w:rPr>
          <w:rFonts w:asciiTheme="minorEastAsia" w:hAnsiTheme="minorEastAsia" w:eastAsiaTheme="minorEastAsia"/>
          <w:sz w:val="24"/>
          <w:lang w:bidi="ar"/>
        </w:rPr>
        <w:t>，下午</w:t>
      </w:r>
      <w:r>
        <w:rPr>
          <w:rFonts w:hint="eastAsia" w:asciiTheme="minorEastAsia" w:hAnsiTheme="minorEastAsia" w:eastAsiaTheme="minorEastAsia"/>
          <w:sz w:val="24"/>
          <w:u w:val="single"/>
          <w:lang w:bidi="ar"/>
        </w:rPr>
        <w:t>12:00</w:t>
      </w:r>
      <w:r>
        <w:rPr>
          <w:rFonts w:asciiTheme="minorEastAsia" w:hAnsiTheme="minorEastAsia" w:eastAsiaTheme="minorEastAsia"/>
          <w:sz w:val="24"/>
          <w:lang w:bidi="ar"/>
        </w:rPr>
        <w:t>至</w:t>
      </w:r>
      <w:r>
        <w:rPr>
          <w:rFonts w:hint="eastAsia" w:asciiTheme="minorEastAsia" w:hAnsiTheme="minorEastAsia" w:eastAsiaTheme="minorEastAsia"/>
          <w:sz w:val="24"/>
          <w:u w:val="single"/>
          <w:lang w:bidi="ar"/>
        </w:rPr>
        <w:t>17:00</w:t>
      </w:r>
      <w:r>
        <w:rPr>
          <w:rFonts w:asciiTheme="minorEastAsia" w:hAnsiTheme="minorEastAsia" w:eastAsiaTheme="minorEastAsia"/>
          <w:sz w:val="24"/>
          <w:lang w:bidi="ar"/>
        </w:rPr>
        <w:t>（北京时间，法定节假日除外）。</w:t>
      </w:r>
    </w:p>
    <w:p w14:paraId="1AE9D742">
      <w:pPr>
        <w:keepNext w:val="0"/>
        <w:keepLines w:val="0"/>
        <w:pageBreakBefore w:val="0"/>
        <w:widowControl/>
        <w:topLinePunct w:val="0"/>
        <w:bidi w:val="0"/>
        <w:adjustRightIn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lang w:bidi="ar"/>
        </w:rPr>
        <w:t>2.地点：北京市政府采购电子交易平台</w:t>
      </w:r>
    </w:p>
    <w:p w14:paraId="17F3B9F3">
      <w:pPr>
        <w:keepNext w:val="0"/>
        <w:keepLines w:val="0"/>
        <w:pageBreakBefore w:val="0"/>
        <w:widowControl/>
        <w:wordWrap w:val="0"/>
        <w:topLinePunct w:val="0"/>
        <w:bidi w:val="0"/>
        <w:adjustRightInd w:val="0"/>
        <w:spacing w:line="360" w:lineRule="auto"/>
        <w:ind w:firstLine="480" w:firstLineChars="200"/>
        <w:rPr>
          <w:rFonts w:hint="eastAsia" w:asciiTheme="minorEastAsia" w:hAnsiTheme="minorEastAsia" w:eastAsiaTheme="minorEastAsia"/>
          <w:sz w:val="24"/>
          <w:lang w:bidi="ar"/>
        </w:rPr>
      </w:pPr>
      <w:r>
        <w:rPr>
          <w:rFonts w:asciiTheme="minorEastAsia" w:hAnsiTheme="minorEastAsia" w:eastAsiaTheme="minorEastAsia"/>
          <w:sz w:val="24"/>
          <w:lang w:bidi="ar"/>
        </w:rPr>
        <w:t>3.方式：供应商使用CA数字证书或电子营业执照登录北京市政府采购电子交易平台（http://zbcg-bjzc.zhongcy.com/bjczj-portal-site/index.html#/home）获取电子版招标文件。</w:t>
      </w:r>
    </w:p>
    <w:p w14:paraId="7C3150E0">
      <w:pPr>
        <w:keepNext w:val="0"/>
        <w:keepLines w:val="0"/>
        <w:pageBreakBefore w:val="0"/>
        <w:widowControl/>
        <w:wordWrap w:val="0"/>
        <w:topLinePunct w:val="0"/>
        <w:bidi w:val="0"/>
        <w:adjustRightIn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lang w:bidi="ar"/>
        </w:rPr>
        <w:t>4.售价：0元。</w:t>
      </w:r>
    </w:p>
    <w:p w14:paraId="0AF8AB06">
      <w:pPr>
        <w:keepNext w:val="0"/>
        <w:keepLines w:val="0"/>
        <w:pageBreakBefore w:val="0"/>
        <w:widowControl/>
        <w:tabs>
          <w:tab w:val="left" w:pos="900"/>
          <w:tab w:val="left" w:pos="1980"/>
        </w:tabs>
        <w:topLinePunct w:val="0"/>
        <w:bidi w:val="0"/>
        <w:spacing w:line="360" w:lineRule="auto"/>
        <w:ind w:left="840"/>
        <w:rPr>
          <w:rFonts w:hint="eastAsia" w:asciiTheme="minorEastAsia" w:hAnsiTheme="minorEastAsia" w:eastAsiaTheme="minorEastAsia"/>
          <w:sz w:val="24"/>
        </w:rPr>
      </w:pPr>
    </w:p>
    <w:p w14:paraId="00C5AC39">
      <w:pPr>
        <w:pStyle w:val="3"/>
        <w:keepNext w:val="0"/>
        <w:keepLines w:val="0"/>
        <w:pageBreakBefore w:val="0"/>
        <w:widowControl/>
        <w:topLinePunct w:val="0"/>
        <w:bidi w:val="0"/>
        <w:spacing w:before="0" w:line="360" w:lineRule="auto"/>
        <w:jc w:val="left"/>
        <w:rPr>
          <w:rFonts w:hint="eastAsia" w:asciiTheme="minorEastAsia" w:hAnsiTheme="minorEastAsia" w:eastAsiaTheme="minorEastAsia"/>
          <w:sz w:val="24"/>
          <w:szCs w:val="24"/>
        </w:rPr>
      </w:pPr>
      <w:bookmarkStart w:id="14" w:name="_Toc28359005"/>
      <w:bookmarkStart w:id="15" w:name="_Toc28359082"/>
      <w:bookmarkStart w:id="16" w:name="_Toc35393624"/>
      <w:bookmarkStart w:id="17" w:name="_Toc35393793"/>
      <w:r>
        <w:rPr>
          <w:rFonts w:asciiTheme="minorEastAsia" w:hAnsiTheme="minorEastAsia" w:eastAsiaTheme="minorEastAsia"/>
          <w:sz w:val="24"/>
          <w:szCs w:val="24"/>
        </w:rPr>
        <w:t>四、提交投标文件</w:t>
      </w:r>
      <w:bookmarkEnd w:id="14"/>
      <w:bookmarkEnd w:id="15"/>
      <w:r>
        <w:rPr>
          <w:rFonts w:asciiTheme="minorEastAsia" w:hAnsiTheme="minorEastAsia" w:eastAsiaTheme="minorEastAsia"/>
          <w:sz w:val="24"/>
          <w:szCs w:val="24"/>
        </w:rPr>
        <w:t>截止时间、开标时间和地点</w:t>
      </w:r>
      <w:bookmarkEnd w:id="16"/>
      <w:bookmarkEnd w:id="17"/>
    </w:p>
    <w:p w14:paraId="3A6CAC2C">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bCs/>
          <w:sz w:val="24"/>
          <w:u w:val="single"/>
        </w:rPr>
      </w:pPr>
      <w:r>
        <w:rPr>
          <w:rFonts w:asciiTheme="minorEastAsia" w:hAnsiTheme="minorEastAsia" w:eastAsiaTheme="minorEastAsia"/>
          <w:sz w:val="24"/>
          <w:lang w:bidi="ar"/>
        </w:rPr>
        <w:t>投标截止时间、开标时间：</w:t>
      </w:r>
      <w:r>
        <w:rPr>
          <w:rFonts w:hint="eastAsia" w:asciiTheme="minorEastAsia" w:hAnsiTheme="minorEastAsia" w:eastAsiaTheme="minorEastAsia"/>
          <w:sz w:val="24"/>
          <w:u w:val="single"/>
          <w:lang w:bidi="ar"/>
        </w:rPr>
        <w:t>2026</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3</w:t>
      </w:r>
      <w:r>
        <w:rPr>
          <w:rFonts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23</w:t>
      </w:r>
      <w:r>
        <w:rPr>
          <w:rFonts w:asciiTheme="minorEastAsia" w:hAnsiTheme="minorEastAsia" w:eastAsiaTheme="minorEastAsia"/>
          <w:sz w:val="24"/>
          <w:lang w:bidi="ar"/>
        </w:rPr>
        <w:t>日</w:t>
      </w:r>
      <w:r>
        <w:rPr>
          <w:rFonts w:hint="eastAsia" w:asciiTheme="minorEastAsia" w:hAnsiTheme="minorEastAsia" w:eastAsiaTheme="minorEastAsia"/>
          <w:sz w:val="24"/>
          <w:u w:val="single"/>
          <w:lang w:bidi="ar"/>
        </w:rPr>
        <w:t>09</w:t>
      </w:r>
      <w:r>
        <w:rPr>
          <w:rFonts w:asciiTheme="minorEastAsia" w:hAnsiTheme="minorEastAsia" w:eastAsiaTheme="minorEastAsia"/>
          <w:sz w:val="24"/>
          <w:lang w:bidi="ar"/>
        </w:rPr>
        <w:t>点</w:t>
      </w:r>
      <w:r>
        <w:rPr>
          <w:rFonts w:hint="eastAsia" w:asciiTheme="minorEastAsia" w:hAnsiTheme="minorEastAsia" w:eastAsiaTheme="minorEastAsia"/>
          <w:sz w:val="24"/>
          <w:u w:val="single"/>
          <w:lang w:bidi="ar"/>
        </w:rPr>
        <w:t>30</w:t>
      </w:r>
      <w:r>
        <w:rPr>
          <w:rFonts w:asciiTheme="minorEastAsia" w:hAnsiTheme="minorEastAsia" w:eastAsiaTheme="minorEastAsia"/>
          <w:sz w:val="24"/>
          <w:lang w:bidi="ar"/>
        </w:rPr>
        <w:t>分</w:t>
      </w:r>
      <w:r>
        <w:rPr>
          <w:rFonts w:asciiTheme="minorEastAsia" w:hAnsiTheme="minorEastAsia" w:eastAsiaTheme="minorEastAsia"/>
          <w:bCs/>
          <w:sz w:val="24"/>
          <w:lang w:bidi="ar"/>
        </w:rPr>
        <w:t>（北京时间）</w:t>
      </w:r>
      <w:r>
        <w:rPr>
          <w:rFonts w:asciiTheme="minorEastAsia" w:hAnsiTheme="minorEastAsia" w:eastAsiaTheme="minorEastAsia"/>
          <w:iCs/>
          <w:sz w:val="24"/>
          <w:lang w:bidi="ar"/>
        </w:rPr>
        <w:t>。</w:t>
      </w:r>
    </w:p>
    <w:p w14:paraId="7615E6EE">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val="zh-TW" w:bidi="ar"/>
        </w:rPr>
      </w:pPr>
      <w:r>
        <w:rPr>
          <w:rFonts w:asciiTheme="minorEastAsia" w:hAnsiTheme="minorEastAsia" w:eastAsiaTheme="minorEastAsia"/>
          <w:sz w:val="24"/>
          <w:lang w:bidi="ar"/>
        </w:rPr>
        <w:t>地点：</w:t>
      </w:r>
      <w:r>
        <w:rPr>
          <w:rFonts w:hint="eastAsia" w:cs="宋体" w:asciiTheme="minorEastAsia" w:hAnsiTheme="minorEastAsia" w:eastAsiaTheme="minorEastAsia"/>
          <w:sz w:val="24"/>
          <w:u w:val="single"/>
        </w:rPr>
        <w:t>北京市政府采购电子交易平台</w:t>
      </w:r>
      <w:r>
        <w:rPr>
          <w:rFonts w:hint="eastAsia" w:cs="宋体" w:asciiTheme="minorEastAsia" w:hAnsiTheme="minorEastAsia" w:eastAsiaTheme="minorEastAsia"/>
          <w:sz w:val="24"/>
          <w:u w:val="single"/>
          <w:lang w:val="en"/>
        </w:rPr>
        <w:t>。</w:t>
      </w:r>
      <w:bookmarkStart w:id="18" w:name="OLE_LINK6"/>
      <w:r>
        <w:rPr>
          <w:rFonts w:hint="eastAsia" w:cs="宋体" w:asciiTheme="minorEastAsia" w:hAnsiTheme="minorEastAsia" w:eastAsiaTheme="minorEastAsia"/>
          <w:sz w:val="24"/>
          <w:u w:val="single"/>
        </w:rPr>
        <w:t>http://zbcg-bjzc.zhongcy.com/bjczj-portal-site/index.html#/home</w:t>
      </w:r>
      <w:bookmarkEnd w:id="18"/>
      <w:r>
        <w:rPr>
          <w:rFonts w:hint="eastAsia" w:cs="宋体" w:asciiTheme="minorEastAsia" w:hAnsiTheme="minorEastAsia" w:eastAsiaTheme="minorEastAsia"/>
          <w:sz w:val="24"/>
          <w:u w:val="single"/>
        </w:rPr>
        <w:t>(本项目采用远程电子开标方式，由投标人自行对电子投标文件进行解密，不接受纸质文件，无须投标人到达现场)</w:t>
      </w:r>
      <w:r>
        <w:rPr>
          <w:rFonts w:asciiTheme="minorEastAsia" w:hAnsiTheme="minorEastAsia" w:eastAsiaTheme="minorEastAsia"/>
          <w:sz w:val="24"/>
          <w:lang w:val="zh-TW" w:bidi="ar"/>
        </w:rPr>
        <w:t>。</w:t>
      </w:r>
    </w:p>
    <w:p w14:paraId="414920B0">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bCs/>
          <w:sz w:val="24"/>
          <w:u w:val="single"/>
        </w:rPr>
      </w:pPr>
    </w:p>
    <w:p w14:paraId="2D77CCE4">
      <w:pPr>
        <w:pStyle w:val="3"/>
        <w:keepNext w:val="0"/>
        <w:keepLines w:val="0"/>
        <w:pageBreakBefore w:val="0"/>
        <w:widowControl/>
        <w:topLinePunct w:val="0"/>
        <w:bidi w:val="0"/>
        <w:spacing w:before="0" w:line="360" w:lineRule="auto"/>
        <w:jc w:val="left"/>
        <w:rPr>
          <w:rFonts w:hint="eastAsia" w:asciiTheme="minorEastAsia" w:hAnsiTheme="minorEastAsia" w:eastAsiaTheme="minorEastAsia"/>
          <w:sz w:val="24"/>
          <w:szCs w:val="24"/>
        </w:rPr>
      </w:pPr>
      <w:bookmarkStart w:id="19" w:name="_Toc28359084"/>
      <w:bookmarkStart w:id="20" w:name="_Toc35393625"/>
      <w:bookmarkStart w:id="21" w:name="_Toc28359007"/>
      <w:bookmarkStart w:id="22" w:name="_Toc35393794"/>
      <w:r>
        <w:rPr>
          <w:rFonts w:asciiTheme="minorEastAsia" w:hAnsiTheme="minorEastAsia" w:eastAsiaTheme="minorEastAsia"/>
          <w:sz w:val="24"/>
          <w:szCs w:val="24"/>
        </w:rPr>
        <w:t>五、公告期限</w:t>
      </w:r>
      <w:bookmarkEnd w:id="19"/>
      <w:bookmarkEnd w:id="20"/>
      <w:bookmarkEnd w:id="21"/>
      <w:bookmarkEnd w:id="22"/>
    </w:p>
    <w:p w14:paraId="67FC0F35">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kern w:val="0"/>
          <w:sz w:val="24"/>
        </w:rPr>
      </w:pPr>
      <w:r>
        <w:rPr>
          <w:rFonts w:asciiTheme="minorEastAsia" w:hAnsiTheme="minorEastAsia" w:eastAsiaTheme="minorEastAsia"/>
          <w:kern w:val="0"/>
          <w:sz w:val="24"/>
        </w:rPr>
        <w:t>自本公告发布之日起5个工作日。</w:t>
      </w:r>
    </w:p>
    <w:p w14:paraId="4BE04FED">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kern w:val="0"/>
          <w:sz w:val="24"/>
        </w:rPr>
      </w:pPr>
    </w:p>
    <w:p w14:paraId="7767119C">
      <w:pPr>
        <w:pStyle w:val="3"/>
        <w:keepNext w:val="0"/>
        <w:keepLines w:val="0"/>
        <w:pageBreakBefore w:val="0"/>
        <w:widowControl/>
        <w:topLinePunct w:val="0"/>
        <w:bidi w:val="0"/>
        <w:spacing w:before="0" w:line="360" w:lineRule="auto"/>
        <w:jc w:val="left"/>
        <w:rPr>
          <w:rFonts w:hint="eastAsia" w:asciiTheme="minorEastAsia" w:hAnsiTheme="minorEastAsia" w:eastAsiaTheme="minorEastAsia"/>
          <w:sz w:val="24"/>
          <w:szCs w:val="24"/>
        </w:rPr>
      </w:pPr>
      <w:bookmarkStart w:id="23" w:name="_Toc35393626"/>
      <w:bookmarkStart w:id="24" w:name="_Toc35393795"/>
      <w:r>
        <w:rPr>
          <w:rFonts w:asciiTheme="minorEastAsia" w:hAnsiTheme="minorEastAsia" w:eastAsiaTheme="minorEastAsia"/>
          <w:sz w:val="24"/>
          <w:szCs w:val="24"/>
        </w:rPr>
        <w:t>六、其他补充事宜</w:t>
      </w:r>
      <w:bookmarkEnd w:id="23"/>
      <w:bookmarkEnd w:id="24"/>
    </w:p>
    <w:p w14:paraId="481B77B2">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1.本项目需要落实的政府采购政策：</w:t>
      </w:r>
    </w:p>
    <w:p w14:paraId="60CBC267">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1.1环境标志产品政府采购政策(财库(2019)9号、财库(2019)18号)；</w:t>
      </w:r>
    </w:p>
    <w:p w14:paraId="03EDC1FD">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1.2节能产品政府采购政策(财库(2019)9号、财库(2019)19号)；</w:t>
      </w:r>
    </w:p>
    <w:p w14:paraId="5337AED9">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1.3政府采购进口产品管理政策(财库[2007]119 号、财库[2008]248号)；</w:t>
      </w:r>
    </w:p>
    <w:p w14:paraId="1A3B8D8E">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1.4执行《财政部关于在政府采购活动中查询及使用信用记录有关问题的通知》(财库[2016]125号)；</w:t>
      </w:r>
    </w:p>
    <w:p w14:paraId="79B24870">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1.5执行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4791F84F">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1.6执行《国务院办公厅关于建立政府强制采购节能产品制度的通知》(国办发[2007]51号)；</w:t>
      </w:r>
    </w:p>
    <w:p w14:paraId="45EFBFD9">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1.7执行财政部下发《关于开展政府采购信用担保试点工作的通知》(财库[2011]1244号)；</w:t>
      </w:r>
    </w:p>
    <w:p w14:paraId="199FB6CF">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1.8依据财政部、工业和信息化部关于印发《政府采购促进中小企业发展管理办法》的通知(财库(2020)46号)；</w:t>
      </w:r>
    </w:p>
    <w:p w14:paraId="1F34E7E9">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1.9执行财政部、司法部联合发布《关于政府采购支持监狱企业发展有关问题的通知》(财库[2014]68号)；</w:t>
      </w:r>
    </w:p>
    <w:p w14:paraId="4BB19EC6">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1.10执行财政部、民政部、中国残疾人联合会印发《关于促进残疾人就业政府采购政策的通知》(财库[2017]141号)；</w:t>
      </w:r>
    </w:p>
    <w:p w14:paraId="7824F68E">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1.11执行《北京市财政局关于落实好政府采购支持中小企业发展的通知》(京财(2022)1143号)；</w:t>
      </w:r>
    </w:p>
    <w:p w14:paraId="3D13A39E">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1.12执行《关于进一步加大政府采购支持中小企业力度的通知》(财库(2022)19号)；</w:t>
      </w:r>
    </w:p>
    <w:p w14:paraId="17BB6C67">
      <w:pPr>
        <w:keepNext w:val="0"/>
        <w:keepLines w:val="0"/>
        <w:pageBreakBefore w:val="0"/>
        <w:widowControl/>
        <w:wordWrap w:val="0"/>
        <w:topLinePunct w:val="0"/>
        <w:bidi w:val="0"/>
        <w:spacing w:line="360" w:lineRule="auto"/>
        <w:ind w:firstLine="480" w:firstLineChars="200"/>
        <w:rPr>
          <w:rFonts w:hint="eastAsia" w:asciiTheme="minorEastAsia" w:hAnsiTheme="minorEastAsia" w:eastAsiaTheme="minorEastAsia"/>
          <w:sz w:val="24"/>
          <w:lang w:eastAsia="zh-CN" w:bidi="ar"/>
        </w:rPr>
      </w:pPr>
      <w:r>
        <w:rPr>
          <w:rFonts w:hint="eastAsia" w:asciiTheme="minorEastAsia" w:hAnsiTheme="minorEastAsia" w:eastAsiaTheme="minorEastAsia"/>
          <w:sz w:val="24"/>
          <w:lang w:bidi="ar"/>
        </w:rPr>
        <w:t>1.13执行《关于推动解决政府采购异常低价问题的通知》(财库〔2026〕2号)</w:t>
      </w:r>
      <w:r>
        <w:rPr>
          <w:rFonts w:hint="eastAsia" w:asciiTheme="minorEastAsia" w:hAnsiTheme="minorEastAsia" w:eastAsiaTheme="minorEastAsia"/>
          <w:sz w:val="24"/>
          <w:lang w:eastAsia="zh-CN" w:bidi="ar"/>
        </w:rPr>
        <w:t>。</w:t>
      </w:r>
    </w:p>
    <w:p w14:paraId="3578ABF5">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数字证书或电子营业执照、进行北京市政府采购电子交易平台注册绑定，并认真核实CA数字证书或电子营业执照情况确认是否符合本项目电子化采购流程要求。</w:t>
      </w:r>
    </w:p>
    <w:p w14:paraId="71699B63">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CA数字证书服务热线 010-58511086</w:t>
      </w:r>
    </w:p>
    <w:p w14:paraId="7B7B0671">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电子营业执照服务热线 400-699-7000</w:t>
      </w:r>
    </w:p>
    <w:p w14:paraId="39B32964">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技术支持服务热线      010-86483801</w:t>
      </w:r>
    </w:p>
    <w:p w14:paraId="2947C369">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2.1 办理CA数字证书或电子营业执照</w:t>
      </w:r>
    </w:p>
    <w:p w14:paraId="41206411">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供应商登录北京市政府采购电子交易平台查阅“用户指南”—“操作指南”—“市场主体CA办理操作流程指引”/“电子营业执照使用指南”，按照程序要求办理。</w:t>
      </w:r>
    </w:p>
    <w:p w14:paraId="12ABC09D">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2.2 注册</w:t>
      </w:r>
    </w:p>
    <w:p w14:paraId="6208F1BE">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供应商登录北京市政府采购电子交易平台“用户指南”—“操作指南”—“市场主体注册入库操作流程指引”进行自助注册绑定。</w:t>
      </w:r>
    </w:p>
    <w:p w14:paraId="0C2EF465">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2.3 驱动、客户端下载</w:t>
      </w:r>
    </w:p>
    <w:p w14:paraId="00628F87">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供应商登录北京市政府采购电子交易平台“用户指南”—“工具下载”— “招标采购系统文件驱动安装包”下载相关驱动。</w:t>
      </w:r>
    </w:p>
    <w:p w14:paraId="6028D06F">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供应商登录北京市政府采购电子交易平台“用户指南”—“工具下载”— “投标文件编制工具”下载相关客户端。</w:t>
      </w:r>
    </w:p>
    <w:p w14:paraId="18D11A7B">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2.4 获取电子招标文件</w:t>
      </w:r>
    </w:p>
    <w:p w14:paraId="28F18E9E">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供应商使用CA数字证书或电子营业执照登录北京市政府采购电子交易平台获取电子招标文件。</w:t>
      </w:r>
    </w:p>
    <w:p w14:paraId="55F90423">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D208A28">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2.5 编制电子投标文件</w:t>
      </w:r>
    </w:p>
    <w:p w14:paraId="7460F965">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74C81DD">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2.6 提交电子投标文件</w:t>
      </w:r>
    </w:p>
    <w:p w14:paraId="5D1EE3F5">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供应商应于投标截止时间前在北京市政府采购电子交易平台提交电子投标文件，上传电子投标文件过程中请保持与互联网的连接畅通。</w:t>
      </w:r>
    </w:p>
    <w:p w14:paraId="051C24B2">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2.7 电子开标</w:t>
      </w:r>
    </w:p>
    <w:p w14:paraId="23B8695A">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lang w:bidi="ar"/>
        </w:rPr>
      </w:pPr>
      <w:r>
        <w:rPr>
          <w:rFonts w:hint="eastAsia" w:asciiTheme="minorEastAsia" w:hAnsiTheme="minorEastAsia" w:eastAsiaTheme="minorEastAsia"/>
          <w:sz w:val="24"/>
          <w:lang w:bidi="ar"/>
        </w:rPr>
        <w:t>供应商在开标地点使用CA数字证书或电子营业执照登录北京市政府采购电子交易平台进行电子开标。</w:t>
      </w:r>
    </w:p>
    <w:p w14:paraId="74AE6D5F">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p>
    <w:p w14:paraId="62A6C0E2">
      <w:pPr>
        <w:pStyle w:val="3"/>
        <w:keepNext w:val="0"/>
        <w:keepLines w:val="0"/>
        <w:pageBreakBefore w:val="0"/>
        <w:widowControl/>
        <w:topLinePunct w:val="0"/>
        <w:bidi w:val="0"/>
        <w:spacing w:before="0" w:line="360" w:lineRule="auto"/>
        <w:jc w:val="left"/>
        <w:rPr>
          <w:rFonts w:hint="eastAsia" w:asciiTheme="minorEastAsia" w:hAnsiTheme="minorEastAsia" w:eastAsiaTheme="minorEastAsia"/>
          <w:sz w:val="24"/>
          <w:szCs w:val="24"/>
        </w:rPr>
      </w:pPr>
      <w:bookmarkStart w:id="25" w:name="_Toc28359008"/>
      <w:bookmarkStart w:id="26" w:name="_Toc28359085"/>
      <w:bookmarkStart w:id="27" w:name="_Toc35393796"/>
      <w:bookmarkStart w:id="28" w:name="_Toc35393627"/>
      <w:r>
        <w:rPr>
          <w:rFonts w:asciiTheme="minorEastAsia" w:hAnsiTheme="minorEastAsia" w:eastAsiaTheme="minorEastAsia"/>
          <w:sz w:val="24"/>
          <w:szCs w:val="24"/>
        </w:rPr>
        <w:t>七、对本次招标提出询问，请按以下方式联系。</w:t>
      </w:r>
      <w:bookmarkEnd w:id="25"/>
      <w:bookmarkEnd w:id="26"/>
      <w:bookmarkEnd w:id="27"/>
      <w:bookmarkEnd w:id="28"/>
    </w:p>
    <w:p w14:paraId="3242832E">
      <w:pPr>
        <w:keepNext w:val="0"/>
        <w:keepLines w:val="0"/>
        <w:pageBreakBefore w:val="0"/>
        <w:widowControl/>
        <w:topLinePunct w:val="0"/>
        <w:bidi w:val="0"/>
        <w:spacing w:line="360" w:lineRule="auto"/>
        <w:ind w:firstLine="482" w:firstLineChars="200"/>
        <w:rPr>
          <w:rFonts w:hint="eastAsia" w:asciiTheme="minorEastAsia" w:hAnsiTheme="minorEastAsia" w:eastAsiaTheme="minorEastAsia"/>
          <w:b/>
          <w:sz w:val="24"/>
        </w:rPr>
      </w:pPr>
      <w:r>
        <w:rPr>
          <w:rFonts w:asciiTheme="minorEastAsia" w:hAnsiTheme="minorEastAsia" w:eastAsiaTheme="minorEastAsia"/>
          <w:b/>
          <w:sz w:val="24"/>
        </w:rPr>
        <w:t>1.采购人信息</w:t>
      </w:r>
    </w:p>
    <w:p w14:paraId="3CAF56D3">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bookmarkStart w:id="29" w:name="_Toc28359086"/>
      <w:bookmarkStart w:id="30" w:name="_Toc28359009"/>
      <w:r>
        <w:rPr>
          <w:rFonts w:asciiTheme="minorEastAsia" w:hAnsiTheme="minorEastAsia" w:eastAsiaTheme="minorEastAsia"/>
          <w:sz w:val="24"/>
        </w:rPr>
        <w:t>名    称：</w:t>
      </w:r>
      <w:r>
        <w:rPr>
          <w:rFonts w:hint="eastAsia" w:asciiTheme="minorEastAsia" w:hAnsiTheme="minorEastAsia" w:eastAsiaTheme="minorEastAsia"/>
          <w:sz w:val="24"/>
          <w:u w:val="single"/>
        </w:rPr>
        <w:t>北京市西城区城市管理委员会</w:t>
      </w:r>
    </w:p>
    <w:p w14:paraId="2DA2B1B3">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地    址：</w:t>
      </w:r>
      <w:r>
        <w:rPr>
          <w:rFonts w:hint="eastAsia" w:asciiTheme="minorEastAsia" w:hAnsiTheme="minorEastAsia" w:eastAsiaTheme="minorEastAsia"/>
          <w:sz w:val="24"/>
          <w:u w:val="single"/>
        </w:rPr>
        <w:t>北京市西城区北礼士路12号</w:t>
      </w:r>
    </w:p>
    <w:p w14:paraId="5587D9B9">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u w:val="single"/>
        </w:rPr>
      </w:pPr>
      <w:r>
        <w:rPr>
          <w:rFonts w:asciiTheme="minorEastAsia" w:hAnsiTheme="minorEastAsia" w:eastAsiaTheme="minorEastAsia"/>
          <w:sz w:val="24"/>
        </w:rPr>
        <w:t>联系方式：</w:t>
      </w:r>
      <w:r>
        <w:rPr>
          <w:rFonts w:asciiTheme="minorEastAsia" w:hAnsiTheme="minorEastAsia" w:eastAsiaTheme="minorEastAsia"/>
          <w:sz w:val="24"/>
          <w:u w:val="single"/>
        </w:rPr>
        <w:t>冯</w:t>
      </w:r>
      <w:r>
        <w:rPr>
          <w:rFonts w:hint="eastAsia" w:asciiTheme="minorEastAsia" w:hAnsiTheme="minorEastAsia" w:eastAsiaTheme="minorEastAsia"/>
          <w:sz w:val="24"/>
          <w:u w:val="single"/>
        </w:rPr>
        <w:t xml:space="preserve">老师 </w:t>
      </w:r>
      <w:r>
        <w:rPr>
          <w:rFonts w:asciiTheme="minorEastAsia" w:hAnsiTheme="minorEastAsia" w:eastAsiaTheme="minorEastAsia"/>
          <w:sz w:val="24"/>
          <w:u w:val="single"/>
        </w:rPr>
        <w:t>010-88391698</w:t>
      </w:r>
    </w:p>
    <w:p w14:paraId="57B862CD">
      <w:pPr>
        <w:keepNext w:val="0"/>
        <w:keepLines w:val="0"/>
        <w:pageBreakBefore w:val="0"/>
        <w:widowControl/>
        <w:topLinePunct w:val="0"/>
        <w:bidi w:val="0"/>
        <w:spacing w:line="360" w:lineRule="auto"/>
        <w:ind w:firstLine="482" w:firstLineChars="200"/>
        <w:rPr>
          <w:rFonts w:hint="eastAsia" w:asciiTheme="minorEastAsia" w:hAnsiTheme="minorEastAsia" w:eastAsiaTheme="minorEastAsia"/>
          <w:b/>
          <w:sz w:val="24"/>
        </w:rPr>
      </w:pPr>
      <w:r>
        <w:rPr>
          <w:rFonts w:asciiTheme="minorEastAsia" w:hAnsiTheme="minorEastAsia" w:eastAsiaTheme="minorEastAsia"/>
          <w:b/>
          <w:sz w:val="24"/>
        </w:rPr>
        <w:t>2.采购代理机构信息</w:t>
      </w:r>
      <w:bookmarkEnd w:id="29"/>
      <w:bookmarkEnd w:id="30"/>
    </w:p>
    <w:p w14:paraId="57B32F15">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bCs/>
          <w:sz w:val="24"/>
        </w:rPr>
      </w:pPr>
      <w:bookmarkStart w:id="31" w:name="_Toc28359087"/>
      <w:bookmarkStart w:id="32" w:name="_Toc28359010"/>
      <w:r>
        <w:rPr>
          <w:rFonts w:asciiTheme="minorEastAsia" w:hAnsiTheme="minorEastAsia" w:eastAsiaTheme="minorEastAsia"/>
          <w:bCs/>
          <w:sz w:val="24"/>
        </w:rPr>
        <w:t>名    称：</w:t>
      </w:r>
      <w:r>
        <w:rPr>
          <w:rFonts w:hint="eastAsia" w:asciiTheme="minorEastAsia" w:hAnsiTheme="minorEastAsia" w:eastAsiaTheme="minorEastAsia"/>
          <w:bCs/>
          <w:sz w:val="24"/>
          <w:u w:val="single"/>
        </w:rPr>
        <w:t>北京价源技术有限公司</w:t>
      </w:r>
    </w:p>
    <w:p w14:paraId="102225F4">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bCs/>
          <w:sz w:val="24"/>
        </w:rPr>
      </w:pPr>
      <w:r>
        <w:rPr>
          <w:rFonts w:asciiTheme="minorEastAsia" w:hAnsiTheme="minorEastAsia" w:eastAsiaTheme="minorEastAsia"/>
          <w:bCs/>
          <w:sz w:val="24"/>
        </w:rPr>
        <w:t>地    址：</w:t>
      </w:r>
      <w:bookmarkStart w:id="33" w:name="OLE_LINK15"/>
      <w:r>
        <w:rPr>
          <w:rFonts w:hint="eastAsia" w:asciiTheme="minorEastAsia" w:hAnsiTheme="minorEastAsia" w:eastAsiaTheme="minorEastAsia"/>
          <w:bCs/>
          <w:sz w:val="24"/>
          <w:u w:val="single"/>
        </w:rPr>
        <w:t>北京市丰台区西四环南路88号5幢二层A214室</w:t>
      </w:r>
      <w:bookmarkEnd w:id="33"/>
    </w:p>
    <w:p w14:paraId="0916B5A5">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bCs/>
          <w:sz w:val="24"/>
          <w:u w:val="single"/>
        </w:rPr>
      </w:pPr>
      <w:r>
        <w:rPr>
          <w:rFonts w:asciiTheme="minorEastAsia" w:hAnsiTheme="minorEastAsia" w:eastAsiaTheme="minorEastAsia"/>
          <w:bCs/>
          <w:sz w:val="24"/>
        </w:rPr>
        <w:t>联系方式：</w:t>
      </w:r>
      <w:bookmarkStart w:id="34" w:name="OLE_LINK17"/>
      <w:bookmarkStart w:id="35" w:name="OLE_LINK16"/>
      <w:r>
        <w:rPr>
          <w:rFonts w:hint="eastAsia" w:asciiTheme="minorEastAsia" w:hAnsiTheme="minorEastAsia" w:eastAsiaTheme="minorEastAsia"/>
          <w:bCs/>
          <w:sz w:val="24"/>
          <w:u w:val="single"/>
        </w:rPr>
        <w:t>赵欣欣、李佳昊、杨甜、尹</w:t>
      </w:r>
      <w:bookmarkEnd w:id="34"/>
      <w:r>
        <w:rPr>
          <w:rFonts w:hint="eastAsia" w:asciiTheme="minorEastAsia" w:hAnsiTheme="minorEastAsia" w:eastAsiaTheme="minorEastAsia"/>
          <w:bCs/>
          <w:sz w:val="24"/>
          <w:u w:val="single"/>
        </w:rPr>
        <w:t xml:space="preserve">立满 </w:t>
      </w:r>
      <w:bookmarkEnd w:id="35"/>
      <w:bookmarkStart w:id="36" w:name="_Hlk218845759"/>
      <w:r>
        <w:rPr>
          <w:rFonts w:hint="eastAsia" w:ascii="宋体" w:hAnsi="宋体" w:cs="宋体" w:eastAsiaTheme="minorEastAsia"/>
          <w:spacing w:val="1"/>
          <w:sz w:val="24"/>
          <w:u w:val="single"/>
          <w:lang w:eastAsia="zh-CN"/>
        </w:rPr>
        <w:t>18610993661</w:t>
      </w:r>
      <w:r>
        <w:rPr>
          <w:rFonts w:hint="eastAsia" w:ascii="宋体" w:hAnsi="宋体" w:cs="宋体"/>
          <w:spacing w:val="1"/>
          <w:sz w:val="24"/>
          <w:u w:val="single"/>
        </w:rPr>
        <w:t>、18033637688</w:t>
      </w:r>
      <w:bookmarkEnd w:id="36"/>
    </w:p>
    <w:p w14:paraId="474330AA">
      <w:pPr>
        <w:keepNext w:val="0"/>
        <w:keepLines w:val="0"/>
        <w:pageBreakBefore w:val="0"/>
        <w:widowControl/>
        <w:topLinePunct w:val="0"/>
        <w:bidi w:val="0"/>
        <w:spacing w:line="360" w:lineRule="auto"/>
        <w:ind w:firstLine="482" w:firstLineChars="200"/>
        <w:rPr>
          <w:rFonts w:hint="eastAsia" w:asciiTheme="minorEastAsia" w:hAnsiTheme="minorEastAsia" w:eastAsiaTheme="minorEastAsia"/>
          <w:b/>
          <w:sz w:val="24"/>
          <w:u w:val="single"/>
        </w:rPr>
      </w:pPr>
      <w:r>
        <w:rPr>
          <w:rFonts w:asciiTheme="minorEastAsia" w:hAnsiTheme="minorEastAsia" w:eastAsiaTheme="minorEastAsia"/>
          <w:b/>
          <w:sz w:val="24"/>
        </w:rPr>
        <w:t>3.项目联系方式</w:t>
      </w:r>
      <w:bookmarkEnd w:id="31"/>
      <w:bookmarkEnd w:id="32"/>
    </w:p>
    <w:p w14:paraId="77AECCA9">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项目联系人：</w:t>
      </w:r>
      <w:r>
        <w:rPr>
          <w:rFonts w:asciiTheme="minorEastAsia" w:hAnsiTheme="minorEastAsia" w:eastAsiaTheme="minorEastAsia"/>
          <w:bCs/>
          <w:sz w:val="24"/>
          <w:u w:val="single"/>
        </w:rPr>
        <w:t>赵欣欣、李佳昊、</w:t>
      </w:r>
      <w:r>
        <w:rPr>
          <w:rFonts w:hint="eastAsia" w:asciiTheme="minorEastAsia" w:hAnsiTheme="minorEastAsia" w:eastAsiaTheme="minorEastAsia"/>
          <w:bCs/>
          <w:sz w:val="24"/>
          <w:u w:val="single"/>
        </w:rPr>
        <w:t>杨甜、</w:t>
      </w:r>
      <w:r>
        <w:rPr>
          <w:rFonts w:asciiTheme="minorEastAsia" w:hAnsiTheme="minorEastAsia" w:eastAsiaTheme="minorEastAsia"/>
          <w:bCs/>
          <w:sz w:val="24"/>
          <w:u w:val="single"/>
        </w:rPr>
        <w:t>尹立满</w:t>
      </w:r>
    </w:p>
    <w:p w14:paraId="07EE669C">
      <w:pPr>
        <w:keepNext w:val="0"/>
        <w:keepLines w:val="0"/>
        <w:pageBreakBefore w:val="0"/>
        <w:widowControl/>
        <w:topLinePunct w:val="0"/>
        <w:bidi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电      话：</w:t>
      </w:r>
      <w:r>
        <w:rPr>
          <w:rFonts w:hint="eastAsia" w:ascii="宋体" w:hAnsi="宋体" w:cs="宋体" w:eastAsiaTheme="minorEastAsia"/>
          <w:spacing w:val="1"/>
          <w:sz w:val="24"/>
          <w:u w:val="single"/>
          <w:lang w:eastAsia="zh-CN"/>
        </w:rPr>
        <w:t>18610993661</w:t>
      </w:r>
      <w:r>
        <w:rPr>
          <w:rFonts w:hint="eastAsia" w:ascii="宋体" w:hAnsi="宋体" w:cs="宋体"/>
          <w:spacing w:val="1"/>
          <w:sz w:val="24"/>
          <w:u w:val="single"/>
        </w:rPr>
        <w:t>、18033637688</w:t>
      </w:r>
    </w:p>
    <w:p w14:paraId="66CA1E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5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pPr>
    <w:rPr>
      <w:rFonts w:ascii="宋体"/>
      <w:sz w:val="24"/>
    </w:rPr>
  </w:style>
  <w:style w:type="paragraph" w:styleId="7">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2026-02-28T02:07:28Z</dcterms:created>
  <dc:creator>1</dc:creator>
  <cp:lastModifiedBy>雨夜精灵</cp:lastModifiedBy>
  <dcterms:modified xsi:type="dcterms:W3CDTF">2026-02-28T02:07:49Z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eyJoZGlkIjoiM2M3ZmE4NWI1YWViMmIyNDk5OTgxNWY5ZmNkMGM0MDciLCJ1c2VySWQiOiI0NTIxNjAwNzAifQ==</vt:lpwstr>
  </property>
  <property fmtid="{D5CDD505-2E9C-101B-9397-08002B2CF9AE}" pid="4" name="ICV">
    <vt:lpwstr>C9BD750F036F431FAFC4BB22A379B722_12</vt:lpwstr>
  </property>
</Properties>
</file>