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985D8E">
      <w:pPr>
        <w:snapToGrid w:val="0"/>
        <w:spacing w:line="540" w:lineRule="exact"/>
        <w:jc w:val="center"/>
        <w:outlineLvl w:val="0"/>
        <w:rPr>
          <w:rFonts w:hint="default" w:ascii="仿宋" w:hAnsi="仿宋" w:eastAsia="仿宋" w:cs="仿宋"/>
          <w:color w:val="auto"/>
          <w:sz w:val="32"/>
          <w:szCs w:val="32"/>
          <w:highlight w:val="none"/>
          <w:lang w:val="en-US" w:eastAsia="zh-CN"/>
        </w:rPr>
      </w:pPr>
      <w:bookmarkStart w:id="26" w:name="_GoBack"/>
      <w:bookmarkEnd w:id="26"/>
      <w:r>
        <w:rPr>
          <w:rFonts w:hint="eastAsia" w:ascii="仿宋" w:hAnsi="仿宋" w:eastAsia="仿宋" w:cs="仿宋"/>
          <w:b/>
          <w:color w:val="auto"/>
          <w:sz w:val="36"/>
          <w:szCs w:val="36"/>
          <w:highlight w:val="none"/>
        </w:rPr>
        <w:t>2026年移交资产地下环隧维护-运维保障项目</w:t>
      </w:r>
      <w:r>
        <w:rPr>
          <w:rFonts w:hint="eastAsia" w:ascii="仿宋" w:hAnsi="仿宋" w:eastAsia="仿宋" w:cs="仿宋"/>
          <w:b/>
          <w:color w:val="auto"/>
          <w:sz w:val="36"/>
          <w:szCs w:val="36"/>
          <w:highlight w:val="none"/>
          <w:lang w:val="en-US" w:eastAsia="zh-CN"/>
        </w:rPr>
        <w:t>公开招标公告</w:t>
      </w:r>
    </w:p>
    <w:p w14:paraId="04DC15F7">
      <w:pPr>
        <w:pStyle w:val="2"/>
        <w:snapToGrid w:val="0"/>
        <w:spacing w:before="0" w:line="540" w:lineRule="exact"/>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lang w:val="en-US" w:eastAsia="zh-CN"/>
        </w:rPr>
        <w:t>一</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项目基本情况</w:t>
      </w:r>
    </w:p>
    <w:p w14:paraId="3F9F6A9B">
      <w:pPr>
        <w:snapToGrid w:val="0"/>
        <w:spacing w:line="360" w:lineRule="auto"/>
        <w:ind w:firstLine="480" w:firstLineChars="200"/>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1.项目编号：</w:t>
      </w:r>
      <w:r>
        <w:rPr>
          <w:rFonts w:hint="eastAsia" w:ascii="仿宋" w:hAnsi="仿宋" w:eastAsia="仿宋" w:cs="仿宋"/>
          <w:color w:val="auto"/>
          <w:sz w:val="24"/>
          <w:highlight w:val="none"/>
          <w:u w:val="single"/>
          <w:lang w:eastAsia="zh-CN"/>
        </w:rPr>
        <w:t>11010526210200027183-XM001</w:t>
      </w:r>
    </w:p>
    <w:p w14:paraId="13AC23FE">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2.项目名称：</w:t>
      </w:r>
      <w:r>
        <w:rPr>
          <w:rFonts w:hint="eastAsia" w:ascii="仿宋" w:hAnsi="仿宋" w:eastAsia="仿宋" w:cs="仿宋"/>
          <w:color w:val="auto"/>
          <w:sz w:val="24"/>
          <w:highlight w:val="none"/>
          <w:u w:val="single"/>
          <w:lang w:eastAsia="zh-CN"/>
        </w:rPr>
        <w:t>2026年移交资产地下环隧维护-运维保障项目</w:t>
      </w:r>
    </w:p>
    <w:p w14:paraId="0B972010">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3.项目预算金额：</w:t>
      </w:r>
      <w:r>
        <w:rPr>
          <w:rFonts w:hint="eastAsia" w:ascii="仿宋" w:hAnsi="仿宋" w:eastAsia="仿宋" w:cs="仿宋"/>
          <w:color w:val="auto"/>
          <w:sz w:val="24"/>
          <w:highlight w:val="none"/>
          <w:u w:val="single"/>
          <w:lang w:val="en-US" w:eastAsia="zh-CN"/>
        </w:rPr>
        <w:t>1024.045908</w:t>
      </w:r>
      <w:r>
        <w:rPr>
          <w:rFonts w:hint="eastAsia" w:ascii="仿宋" w:hAnsi="仿宋" w:eastAsia="仿宋" w:cs="仿宋"/>
          <w:color w:val="auto"/>
          <w:sz w:val="24"/>
          <w:highlight w:val="none"/>
        </w:rPr>
        <w:t>万元、项目最高限价：</w:t>
      </w:r>
      <w:r>
        <w:rPr>
          <w:rFonts w:hint="eastAsia" w:ascii="仿宋" w:hAnsi="仿宋" w:eastAsia="仿宋" w:cs="仿宋"/>
          <w:color w:val="auto"/>
          <w:sz w:val="24"/>
          <w:highlight w:val="none"/>
          <w:u w:val="single"/>
          <w:lang w:val="en-US" w:eastAsia="zh-CN"/>
        </w:rPr>
        <w:t>1024.045908</w:t>
      </w:r>
      <w:r>
        <w:rPr>
          <w:rFonts w:hint="eastAsia" w:ascii="仿宋" w:hAnsi="仿宋" w:eastAsia="仿宋" w:cs="仿宋"/>
          <w:color w:val="auto"/>
          <w:sz w:val="24"/>
          <w:highlight w:val="none"/>
        </w:rPr>
        <w:t>万元</w:t>
      </w:r>
    </w:p>
    <w:p w14:paraId="09461664">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4.采购需求：</w:t>
      </w:r>
    </w:p>
    <w:tbl>
      <w:tblPr>
        <w:tblStyle w:val="7"/>
        <w:tblW w:w="9601"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1186"/>
        <w:gridCol w:w="1377"/>
        <w:gridCol w:w="1377"/>
        <w:gridCol w:w="834"/>
        <w:gridCol w:w="4256"/>
      </w:tblGrid>
      <w:tr w14:paraId="349AC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571" w:type="dxa"/>
            <w:shd w:val="clear" w:color="auto" w:fill="auto"/>
            <w:vAlign w:val="center"/>
          </w:tcPr>
          <w:p w14:paraId="11135633">
            <w:pPr>
              <w:widowControl/>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包号</w:t>
            </w:r>
          </w:p>
        </w:tc>
        <w:tc>
          <w:tcPr>
            <w:tcW w:w="1186" w:type="dxa"/>
            <w:shd w:val="clear" w:color="auto" w:fill="auto"/>
            <w:vAlign w:val="center"/>
          </w:tcPr>
          <w:p w14:paraId="0E3070E4">
            <w:pPr>
              <w:widowControl/>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标的</w:t>
            </w:r>
          </w:p>
          <w:p w14:paraId="0925445D">
            <w:pPr>
              <w:widowControl/>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名称</w:t>
            </w:r>
          </w:p>
        </w:tc>
        <w:tc>
          <w:tcPr>
            <w:tcW w:w="1377" w:type="dxa"/>
            <w:shd w:val="clear" w:color="auto" w:fill="auto"/>
            <w:vAlign w:val="center"/>
          </w:tcPr>
          <w:p w14:paraId="0C9B5DA4">
            <w:pPr>
              <w:widowControl/>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包预算金额（</w:t>
            </w:r>
            <w:r>
              <w:rPr>
                <w:rFonts w:hint="eastAsia" w:ascii="仿宋" w:hAnsi="仿宋" w:eastAsia="仿宋" w:cs="仿宋"/>
                <w:color w:val="auto"/>
                <w:kern w:val="0"/>
                <w:sz w:val="24"/>
                <w:szCs w:val="24"/>
                <w:highlight w:val="none"/>
                <w:lang w:val="en-US" w:eastAsia="zh-CN"/>
              </w:rPr>
              <w:t>万</w:t>
            </w:r>
            <w:r>
              <w:rPr>
                <w:rFonts w:hint="eastAsia" w:ascii="仿宋" w:hAnsi="仿宋" w:eastAsia="仿宋" w:cs="仿宋"/>
                <w:color w:val="auto"/>
                <w:kern w:val="0"/>
                <w:sz w:val="24"/>
                <w:szCs w:val="24"/>
                <w:highlight w:val="none"/>
              </w:rPr>
              <w:t>元）</w:t>
            </w:r>
          </w:p>
        </w:tc>
        <w:tc>
          <w:tcPr>
            <w:tcW w:w="1377" w:type="dxa"/>
            <w:shd w:val="clear" w:color="auto" w:fill="auto"/>
            <w:vAlign w:val="center"/>
          </w:tcPr>
          <w:p w14:paraId="583B2B58">
            <w:pPr>
              <w:widowControl/>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包</w:t>
            </w:r>
            <w:r>
              <w:rPr>
                <w:rFonts w:hint="eastAsia" w:ascii="仿宋" w:hAnsi="仿宋" w:eastAsia="仿宋" w:cs="仿宋"/>
                <w:color w:val="auto"/>
                <w:kern w:val="0"/>
                <w:sz w:val="24"/>
                <w:szCs w:val="24"/>
                <w:highlight w:val="none"/>
                <w:lang w:val="en-US" w:eastAsia="zh-CN"/>
              </w:rPr>
              <w:t>最高限价</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万</w:t>
            </w:r>
            <w:r>
              <w:rPr>
                <w:rFonts w:hint="eastAsia" w:ascii="仿宋" w:hAnsi="仿宋" w:eastAsia="仿宋" w:cs="仿宋"/>
                <w:color w:val="auto"/>
                <w:kern w:val="0"/>
                <w:sz w:val="24"/>
                <w:szCs w:val="24"/>
                <w:highlight w:val="none"/>
              </w:rPr>
              <w:t>元）</w:t>
            </w:r>
          </w:p>
        </w:tc>
        <w:tc>
          <w:tcPr>
            <w:tcW w:w="834" w:type="dxa"/>
            <w:shd w:val="clear" w:color="auto" w:fill="auto"/>
            <w:vAlign w:val="center"/>
          </w:tcPr>
          <w:p w14:paraId="75C4F28A">
            <w:pPr>
              <w:widowControl/>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数量</w:t>
            </w:r>
          </w:p>
        </w:tc>
        <w:tc>
          <w:tcPr>
            <w:tcW w:w="4256" w:type="dxa"/>
            <w:shd w:val="clear" w:color="auto" w:fill="auto"/>
            <w:vAlign w:val="center"/>
          </w:tcPr>
          <w:p w14:paraId="134044B8">
            <w:pPr>
              <w:widowControl/>
              <w:spacing w:line="360" w:lineRule="auto"/>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简要技术需求或服务要求</w:t>
            </w:r>
          </w:p>
        </w:tc>
      </w:tr>
      <w:tr w14:paraId="0670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71" w:type="dxa"/>
            <w:shd w:val="clear" w:color="auto" w:fill="auto"/>
            <w:vAlign w:val="center"/>
          </w:tcPr>
          <w:p w14:paraId="4C98265D">
            <w:pPr>
              <w:spacing w:line="360" w:lineRule="auto"/>
              <w:jc w:val="center"/>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rPr>
              <w:t>1</w:t>
            </w:r>
          </w:p>
        </w:tc>
        <w:tc>
          <w:tcPr>
            <w:tcW w:w="1186" w:type="dxa"/>
            <w:shd w:val="clear" w:color="auto" w:fill="auto"/>
            <w:vAlign w:val="center"/>
          </w:tcPr>
          <w:p w14:paraId="1E7AD317">
            <w:pPr>
              <w:widowControl/>
              <w:spacing w:line="360" w:lineRule="auto"/>
              <w:jc w:val="center"/>
              <w:rPr>
                <w:rFonts w:hint="eastAsia" w:ascii="仿宋" w:hAnsi="仿宋" w:eastAsia="仿宋" w:cs="仿宋"/>
                <w:color w:val="auto"/>
                <w:sz w:val="24"/>
                <w:szCs w:val="24"/>
                <w:highlight w:val="none"/>
                <w:u w:val="none"/>
                <w:lang w:eastAsia="zh-CN"/>
              </w:rPr>
            </w:pPr>
            <w:r>
              <w:rPr>
                <w:rFonts w:hint="eastAsia" w:ascii="仿宋" w:hAnsi="仿宋" w:eastAsia="仿宋" w:cs="仿宋"/>
                <w:color w:val="auto"/>
                <w:sz w:val="24"/>
                <w:highlight w:val="none"/>
                <w:u w:val="none"/>
                <w:lang w:eastAsia="zh-CN"/>
              </w:rPr>
              <w:t>地下环隧维护-运维保障</w:t>
            </w:r>
          </w:p>
        </w:tc>
        <w:tc>
          <w:tcPr>
            <w:tcW w:w="1377" w:type="dxa"/>
            <w:shd w:val="clear" w:color="auto" w:fill="auto"/>
            <w:vAlign w:val="center"/>
          </w:tcPr>
          <w:p w14:paraId="704CD192">
            <w:pPr>
              <w:widowControl/>
              <w:spacing w:line="360" w:lineRule="auto"/>
              <w:jc w:val="center"/>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highlight w:val="none"/>
                <w:u w:val="none"/>
                <w:lang w:val="en-US" w:eastAsia="zh-CN"/>
              </w:rPr>
              <w:t>1024.045908</w:t>
            </w:r>
          </w:p>
        </w:tc>
        <w:tc>
          <w:tcPr>
            <w:tcW w:w="1377" w:type="dxa"/>
            <w:shd w:val="clear" w:color="auto" w:fill="auto"/>
            <w:vAlign w:val="center"/>
          </w:tcPr>
          <w:p w14:paraId="5928CEE5">
            <w:pPr>
              <w:widowControl/>
              <w:spacing w:line="360" w:lineRule="auto"/>
              <w:jc w:val="center"/>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highlight w:val="none"/>
                <w:u w:val="none"/>
                <w:lang w:val="en-US" w:eastAsia="zh-CN"/>
              </w:rPr>
              <w:t>1024.045908</w:t>
            </w:r>
          </w:p>
        </w:tc>
        <w:tc>
          <w:tcPr>
            <w:tcW w:w="834" w:type="dxa"/>
            <w:shd w:val="clear" w:color="auto" w:fill="auto"/>
            <w:vAlign w:val="center"/>
          </w:tcPr>
          <w:p w14:paraId="5F722D4D">
            <w:pPr>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1项</w:t>
            </w:r>
          </w:p>
        </w:tc>
        <w:tc>
          <w:tcPr>
            <w:tcW w:w="4256" w:type="dxa"/>
            <w:shd w:val="clear" w:color="auto" w:fill="auto"/>
            <w:vAlign w:val="center"/>
          </w:tcPr>
          <w:p w14:paraId="352AF97C">
            <w:pPr>
              <w:widowControl/>
              <w:spacing w:line="360" w:lineRule="auto"/>
              <w:jc w:val="left"/>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highlight w:val="none"/>
              </w:rPr>
              <w:t>对北京奥林匹克中心区地下环隧进行秩序维护</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清扫保洁</w:t>
            </w:r>
            <w:r>
              <w:rPr>
                <w:rFonts w:hint="eastAsia" w:ascii="仿宋" w:hAnsi="仿宋" w:eastAsia="仿宋" w:cs="仿宋"/>
                <w:color w:val="auto"/>
                <w:kern w:val="0"/>
                <w:sz w:val="24"/>
                <w:highlight w:val="none"/>
                <w:lang w:eastAsia="zh-CN"/>
              </w:rPr>
              <w:t>、</w:t>
            </w:r>
            <w:r>
              <w:rPr>
                <w:rFonts w:hint="eastAsia" w:ascii="仿宋" w:hAnsi="仿宋" w:eastAsia="仿宋" w:cs="仿宋"/>
                <w:color w:val="auto"/>
                <w:kern w:val="0"/>
                <w:sz w:val="24"/>
                <w:highlight w:val="none"/>
              </w:rPr>
              <w:t>设备设施运行</w:t>
            </w:r>
            <w:r>
              <w:rPr>
                <w:rFonts w:hint="eastAsia" w:ascii="仿宋" w:hAnsi="仿宋" w:eastAsia="仿宋" w:cs="仿宋"/>
                <w:color w:val="auto"/>
                <w:kern w:val="0"/>
                <w:sz w:val="24"/>
                <w:highlight w:val="none"/>
                <w:lang w:val="en-US" w:eastAsia="zh-CN"/>
              </w:rPr>
              <w:t>管理</w:t>
            </w:r>
            <w:r>
              <w:rPr>
                <w:rFonts w:hint="eastAsia" w:ascii="仿宋" w:hAnsi="仿宋" w:eastAsia="仿宋" w:cs="仿宋"/>
                <w:color w:val="auto"/>
                <w:kern w:val="0"/>
                <w:sz w:val="24"/>
                <w:highlight w:val="none"/>
              </w:rPr>
              <w:t>等</w:t>
            </w:r>
            <w:r>
              <w:rPr>
                <w:rFonts w:hint="eastAsia" w:ascii="仿宋" w:hAnsi="仿宋" w:eastAsia="仿宋" w:cs="仿宋"/>
                <w:color w:val="auto"/>
                <w:kern w:val="0"/>
                <w:sz w:val="24"/>
                <w:szCs w:val="24"/>
                <w:highlight w:val="none"/>
                <w:lang w:val="en-US" w:eastAsia="zh-CN"/>
              </w:rPr>
              <w:t>,详见第五章采购需求</w:t>
            </w:r>
          </w:p>
        </w:tc>
      </w:tr>
    </w:tbl>
    <w:p w14:paraId="16F2B4BF">
      <w:pPr>
        <w:tabs>
          <w:tab w:val="left" w:pos="2014"/>
        </w:tabs>
        <w:snapToGrid w:val="0"/>
        <w:spacing w:line="360" w:lineRule="auto"/>
        <w:ind w:firstLine="480" w:firstLineChars="200"/>
        <w:rPr>
          <w:rFonts w:hint="eastAsia" w:ascii="仿宋" w:hAnsi="仿宋" w:eastAsia="仿宋" w:cs="仿宋"/>
          <w:color w:val="auto"/>
          <w:sz w:val="24"/>
          <w:highlight w:val="none"/>
          <w:u w:val="single"/>
          <w:lang w:eastAsia="zh-CN"/>
        </w:rPr>
      </w:pPr>
      <w:r>
        <w:rPr>
          <w:rFonts w:hint="eastAsia" w:ascii="仿宋" w:hAnsi="仿宋" w:eastAsia="仿宋" w:cs="仿宋"/>
          <w:color w:val="auto"/>
          <w:sz w:val="24"/>
          <w:highlight w:val="none"/>
        </w:rPr>
        <w:t>5.合同履行期限：</w:t>
      </w:r>
      <w:r>
        <w:rPr>
          <w:rFonts w:hint="eastAsia" w:ascii="仿宋" w:hAnsi="仿宋" w:eastAsia="仿宋" w:cs="仿宋"/>
          <w:color w:val="auto"/>
          <w:sz w:val="24"/>
          <w:highlight w:val="none"/>
          <w:u w:val="single"/>
        </w:rPr>
        <w:t>2026年3月16日至2026年12月31日</w:t>
      </w:r>
      <w:r>
        <w:rPr>
          <w:rFonts w:hint="eastAsia" w:ascii="仿宋" w:hAnsi="仿宋" w:eastAsia="仿宋" w:cs="仿宋"/>
          <w:color w:val="auto"/>
          <w:sz w:val="24"/>
          <w:highlight w:val="none"/>
          <w:u w:val="single"/>
          <w:lang w:eastAsia="zh-CN"/>
        </w:rPr>
        <w:t>。</w:t>
      </w:r>
    </w:p>
    <w:p w14:paraId="6AC61441">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6.本项目是否接受联合体投标：□是  ■否。</w:t>
      </w:r>
    </w:p>
    <w:p w14:paraId="4DD4A93B">
      <w:pPr>
        <w:pStyle w:val="2"/>
        <w:snapToGrid w:val="0"/>
        <w:spacing w:before="0" w:line="540" w:lineRule="exact"/>
        <w:jc w:val="left"/>
        <w:rPr>
          <w:rFonts w:hint="eastAsia" w:ascii="仿宋" w:hAnsi="仿宋" w:eastAsia="仿宋" w:cs="仿宋"/>
          <w:color w:val="auto"/>
          <w:sz w:val="24"/>
          <w:szCs w:val="24"/>
          <w:highlight w:val="none"/>
        </w:rPr>
      </w:pPr>
      <w:bookmarkStart w:id="0" w:name="_Toc35393791"/>
      <w:bookmarkStart w:id="1" w:name="_Toc35393622"/>
      <w:bookmarkStart w:id="2" w:name="_Toc28359003"/>
      <w:bookmarkStart w:id="3" w:name="_Toc28359080"/>
      <w:r>
        <w:rPr>
          <w:rFonts w:hint="eastAsia" w:ascii="仿宋" w:hAnsi="仿宋" w:eastAsia="仿宋" w:cs="仿宋"/>
          <w:color w:val="auto"/>
          <w:sz w:val="24"/>
          <w:szCs w:val="24"/>
          <w:highlight w:val="none"/>
        </w:rPr>
        <w:t>二、申请人的资格要求（须同时满足）</w:t>
      </w:r>
      <w:bookmarkEnd w:id="0"/>
      <w:bookmarkEnd w:id="1"/>
      <w:bookmarkEnd w:id="2"/>
      <w:bookmarkEnd w:id="3"/>
    </w:p>
    <w:p w14:paraId="0DEB4721">
      <w:pPr>
        <w:snapToGrid w:val="0"/>
        <w:spacing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1.满足《中华人民共和国政府采购法》第二十二条规定；</w:t>
      </w:r>
    </w:p>
    <w:p w14:paraId="36BBE4EA">
      <w:pPr>
        <w:snapToGrid w:val="0"/>
        <w:spacing w:line="540" w:lineRule="exact"/>
        <w:ind w:firstLine="480" w:firstLineChars="200"/>
        <w:rPr>
          <w:rFonts w:hint="eastAsia" w:ascii="仿宋" w:hAnsi="仿宋" w:eastAsia="仿宋" w:cs="仿宋"/>
          <w:color w:val="auto"/>
          <w:sz w:val="24"/>
          <w:highlight w:val="none"/>
        </w:rPr>
      </w:pPr>
      <w:bookmarkStart w:id="4" w:name="_Toc28359081"/>
      <w:bookmarkStart w:id="5" w:name="_Toc28359004"/>
      <w:r>
        <w:rPr>
          <w:rFonts w:hint="eastAsia" w:ascii="仿宋" w:hAnsi="仿宋" w:eastAsia="仿宋" w:cs="仿宋"/>
          <w:color w:val="auto"/>
          <w:sz w:val="24"/>
          <w:highlight w:val="none"/>
        </w:rPr>
        <w:t>2.落实政府采购政策需满足的资格要求：</w:t>
      </w:r>
    </w:p>
    <w:p w14:paraId="4244DE96">
      <w:pPr>
        <w:snapToGrid w:val="0"/>
        <w:spacing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 中小企业政策</w:t>
      </w:r>
    </w:p>
    <w:p w14:paraId="72BB3306">
      <w:pPr>
        <w:snapToGrid w:val="0"/>
        <w:spacing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sz w:val="24"/>
          <w:highlight w:val="none"/>
        </w:rPr>
        <w:t>■</w:t>
      </w:r>
      <w:r>
        <w:rPr>
          <w:rFonts w:hint="eastAsia" w:ascii="仿宋" w:hAnsi="仿宋" w:eastAsia="仿宋" w:cs="仿宋"/>
          <w:color w:val="auto"/>
          <w:sz w:val="24"/>
          <w:highlight w:val="none"/>
        </w:rPr>
        <w:t>本项目不专门面向中小企业预留采购份额。</w:t>
      </w:r>
    </w:p>
    <w:p w14:paraId="740FB7C1">
      <w:pPr>
        <w:snapToGrid w:val="0"/>
        <w:spacing w:line="540" w:lineRule="exact"/>
        <w:ind w:firstLine="480" w:firstLineChars="200"/>
        <w:rPr>
          <w:rFonts w:hint="eastAsia" w:ascii="仿宋" w:hAnsi="仿宋" w:eastAsia="仿宋" w:cs="仿宋"/>
          <w:sz w:val="24"/>
          <w:highlight w:val="none"/>
        </w:rPr>
      </w:pPr>
      <w:r>
        <w:rPr>
          <w:rFonts w:hint="eastAsia" w:ascii="仿宋" w:hAnsi="仿宋" w:eastAsia="仿宋" w:cs="仿宋"/>
          <w:color w:val="auto"/>
          <w:sz w:val="24"/>
          <w:highlight w:val="none"/>
        </w:rPr>
        <w:t>□</w:t>
      </w:r>
      <w:r>
        <w:rPr>
          <w:rFonts w:hint="eastAsia" w:ascii="仿宋" w:hAnsi="仿宋" w:eastAsia="仿宋" w:cs="仿宋"/>
          <w:sz w:val="24"/>
          <w:highlight w:val="none"/>
        </w:rPr>
        <w:t>本项目专门面向</w:t>
      </w:r>
      <w:r>
        <w:rPr>
          <w:rFonts w:hint="eastAsia" w:ascii="仿宋" w:hAnsi="仿宋" w:eastAsia="仿宋" w:cs="仿宋"/>
          <w:b w:val="0"/>
          <w:bCs w:val="0"/>
          <w:sz w:val="24"/>
          <w:highlight w:val="none"/>
          <w:u w:val="none"/>
          <w:lang w:val="en-US" w:eastAsia="zh-CN"/>
        </w:rPr>
        <w:t>中</w:t>
      </w:r>
      <w:r>
        <w:rPr>
          <w:rFonts w:hint="eastAsia" w:ascii="仿宋" w:hAnsi="仿宋" w:eastAsia="仿宋" w:cs="仿宋"/>
          <w:b w:val="0"/>
          <w:bCs w:val="0"/>
          <w:sz w:val="24"/>
          <w:highlight w:val="none"/>
          <w:u w:val="none"/>
        </w:rPr>
        <w:t>小</w:t>
      </w:r>
      <w:r>
        <w:rPr>
          <w:rFonts w:hint="eastAsia" w:ascii="仿宋" w:hAnsi="仿宋" w:eastAsia="仿宋" w:cs="仿宋"/>
          <w:sz w:val="24"/>
          <w:highlight w:val="none"/>
        </w:rPr>
        <w:t>企业采购。</w:t>
      </w:r>
    </w:p>
    <w:p w14:paraId="4DF29FB2">
      <w:pPr>
        <w:snapToGrid w:val="0"/>
        <w:spacing w:line="5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即：提供的货物全部由符合政策要求的</w:t>
      </w:r>
      <w:r>
        <w:rPr>
          <w:rFonts w:hint="eastAsia" w:ascii="仿宋" w:hAnsi="仿宋" w:eastAsia="仿宋" w:cs="仿宋"/>
          <w:sz w:val="24"/>
          <w:highlight w:val="none"/>
          <w:lang w:val="en-US" w:eastAsia="zh-CN"/>
        </w:rPr>
        <w:t>中小</w:t>
      </w:r>
      <w:r>
        <w:rPr>
          <w:rFonts w:hint="eastAsia" w:ascii="仿宋" w:hAnsi="仿宋" w:eastAsia="仿宋" w:cs="仿宋"/>
          <w:sz w:val="24"/>
          <w:highlight w:val="none"/>
        </w:rPr>
        <w:t>企业制造、服务全部由符合政策要求的</w:t>
      </w:r>
      <w:r>
        <w:rPr>
          <w:rFonts w:hint="eastAsia" w:ascii="仿宋" w:hAnsi="仿宋" w:eastAsia="仿宋" w:cs="仿宋"/>
          <w:sz w:val="24"/>
          <w:highlight w:val="none"/>
          <w:lang w:val="en-US" w:eastAsia="zh-CN"/>
        </w:rPr>
        <w:t>中小</w:t>
      </w:r>
      <w:r>
        <w:rPr>
          <w:rFonts w:hint="eastAsia" w:ascii="仿宋" w:hAnsi="仿宋" w:eastAsia="仿宋" w:cs="仿宋"/>
          <w:sz w:val="24"/>
          <w:highlight w:val="none"/>
        </w:rPr>
        <w:t>企业承接。</w:t>
      </w:r>
    </w:p>
    <w:p w14:paraId="65801D22">
      <w:pPr>
        <w:snapToGrid w:val="0"/>
        <w:spacing w:line="54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color w:val="auto"/>
          <w:sz w:val="24"/>
          <w:highlight w:val="none"/>
          <w:u w:val="single"/>
          <w:lang w:val="en-US" w:eastAsia="zh-CN"/>
        </w:rPr>
        <w:t xml:space="preserve">      </w:t>
      </w:r>
    </w:p>
    <w:p w14:paraId="504EE0DB">
      <w:pPr>
        <w:snapToGrid w:val="0"/>
        <w:spacing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 其它落实政府采购政策的资格要求（如有）：</w:t>
      </w:r>
      <w:r>
        <w:rPr>
          <w:rFonts w:hint="eastAsia" w:ascii="仿宋" w:hAnsi="仿宋" w:eastAsia="仿宋" w:cs="仿宋"/>
          <w:color w:val="auto"/>
          <w:sz w:val="24"/>
          <w:highlight w:val="none"/>
          <w:u w:val="single"/>
        </w:rPr>
        <w:t xml:space="preserve">/ </w:t>
      </w:r>
    </w:p>
    <w:p w14:paraId="1A22C777">
      <w:pPr>
        <w:snapToGrid w:val="0"/>
        <w:spacing w:line="540" w:lineRule="exact"/>
        <w:ind w:firstLine="480" w:firstLineChars="200"/>
        <w:rPr>
          <w:rFonts w:hint="eastAsia" w:ascii="仿宋" w:hAnsi="仿宋" w:eastAsia="仿宋" w:cs="仿宋"/>
          <w:i/>
          <w:iCs/>
          <w:color w:val="auto"/>
          <w:sz w:val="24"/>
          <w:highlight w:val="none"/>
          <w:u w:val="single"/>
        </w:rPr>
      </w:pPr>
      <w:r>
        <w:rPr>
          <w:rFonts w:hint="eastAsia" w:ascii="仿宋" w:hAnsi="仿宋" w:eastAsia="仿宋" w:cs="仿宋"/>
          <w:color w:val="auto"/>
          <w:sz w:val="24"/>
          <w:highlight w:val="none"/>
        </w:rPr>
        <w:t>3.本项目的特定资格要求：</w:t>
      </w:r>
    </w:p>
    <w:p w14:paraId="31D06743">
      <w:pPr>
        <w:tabs>
          <w:tab w:val="left" w:pos="900"/>
          <w:tab w:val="left" w:pos="1134"/>
          <w:tab w:val="left" w:pos="1589"/>
          <w:tab w:val="left" w:pos="5521"/>
        </w:tabs>
        <w:snapToGrid w:val="0"/>
        <w:spacing w:line="540" w:lineRule="exact"/>
        <w:ind w:firstLine="480" w:firstLineChars="200"/>
        <w:rPr>
          <w:rFonts w:hint="eastAsia" w:ascii="仿宋" w:hAnsi="仿宋" w:eastAsia="仿宋" w:cs="仿宋"/>
          <w:i/>
          <w:color w:val="auto"/>
          <w:sz w:val="24"/>
          <w:highlight w:val="none"/>
        </w:rPr>
      </w:pPr>
      <w:r>
        <w:rPr>
          <w:rFonts w:hint="eastAsia" w:ascii="仿宋" w:hAnsi="仿宋" w:eastAsia="仿宋" w:cs="仿宋"/>
          <w:color w:val="auto"/>
          <w:sz w:val="24"/>
          <w:highlight w:val="none"/>
        </w:rPr>
        <w:t>3.1本项目是否接受分支机构参与投标：□是   ■否；</w:t>
      </w:r>
    </w:p>
    <w:p w14:paraId="0D7AE816">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3.2本项目是否属于政府购买服务：</w:t>
      </w:r>
    </w:p>
    <w:p w14:paraId="1E86E1C7">
      <w:pPr>
        <w:tabs>
          <w:tab w:val="left" w:pos="900"/>
          <w:tab w:val="left" w:pos="1134"/>
          <w:tab w:val="left" w:pos="1589"/>
          <w:tab w:val="left" w:pos="5521"/>
        </w:tabs>
        <w:snapToGrid w:val="0"/>
        <w:spacing w:line="540" w:lineRule="exact"/>
        <w:ind w:left="991" w:leftChars="472" w:firstLine="2"/>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否</w:t>
      </w:r>
    </w:p>
    <w:p w14:paraId="5D5CD109">
      <w:pPr>
        <w:tabs>
          <w:tab w:val="left" w:pos="900"/>
          <w:tab w:val="left" w:pos="1134"/>
          <w:tab w:val="left" w:pos="1589"/>
          <w:tab w:val="left" w:pos="5521"/>
        </w:tabs>
        <w:snapToGrid w:val="0"/>
        <w:spacing w:line="540" w:lineRule="exact"/>
        <w:ind w:left="991" w:leftChars="472" w:firstLine="2"/>
        <w:rPr>
          <w:rFonts w:hint="eastAsia" w:ascii="仿宋" w:hAnsi="仿宋" w:eastAsia="仿宋" w:cs="仿宋"/>
          <w:color w:val="auto"/>
          <w:sz w:val="24"/>
          <w:highlight w:val="none"/>
        </w:rPr>
      </w:pPr>
      <w:r>
        <w:rPr>
          <w:rFonts w:hint="eastAsia" w:ascii="仿宋" w:hAnsi="仿宋" w:eastAsia="仿宋" w:cs="仿宋"/>
          <w:color w:val="auto"/>
          <w:sz w:val="24"/>
          <w:highlight w:val="none"/>
        </w:rPr>
        <w:t>■是，公益一类事业单位、使用事业编制且由财政拨款保障的群团组织，不得作为承接主体；</w:t>
      </w:r>
    </w:p>
    <w:p w14:paraId="08F14639">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3.3其他特定资格要求：</w:t>
      </w:r>
    </w:p>
    <w:p w14:paraId="0D26D37A">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3.3.1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处罚决定规定的时间和地域范围内），信用信息截止时点为开标当日；</w:t>
      </w:r>
    </w:p>
    <w:p w14:paraId="34E5FB79">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3.3.2投标人应符合中华人民共和国财政部令第102号《政府购买服务管理办法》的第六条：依法成立的企业、社会组织（不含由财政拨款保障的群团组织），公益二类和从事生产经营活动的事业单位，农村集体经济组织，基层群众性自治组织，以及具备条件的个人可以作为政府购买服务的承接主体的规定；</w:t>
      </w:r>
    </w:p>
    <w:p w14:paraId="26579FF2">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3.3.3投标人应符合中华人民共和国财政部令第102号《政府购买服务管理办法》的第八条：公益一类事业单位、使用事业编制且由财政拨款保障的群团组织，不作为政府购买服务的购买主体和承接主体的规定。</w:t>
      </w:r>
    </w:p>
    <w:p w14:paraId="77681847">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3.3.4单位负责人为同一人或者存在直接控股、管理关系的不同供应商，不得参加同一合同项下的政府采购活动;</w:t>
      </w:r>
    </w:p>
    <w:p w14:paraId="7ECF0810">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3.3.5为采购项目提供整体设计、规范编制或者项目管理、监理、检测等服务的供应商，不得再参加该采购项目的其他采购活动;</w:t>
      </w:r>
    </w:p>
    <w:p w14:paraId="3D986473">
      <w:pPr>
        <w:tabs>
          <w:tab w:val="left" w:pos="900"/>
          <w:tab w:val="left" w:pos="1134"/>
          <w:tab w:val="left" w:pos="1589"/>
          <w:tab w:val="left" w:pos="5521"/>
        </w:tabs>
        <w:snapToGrid w:val="0"/>
        <w:spacing w:line="540" w:lineRule="exact"/>
        <w:ind w:firstLine="480" w:firstLineChars="200"/>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lang w:val="en-US" w:eastAsia="zh-CN"/>
        </w:rPr>
        <w:t>3.3.6投标人应获取本项目招标文件。</w:t>
      </w:r>
    </w:p>
    <w:bookmarkEnd w:id="4"/>
    <w:bookmarkEnd w:id="5"/>
    <w:p w14:paraId="3653057C">
      <w:pPr>
        <w:pStyle w:val="2"/>
        <w:widowControl/>
        <w:snapToGrid w:val="0"/>
        <w:spacing w:before="0" w:line="540" w:lineRule="exact"/>
        <w:jc w:val="left"/>
        <w:rPr>
          <w:rFonts w:hint="eastAsia" w:ascii="仿宋" w:hAnsi="仿宋" w:eastAsia="仿宋" w:cs="仿宋"/>
          <w:color w:val="auto"/>
          <w:sz w:val="24"/>
          <w:szCs w:val="24"/>
          <w:highlight w:val="none"/>
        </w:rPr>
      </w:pPr>
      <w:bookmarkStart w:id="6" w:name="_Toc35393623"/>
      <w:bookmarkStart w:id="7" w:name="_Toc35393792"/>
      <w:r>
        <w:rPr>
          <w:rFonts w:hint="eastAsia" w:ascii="仿宋" w:hAnsi="仿宋" w:eastAsia="仿宋" w:cs="仿宋"/>
          <w:color w:val="auto"/>
          <w:sz w:val="24"/>
          <w:szCs w:val="24"/>
          <w:highlight w:val="none"/>
        </w:rPr>
        <w:t>三、获取招标文件</w:t>
      </w:r>
      <w:bookmarkEnd w:id="6"/>
      <w:bookmarkEnd w:id="7"/>
    </w:p>
    <w:p w14:paraId="3A8F168F">
      <w:pPr>
        <w:adjustRightInd w:val="0"/>
        <w:snapToGrid w:val="0"/>
        <w:spacing w:line="540" w:lineRule="exact"/>
        <w:ind w:firstLine="480" w:firstLineChars="200"/>
        <w:rPr>
          <w:rFonts w:hint="eastAsia" w:ascii="仿宋" w:hAnsi="仿宋" w:eastAsia="仿宋" w:cs="仿宋"/>
          <w:color w:val="auto"/>
          <w:sz w:val="24"/>
          <w:highlight w:val="none"/>
          <w:lang w:bidi="ar"/>
        </w:rPr>
      </w:pPr>
      <w:r>
        <w:rPr>
          <w:rFonts w:hint="eastAsia" w:ascii="仿宋" w:hAnsi="仿宋" w:eastAsia="仿宋" w:cs="仿宋"/>
          <w:color w:val="auto"/>
          <w:sz w:val="24"/>
          <w:highlight w:val="none"/>
          <w:lang w:bidi="ar"/>
        </w:rPr>
        <w:t>1.时间：</w:t>
      </w:r>
      <w:r>
        <w:rPr>
          <w:rFonts w:hint="eastAsia" w:ascii="仿宋" w:hAnsi="仿宋" w:eastAsia="仿宋" w:cs="仿宋"/>
          <w:color w:val="auto"/>
          <w:sz w:val="24"/>
          <w:highlight w:val="none"/>
          <w:lang w:eastAsia="zh-CN" w:bidi="ar"/>
        </w:rPr>
        <w:t>2026年</w:t>
      </w:r>
      <w:r>
        <w:rPr>
          <w:rFonts w:hint="eastAsia" w:ascii="仿宋" w:hAnsi="仿宋" w:eastAsia="仿宋" w:cs="仿宋"/>
          <w:color w:val="auto"/>
          <w:sz w:val="24"/>
          <w:highlight w:val="none"/>
          <w:lang w:val="en-US" w:eastAsia="zh-CN" w:bidi="ar"/>
        </w:rPr>
        <w:t>2</w:t>
      </w:r>
      <w:r>
        <w:rPr>
          <w:rFonts w:hint="eastAsia" w:ascii="仿宋" w:hAnsi="仿宋" w:eastAsia="仿宋" w:cs="仿宋"/>
          <w:color w:val="auto"/>
          <w:sz w:val="24"/>
          <w:highlight w:val="none"/>
          <w:lang w:eastAsia="zh-CN" w:bidi="ar"/>
        </w:rPr>
        <w:t>月</w:t>
      </w:r>
      <w:r>
        <w:rPr>
          <w:rFonts w:hint="eastAsia" w:ascii="仿宋" w:hAnsi="仿宋" w:eastAsia="仿宋" w:cs="仿宋"/>
          <w:color w:val="auto"/>
          <w:sz w:val="24"/>
          <w:highlight w:val="none"/>
          <w:lang w:val="en-US" w:eastAsia="zh-CN" w:bidi="ar"/>
        </w:rPr>
        <w:t>12</w:t>
      </w:r>
      <w:r>
        <w:rPr>
          <w:rFonts w:hint="eastAsia" w:ascii="仿宋" w:hAnsi="仿宋" w:eastAsia="仿宋" w:cs="仿宋"/>
          <w:color w:val="auto"/>
          <w:sz w:val="24"/>
          <w:highlight w:val="none"/>
          <w:lang w:bidi="ar"/>
        </w:rPr>
        <w:t>日至</w:t>
      </w:r>
      <w:r>
        <w:rPr>
          <w:rFonts w:hint="eastAsia" w:ascii="仿宋" w:hAnsi="仿宋" w:eastAsia="仿宋" w:cs="仿宋"/>
          <w:color w:val="auto"/>
          <w:sz w:val="24"/>
          <w:highlight w:val="none"/>
          <w:lang w:eastAsia="zh-CN" w:bidi="ar"/>
        </w:rPr>
        <w:t>2026年</w:t>
      </w:r>
      <w:r>
        <w:rPr>
          <w:rFonts w:hint="eastAsia" w:ascii="仿宋" w:hAnsi="仿宋" w:eastAsia="仿宋" w:cs="仿宋"/>
          <w:color w:val="auto"/>
          <w:sz w:val="24"/>
          <w:highlight w:val="none"/>
          <w:lang w:val="en-US" w:eastAsia="zh-CN" w:bidi="ar"/>
        </w:rPr>
        <w:t>2</w:t>
      </w:r>
      <w:r>
        <w:rPr>
          <w:rFonts w:hint="eastAsia" w:ascii="仿宋" w:hAnsi="仿宋" w:eastAsia="仿宋" w:cs="仿宋"/>
          <w:color w:val="auto"/>
          <w:sz w:val="24"/>
          <w:highlight w:val="none"/>
          <w:lang w:eastAsia="zh-CN" w:bidi="ar"/>
        </w:rPr>
        <w:t>月</w:t>
      </w:r>
      <w:r>
        <w:rPr>
          <w:rFonts w:hint="eastAsia" w:ascii="仿宋" w:hAnsi="仿宋" w:eastAsia="仿宋" w:cs="仿宋"/>
          <w:color w:val="auto"/>
          <w:sz w:val="24"/>
          <w:highlight w:val="none"/>
          <w:lang w:val="en-US" w:eastAsia="zh-CN" w:bidi="ar"/>
        </w:rPr>
        <w:t>25</w:t>
      </w:r>
      <w:r>
        <w:rPr>
          <w:rFonts w:hint="eastAsia" w:ascii="仿宋" w:hAnsi="仿宋" w:eastAsia="仿宋" w:cs="仿宋"/>
          <w:color w:val="auto"/>
          <w:sz w:val="24"/>
          <w:highlight w:val="none"/>
          <w:lang w:bidi="ar"/>
        </w:rPr>
        <w:t>日，每天上午9:00至</w:t>
      </w:r>
      <w:r>
        <w:rPr>
          <w:rFonts w:hint="eastAsia" w:ascii="仿宋" w:hAnsi="仿宋" w:eastAsia="仿宋" w:cs="仿宋"/>
          <w:color w:val="auto"/>
          <w:sz w:val="24"/>
          <w:highlight w:val="none"/>
          <w:lang w:val="en-US" w:eastAsia="zh-CN" w:bidi="ar"/>
        </w:rPr>
        <w:t>12</w:t>
      </w:r>
      <w:r>
        <w:rPr>
          <w:rFonts w:hint="eastAsia" w:ascii="仿宋" w:hAnsi="仿宋" w:eastAsia="仿宋" w:cs="仿宋"/>
          <w:color w:val="auto"/>
          <w:sz w:val="24"/>
          <w:highlight w:val="none"/>
          <w:lang w:bidi="ar"/>
        </w:rPr>
        <w:t>:</w:t>
      </w:r>
      <w:r>
        <w:rPr>
          <w:rFonts w:hint="eastAsia" w:ascii="仿宋" w:hAnsi="仿宋" w:eastAsia="仿宋" w:cs="仿宋"/>
          <w:color w:val="auto"/>
          <w:sz w:val="24"/>
          <w:highlight w:val="none"/>
          <w:lang w:val="en-US" w:eastAsia="zh-CN" w:bidi="ar"/>
        </w:rPr>
        <w:t>00</w:t>
      </w:r>
      <w:r>
        <w:rPr>
          <w:rFonts w:hint="eastAsia" w:ascii="仿宋" w:hAnsi="仿宋" w:eastAsia="仿宋" w:cs="仿宋"/>
          <w:color w:val="auto"/>
          <w:sz w:val="24"/>
          <w:highlight w:val="none"/>
          <w:lang w:bidi="ar"/>
        </w:rPr>
        <w:t>，下午1</w:t>
      </w:r>
      <w:r>
        <w:rPr>
          <w:rFonts w:hint="eastAsia" w:ascii="仿宋" w:hAnsi="仿宋" w:eastAsia="仿宋" w:cs="仿宋"/>
          <w:color w:val="auto"/>
          <w:sz w:val="24"/>
          <w:highlight w:val="none"/>
          <w:lang w:val="en-US" w:eastAsia="zh-CN" w:bidi="ar"/>
        </w:rPr>
        <w:t>2</w:t>
      </w:r>
      <w:r>
        <w:rPr>
          <w:rFonts w:hint="eastAsia" w:ascii="仿宋" w:hAnsi="仿宋" w:eastAsia="仿宋" w:cs="仿宋"/>
          <w:color w:val="auto"/>
          <w:sz w:val="24"/>
          <w:highlight w:val="none"/>
          <w:lang w:bidi="ar"/>
        </w:rPr>
        <w:t>：00至16:00（北京时间，法定节假日除外）。</w:t>
      </w:r>
    </w:p>
    <w:p w14:paraId="5B8183B0">
      <w:pPr>
        <w:adjustRightInd w:val="0"/>
        <w:snapToGrid w:val="0"/>
        <w:spacing w:line="5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2.地点：北京市政府采购电子交易平台</w:t>
      </w:r>
    </w:p>
    <w:p w14:paraId="1447CBBC">
      <w:pPr>
        <w:widowControl/>
        <w:adjustRightInd w:val="0"/>
        <w:snapToGrid w:val="0"/>
        <w:spacing w:line="540" w:lineRule="exact"/>
        <w:ind w:firstLine="480" w:firstLineChars="200"/>
        <w:jc w:val="left"/>
        <w:rPr>
          <w:rFonts w:hint="eastAsia" w:ascii="仿宋" w:hAnsi="仿宋" w:eastAsia="仿宋" w:cs="仿宋"/>
          <w:b/>
          <w:bCs/>
          <w:color w:val="auto"/>
          <w:sz w:val="24"/>
          <w:highlight w:val="none"/>
          <w:lang w:bidi="ar"/>
        </w:rPr>
      </w:pPr>
      <w:r>
        <w:rPr>
          <w:rFonts w:hint="eastAsia" w:ascii="仿宋" w:hAnsi="仿宋" w:eastAsia="仿宋" w:cs="仿宋"/>
          <w:color w:val="auto"/>
          <w:sz w:val="24"/>
          <w:highlight w:val="none"/>
          <w:lang w:bidi="ar"/>
        </w:rPr>
        <w:t>3.方式：供应商持CA数字认证证书登录北京市政府采购电子交易平台（http://zbcg-bjzc.zhongcy.com/bjczj-portal-site/index.html#/home）获取电子版招标文件</w:t>
      </w:r>
      <w:r>
        <w:rPr>
          <w:rFonts w:hint="eastAsia" w:ascii="仿宋" w:hAnsi="仿宋" w:eastAsia="仿宋" w:cs="仿宋"/>
          <w:b/>
          <w:bCs/>
          <w:color w:val="auto"/>
          <w:sz w:val="24"/>
          <w:highlight w:val="none"/>
          <w:lang w:bidi="ar"/>
        </w:rPr>
        <w:t>。</w:t>
      </w:r>
    </w:p>
    <w:p w14:paraId="64A5BD30">
      <w:pPr>
        <w:widowControl/>
        <w:adjustRightInd w:val="0"/>
        <w:snapToGrid w:val="0"/>
        <w:spacing w:line="5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bidi="ar"/>
        </w:rPr>
        <w:t>4.售价：0元。</w:t>
      </w:r>
    </w:p>
    <w:p w14:paraId="4A561C36">
      <w:pPr>
        <w:pStyle w:val="2"/>
        <w:widowControl/>
        <w:snapToGrid w:val="0"/>
        <w:spacing w:before="0" w:line="540" w:lineRule="exact"/>
        <w:jc w:val="left"/>
        <w:rPr>
          <w:rFonts w:hint="eastAsia" w:ascii="仿宋" w:hAnsi="仿宋" w:eastAsia="仿宋" w:cs="仿宋"/>
          <w:color w:val="auto"/>
          <w:sz w:val="24"/>
          <w:szCs w:val="24"/>
          <w:highlight w:val="none"/>
        </w:rPr>
      </w:pPr>
      <w:bookmarkStart w:id="8" w:name="_Toc28359005"/>
      <w:bookmarkStart w:id="9" w:name="_Toc28359082"/>
      <w:bookmarkStart w:id="10" w:name="_Toc35393624"/>
      <w:bookmarkStart w:id="11" w:name="_Toc35393793"/>
      <w:r>
        <w:rPr>
          <w:rFonts w:hint="eastAsia" w:ascii="仿宋" w:hAnsi="仿宋" w:eastAsia="仿宋" w:cs="仿宋"/>
          <w:color w:val="auto"/>
          <w:sz w:val="24"/>
          <w:szCs w:val="24"/>
          <w:highlight w:val="none"/>
        </w:rPr>
        <w:t>四、提交投标文件</w:t>
      </w:r>
      <w:bookmarkEnd w:id="8"/>
      <w:bookmarkEnd w:id="9"/>
      <w:r>
        <w:rPr>
          <w:rFonts w:hint="eastAsia" w:ascii="仿宋" w:hAnsi="仿宋" w:eastAsia="仿宋" w:cs="仿宋"/>
          <w:color w:val="auto"/>
          <w:sz w:val="24"/>
          <w:szCs w:val="24"/>
          <w:highlight w:val="none"/>
        </w:rPr>
        <w:t>截止时间、开标时间和地点</w:t>
      </w:r>
      <w:bookmarkEnd w:id="10"/>
      <w:bookmarkEnd w:id="11"/>
    </w:p>
    <w:p w14:paraId="3E63AAFC">
      <w:pPr>
        <w:snapToGrid w:val="0"/>
        <w:spacing w:line="540" w:lineRule="exact"/>
        <w:ind w:firstLine="480" w:firstLineChars="200"/>
        <w:rPr>
          <w:rFonts w:hint="eastAsia" w:ascii="仿宋" w:hAnsi="仿宋" w:eastAsia="仿宋" w:cs="仿宋"/>
          <w:bCs/>
          <w:color w:val="auto"/>
          <w:sz w:val="24"/>
          <w:highlight w:val="none"/>
          <w:u w:val="single"/>
        </w:rPr>
      </w:pPr>
      <w:r>
        <w:rPr>
          <w:rFonts w:hint="eastAsia" w:ascii="仿宋" w:hAnsi="仿宋" w:eastAsia="仿宋" w:cs="仿宋"/>
          <w:color w:val="auto"/>
          <w:sz w:val="24"/>
          <w:highlight w:val="none"/>
          <w:lang w:bidi="ar"/>
        </w:rPr>
        <w:t>投标截止时间、开标时间：</w:t>
      </w:r>
      <w:r>
        <w:rPr>
          <w:rFonts w:hint="eastAsia" w:ascii="仿宋" w:hAnsi="仿宋" w:eastAsia="仿宋" w:cs="仿宋"/>
          <w:color w:val="auto"/>
          <w:sz w:val="24"/>
          <w:highlight w:val="none"/>
          <w:lang w:eastAsia="zh-CN" w:bidi="ar"/>
        </w:rPr>
        <w:t>2026年</w:t>
      </w:r>
      <w:r>
        <w:rPr>
          <w:rFonts w:hint="eastAsia" w:ascii="仿宋" w:hAnsi="仿宋" w:eastAsia="仿宋" w:cs="仿宋"/>
          <w:color w:val="auto"/>
          <w:sz w:val="24"/>
          <w:highlight w:val="none"/>
          <w:lang w:val="en-US" w:eastAsia="zh-CN" w:bidi="ar"/>
        </w:rPr>
        <w:t>3</w:t>
      </w:r>
      <w:r>
        <w:rPr>
          <w:rFonts w:hint="eastAsia" w:ascii="仿宋" w:hAnsi="仿宋" w:eastAsia="仿宋" w:cs="仿宋"/>
          <w:color w:val="auto"/>
          <w:sz w:val="24"/>
          <w:highlight w:val="none"/>
          <w:lang w:eastAsia="zh-CN" w:bidi="ar"/>
        </w:rPr>
        <w:t>月</w:t>
      </w:r>
      <w:r>
        <w:rPr>
          <w:rFonts w:hint="eastAsia" w:ascii="仿宋" w:hAnsi="仿宋" w:eastAsia="仿宋" w:cs="仿宋"/>
          <w:color w:val="auto"/>
          <w:sz w:val="24"/>
          <w:highlight w:val="none"/>
          <w:lang w:val="en-US" w:eastAsia="zh-CN" w:bidi="ar"/>
        </w:rPr>
        <w:t>4</w:t>
      </w:r>
      <w:r>
        <w:rPr>
          <w:rFonts w:hint="eastAsia" w:ascii="仿宋" w:hAnsi="仿宋" w:eastAsia="仿宋" w:cs="仿宋"/>
          <w:color w:val="auto"/>
          <w:sz w:val="24"/>
          <w:highlight w:val="none"/>
          <w:lang w:bidi="ar"/>
        </w:rPr>
        <w:t>日</w:t>
      </w:r>
      <w:r>
        <w:rPr>
          <w:rFonts w:hint="eastAsia" w:ascii="仿宋" w:hAnsi="仿宋" w:eastAsia="仿宋" w:cs="仿宋"/>
          <w:color w:val="auto"/>
          <w:sz w:val="24"/>
          <w:highlight w:val="none"/>
          <w:lang w:val="en-US" w:eastAsia="zh-CN" w:bidi="ar"/>
        </w:rPr>
        <w:t>13</w:t>
      </w:r>
      <w:r>
        <w:rPr>
          <w:rFonts w:hint="eastAsia" w:ascii="仿宋" w:hAnsi="仿宋" w:eastAsia="仿宋" w:cs="仿宋"/>
          <w:color w:val="auto"/>
          <w:sz w:val="24"/>
          <w:highlight w:val="none"/>
          <w:lang w:bidi="ar"/>
        </w:rPr>
        <w:t>点</w:t>
      </w:r>
      <w:r>
        <w:rPr>
          <w:rFonts w:hint="eastAsia" w:ascii="仿宋" w:hAnsi="仿宋" w:eastAsia="仿宋" w:cs="仿宋"/>
          <w:color w:val="auto"/>
          <w:sz w:val="24"/>
          <w:highlight w:val="none"/>
          <w:lang w:val="en-US" w:eastAsia="zh-CN" w:bidi="ar"/>
        </w:rPr>
        <w:t>00</w:t>
      </w:r>
      <w:r>
        <w:rPr>
          <w:rFonts w:hint="eastAsia" w:ascii="仿宋" w:hAnsi="仿宋" w:eastAsia="仿宋" w:cs="仿宋"/>
          <w:color w:val="auto"/>
          <w:sz w:val="24"/>
          <w:highlight w:val="none"/>
          <w:lang w:bidi="ar"/>
        </w:rPr>
        <w:t>分</w:t>
      </w:r>
      <w:r>
        <w:rPr>
          <w:rFonts w:hint="eastAsia" w:ascii="仿宋" w:hAnsi="仿宋" w:eastAsia="仿宋" w:cs="仿宋"/>
          <w:bCs/>
          <w:color w:val="auto"/>
          <w:sz w:val="24"/>
          <w:highlight w:val="none"/>
          <w:lang w:bidi="ar"/>
        </w:rPr>
        <w:t>（北京时间）</w:t>
      </w:r>
      <w:r>
        <w:rPr>
          <w:rFonts w:hint="eastAsia" w:ascii="仿宋" w:hAnsi="仿宋" w:eastAsia="仿宋" w:cs="仿宋"/>
          <w:iCs/>
          <w:color w:val="auto"/>
          <w:sz w:val="24"/>
          <w:highlight w:val="none"/>
          <w:lang w:bidi="ar"/>
        </w:rPr>
        <w:t>。</w:t>
      </w:r>
    </w:p>
    <w:p w14:paraId="5161FC40">
      <w:pPr>
        <w:snapToGrid w:val="0"/>
        <w:spacing w:line="540" w:lineRule="exact"/>
        <w:ind w:firstLine="480" w:firstLineChars="200"/>
        <w:rPr>
          <w:rFonts w:hint="eastAsia" w:ascii="仿宋" w:hAnsi="仿宋" w:eastAsia="仿宋" w:cs="仿宋"/>
          <w:bCs/>
          <w:color w:val="auto"/>
          <w:sz w:val="24"/>
          <w:highlight w:val="none"/>
          <w:u w:val="single"/>
        </w:rPr>
      </w:pPr>
      <w:r>
        <w:rPr>
          <w:rFonts w:hint="eastAsia" w:ascii="仿宋" w:hAnsi="仿宋" w:eastAsia="仿宋" w:cs="仿宋"/>
          <w:color w:val="auto"/>
          <w:sz w:val="24"/>
          <w:highlight w:val="none"/>
          <w:lang w:bidi="ar"/>
        </w:rPr>
        <w:t>地点：</w:t>
      </w:r>
      <w:r>
        <w:rPr>
          <w:rFonts w:hint="eastAsia" w:ascii="仿宋" w:hAnsi="仿宋" w:eastAsia="仿宋" w:cs="仿宋"/>
          <w:color w:val="auto"/>
          <w:sz w:val="24"/>
          <w:highlight w:val="none"/>
          <w:lang w:val="en-US" w:eastAsia="zh-CN"/>
        </w:rPr>
        <w:t>北京市政府采购电子交易平台</w:t>
      </w:r>
      <w:r>
        <w:rPr>
          <w:rFonts w:hint="eastAsia" w:ascii="仿宋" w:hAnsi="仿宋" w:eastAsia="仿宋" w:cs="仿宋"/>
          <w:color w:val="auto"/>
          <w:sz w:val="24"/>
          <w:highlight w:val="none"/>
          <w:lang w:val="zh-TW" w:bidi="ar"/>
        </w:rPr>
        <w:t>。</w:t>
      </w:r>
    </w:p>
    <w:p w14:paraId="2056197E">
      <w:pPr>
        <w:pStyle w:val="2"/>
        <w:snapToGrid w:val="0"/>
        <w:spacing w:before="0" w:line="540" w:lineRule="exact"/>
        <w:jc w:val="left"/>
        <w:rPr>
          <w:rFonts w:hint="eastAsia" w:ascii="仿宋" w:hAnsi="仿宋" w:eastAsia="仿宋" w:cs="仿宋"/>
          <w:color w:val="auto"/>
          <w:sz w:val="24"/>
          <w:szCs w:val="24"/>
          <w:highlight w:val="none"/>
        </w:rPr>
      </w:pPr>
      <w:bookmarkStart w:id="12" w:name="_Toc35393625"/>
      <w:bookmarkStart w:id="13" w:name="_Toc28359084"/>
      <w:bookmarkStart w:id="14" w:name="_Toc28359007"/>
      <w:bookmarkStart w:id="15" w:name="_Toc35393794"/>
      <w:r>
        <w:rPr>
          <w:rFonts w:hint="eastAsia" w:ascii="仿宋" w:hAnsi="仿宋" w:eastAsia="仿宋" w:cs="仿宋"/>
          <w:color w:val="auto"/>
          <w:sz w:val="24"/>
          <w:szCs w:val="24"/>
          <w:highlight w:val="none"/>
        </w:rPr>
        <w:t>五、公告期限</w:t>
      </w:r>
      <w:bookmarkEnd w:id="12"/>
      <w:bookmarkEnd w:id="13"/>
      <w:bookmarkEnd w:id="14"/>
      <w:bookmarkEnd w:id="15"/>
    </w:p>
    <w:p w14:paraId="328347E0">
      <w:pPr>
        <w:snapToGrid w:val="0"/>
        <w:spacing w:line="5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自本公告发布之日起5个工作日。</w:t>
      </w:r>
      <w:bookmarkStart w:id="16" w:name="_Toc35393626"/>
      <w:bookmarkStart w:id="17" w:name="_Toc35393795"/>
    </w:p>
    <w:p w14:paraId="13C37BB8">
      <w:pPr>
        <w:snapToGrid w:val="0"/>
        <w:spacing w:line="540" w:lineRule="exact"/>
        <w:rPr>
          <w:rFonts w:hint="eastAsia" w:ascii="仿宋" w:hAnsi="仿宋" w:eastAsia="仿宋" w:cs="仿宋"/>
          <w:color w:val="auto"/>
          <w:sz w:val="24"/>
          <w:highlight w:val="none"/>
        </w:rPr>
      </w:pPr>
      <w:r>
        <w:rPr>
          <w:rFonts w:hint="eastAsia" w:ascii="仿宋" w:hAnsi="仿宋" w:eastAsia="仿宋" w:cs="仿宋"/>
          <w:b/>
          <w:color w:val="auto"/>
          <w:kern w:val="0"/>
          <w:sz w:val="24"/>
          <w:highlight w:val="none"/>
        </w:rPr>
        <w:t>六、其他补充事宜</w:t>
      </w:r>
      <w:bookmarkEnd w:id="16"/>
      <w:bookmarkEnd w:id="17"/>
    </w:p>
    <w:p w14:paraId="67C75D9B">
      <w:pPr>
        <w:snapToGrid w:val="0"/>
        <w:spacing w:line="540" w:lineRule="exact"/>
        <w:ind w:firstLine="480" w:firstLineChars="200"/>
        <w:jc w:val="left"/>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lang w:val="en-US" w:eastAsia="zh-CN"/>
        </w:rPr>
        <w:t>招</w:t>
      </w:r>
      <w:r>
        <w:rPr>
          <w:rFonts w:hint="eastAsia" w:ascii="仿宋" w:hAnsi="仿宋" w:eastAsia="仿宋" w:cs="仿宋"/>
          <w:color w:val="auto"/>
          <w:sz w:val="24"/>
          <w:highlight w:val="none"/>
          <w:u w:val="none"/>
          <w:lang w:val="en-US" w:eastAsia="zh-CN"/>
        </w:rPr>
        <w:t>标</w:t>
      </w:r>
      <w:r>
        <w:rPr>
          <w:rFonts w:hint="eastAsia" w:ascii="仿宋" w:hAnsi="仿宋" w:eastAsia="仿宋" w:cs="仿宋"/>
          <w:color w:val="auto"/>
          <w:sz w:val="24"/>
          <w:highlight w:val="none"/>
          <w:u w:val="none"/>
        </w:rPr>
        <w:t>编号：</w:t>
      </w:r>
      <w:r>
        <w:rPr>
          <w:rFonts w:hint="eastAsia" w:ascii="仿宋" w:hAnsi="仿宋" w:eastAsia="仿宋" w:cs="仿宋"/>
          <w:color w:val="auto"/>
          <w:sz w:val="24"/>
          <w:highlight w:val="none"/>
          <w:u w:val="none"/>
          <w:lang w:val="en-US" w:eastAsia="zh-CN"/>
        </w:rPr>
        <w:t>0701-26410706G007</w:t>
      </w:r>
    </w:p>
    <w:p w14:paraId="70D0EB83">
      <w:pPr>
        <w:snapToGrid w:val="0"/>
        <w:spacing w:line="5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本项目需要落实的政府采购政策：</w:t>
      </w:r>
    </w:p>
    <w:p w14:paraId="2544155A">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rPr>
        <w:t>鼓励节能、环保政策：依据《财政部发展改革委生态环境部市场监管总局关于调整优化节能产品、环境标志产品政府采购执行机制的通知（财库（2019）9号）》执行。</w:t>
      </w:r>
    </w:p>
    <w:p w14:paraId="3727AC2A">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2.扶持中小企业政策：本项目评审时小型和微型企业产品享受10%的价格折扣；残疾人福利性单位视同小型、微型企业；不重复享受政策。</w:t>
      </w:r>
    </w:p>
    <w:p w14:paraId="67818E5A">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3.本项目采购标的接受进口产品情况：本项目不适用。</w:t>
      </w:r>
    </w:p>
    <w:p w14:paraId="67C0648A">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4.本项目采用全流程电子化采购方式，请供应商认真学习北京市政府采购电子交易 平台发布的相关操作手册(供应商可在交易平台下载相关手册),办理 CA 数字证书或  电子营业执照、进行北京市政府采购电子交易平台注册绑定，并认真核实CA 数字证书</w:t>
      </w:r>
    </w:p>
    <w:p w14:paraId="7CA26348">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或电子营业执照情况确认是否符合本项目电子化采购流程要求。</w:t>
      </w:r>
    </w:p>
    <w:p w14:paraId="79A3E049">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CA 数字证书服务热线 010-58511086</w:t>
      </w:r>
    </w:p>
    <w:p w14:paraId="44ACBCE9">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电子营业执照服务热线 400-699-7000</w:t>
      </w:r>
    </w:p>
    <w:p w14:paraId="52609FED">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技术支持服务热线   010-86483801</w:t>
      </w:r>
    </w:p>
    <w:p w14:paraId="23CAC604">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4.1办理 CA 数字证书或电子营业执照</w:t>
      </w:r>
    </w:p>
    <w:p w14:paraId="51F86AD4">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供应商登录北京市政府采购电子交易平台查阅“用户指南”—“操作指南”—“市场主体 CA 办理操作流程指引”/“电子营业执照使用指南”,按照程序要求办理。</w:t>
      </w:r>
    </w:p>
    <w:p w14:paraId="1245D45D">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4.2注册</w:t>
      </w:r>
    </w:p>
    <w:p w14:paraId="76C7E269">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供应商登录北京市政府采购电子交易平台“用户指南”—“操作指南”—“市场主体注册入库操作流程指引”进行自助注册绑定。</w:t>
      </w:r>
    </w:p>
    <w:p w14:paraId="1846BADC">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4.3驱动、客户端下载</w:t>
      </w:r>
    </w:p>
    <w:p w14:paraId="03E285D7">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供应商登录北京市政府采购电子交易平台“用户指南”—“工具下载”—“招标采购系统文件驱动安装包”下载相关驱动。</w:t>
      </w:r>
    </w:p>
    <w:p w14:paraId="23FDEED5">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供应商登录北京市政府采购电子交易平台“用户指南”—“工具下载”—“投标文件编制工具”下载相关客户端。</w:t>
      </w:r>
    </w:p>
    <w:p w14:paraId="58AD0610">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4.4  获取电子招标文件</w:t>
      </w:r>
    </w:p>
    <w:p w14:paraId="6C7BA85F">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供应商使用CA 数字证书或电子营业执照登录北京市政府采购电子交易平台获取电子招标文件。</w:t>
      </w:r>
    </w:p>
    <w:p w14:paraId="0FEC5026">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在【我的项目】栏目依次选择对应采购包，进入项目工作台招标/采购文件环节分别按采购包下载招标文件电子版。未在规定期限内按上述操作获取文件的采购包，供应商无法提交相应包的电子投标文件。</w:t>
      </w:r>
    </w:p>
    <w:p w14:paraId="0AD04445">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4.5编制电子投标文件</w:t>
      </w:r>
    </w:p>
    <w:p w14:paraId="671853EB">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供应商应使用电子投标客户端编制电子投标文件并进行线上投标，供应商电子投标  文件需要加密并加盖电子签章，如无法按照要求在电子投标文件中加盖电子签章和加密，请及时通过技术支持服务热线联系技术人员。</w:t>
      </w:r>
    </w:p>
    <w:p w14:paraId="4FA9DE75">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4.6 提交电子投标文件</w:t>
      </w:r>
    </w:p>
    <w:p w14:paraId="38BEA2D1">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供应商应于投标截止时间前在北京市政府采购电子交易平台提交电子投标文件，上传电子投标文件过程中请保持与互联网的连接畅通。</w:t>
      </w:r>
    </w:p>
    <w:p w14:paraId="624143BF">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0"/>
          <w:sz w:val="24"/>
          <w:highlight w:val="none"/>
          <w:lang w:val="en-US" w:eastAsia="zh-CN"/>
        </w:rPr>
        <w:t>4.7电子开标</w:t>
      </w:r>
    </w:p>
    <w:p w14:paraId="1297F83B">
      <w:pPr>
        <w:widowControl/>
        <w:numPr>
          <w:ilvl w:val="0"/>
          <w:numId w:val="0"/>
        </w:numPr>
        <w:tabs>
          <w:tab w:val="left" w:pos="1080"/>
        </w:tabs>
        <w:snapToGrid w:val="0"/>
        <w:spacing w:line="540" w:lineRule="exact"/>
        <w:ind w:leftChars="-128" w:firstLine="720" w:firstLineChars="300"/>
        <w:jc w:val="left"/>
        <w:rPr>
          <w:rFonts w:hint="eastAsia" w:ascii="仿宋" w:hAnsi="仿宋" w:eastAsia="仿宋" w:cs="仿宋"/>
          <w:color w:val="auto"/>
          <w:highlight w:val="none"/>
          <w:lang w:val="en-US"/>
        </w:rPr>
      </w:pPr>
      <w:r>
        <w:rPr>
          <w:rFonts w:hint="eastAsia" w:ascii="仿宋" w:hAnsi="仿宋" w:eastAsia="仿宋" w:cs="仿宋"/>
          <w:color w:val="auto"/>
          <w:kern w:val="0"/>
          <w:sz w:val="24"/>
          <w:highlight w:val="none"/>
          <w:lang w:val="en-US" w:eastAsia="zh-CN"/>
        </w:rPr>
        <w:t>供应商在开标地点使用CA 数字证书或电子营业执照登录北京市政府采购电子交易平台进行电子开标。</w:t>
      </w:r>
    </w:p>
    <w:p w14:paraId="00CF55F7">
      <w:pPr>
        <w:pStyle w:val="2"/>
        <w:snapToGrid w:val="0"/>
        <w:spacing w:before="0" w:line="540" w:lineRule="exact"/>
        <w:jc w:val="left"/>
        <w:rPr>
          <w:rFonts w:hint="eastAsia" w:ascii="仿宋" w:hAnsi="仿宋" w:eastAsia="仿宋" w:cs="仿宋"/>
          <w:color w:val="auto"/>
          <w:sz w:val="24"/>
          <w:szCs w:val="24"/>
          <w:highlight w:val="none"/>
        </w:rPr>
      </w:pPr>
      <w:bookmarkStart w:id="18" w:name="_Toc28359008"/>
      <w:bookmarkStart w:id="19" w:name="_Toc35393627"/>
      <w:bookmarkStart w:id="20" w:name="_Toc28359085"/>
      <w:bookmarkStart w:id="21" w:name="_Toc35393796"/>
      <w:r>
        <w:rPr>
          <w:rFonts w:hint="eastAsia" w:ascii="仿宋" w:hAnsi="仿宋" w:eastAsia="仿宋" w:cs="仿宋"/>
          <w:color w:val="auto"/>
          <w:sz w:val="24"/>
          <w:szCs w:val="24"/>
          <w:highlight w:val="none"/>
        </w:rPr>
        <w:t>七、对本次招标提出询问，请按以下方式联系。</w:t>
      </w:r>
      <w:bookmarkEnd w:id="18"/>
      <w:bookmarkEnd w:id="19"/>
      <w:bookmarkEnd w:id="20"/>
      <w:bookmarkEnd w:id="21"/>
    </w:p>
    <w:p w14:paraId="21940800">
      <w:pPr>
        <w:widowControl/>
        <w:snapToGrid w:val="0"/>
        <w:spacing w:line="540" w:lineRule="exact"/>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1.采购人信息</w:t>
      </w:r>
    </w:p>
    <w:p w14:paraId="023F5060">
      <w:pPr>
        <w:snapToGrid w:val="0"/>
        <w:spacing w:line="540" w:lineRule="exact"/>
        <w:ind w:firstLine="480" w:firstLineChars="200"/>
        <w:jc w:val="left"/>
        <w:rPr>
          <w:rFonts w:hint="eastAsia" w:ascii="仿宋" w:hAnsi="仿宋" w:eastAsia="仿宋" w:cs="仿宋"/>
          <w:color w:val="auto"/>
          <w:sz w:val="24"/>
          <w:highlight w:val="none"/>
          <w:lang w:val="en-US" w:eastAsia="zh-CN"/>
        </w:rPr>
      </w:pPr>
      <w:bookmarkStart w:id="22" w:name="_Toc28359009"/>
      <w:bookmarkStart w:id="23" w:name="_Toc28359086"/>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lang w:val="en-US" w:eastAsia="zh-CN"/>
        </w:rPr>
        <w:t>北京奥林匹克中心区管理委员会</w:t>
      </w:r>
    </w:p>
    <w:p w14:paraId="15E87A0C">
      <w:pPr>
        <w:snapToGrid w:val="0"/>
        <w:spacing w:line="540" w:lineRule="exact"/>
        <w:ind w:firstLine="480" w:firstLineChars="200"/>
        <w:jc w:val="left"/>
        <w:rPr>
          <w:rFonts w:hint="eastAsia"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rPr>
        <w:t>地    址：</w:t>
      </w:r>
      <w:r>
        <w:rPr>
          <w:rFonts w:hint="eastAsia" w:ascii="仿宋" w:hAnsi="仿宋" w:eastAsia="仿宋" w:cs="仿宋"/>
          <w:color w:val="auto"/>
          <w:sz w:val="24"/>
          <w:szCs w:val="24"/>
          <w:highlight w:val="none"/>
          <w:u w:val="none"/>
          <w:lang w:val="en-US" w:eastAsia="zh-CN"/>
        </w:rPr>
        <w:t>北京市朝阳区北辰东路15号</w:t>
      </w:r>
    </w:p>
    <w:p w14:paraId="3B90D657">
      <w:pPr>
        <w:snapToGrid w:val="0"/>
        <w:spacing w:line="540" w:lineRule="exact"/>
        <w:ind w:firstLine="480" w:firstLineChars="200"/>
        <w:jc w:val="left"/>
        <w:rPr>
          <w:rFonts w:hint="default" w:ascii="仿宋" w:hAnsi="仿宋" w:eastAsia="仿宋" w:cs="仿宋"/>
          <w:color w:val="auto"/>
          <w:sz w:val="24"/>
          <w:highlight w:val="none"/>
          <w:u w:val="none"/>
          <w:lang w:val="en-US" w:eastAsia="zh-CN"/>
        </w:rPr>
      </w:pPr>
      <w:r>
        <w:rPr>
          <w:rFonts w:hint="eastAsia" w:ascii="仿宋" w:hAnsi="仿宋" w:eastAsia="仿宋" w:cs="仿宋"/>
          <w:color w:val="auto"/>
          <w:sz w:val="24"/>
          <w:highlight w:val="none"/>
          <w:u w:val="none"/>
        </w:rPr>
        <w:t>联系方式：</w:t>
      </w:r>
      <w:r>
        <w:rPr>
          <w:rFonts w:hint="eastAsia" w:ascii="仿宋" w:hAnsi="仿宋" w:eastAsia="仿宋" w:cs="仿宋"/>
          <w:color w:val="auto"/>
          <w:sz w:val="24"/>
          <w:szCs w:val="24"/>
          <w:highlight w:val="none"/>
          <w:u w:val="none"/>
          <w:lang w:val="en-US" w:eastAsia="zh-CN"/>
        </w:rPr>
        <w:t>010-</w:t>
      </w:r>
      <w:r>
        <w:rPr>
          <w:rFonts w:hint="eastAsia" w:ascii="仿宋" w:hAnsi="仿宋" w:eastAsia="仿宋" w:cs="仿宋"/>
          <w:color w:val="auto"/>
          <w:sz w:val="24"/>
          <w:highlight w:val="none"/>
          <w:u w:val="none"/>
        </w:rPr>
        <w:t>84972796</w:t>
      </w:r>
    </w:p>
    <w:p w14:paraId="35C1CFDC">
      <w:pPr>
        <w:snapToGrid w:val="0"/>
        <w:spacing w:line="540" w:lineRule="exact"/>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2.采购代理机构信息</w:t>
      </w:r>
      <w:bookmarkEnd w:id="22"/>
      <w:bookmarkEnd w:id="23"/>
    </w:p>
    <w:p w14:paraId="6823DC83">
      <w:pPr>
        <w:snapToGrid w:val="0"/>
        <w:spacing w:line="540" w:lineRule="exact"/>
        <w:ind w:firstLine="480" w:firstLineChars="200"/>
        <w:jc w:val="left"/>
        <w:rPr>
          <w:rFonts w:hint="eastAsia" w:ascii="仿宋" w:hAnsi="仿宋" w:eastAsia="仿宋" w:cs="仿宋"/>
          <w:color w:val="auto"/>
          <w:sz w:val="24"/>
          <w:highlight w:val="none"/>
        </w:rPr>
      </w:pPr>
      <w:bookmarkStart w:id="24" w:name="_Toc28359010"/>
      <w:bookmarkStart w:id="25" w:name="_Toc28359087"/>
      <w:r>
        <w:rPr>
          <w:rFonts w:hint="eastAsia" w:ascii="仿宋" w:hAnsi="仿宋" w:eastAsia="仿宋" w:cs="仿宋"/>
          <w:color w:val="auto"/>
          <w:sz w:val="24"/>
          <w:highlight w:val="none"/>
        </w:rPr>
        <w:t>名    称：中技国际招标有限公司</w:t>
      </w:r>
    </w:p>
    <w:p w14:paraId="43BE6DFA">
      <w:pPr>
        <w:snapToGrid w:val="0"/>
        <w:spacing w:line="5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址：北京市丰台区西营街1号院通用时代中心C座9层</w:t>
      </w:r>
    </w:p>
    <w:p w14:paraId="6E38C14E">
      <w:pPr>
        <w:snapToGrid w:val="0"/>
        <w:spacing w:line="540" w:lineRule="exact"/>
        <w:ind w:firstLine="480" w:firstLineChars="200"/>
        <w:jc w:val="left"/>
        <w:rPr>
          <w:rFonts w:hint="eastAsia"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rPr>
        <w:t>联系方式：010</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8116</w:t>
      </w:r>
      <w:r>
        <w:rPr>
          <w:rFonts w:hint="eastAsia" w:ascii="仿宋" w:hAnsi="仿宋" w:eastAsia="仿宋" w:cs="仿宋"/>
          <w:color w:val="auto"/>
          <w:sz w:val="24"/>
          <w:highlight w:val="none"/>
          <w:lang w:val="en-US" w:eastAsia="zh-CN"/>
        </w:rPr>
        <w:t>8493</w:t>
      </w:r>
    </w:p>
    <w:p w14:paraId="1B7E9431">
      <w:pPr>
        <w:snapToGrid w:val="0"/>
        <w:spacing w:line="540" w:lineRule="exact"/>
        <w:ind w:firstLine="482" w:firstLineChars="200"/>
        <w:rPr>
          <w:rFonts w:hint="eastAsia" w:ascii="仿宋" w:hAnsi="仿宋" w:eastAsia="仿宋" w:cs="仿宋"/>
          <w:b/>
          <w:color w:val="auto"/>
          <w:sz w:val="24"/>
          <w:highlight w:val="none"/>
          <w:u w:val="single"/>
        </w:rPr>
      </w:pPr>
      <w:r>
        <w:rPr>
          <w:rFonts w:hint="eastAsia" w:ascii="仿宋" w:hAnsi="仿宋" w:eastAsia="仿宋" w:cs="仿宋"/>
          <w:b/>
          <w:color w:val="auto"/>
          <w:sz w:val="24"/>
          <w:highlight w:val="none"/>
        </w:rPr>
        <w:t>3.项目联系方式</w:t>
      </w:r>
      <w:bookmarkEnd w:id="24"/>
      <w:bookmarkEnd w:id="25"/>
    </w:p>
    <w:p w14:paraId="7EEFAA14">
      <w:pPr>
        <w:pStyle w:val="4"/>
        <w:snapToGrid w:val="0"/>
        <w:spacing w:line="540" w:lineRule="exact"/>
        <w:ind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lang w:val="en-US" w:eastAsia="zh-CN"/>
        </w:rPr>
        <w:t>陈刚、王昕</w:t>
      </w:r>
    </w:p>
    <w:p w14:paraId="2EA574CF">
      <w:pPr>
        <w:pStyle w:val="4"/>
        <w:snapToGrid w:val="0"/>
        <w:spacing w:line="540" w:lineRule="exact"/>
        <w:ind w:firstLine="480" w:firstLineChars="200"/>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highlight w:val="none"/>
        </w:rPr>
        <w:t>010</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8116</w:t>
      </w:r>
      <w:r>
        <w:rPr>
          <w:rFonts w:hint="eastAsia" w:ascii="仿宋" w:hAnsi="仿宋" w:eastAsia="仿宋" w:cs="仿宋"/>
          <w:color w:val="auto"/>
          <w:sz w:val="24"/>
          <w:highlight w:val="none"/>
          <w:lang w:val="en-US" w:eastAsia="zh-CN"/>
        </w:rPr>
        <w:t>8493、81168289</w:t>
      </w:r>
    </w:p>
    <w:p w14:paraId="352EFB5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A15153"/>
    <w:rsid w:val="35161B25"/>
    <w:rsid w:val="6EA15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autoSpaceDE w:val="0"/>
      <w:autoSpaceDN w:val="0"/>
      <w:adjustRightInd w:val="0"/>
      <w:ind w:firstLine="420"/>
      <w:jc w:val="left"/>
    </w:pPr>
    <w:rPr>
      <w:rFonts w:ascii="宋体"/>
      <w:sz w:val="24"/>
    </w:rPr>
  </w:style>
  <w:style w:type="paragraph" w:styleId="4">
    <w:name w:val="Plain Text"/>
    <w:basedOn w:val="1"/>
    <w:qFormat/>
    <w:uiPriority w:val="99"/>
    <w:rPr>
      <w:rFonts w:hint="eastAsia" w:ascii="宋体" w:hAnsi="Courier New"/>
      <w:szCs w:val="20"/>
    </w:rPr>
  </w:style>
  <w:style w:type="paragraph" w:styleId="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2414</Words>
  <Characters>2793</Characters>
  <Lines>0</Lines>
  <Paragraphs>0</Paragraphs>
  <TotalTime>0</TotalTime>
  <ScaleCrop>false</ScaleCrop>
  <LinksUpToDate>false</LinksUpToDate>
  <CharactersWithSpaces>2853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2026-02-11T06:30:00Z</dcterms:created>
  <dc:creator>XXX</dc:creator>
  <cp:lastModifiedBy>吴家豪</cp:lastModifiedBy>
  <dcterms:modified xsi:type="dcterms:W3CDTF">2026-02-11T06:32:21Z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DBEFC1E6DE784E22B767FE644A55D081_13</vt:lpwstr>
  </property>
  <property fmtid="{D5CDD505-2E9C-101B-9397-08002B2CF9AE}" pid="4" name="KSOTemplateDocerSaveRecord">
    <vt:lpwstr>eyJoZGlkIjoiODA2NThhNjc1YmRmNzVlMzM1YjQzODRmYjhmZGMzNDUiLCJ1c2VySWQiOiIyMjkxNDI4MjQifQ==</vt:lpwstr>
  </property>
</Properties>
</file>