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11A58">
      <w:pPr>
        <w:pageBreakBefore w:val="0"/>
        <w:widowControl w:val="0"/>
        <w:kinsoku/>
        <w:wordWrap/>
        <w:overflowPunct/>
        <w:topLinePunct w:val="0"/>
        <w:bidi w:val="0"/>
        <w:snapToGrid/>
        <w:spacing w:line="240" w:lineRule="auto"/>
        <w:jc w:val="center"/>
        <w:textAlignment w:val="auto"/>
        <w:rPr>
          <w:rFonts w:hint="default" w:ascii="华文中宋" w:hAnsi="华文中宋" w:eastAsia="华文中宋" w:cs="Times New Roman"/>
          <w:b/>
          <w:bCs/>
          <w:kern w:val="44"/>
          <w:sz w:val="32"/>
          <w:szCs w:val="32"/>
          <w:lang w:eastAsia="zh-CN" w:bidi="ar-SA"/>
        </w:rPr>
      </w:pPr>
      <w:r>
        <w:rPr>
          <w:rFonts w:hint="eastAsia" w:ascii="华文中宋" w:hAnsi="华文中宋" w:eastAsia="华文中宋" w:cs="Times New Roman"/>
          <w:b/>
          <w:bCs/>
          <w:kern w:val="44"/>
          <w:sz w:val="32"/>
          <w:szCs w:val="32"/>
          <w:lang w:eastAsia="zh-CN" w:bidi="ar-SA"/>
        </w:rPr>
        <w:t>北京市第二中学经开区学校（东校区）设备购置</w:t>
      </w:r>
    </w:p>
    <w:p w14:paraId="04547D1D">
      <w:pPr>
        <w:pStyle w:val="3"/>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textAlignment w:val="auto"/>
        <w:rPr>
          <w:rFonts w:hint="eastAsia" w:ascii="华文中宋" w:hAnsi="华文中宋" w:eastAsia="华文中宋" w:cs="Times New Roman"/>
          <w:b/>
          <w:bCs/>
          <w:kern w:val="44"/>
          <w:sz w:val="32"/>
          <w:szCs w:val="32"/>
          <w:lang w:val="en-US" w:eastAsia="zh-CN" w:bidi="ar-SA"/>
        </w:rPr>
      </w:pPr>
      <w:r>
        <w:rPr>
          <w:rFonts w:hint="eastAsia" w:ascii="华文中宋" w:hAnsi="华文中宋" w:eastAsia="华文中宋" w:cs="Times New Roman"/>
          <w:b/>
          <w:bCs/>
          <w:kern w:val="44"/>
          <w:sz w:val="32"/>
          <w:szCs w:val="32"/>
          <w:lang w:val="en-US" w:eastAsia="zh-CN" w:bidi="ar-SA"/>
        </w:rPr>
        <w:tab/>
      </w:r>
      <w:r>
        <w:rPr>
          <w:rFonts w:hint="eastAsia" w:ascii="华文中宋" w:hAnsi="华文中宋" w:eastAsia="华文中宋" w:cs="Times New Roman"/>
          <w:b/>
          <w:bCs/>
          <w:kern w:val="44"/>
          <w:sz w:val="32"/>
          <w:szCs w:val="32"/>
          <w:lang w:val="en-US" w:eastAsia="zh-CN" w:bidi="ar-SA"/>
        </w:rPr>
        <w:tab/>
      </w:r>
      <w:bookmarkStart w:id="0" w:name="_Toc28359001"/>
      <w:bookmarkStart w:id="1" w:name="_Toc35393789"/>
      <w:r>
        <w:rPr>
          <w:rFonts w:hint="eastAsia" w:ascii="华文中宋" w:hAnsi="华文中宋" w:eastAsia="华文中宋" w:cs="Times New Roman"/>
          <w:b/>
          <w:bCs/>
          <w:kern w:val="44"/>
          <w:sz w:val="32"/>
          <w:szCs w:val="32"/>
          <w:lang w:val="en-US" w:eastAsia="zh-CN" w:bidi="ar-SA"/>
        </w:rPr>
        <w:t>招标公告</w:t>
      </w:r>
      <w:bookmarkEnd w:id="0"/>
      <w:bookmarkEnd w:id="1"/>
    </w:p>
    <w:p w14:paraId="5B081A07">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14:paraId="32CC821F">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lang w:eastAsia="zh-CN"/>
        </w:rPr>
        <w:t>北京市第二中学经开区学校（东校区）设备购置</w:t>
      </w:r>
      <w:r>
        <w:rPr>
          <w:rFonts w:hint="eastAsia" w:ascii="仿宋" w:hAnsi="仿宋" w:eastAsia="仿宋"/>
          <w:sz w:val="28"/>
          <w:szCs w:val="28"/>
        </w:rPr>
        <w:t>的潜在投标人应在</w:t>
      </w:r>
      <w:r>
        <w:rPr>
          <w:rFonts w:hint="eastAsia" w:ascii="仿宋" w:hAnsi="仿宋" w:eastAsia="仿宋"/>
          <w:sz w:val="28"/>
          <w:szCs w:val="28"/>
          <w:u w:val="single"/>
          <w:lang w:eastAsia="zh-CN"/>
        </w:rPr>
        <w:t>北京市政府采购电子交易平台</w:t>
      </w:r>
      <w:r>
        <w:rPr>
          <w:rFonts w:hint="eastAsia" w:ascii="仿宋" w:hAnsi="仿宋" w:eastAsia="仿宋"/>
          <w:sz w:val="28"/>
          <w:szCs w:val="28"/>
        </w:rPr>
        <w:t>获取招标文件，并于</w:t>
      </w:r>
      <w:r>
        <w:rPr>
          <w:rFonts w:hint="eastAsia" w:ascii="仿宋" w:hAnsi="仿宋" w:eastAsia="仿宋"/>
          <w:sz w:val="28"/>
          <w:szCs w:val="28"/>
          <w:u w:val="single"/>
          <w:lang w:eastAsia="zh-CN"/>
        </w:rPr>
        <w:t>2026年03月03日09点30分</w:t>
      </w:r>
      <w:r>
        <w:rPr>
          <w:rFonts w:hint="eastAsia" w:ascii="仿宋" w:hAnsi="仿宋" w:eastAsia="仿宋"/>
          <w:bCs/>
          <w:sz w:val="28"/>
          <w:szCs w:val="28"/>
          <w:u w:val="single"/>
        </w:rPr>
        <w:t>（</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14:paraId="4423FC6C">
      <w:pPr>
        <w:pStyle w:val="4"/>
        <w:spacing w:line="360" w:lineRule="auto"/>
        <w:rPr>
          <w:rFonts w:ascii="黑体" w:hAnsi="黑体" w:cs="宋体"/>
          <w:b w:val="0"/>
          <w:sz w:val="28"/>
          <w:szCs w:val="28"/>
        </w:rPr>
      </w:pPr>
      <w:bookmarkStart w:id="2" w:name="_Toc28359079"/>
      <w:bookmarkStart w:id="3" w:name="_Toc35393621"/>
      <w:bookmarkStart w:id="4" w:name="_Toc28359002"/>
      <w:bookmarkStart w:id="5" w:name="_Toc35393790"/>
      <w:bookmarkStart w:id="6" w:name="_Hlk24379207"/>
      <w:r>
        <w:rPr>
          <w:rFonts w:hint="eastAsia" w:ascii="黑体" w:hAnsi="黑体" w:cs="宋体"/>
          <w:b w:val="0"/>
          <w:sz w:val="28"/>
          <w:szCs w:val="28"/>
        </w:rPr>
        <w:t>一、项目基本情况</w:t>
      </w:r>
      <w:bookmarkEnd w:id="2"/>
      <w:bookmarkEnd w:id="3"/>
      <w:bookmarkEnd w:id="4"/>
      <w:bookmarkEnd w:id="5"/>
    </w:p>
    <w:p w14:paraId="5DA334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olor w:val="FF0000"/>
          <w:sz w:val="28"/>
          <w:szCs w:val="28"/>
          <w:highlight w:val="none"/>
          <w:lang w:val="en-US" w:eastAsia="zh-CN"/>
        </w:rPr>
      </w:pPr>
      <w:r>
        <w:rPr>
          <w:rFonts w:hint="eastAsia" w:ascii="仿宋" w:hAnsi="仿宋" w:eastAsia="仿宋"/>
          <w:sz w:val="28"/>
          <w:szCs w:val="28"/>
          <w:highlight w:val="none"/>
        </w:rPr>
        <w:t>项目编号：</w:t>
      </w:r>
      <w:r>
        <w:rPr>
          <w:rFonts w:hint="eastAsia" w:ascii="仿宋" w:hAnsi="仿宋" w:eastAsia="仿宋"/>
          <w:sz w:val="28"/>
          <w:szCs w:val="28"/>
          <w:highlight w:val="none"/>
          <w:lang w:eastAsia="zh-CN"/>
        </w:rPr>
        <w:t>ZFCG2025-015101-T000028-JH001-XM001</w:t>
      </w:r>
      <w:r>
        <w:rPr>
          <w:rFonts w:hint="eastAsia" w:ascii="仿宋" w:hAnsi="仿宋" w:eastAsia="仿宋"/>
          <w:sz w:val="28"/>
          <w:szCs w:val="28"/>
          <w:highlight w:val="none"/>
          <w:lang w:val="en-US" w:eastAsia="zh-CN"/>
        </w:rPr>
        <w:t xml:space="preserve">     </w:t>
      </w:r>
    </w:p>
    <w:p w14:paraId="0B7A7BAD">
      <w:pPr>
        <w:keepNext w:val="0"/>
        <w:keepLines w:val="0"/>
        <w:pageBreakBefore w:val="0"/>
        <w:widowControl w:val="0"/>
        <w:kinsoku/>
        <w:wordWrap/>
        <w:overflowPunct/>
        <w:topLinePunct w:val="0"/>
        <w:autoSpaceDE/>
        <w:autoSpaceDN/>
        <w:bidi w:val="0"/>
        <w:adjustRightInd/>
        <w:snapToGrid/>
        <w:ind w:right="-313" w:rightChars="-149" w:firstLine="560" w:firstLineChars="200"/>
        <w:textAlignment w:val="auto"/>
        <w:rPr>
          <w:rFonts w:hint="default" w:ascii="仿宋" w:hAnsi="仿宋" w:eastAsia="仿宋"/>
          <w:sz w:val="28"/>
          <w:szCs w:val="28"/>
          <w:lang w:eastAsia="zh-CN"/>
        </w:rPr>
      </w:pPr>
      <w:r>
        <w:rPr>
          <w:rFonts w:hint="eastAsia" w:ascii="仿宋" w:hAnsi="仿宋" w:eastAsia="仿宋"/>
          <w:sz w:val="28"/>
          <w:szCs w:val="28"/>
        </w:rPr>
        <w:t>项目名称：</w:t>
      </w:r>
      <w:r>
        <w:rPr>
          <w:rFonts w:hint="eastAsia" w:ascii="仿宋" w:hAnsi="仿宋" w:eastAsia="仿宋"/>
          <w:sz w:val="28"/>
          <w:szCs w:val="28"/>
          <w:lang w:eastAsia="zh-CN"/>
        </w:rPr>
        <w:t>北京市第二中学经开区学校（东校区）设备购置</w:t>
      </w:r>
    </w:p>
    <w:bookmarkEnd w:id="6"/>
    <w:p w14:paraId="4DF5B9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ascii="仿宋" w:hAnsi="仿宋" w:eastAsia="仿宋"/>
          <w:sz w:val="28"/>
          <w:szCs w:val="28"/>
        </w:rPr>
      </w:pPr>
      <w:r>
        <w:rPr>
          <w:rFonts w:hint="eastAsia" w:ascii="仿宋" w:hAnsi="仿宋" w:eastAsia="仿宋"/>
          <w:sz w:val="28"/>
          <w:szCs w:val="28"/>
        </w:rPr>
        <w:t>预算金额：</w:t>
      </w:r>
      <w:r>
        <w:rPr>
          <w:rFonts w:hint="eastAsia" w:ascii="仿宋" w:hAnsi="仿宋" w:eastAsia="仿宋"/>
          <w:sz w:val="28"/>
          <w:szCs w:val="28"/>
          <w:lang w:val="en-US" w:eastAsia="zh-CN"/>
        </w:rPr>
        <w:t>304.04</w:t>
      </w:r>
      <w:r>
        <w:rPr>
          <w:rFonts w:hint="eastAsia" w:ascii="仿宋" w:hAnsi="仿宋" w:eastAsia="仿宋"/>
          <w:sz w:val="28"/>
          <w:szCs w:val="28"/>
        </w:rPr>
        <w:t>万元</w:t>
      </w:r>
    </w:p>
    <w:p w14:paraId="4523A31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rPr>
      </w:pPr>
      <w:r>
        <w:rPr>
          <w:rFonts w:hint="eastAsia" w:ascii="仿宋" w:hAnsi="仿宋" w:eastAsia="仿宋"/>
          <w:sz w:val="28"/>
          <w:szCs w:val="28"/>
        </w:rPr>
        <w:t>最高限价：</w:t>
      </w:r>
      <w:r>
        <w:rPr>
          <w:rFonts w:hint="eastAsia" w:ascii="仿宋" w:hAnsi="仿宋" w:eastAsia="仿宋"/>
          <w:sz w:val="28"/>
          <w:szCs w:val="28"/>
          <w:lang w:val="en-US" w:eastAsia="zh-CN"/>
        </w:rPr>
        <w:t>304.04</w:t>
      </w:r>
      <w:r>
        <w:rPr>
          <w:rFonts w:hint="eastAsia" w:ascii="仿宋" w:hAnsi="仿宋" w:eastAsia="仿宋"/>
          <w:sz w:val="28"/>
          <w:szCs w:val="28"/>
        </w:rPr>
        <w:t>万元</w:t>
      </w:r>
    </w:p>
    <w:p w14:paraId="06C3A6D9">
      <w:pPr>
        <w:keepNext w:val="0"/>
        <w:keepLines w:val="0"/>
        <w:pageBreakBefore w:val="0"/>
        <w:widowControl w:val="0"/>
        <w:kinsoku/>
        <w:wordWrap/>
        <w:overflowPunct/>
        <w:topLinePunct w:val="0"/>
        <w:autoSpaceDE/>
        <w:autoSpaceDN/>
        <w:bidi w:val="0"/>
        <w:adjustRightInd/>
        <w:snapToGrid/>
        <w:spacing w:line="360" w:lineRule="auto"/>
        <w:ind w:left="19" w:leftChars="9" w:firstLine="560" w:firstLineChars="200"/>
        <w:textAlignment w:val="auto"/>
        <w:rPr>
          <w:rFonts w:hint="eastAsia" w:ascii="仿宋" w:hAnsi="仿宋" w:eastAsia="仿宋"/>
          <w:sz w:val="28"/>
          <w:szCs w:val="28"/>
        </w:rPr>
      </w:pPr>
      <w:r>
        <w:rPr>
          <w:rFonts w:hint="eastAsia" w:ascii="仿宋" w:hAnsi="仿宋" w:eastAsia="仿宋"/>
          <w:sz w:val="28"/>
          <w:szCs w:val="28"/>
        </w:rPr>
        <w:t>采购需求：</w:t>
      </w:r>
    </w:p>
    <w:tbl>
      <w:tblPr>
        <w:tblStyle w:val="16"/>
        <w:tblW w:w="4957" w:type="pct"/>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131"/>
        <w:gridCol w:w="1521"/>
        <w:gridCol w:w="700"/>
        <w:gridCol w:w="3342"/>
      </w:tblGrid>
      <w:tr w14:paraId="5646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6" w:type="pct"/>
            <w:noWrap w:val="0"/>
            <w:vAlign w:val="center"/>
          </w:tcPr>
          <w:p w14:paraId="3D6AA7B2">
            <w:pPr>
              <w:jc w:val="center"/>
              <w:rPr>
                <w:rFonts w:hint="eastAsia" w:ascii="仿宋" w:hAnsi="仿宋" w:eastAsia="仿宋" w:cs="仿宋"/>
                <w:bCs/>
                <w:sz w:val="24"/>
                <w:szCs w:val="24"/>
              </w:rPr>
            </w:pPr>
            <w:r>
              <w:rPr>
                <w:rFonts w:hint="eastAsia" w:ascii="仿宋" w:hAnsi="仿宋" w:eastAsia="仿宋" w:cs="仿宋"/>
                <w:bCs/>
                <w:sz w:val="24"/>
                <w:szCs w:val="24"/>
              </w:rPr>
              <w:t>包号</w:t>
            </w:r>
          </w:p>
        </w:tc>
        <w:tc>
          <w:tcPr>
            <w:tcW w:w="1261" w:type="pct"/>
            <w:noWrap w:val="0"/>
            <w:vAlign w:val="center"/>
          </w:tcPr>
          <w:p w14:paraId="4E21B90F">
            <w:pPr>
              <w:jc w:val="center"/>
              <w:rPr>
                <w:rFonts w:hint="eastAsia" w:ascii="仿宋" w:hAnsi="仿宋" w:eastAsia="仿宋" w:cs="仿宋"/>
                <w:bCs/>
                <w:sz w:val="24"/>
                <w:szCs w:val="24"/>
              </w:rPr>
            </w:pPr>
            <w:r>
              <w:rPr>
                <w:rFonts w:hint="eastAsia" w:ascii="仿宋" w:hAnsi="仿宋" w:eastAsia="仿宋" w:cs="仿宋"/>
                <w:bCs/>
                <w:sz w:val="24"/>
                <w:szCs w:val="24"/>
              </w:rPr>
              <w:t>标的名称</w:t>
            </w:r>
          </w:p>
        </w:tc>
        <w:tc>
          <w:tcPr>
            <w:tcW w:w="900" w:type="pct"/>
            <w:noWrap w:val="0"/>
            <w:vAlign w:val="center"/>
          </w:tcPr>
          <w:p w14:paraId="6A61D6E1">
            <w:pPr>
              <w:jc w:val="center"/>
              <w:rPr>
                <w:rFonts w:hint="eastAsia" w:ascii="仿宋" w:hAnsi="仿宋" w:eastAsia="仿宋" w:cs="仿宋"/>
                <w:bCs/>
                <w:sz w:val="24"/>
                <w:szCs w:val="24"/>
              </w:rPr>
            </w:pPr>
            <w:r>
              <w:rPr>
                <w:rFonts w:hint="eastAsia" w:ascii="仿宋" w:hAnsi="仿宋" w:eastAsia="仿宋" w:cs="仿宋"/>
                <w:bCs/>
                <w:sz w:val="24"/>
                <w:szCs w:val="24"/>
              </w:rPr>
              <w:t>采购包预算金额（万元）</w:t>
            </w:r>
          </w:p>
        </w:tc>
        <w:tc>
          <w:tcPr>
            <w:tcW w:w="414" w:type="pct"/>
            <w:noWrap w:val="0"/>
            <w:vAlign w:val="center"/>
          </w:tcPr>
          <w:p w14:paraId="6DAA72D4">
            <w:pPr>
              <w:jc w:val="center"/>
              <w:rPr>
                <w:rFonts w:hint="eastAsia" w:ascii="仿宋" w:hAnsi="仿宋" w:eastAsia="仿宋" w:cs="仿宋"/>
                <w:bCs/>
                <w:sz w:val="24"/>
                <w:szCs w:val="24"/>
              </w:rPr>
            </w:pPr>
            <w:r>
              <w:rPr>
                <w:rFonts w:hint="eastAsia" w:ascii="仿宋" w:hAnsi="仿宋" w:eastAsia="仿宋" w:cs="仿宋"/>
                <w:bCs/>
                <w:sz w:val="24"/>
                <w:szCs w:val="24"/>
              </w:rPr>
              <w:t>数量</w:t>
            </w:r>
          </w:p>
        </w:tc>
        <w:tc>
          <w:tcPr>
            <w:tcW w:w="1977" w:type="pct"/>
            <w:noWrap w:val="0"/>
            <w:vAlign w:val="center"/>
          </w:tcPr>
          <w:p w14:paraId="4CB7A0E1">
            <w:pPr>
              <w:jc w:val="center"/>
              <w:rPr>
                <w:rFonts w:hint="eastAsia" w:ascii="仿宋" w:hAnsi="仿宋" w:eastAsia="仿宋" w:cs="仿宋"/>
                <w:sz w:val="24"/>
                <w:szCs w:val="24"/>
              </w:rPr>
            </w:pPr>
            <w:r>
              <w:rPr>
                <w:rFonts w:hint="eastAsia" w:ascii="仿宋" w:hAnsi="仿宋" w:eastAsia="仿宋" w:cs="仿宋"/>
                <w:sz w:val="24"/>
                <w:szCs w:val="24"/>
              </w:rPr>
              <w:t>简要技术需求或服务要求</w:t>
            </w:r>
          </w:p>
        </w:tc>
      </w:tr>
      <w:tr w14:paraId="0377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46" w:type="pct"/>
            <w:noWrap w:val="0"/>
            <w:vAlign w:val="center"/>
          </w:tcPr>
          <w:p w14:paraId="5CC77F29">
            <w:pPr>
              <w:spacing w:line="24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rPr>
              <w:t>0</w:t>
            </w:r>
            <w:r>
              <w:rPr>
                <w:rFonts w:hint="eastAsia" w:ascii="仿宋" w:hAnsi="仿宋" w:eastAsia="仿宋" w:cs="仿宋"/>
                <w:bCs/>
                <w:sz w:val="24"/>
                <w:szCs w:val="24"/>
                <w:lang w:val="en-US" w:eastAsia="zh-CN"/>
              </w:rPr>
              <w:t>1</w:t>
            </w:r>
          </w:p>
        </w:tc>
        <w:tc>
          <w:tcPr>
            <w:tcW w:w="1261" w:type="pct"/>
            <w:noWrap w:val="0"/>
            <w:vAlign w:val="center"/>
          </w:tcPr>
          <w:p w14:paraId="4F87C320">
            <w:pPr>
              <w:spacing w:line="240" w:lineRule="auto"/>
              <w:jc w:val="center"/>
              <w:rPr>
                <w:rFonts w:hint="default" w:ascii="仿宋" w:hAnsi="仿宋" w:eastAsia="仿宋" w:cs="仿宋"/>
                <w:bCs/>
                <w:sz w:val="24"/>
                <w:szCs w:val="24"/>
                <w:lang w:eastAsia="zh-CN"/>
              </w:rPr>
            </w:pPr>
            <w:r>
              <w:rPr>
                <w:rFonts w:hint="eastAsia" w:ascii="仿宋" w:hAnsi="仿宋" w:eastAsia="仿宋" w:cs="仿宋"/>
                <w:bCs/>
                <w:sz w:val="24"/>
                <w:szCs w:val="24"/>
                <w:lang w:eastAsia="zh-CN"/>
              </w:rPr>
              <w:t>北京市第二中学经开区学校（东校区）设备购置</w:t>
            </w:r>
          </w:p>
        </w:tc>
        <w:tc>
          <w:tcPr>
            <w:tcW w:w="900" w:type="pct"/>
            <w:noWrap w:val="0"/>
            <w:vAlign w:val="center"/>
          </w:tcPr>
          <w:p w14:paraId="5A7CF6B4">
            <w:pPr>
              <w:spacing w:line="240" w:lineRule="auto"/>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304.04</w:t>
            </w:r>
          </w:p>
        </w:tc>
        <w:tc>
          <w:tcPr>
            <w:tcW w:w="414" w:type="pct"/>
            <w:noWrap w:val="0"/>
            <w:vAlign w:val="center"/>
          </w:tcPr>
          <w:p w14:paraId="1D111439">
            <w:pPr>
              <w:spacing w:line="240" w:lineRule="auto"/>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1批</w:t>
            </w:r>
          </w:p>
        </w:tc>
        <w:tc>
          <w:tcPr>
            <w:tcW w:w="1977" w:type="pct"/>
            <w:noWrap w:val="0"/>
            <w:vAlign w:val="center"/>
          </w:tcPr>
          <w:p w14:paraId="5F2AC9D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kern w:val="0"/>
                <w:sz w:val="24"/>
                <w:szCs w:val="24"/>
              </w:rPr>
            </w:pPr>
            <w:r>
              <w:rPr>
                <w:rFonts w:hint="eastAsia" w:ascii="仿宋" w:hAnsi="仿宋" w:eastAsia="仿宋" w:cs="仿宋"/>
                <w:bCs/>
                <w:sz w:val="24"/>
                <w:szCs w:val="24"/>
                <w:lang w:eastAsia="zh-CN"/>
              </w:rPr>
              <w:t>北京市第二中学经开区学校（东校区）</w:t>
            </w:r>
            <w:r>
              <w:rPr>
                <w:rFonts w:hint="eastAsia" w:ascii="仿宋" w:hAnsi="仿宋" w:eastAsia="仿宋" w:cs="仿宋"/>
                <w:bCs/>
                <w:sz w:val="24"/>
                <w:szCs w:val="24"/>
                <w:lang w:val="en-US" w:eastAsia="zh-CN"/>
              </w:rPr>
              <w:t>家具</w:t>
            </w:r>
            <w:r>
              <w:rPr>
                <w:rFonts w:hint="eastAsia" w:ascii="仿宋" w:hAnsi="仿宋" w:eastAsia="仿宋" w:cs="仿宋"/>
                <w:bCs/>
                <w:sz w:val="24"/>
                <w:szCs w:val="24"/>
                <w:lang w:eastAsia="zh-CN"/>
              </w:rPr>
              <w:t>购置、</w:t>
            </w:r>
            <w:r>
              <w:rPr>
                <w:rFonts w:hint="eastAsia" w:ascii="仿宋" w:hAnsi="仿宋" w:eastAsia="仿宋" w:cs="仿宋"/>
                <w:bCs/>
                <w:sz w:val="24"/>
                <w:szCs w:val="24"/>
                <w:lang w:val="en-US" w:eastAsia="zh-CN"/>
              </w:rPr>
              <w:t>安装</w:t>
            </w:r>
            <w:r>
              <w:rPr>
                <w:rFonts w:hint="eastAsia" w:ascii="仿宋" w:hAnsi="仿宋" w:eastAsia="仿宋" w:cs="仿宋"/>
                <w:kern w:val="0"/>
                <w:sz w:val="24"/>
                <w:szCs w:val="24"/>
                <w:lang w:val="en-US" w:eastAsia="zh-CN"/>
              </w:rPr>
              <w:t>等工作，具体要求详见招标文件。</w:t>
            </w:r>
          </w:p>
        </w:tc>
      </w:tr>
    </w:tbl>
    <w:p w14:paraId="09F65DBC">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default" w:ascii="仿宋" w:hAnsi="仿宋" w:eastAsia="仿宋" w:cs="Times New Roman"/>
          <w:sz w:val="28"/>
          <w:szCs w:val="28"/>
          <w:lang w:val="en-US" w:eastAsia="zh-CN"/>
        </w:rPr>
      </w:pPr>
      <w:r>
        <w:rPr>
          <w:rFonts w:hint="eastAsia" w:ascii="仿宋" w:hAnsi="仿宋" w:eastAsia="仿宋" w:cs="Times New Roman"/>
          <w:sz w:val="28"/>
          <w:szCs w:val="28"/>
        </w:rPr>
        <w:t>合同履行期限：</w:t>
      </w:r>
      <w:r>
        <w:rPr>
          <w:rFonts w:hint="eastAsia" w:ascii="仿宋" w:hAnsi="仿宋" w:eastAsia="仿宋" w:cs="Times New Roman"/>
          <w:sz w:val="28"/>
          <w:szCs w:val="28"/>
          <w:lang w:val="en-US" w:eastAsia="zh-CN"/>
        </w:rPr>
        <w:t>20个日历天</w:t>
      </w:r>
      <w:r>
        <w:rPr>
          <w:rFonts w:hint="eastAsia" w:ascii="仿宋" w:hAnsi="仿宋" w:eastAsia="仿宋" w:cs="Times New Roman"/>
          <w:sz w:val="28"/>
          <w:szCs w:val="28"/>
        </w:rPr>
        <w:t>。</w:t>
      </w:r>
    </w:p>
    <w:p w14:paraId="1ED92863">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Times New Roman"/>
          <w:sz w:val="28"/>
          <w:szCs w:val="28"/>
        </w:rPr>
      </w:pPr>
      <w:bookmarkStart w:id="7" w:name="_Toc35393791"/>
      <w:bookmarkStart w:id="8" w:name="_Toc28359003"/>
      <w:bookmarkStart w:id="9" w:name="_Toc35393622"/>
      <w:bookmarkStart w:id="10" w:name="_Toc28359080"/>
      <w:r>
        <w:rPr>
          <w:rFonts w:hint="eastAsia" w:ascii="仿宋" w:hAnsi="仿宋" w:eastAsia="仿宋" w:cs="Times New Roman"/>
          <w:sz w:val="28"/>
          <w:szCs w:val="28"/>
        </w:rPr>
        <w:t>本项目是否接受联合体投标：</w:t>
      </w:r>
      <w:r>
        <w:rPr>
          <w:rFonts w:hint="eastAsia" w:ascii="仿宋" w:hAnsi="仿宋" w:eastAsia="仿宋" w:cs="仿宋"/>
          <w:sz w:val="28"/>
          <w:szCs w:val="28"/>
          <w:u w:val="none"/>
        </w:rPr>
        <w:t>□</w:t>
      </w:r>
      <w:r>
        <w:rPr>
          <w:rFonts w:hint="eastAsia" w:ascii="仿宋" w:hAnsi="仿宋" w:eastAsia="仿宋" w:cs="Times New Roman"/>
          <w:sz w:val="28"/>
          <w:szCs w:val="28"/>
        </w:rPr>
        <w:t xml:space="preserve">是  </w:t>
      </w:r>
      <w:r>
        <w:rPr>
          <w:rFonts w:hint="eastAsia" w:ascii="仿宋" w:hAnsi="仿宋" w:eastAsia="仿宋" w:cs="仿宋"/>
          <w:sz w:val="28"/>
          <w:szCs w:val="28"/>
          <w:u w:val="none"/>
          <w:lang w:eastAsia="zh-CN"/>
        </w:rPr>
        <w:t>☑</w:t>
      </w:r>
      <w:r>
        <w:rPr>
          <w:rFonts w:hint="eastAsia" w:ascii="仿宋" w:hAnsi="仿宋" w:eastAsia="仿宋" w:cs="Times New Roman"/>
          <w:sz w:val="28"/>
          <w:szCs w:val="28"/>
        </w:rPr>
        <w:t>否。</w:t>
      </w:r>
    </w:p>
    <w:p w14:paraId="38FA0683">
      <w:pPr>
        <w:pStyle w:val="4"/>
        <w:spacing w:line="360" w:lineRule="auto"/>
        <w:rPr>
          <w:rFonts w:ascii="黑体" w:hAnsi="黑体" w:cs="宋体"/>
          <w:b w:val="0"/>
          <w:sz w:val="28"/>
          <w:szCs w:val="28"/>
        </w:rPr>
      </w:pPr>
      <w:r>
        <w:rPr>
          <w:rFonts w:hint="eastAsia" w:ascii="黑体" w:hAnsi="黑体" w:cs="宋体"/>
          <w:b w:val="0"/>
          <w:sz w:val="28"/>
          <w:szCs w:val="28"/>
        </w:rPr>
        <w:t>二、申请人的资格要求</w:t>
      </w:r>
      <w:bookmarkEnd w:id="7"/>
      <w:bookmarkEnd w:id="8"/>
      <w:bookmarkEnd w:id="9"/>
      <w:bookmarkEnd w:id="10"/>
    </w:p>
    <w:p w14:paraId="03076FD3">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u w:val="none"/>
        </w:rPr>
      </w:pPr>
      <w:bookmarkStart w:id="11" w:name="_Toc28359081"/>
      <w:bookmarkStart w:id="12" w:name="_Toc28359004"/>
      <w:r>
        <w:rPr>
          <w:rFonts w:hint="eastAsia" w:ascii="仿宋" w:hAnsi="仿宋" w:eastAsia="仿宋" w:cs="仿宋"/>
          <w:sz w:val="28"/>
          <w:szCs w:val="28"/>
          <w:u w:val="none"/>
        </w:rPr>
        <w:t>1.满足《中华人民共和国政府采购法》第二十二条规定；</w:t>
      </w:r>
    </w:p>
    <w:p w14:paraId="6807048E">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2.落实政府采购政策需满足的资格要求：</w:t>
      </w:r>
    </w:p>
    <w:p w14:paraId="3323F0B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2.1中小企业政策</w:t>
      </w:r>
    </w:p>
    <w:p w14:paraId="04EFF89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eastAsia="zh-CN"/>
        </w:rPr>
        <w:t>□</w:t>
      </w:r>
      <w:r>
        <w:rPr>
          <w:rFonts w:hint="eastAsia" w:ascii="仿宋" w:hAnsi="仿宋" w:eastAsia="仿宋" w:cs="仿宋"/>
          <w:sz w:val="28"/>
          <w:szCs w:val="28"/>
          <w:u w:val="none"/>
        </w:rPr>
        <w:t>本项目不专门面向中小企业预留采购份额。</w:t>
      </w:r>
    </w:p>
    <w:p w14:paraId="53AFCD0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eastAsia="zh-CN"/>
        </w:rPr>
        <w:t>☑</w:t>
      </w:r>
      <w:r>
        <w:rPr>
          <w:rFonts w:hint="eastAsia" w:ascii="仿宋" w:hAnsi="仿宋" w:eastAsia="仿宋" w:cs="仿宋"/>
          <w:sz w:val="28"/>
          <w:szCs w:val="28"/>
          <w:u w:val="none"/>
        </w:rPr>
        <w:t xml:space="preserve">本项目专门面向  □中小 </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小微企业  采购。即：提供的货物全部由符合政策要求的中小/小微企业制造、服务全部由符合政策要求的中小/小微企业承接。</w:t>
      </w:r>
    </w:p>
    <w:p w14:paraId="4347286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eastAsia="zh-CN"/>
        </w:rPr>
        <w:t>□</w:t>
      </w:r>
      <w:r>
        <w:rPr>
          <w:rFonts w:hint="eastAsia" w:ascii="仿宋" w:hAnsi="仿宋" w:eastAsia="仿宋" w:cs="仿宋"/>
          <w:sz w:val="28"/>
          <w:szCs w:val="28"/>
          <w:u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8"/>
          <w:szCs w:val="28"/>
          <w:u w:val="none"/>
          <w:lang w:val="en-US" w:eastAsia="zh-CN"/>
        </w:rPr>
        <w:t>无</w:t>
      </w:r>
      <w:r>
        <w:rPr>
          <w:rFonts w:hint="eastAsia" w:ascii="仿宋" w:hAnsi="仿宋" w:eastAsia="仿宋" w:cs="仿宋"/>
          <w:sz w:val="28"/>
          <w:szCs w:val="28"/>
          <w:lang w:val="en-US" w:eastAsia="zh-CN"/>
        </w:rPr>
        <w:t>。</w:t>
      </w:r>
    </w:p>
    <w:p w14:paraId="33D83BF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rPr>
        <w:t>2.2其它落实政府采购政策的资格要求：</w:t>
      </w:r>
      <w:r>
        <w:rPr>
          <w:rFonts w:hint="eastAsia" w:ascii="仿宋" w:hAnsi="仿宋" w:eastAsia="仿宋" w:cs="仿宋"/>
          <w:sz w:val="28"/>
          <w:szCs w:val="28"/>
          <w:u w:val="none"/>
          <w:lang w:val="en-US" w:eastAsia="zh-CN"/>
        </w:rPr>
        <w:t>无</w:t>
      </w:r>
      <w:r>
        <w:rPr>
          <w:rFonts w:hint="eastAsia" w:ascii="仿宋" w:hAnsi="仿宋" w:eastAsia="仿宋" w:cs="仿宋"/>
          <w:sz w:val="28"/>
          <w:szCs w:val="28"/>
          <w:u w:val="none"/>
        </w:rPr>
        <w:t>。</w:t>
      </w:r>
    </w:p>
    <w:p w14:paraId="609FDBB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3.本项目的特定资格要求：</w:t>
      </w:r>
    </w:p>
    <w:p w14:paraId="1EE01FC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3.</w:t>
      </w:r>
      <w:r>
        <w:rPr>
          <w:rFonts w:hint="eastAsia" w:ascii="仿宋" w:hAnsi="仿宋" w:eastAsia="仿宋" w:cs="仿宋"/>
          <w:sz w:val="28"/>
          <w:szCs w:val="28"/>
          <w:u w:val="none"/>
          <w:lang w:val="en-US" w:eastAsia="zh-CN"/>
        </w:rPr>
        <w:t>1</w:t>
      </w:r>
      <w:r>
        <w:rPr>
          <w:rFonts w:hint="eastAsia" w:ascii="仿宋" w:hAnsi="仿宋" w:eastAsia="仿宋" w:cs="仿宋"/>
          <w:sz w:val="28"/>
          <w:szCs w:val="28"/>
          <w:u w:val="none"/>
        </w:rPr>
        <w:t>本项目是否属于政府购买服务：</w:t>
      </w:r>
    </w:p>
    <w:p w14:paraId="2D10364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eastAsia="zh-CN"/>
        </w:rPr>
        <w:t>☑</w:t>
      </w:r>
      <w:r>
        <w:rPr>
          <w:rFonts w:hint="eastAsia" w:ascii="仿宋" w:hAnsi="仿宋" w:eastAsia="仿宋" w:cs="仿宋"/>
          <w:sz w:val="28"/>
          <w:szCs w:val="28"/>
          <w:u w:val="none"/>
        </w:rPr>
        <w:t>否</w:t>
      </w:r>
    </w:p>
    <w:p w14:paraId="57F7931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u w:val="none"/>
        </w:rPr>
      </w:pPr>
      <w:r>
        <w:rPr>
          <w:rFonts w:hint="eastAsia" w:ascii="仿宋" w:hAnsi="仿宋" w:eastAsia="仿宋" w:cs="仿宋"/>
          <w:sz w:val="28"/>
          <w:szCs w:val="28"/>
          <w:u w:val="none"/>
          <w:lang w:eastAsia="zh-CN"/>
        </w:rPr>
        <w:t>□</w:t>
      </w:r>
      <w:r>
        <w:rPr>
          <w:rFonts w:hint="eastAsia" w:ascii="仿宋" w:hAnsi="仿宋" w:eastAsia="仿宋" w:cs="仿宋"/>
          <w:sz w:val="28"/>
          <w:szCs w:val="28"/>
          <w:u w:val="none"/>
        </w:rPr>
        <w:t>是，公益一类事业单位、使用事业编制且由财政拨款保障的群团组织，不得作为承接主体；</w:t>
      </w:r>
    </w:p>
    <w:p w14:paraId="0A503D34">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ascii="仿宋" w:hAnsi="仿宋" w:eastAsia="仿宋"/>
          <w:i/>
          <w:iCs/>
          <w:sz w:val="28"/>
          <w:szCs w:val="28"/>
          <w:highlight w:val="none"/>
          <w:u w:val="single"/>
        </w:rPr>
      </w:pPr>
      <w:r>
        <w:rPr>
          <w:rFonts w:hint="eastAsia" w:ascii="仿宋" w:hAnsi="仿宋" w:eastAsia="仿宋" w:cs="仿宋"/>
          <w:sz w:val="28"/>
          <w:szCs w:val="28"/>
          <w:highlight w:val="none"/>
          <w:u w:val="none"/>
        </w:rPr>
        <w:t>3.</w:t>
      </w:r>
      <w:r>
        <w:rPr>
          <w:rFonts w:hint="eastAsia" w:ascii="仿宋" w:hAnsi="仿宋" w:eastAsia="仿宋" w:cs="仿宋"/>
          <w:sz w:val="28"/>
          <w:szCs w:val="28"/>
          <w:highlight w:val="none"/>
          <w:u w:val="none"/>
          <w:lang w:val="en-US" w:eastAsia="zh-CN"/>
        </w:rPr>
        <w:t>2</w:t>
      </w:r>
      <w:r>
        <w:rPr>
          <w:rFonts w:hint="eastAsia" w:ascii="仿宋" w:hAnsi="仿宋" w:eastAsia="仿宋" w:cs="仿宋"/>
          <w:sz w:val="28"/>
          <w:szCs w:val="28"/>
          <w:highlight w:val="none"/>
          <w:u w:val="none"/>
        </w:rPr>
        <w:t>其他特定资格要求：</w:t>
      </w:r>
      <w:r>
        <w:rPr>
          <w:rFonts w:hint="eastAsia" w:ascii="仿宋" w:hAnsi="仿宋" w:eastAsia="仿宋" w:cs="仿宋"/>
          <w:sz w:val="28"/>
          <w:szCs w:val="28"/>
          <w:highlight w:val="none"/>
          <w:u w:val="none"/>
          <w:lang w:val="en-US" w:eastAsia="zh-CN"/>
        </w:rPr>
        <w:t>无</w:t>
      </w:r>
      <w:r>
        <w:rPr>
          <w:rFonts w:hint="eastAsia" w:ascii="仿宋" w:hAnsi="仿宋" w:eastAsia="仿宋" w:cs="仿宋"/>
          <w:sz w:val="28"/>
          <w:szCs w:val="28"/>
          <w:highlight w:val="none"/>
          <w:u w:val="none"/>
        </w:rPr>
        <w:t>。</w:t>
      </w:r>
    </w:p>
    <w:p w14:paraId="6A35A484">
      <w:pPr>
        <w:pStyle w:val="4"/>
        <w:spacing w:line="360" w:lineRule="auto"/>
        <w:rPr>
          <w:rFonts w:ascii="黑体" w:hAnsi="黑体" w:cs="宋体"/>
          <w:b w:val="0"/>
          <w:sz w:val="28"/>
          <w:szCs w:val="28"/>
        </w:rPr>
      </w:pPr>
      <w:bookmarkStart w:id="13" w:name="_Toc35393792"/>
      <w:bookmarkStart w:id="14" w:name="_Toc35393623"/>
      <w:r>
        <w:rPr>
          <w:rFonts w:hint="eastAsia" w:ascii="黑体" w:hAnsi="黑体" w:cs="宋体"/>
          <w:b w:val="0"/>
          <w:sz w:val="28"/>
          <w:szCs w:val="28"/>
        </w:rPr>
        <w:t>三、获取招标文件</w:t>
      </w:r>
      <w:bookmarkEnd w:id="11"/>
      <w:bookmarkEnd w:id="12"/>
      <w:bookmarkEnd w:id="13"/>
      <w:bookmarkEnd w:id="14"/>
    </w:p>
    <w:p w14:paraId="00A4CF4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宋体"/>
          <w:sz w:val="28"/>
          <w:szCs w:val="28"/>
        </w:rPr>
      </w:pPr>
      <w:r>
        <w:rPr>
          <w:rFonts w:hint="eastAsia" w:ascii="仿宋" w:hAnsi="仿宋" w:eastAsia="仿宋" w:cs="宋体"/>
          <w:sz w:val="28"/>
          <w:szCs w:val="28"/>
        </w:rPr>
        <w:t>时间：</w:t>
      </w:r>
      <w:bookmarkStart w:id="15" w:name="_Toc28359005"/>
      <w:bookmarkStart w:id="16" w:name="_Toc28359082"/>
      <w:bookmarkStart w:id="17" w:name="_Toc35393624"/>
      <w:bookmarkStart w:id="18" w:name="_Toc35393793"/>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02</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09</w:t>
      </w:r>
      <w:r>
        <w:rPr>
          <w:rFonts w:hint="eastAsia" w:ascii="仿宋" w:hAnsi="仿宋" w:eastAsia="仿宋" w:cs="仿宋"/>
          <w:sz w:val="28"/>
          <w:szCs w:val="28"/>
          <w:lang w:eastAsia="zh-CN"/>
        </w:rPr>
        <w:t>日</w:t>
      </w:r>
      <w:r>
        <w:rPr>
          <w:rFonts w:hint="eastAsia" w:ascii="仿宋" w:hAnsi="仿宋" w:eastAsia="仿宋" w:cs="仿宋"/>
          <w:sz w:val="28"/>
          <w:szCs w:val="28"/>
        </w:rPr>
        <w:t>至</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02</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13</w:t>
      </w:r>
      <w:r>
        <w:rPr>
          <w:rFonts w:hint="eastAsia" w:ascii="仿宋" w:hAnsi="仿宋" w:eastAsia="仿宋" w:cs="仿宋"/>
          <w:sz w:val="28"/>
          <w:szCs w:val="28"/>
          <w:lang w:eastAsia="zh-CN"/>
        </w:rPr>
        <w:t>日</w:t>
      </w:r>
      <w:r>
        <w:rPr>
          <w:rFonts w:hint="eastAsia" w:ascii="仿宋" w:hAnsi="仿宋" w:eastAsia="仿宋" w:cs="Times New Roman"/>
          <w:sz w:val="28"/>
          <w:szCs w:val="28"/>
        </w:rPr>
        <w:t>，每天上午00:00至12:00，下午12:00至24:00（北京时间，法定节假日除外）</w:t>
      </w:r>
    </w:p>
    <w:p w14:paraId="5F2FAF3A">
      <w:pPr>
        <w:ind w:left="0" w:leftChars="0"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rPr>
        <w:t>地点：</w:t>
      </w:r>
      <w:r>
        <w:rPr>
          <w:rFonts w:hint="eastAsia" w:ascii="仿宋" w:hAnsi="仿宋" w:eastAsia="仿宋" w:cs="Times New Roman"/>
          <w:sz w:val="28"/>
          <w:szCs w:val="28"/>
          <w:lang w:eastAsia="zh-CN"/>
        </w:rPr>
        <w:t>北京市政府采购电子交易平台</w:t>
      </w:r>
    </w:p>
    <w:p w14:paraId="6D585A27">
      <w:pPr>
        <w:spacing w:line="360" w:lineRule="auto"/>
        <w:ind w:left="0" w:leftChars="0" w:firstLine="560" w:firstLineChars="200"/>
        <w:rPr>
          <w:rFonts w:hint="eastAsia" w:ascii="仿宋" w:hAnsi="仿宋" w:eastAsia="仿宋" w:cs="宋体"/>
          <w:sz w:val="28"/>
          <w:szCs w:val="28"/>
        </w:rPr>
      </w:pPr>
      <w:r>
        <w:rPr>
          <w:rFonts w:hint="eastAsia" w:ascii="仿宋" w:hAnsi="仿宋" w:eastAsia="仿宋" w:cs="宋体"/>
          <w:sz w:val="28"/>
          <w:szCs w:val="28"/>
        </w:rPr>
        <w:t>方式：供应商使用CA数字证书或电子营业执照登录北京市政府采购电子交易平台（http://zbcg-bjzc.zhongcy.com/bjczj-portal</w:t>
      </w:r>
    </w:p>
    <w:p w14:paraId="66FF2045">
      <w:pPr>
        <w:spacing w:line="360" w:lineRule="auto"/>
        <w:rPr>
          <w:rFonts w:hint="eastAsia" w:ascii="仿宋" w:hAnsi="仿宋" w:eastAsia="仿宋" w:cs="宋体"/>
          <w:sz w:val="28"/>
          <w:szCs w:val="28"/>
        </w:rPr>
      </w:pPr>
      <w:r>
        <w:rPr>
          <w:rFonts w:hint="eastAsia" w:ascii="仿宋" w:hAnsi="仿宋" w:eastAsia="仿宋" w:cs="宋体"/>
          <w:sz w:val="28"/>
          <w:szCs w:val="28"/>
        </w:rPr>
        <w:t>-site/index.html#/home）获取电子版招标文件。</w:t>
      </w:r>
    </w:p>
    <w:p w14:paraId="47E8723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sz w:val="28"/>
          <w:szCs w:val="28"/>
        </w:rPr>
      </w:pPr>
      <w:r>
        <w:rPr>
          <w:rFonts w:hint="eastAsia" w:ascii="仿宋" w:hAnsi="仿宋" w:eastAsia="仿宋" w:cs="宋体"/>
          <w:sz w:val="28"/>
          <w:szCs w:val="28"/>
        </w:rPr>
        <w:t>售价：￥0元，本公告包含的招标文件售价总和</w:t>
      </w:r>
      <w:r>
        <w:rPr>
          <w:rFonts w:hint="eastAsia" w:ascii="仿宋" w:hAnsi="仿宋" w:eastAsia="仿宋" w:cs="宋体"/>
          <w:sz w:val="28"/>
          <w:szCs w:val="28"/>
          <w:lang w:eastAsia="zh-CN"/>
        </w:rPr>
        <w:t>。</w:t>
      </w:r>
    </w:p>
    <w:p w14:paraId="095F8708">
      <w:pPr>
        <w:pStyle w:val="4"/>
        <w:spacing w:line="360" w:lineRule="auto"/>
        <w:rPr>
          <w:rFonts w:ascii="黑体" w:hAnsi="黑体" w:cs="宋体"/>
          <w:b w:val="0"/>
          <w:sz w:val="28"/>
          <w:szCs w:val="28"/>
        </w:rPr>
      </w:pPr>
      <w:r>
        <w:rPr>
          <w:rFonts w:hint="eastAsia" w:ascii="黑体" w:hAnsi="黑体" w:cs="宋体"/>
          <w:b w:val="0"/>
          <w:sz w:val="28"/>
          <w:szCs w:val="28"/>
        </w:rPr>
        <w:t>四、提交投标文件</w:t>
      </w:r>
      <w:bookmarkEnd w:id="15"/>
      <w:bookmarkEnd w:id="16"/>
      <w:r>
        <w:rPr>
          <w:rFonts w:hint="eastAsia" w:ascii="黑体" w:hAnsi="黑体" w:cs="宋体"/>
          <w:b w:val="0"/>
          <w:sz w:val="28"/>
          <w:szCs w:val="28"/>
        </w:rPr>
        <w:t>截止时间、开标时间和地点</w:t>
      </w:r>
      <w:bookmarkEnd w:id="17"/>
      <w:bookmarkEnd w:id="18"/>
    </w:p>
    <w:p w14:paraId="1A33BD69">
      <w:pPr>
        <w:ind w:left="1" w:firstLine="560" w:firstLineChars="200"/>
        <w:rPr>
          <w:rFonts w:ascii="仿宋" w:hAnsi="仿宋" w:eastAsia="仿宋"/>
          <w:bCs/>
          <w:sz w:val="28"/>
          <w:szCs w:val="28"/>
          <w:u w:val="single"/>
        </w:rPr>
      </w:pPr>
      <w:r>
        <w:rPr>
          <w:rFonts w:hint="eastAsia" w:ascii="仿宋" w:hAnsi="仿宋" w:eastAsia="仿宋"/>
          <w:bCs/>
          <w:sz w:val="28"/>
          <w:szCs w:val="28"/>
        </w:rPr>
        <w:t>提交投标文件截止时间、开标时间：</w:t>
      </w:r>
      <w:r>
        <w:rPr>
          <w:rFonts w:hint="eastAsia" w:ascii="仿宋" w:hAnsi="仿宋" w:eastAsia="仿宋"/>
          <w:bCs/>
          <w:sz w:val="28"/>
          <w:szCs w:val="28"/>
          <w:u w:val="none"/>
          <w:lang w:eastAsia="zh-CN"/>
        </w:rPr>
        <w:t>2026年03月03日09点30分</w:t>
      </w:r>
      <w:r>
        <w:rPr>
          <w:rFonts w:hint="eastAsia" w:ascii="仿宋" w:hAnsi="仿宋" w:eastAsia="仿宋"/>
          <w:bCs/>
          <w:sz w:val="28"/>
          <w:szCs w:val="28"/>
        </w:rPr>
        <w:t>（北京时间）</w:t>
      </w:r>
    </w:p>
    <w:p w14:paraId="7A758B23">
      <w:pPr>
        <w:ind w:firstLine="560" w:firstLineChars="200"/>
        <w:rPr>
          <w:rFonts w:ascii="仿宋" w:hAnsi="仿宋" w:eastAsia="仿宋"/>
          <w:bCs/>
          <w:sz w:val="28"/>
          <w:szCs w:val="28"/>
        </w:rPr>
      </w:pPr>
      <w:r>
        <w:rPr>
          <w:rFonts w:hint="eastAsia" w:ascii="仿宋" w:hAnsi="仿宋" w:eastAsia="仿宋"/>
          <w:sz w:val="28"/>
          <w:szCs w:val="28"/>
        </w:rPr>
        <w:t>地点：采用远程电子开标方式，供应商使用CA数字证书或电子营业执照登录北京市政府采购电子交易平台参与电子开标。投标人自行对电子投标文件进行解密，不接受纸质文件，无须投标人到达现场。</w:t>
      </w:r>
    </w:p>
    <w:p w14:paraId="0C73F3F2">
      <w:pPr>
        <w:pStyle w:val="4"/>
        <w:spacing w:line="360" w:lineRule="auto"/>
        <w:rPr>
          <w:rFonts w:ascii="黑体" w:hAnsi="黑体" w:cs="宋体"/>
          <w:b w:val="0"/>
          <w:sz w:val="28"/>
          <w:szCs w:val="28"/>
        </w:rPr>
      </w:pPr>
      <w:bookmarkStart w:id="19" w:name="_Toc35393625"/>
      <w:bookmarkStart w:id="20" w:name="_Toc28359084"/>
      <w:bookmarkStart w:id="21" w:name="_Toc28359007"/>
      <w:bookmarkStart w:id="22" w:name="_Toc35393794"/>
      <w:r>
        <w:rPr>
          <w:rFonts w:hint="eastAsia" w:ascii="黑体" w:hAnsi="黑体" w:cs="宋体"/>
          <w:b w:val="0"/>
          <w:sz w:val="28"/>
          <w:szCs w:val="28"/>
        </w:rPr>
        <w:t>五、公告期限</w:t>
      </w:r>
      <w:bookmarkEnd w:id="19"/>
      <w:bookmarkEnd w:id="20"/>
      <w:bookmarkEnd w:id="21"/>
      <w:bookmarkEnd w:id="22"/>
    </w:p>
    <w:p w14:paraId="5B1CE9F5">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bookmarkStart w:id="23" w:name="_Toc35393626"/>
      <w:bookmarkStart w:id="24" w:name="_Toc35393795"/>
    </w:p>
    <w:p w14:paraId="6C0B0CBD">
      <w:pPr>
        <w:pStyle w:val="4"/>
        <w:spacing w:line="360" w:lineRule="auto"/>
        <w:rPr>
          <w:rFonts w:ascii="黑体" w:hAnsi="黑体" w:cs="宋体"/>
          <w:b w:val="0"/>
          <w:sz w:val="28"/>
          <w:szCs w:val="28"/>
        </w:rPr>
      </w:pPr>
      <w:r>
        <w:rPr>
          <w:rFonts w:hint="eastAsia" w:ascii="黑体" w:hAnsi="黑体" w:cs="宋体"/>
          <w:b w:val="0"/>
          <w:sz w:val="28"/>
          <w:szCs w:val="28"/>
        </w:rPr>
        <w:t>六、其他补充事宜</w:t>
      </w:r>
      <w:bookmarkEnd w:id="23"/>
      <w:bookmarkEnd w:id="24"/>
      <w:bookmarkStart w:id="25" w:name="_Toc35393627"/>
      <w:bookmarkStart w:id="26" w:name="_Toc28359085"/>
      <w:bookmarkStart w:id="27" w:name="_Toc35393796"/>
      <w:bookmarkStart w:id="28" w:name="_Toc28359008"/>
    </w:p>
    <w:p w14:paraId="6F30BA95">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1.本项目需要落实的政府采购政策：</w:t>
      </w:r>
    </w:p>
    <w:p w14:paraId="36F7D8B1">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1.1《关于开展政府采购信用担保试点工作的通知》（财库〔2011〕124号）</w:t>
      </w:r>
    </w:p>
    <w:p w14:paraId="5DD1FC0B">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1.2《关于政府采购支持监狱企业发展有关问题的通知》（财库〔2014〕68号）</w:t>
      </w:r>
    </w:p>
    <w:p w14:paraId="7CFA0EC2">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1.3《关于促进残疾人就业政府采购政策的通知》（财库〔2017〕141号）</w:t>
      </w:r>
    </w:p>
    <w:p w14:paraId="16A7B274">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1.4《财政部发展改革委生态环境部市场监管总局关于调整优化节能产品、环境标志产品政府采购执行机制的通知》（财库（2019）9号）</w:t>
      </w:r>
    </w:p>
    <w:p w14:paraId="7C7138C5">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1.5《财政部、工业和信息化部关于印发&lt;政府采购促进中小企业发展管理办法&gt;的通知》（财库〔2020〕46号）</w:t>
      </w:r>
    </w:p>
    <w:p w14:paraId="478E4F4C">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1.6《财政部关于促进政府采购公平竞争优化营商环境的通知》（财库〔2019〕38号）</w:t>
      </w:r>
    </w:p>
    <w:p w14:paraId="1C8D9CD0">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1.7《关于推动解决政府采购异常低价问题的通知》（财库〔2026〕2号）</w:t>
      </w:r>
    </w:p>
    <w:p w14:paraId="5C5CB072">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1.8《财政部、农业农村部、国家乡村振兴局关于运用政府采购政策支持乡村产业振兴的通知》(财库〔2021〕19号)</w:t>
      </w:r>
    </w:p>
    <w:p w14:paraId="79B898EB">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1.9《国务院办公厅关于在政府采购中实施本国产品标准及相关政策的通知》（国办发〔2025〕34号）</w:t>
      </w:r>
    </w:p>
    <w:p w14:paraId="23196607">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1.10《北京市财政局关于进一步优化政府采购营商环境的通知》（京财采购〔2021〕741号）</w:t>
      </w:r>
    </w:p>
    <w:p w14:paraId="580C8DB6">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1.11《北京市财政局转发财政部关于在政府采购活动中落实平等对待内外资企业有关政策的通知》（京财采购〔2021〕2163号）</w:t>
      </w:r>
    </w:p>
    <w:p w14:paraId="1D08B709">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1.12《北京市财政局关于持续深化政府采购营商环境改革的通知》（京财采购〔2022〕672号）</w:t>
      </w:r>
    </w:p>
    <w:p w14:paraId="2AEC1EF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kern w:val="0"/>
          <w:sz w:val="28"/>
          <w:szCs w:val="28"/>
        </w:rPr>
      </w:pPr>
      <w:r>
        <w:rPr>
          <w:rFonts w:hint="eastAsia" w:ascii="仿宋" w:hAnsi="仿宋" w:eastAsia="仿宋" w:cs="仿宋"/>
          <w:sz w:val="28"/>
          <w:szCs w:val="28"/>
        </w:rPr>
        <w:t>1.13《北京市财政局关于印发《北京市政府采购文件示范文本（2024年版）》的通知》（京财采购〔2024〕1583号）</w:t>
      </w:r>
      <w:r>
        <w:rPr>
          <w:rFonts w:hint="eastAsia" w:ascii="仿宋" w:hAnsi="仿宋" w:eastAsia="仿宋" w:cs="宋体"/>
          <w:kern w:val="0"/>
          <w:sz w:val="28"/>
          <w:szCs w:val="28"/>
        </w:rPr>
        <w:t>。</w:t>
      </w:r>
    </w:p>
    <w:p w14:paraId="0F104BCC">
      <w:pPr>
        <w:ind w:firstLine="560" w:firstLineChars="200"/>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2.本项目评标办法：综合评分法。</w:t>
      </w:r>
    </w:p>
    <w:p w14:paraId="52B18BB2">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702CDED9">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CA数字证书服务热线</w:t>
      </w: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28"/>
          <w:szCs w:val="28"/>
        </w:rPr>
        <w:t xml:space="preserve"> 010-58511086</w:t>
      </w:r>
    </w:p>
    <w:p w14:paraId="7C454DFB">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电子营业执照服务热线 400-699-7000</w:t>
      </w:r>
    </w:p>
    <w:p w14:paraId="1907EB30">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 xml:space="preserve">技术支持服务热线    </w:t>
      </w: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28"/>
          <w:szCs w:val="28"/>
        </w:rPr>
        <w:t>010-86483801</w:t>
      </w:r>
    </w:p>
    <w:p w14:paraId="213B7C37">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3.1办理CA数字证书或电子营业执照</w:t>
      </w:r>
    </w:p>
    <w:p w14:paraId="17CD1D40">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供应商登录北京市政府采购电子交易平台查阅 “用户指南”—“操作指南”—“市场主体CA办理操作流程指引”/“电子营业执照使用指南”，按照程序要求办理。</w:t>
      </w:r>
    </w:p>
    <w:p w14:paraId="57E88FBA">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3.2注册</w:t>
      </w:r>
    </w:p>
    <w:p w14:paraId="04BB9D77">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供应商登录北京市政府采购电子交易平台“用户指南”—“操作指南”—“市场主体注册入库操作流程指引”进行自助注册绑定。</w:t>
      </w:r>
    </w:p>
    <w:p w14:paraId="1505542A">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3.3驱动、客户端下载</w:t>
      </w:r>
    </w:p>
    <w:p w14:paraId="12B782A3">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供应商登录北京市政府采购电子交易平台“用户指南”—“工具下载”—“招标采购系统文件驱动安装包”下载相关驱动。</w:t>
      </w:r>
    </w:p>
    <w:p w14:paraId="3CE0353E">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供应商登录北京市政府采购电子交易平台“用户指南”—“工具下载”—“投标文件编制工具”下载相关客户端。</w:t>
      </w:r>
    </w:p>
    <w:p w14:paraId="419704A9">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3.4 获取电子招标文件</w:t>
      </w:r>
    </w:p>
    <w:p w14:paraId="4D16EAAF">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供应商使用CA数字证书或电子营业执照登录北京市政府采购电子交易平台获取电子招标文件。</w:t>
      </w:r>
    </w:p>
    <w:p w14:paraId="5214A765">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37E307C">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3.5编制电子投标文件</w:t>
      </w:r>
    </w:p>
    <w:p w14:paraId="15EDAB98">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B1AA2A5">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3.6提交电子投标文件</w:t>
      </w:r>
    </w:p>
    <w:p w14:paraId="7492470C">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供应商应于投标截止时间前在北京市政府采购电子交易平台提交电子投标文件，上传电子投标文件过程中请保持与互联网的连接畅通。</w:t>
      </w:r>
    </w:p>
    <w:p w14:paraId="05BC84B4">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3.7电子开标</w:t>
      </w:r>
    </w:p>
    <w:p w14:paraId="57D468B7">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供应商在开标地点使用CA数字证书或电子营业执照登录北京市政府采购电子交易平台进行电子开标。</w:t>
      </w:r>
    </w:p>
    <w:p w14:paraId="299F7132">
      <w:pPr>
        <w:pStyle w:val="4"/>
        <w:spacing w:line="360" w:lineRule="auto"/>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5"/>
      <w:bookmarkEnd w:id="26"/>
      <w:bookmarkEnd w:id="27"/>
      <w:bookmarkEnd w:id="28"/>
    </w:p>
    <w:p w14:paraId="07FB05EE">
      <w:pPr>
        <w:keepNext w:val="0"/>
        <w:keepLines w:val="0"/>
        <w:pageBreakBefore w:val="0"/>
        <w:widowControl w:val="0"/>
        <w:kinsoku/>
        <w:wordWrap/>
        <w:overflowPunct/>
        <w:topLinePunct w:val="0"/>
        <w:autoSpaceDE/>
        <w:autoSpaceDN/>
        <w:bidi w:val="0"/>
        <w:adjustRightInd/>
        <w:snapToGrid/>
        <w:spacing w:line="480" w:lineRule="auto"/>
        <w:ind w:left="1124" w:leftChars="266" w:hanging="565" w:hangingChars="202"/>
        <w:textAlignment w:val="auto"/>
        <w:rPr>
          <w:rFonts w:hint="eastAsia" w:ascii="仿宋" w:hAnsi="仿宋" w:eastAsia="仿宋" w:cs="宋体"/>
          <w:sz w:val="28"/>
          <w:szCs w:val="28"/>
        </w:rPr>
      </w:pPr>
      <w:r>
        <w:rPr>
          <w:rFonts w:hint="eastAsia" w:ascii="仿宋" w:hAnsi="仿宋" w:eastAsia="仿宋" w:cs="宋体"/>
          <w:sz w:val="28"/>
          <w:szCs w:val="28"/>
        </w:rPr>
        <w:t>1.采购人信息</w:t>
      </w:r>
    </w:p>
    <w:p w14:paraId="560911E2">
      <w:pPr>
        <w:keepNext w:val="0"/>
        <w:keepLines w:val="0"/>
        <w:pageBreakBefore w:val="0"/>
        <w:widowControl w:val="0"/>
        <w:kinsoku/>
        <w:wordWrap/>
        <w:overflowPunct/>
        <w:topLinePunct w:val="0"/>
        <w:autoSpaceDE/>
        <w:autoSpaceDN/>
        <w:bidi w:val="0"/>
        <w:adjustRightInd/>
        <w:snapToGrid/>
        <w:spacing w:line="480" w:lineRule="auto"/>
        <w:ind w:left="1124" w:leftChars="266" w:hanging="565" w:hangingChars="202"/>
        <w:textAlignment w:val="auto"/>
        <w:rPr>
          <w:rFonts w:hint="eastAsia" w:ascii="仿宋" w:hAnsi="仿宋" w:eastAsia="仿宋" w:cs="宋体"/>
          <w:sz w:val="28"/>
          <w:szCs w:val="28"/>
          <w:lang w:eastAsia="zh-CN"/>
        </w:rPr>
      </w:pPr>
      <w:r>
        <w:rPr>
          <w:rFonts w:hint="eastAsia" w:ascii="仿宋" w:hAnsi="仿宋" w:eastAsia="仿宋" w:cs="宋体"/>
          <w:sz w:val="28"/>
          <w:szCs w:val="28"/>
        </w:rPr>
        <w:t>名    称：北京市第二中学经开区学校</w:t>
      </w:r>
    </w:p>
    <w:p w14:paraId="325B1407">
      <w:pPr>
        <w:keepNext w:val="0"/>
        <w:keepLines w:val="0"/>
        <w:pageBreakBefore w:val="0"/>
        <w:widowControl w:val="0"/>
        <w:kinsoku/>
        <w:wordWrap/>
        <w:overflowPunct/>
        <w:topLinePunct w:val="0"/>
        <w:autoSpaceDE/>
        <w:autoSpaceDN/>
        <w:bidi w:val="0"/>
        <w:adjustRightInd/>
        <w:snapToGrid/>
        <w:spacing w:line="480" w:lineRule="auto"/>
        <w:ind w:left="1124" w:leftChars="266" w:hanging="565" w:hangingChars="202"/>
        <w:textAlignment w:val="auto"/>
        <w:rPr>
          <w:rFonts w:hint="eastAsia" w:ascii="仿宋" w:hAnsi="仿宋" w:eastAsia="仿宋" w:cs="宋体"/>
          <w:sz w:val="28"/>
          <w:szCs w:val="28"/>
        </w:rPr>
      </w:pPr>
      <w:r>
        <w:rPr>
          <w:rFonts w:hint="eastAsia" w:ascii="仿宋" w:hAnsi="仿宋" w:eastAsia="仿宋" w:cs="宋体"/>
          <w:sz w:val="28"/>
          <w:szCs w:val="28"/>
        </w:rPr>
        <w:t>地    址：北京经济技术开发区X39地块</w:t>
      </w:r>
    </w:p>
    <w:p w14:paraId="33C3911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u w:val="none"/>
        </w:rPr>
      </w:pPr>
      <w:r>
        <w:rPr>
          <w:rFonts w:hint="eastAsia" w:ascii="仿宋" w:hAnsi="仿宋" w:eastAsia="仿宋" w:cs="宋体"/>
          <w:sz w:val="28"/>
          <w:szCs w:val="28"/>
        </w:rPr>
        <w:t>联系方式：</w:t>
      </w:r>
      <w:r>
        <w:rPr>
          <w:rFonts w:hint="eastAsia" w:ascii="仿宋" w:hAnsi="仿宋" w:eastAsia="仿宋" w:cs="宋体"/>
          <w:sz w:val="28"/>
          <w:szCs w:val="28"/>
          <w:lang w:val="en-US" w:eastAsia="zh-CN"/>
        </w:rPr>
        <w:t>董杨凯 010-67802277-1501</w:t>
      </w:r>
      <w:r>
        <w:rPr>
          <w:rFonts w:hint="eastAsia" w:ascii="仿宋" w:hAnsi="仿宋" w:eastAsia="仿宋" w:cs="Times New Roman"/>
          <w:sz w:val="28"/>
          <w:szCs w:val="28"/>
          <w:u w:val="none"/>
          <w:lang w:val="en-US" w:eastAsia="zh-CN"/>
        </w:rPr>
        <w:t xml:space="preserve"> </w:t>
      </w:r>
    </w:p>
    <w:p w14:paraId="414EF18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u w:val="none"/>
        </w:rPr>
      </w:pPr>
      <w:r>
        <w:rPr>
          <w:rFonts w:hint="eastAsia" w:ascii="仿宋" w:hAnsi="仿宋" w:eastAsia="仿宋"/>
          <w:sz w:val="28"/>
          <w:szCs w:val="28"/>
          <w:u w:val="none"/>
        </w:rPr>
        <w:t>2.采购代理机构信息</w:t>
      </w:r>
    </w:p>
    <w:p w14:paraId="1AC4328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Times New Roman"/>
          <w:sz w:val="28"/>
          <w:szCs w:val="28"/>
        </w:rPr>
      </w:pPr>
      <w:r>
        <w:rPr>
          <w:rFonts w:hint="eastAsia" w:ascii="仿宋" w:hAnsi="仿宋" w:eastAsia="仿宋" w:cs="Times New Roman"/>
          <w:sz w:val="28"/>
          <w:szCs w:val="28"/>
        </w:rPr>
        <w:t>名    称：华诚博远工程咨询有限公司</w:t>
      </w:r>
    </w:p>
    <w:p w14:paraId="4B12DCCB">
      <w:pPr>
        <w:ind w:firstLine="560" w:firstLineChars="200"/>
        <w:rPr>
          <w:rFonts w:hint="eastAsia" w:ascii="仿宋" w:hAnsi="仿宋" w:eastAsia="仿宋" w:cs="Times New Roman"/>
          <w:sz w:val="28"/>
          <w:szCs w:val="28"/>
          <w:lang w:eastAsia="zh-CN"/>
        </w:rPr>
      </w:pPr>
      <w:r>
        <w:rPr>
          <w:rFonts w:hint="eastAsia" w:ascii="仿宋" w:hAnsi="仿宋" w:eastAsia="仿宋" w:cs="Times New Roman"/>
          <w:sz w:val="28"/>
          <w:szCs w:val="28"/>
        </w:rPr>
        <w:t>地    址：</w:t>
      </w:r>
      <w:r>
        <w:rPr>
          <w:rFonts w:hint="eastAsia" w:ascii="仿宋" w:hAnsi="仿宋" w:eastAsia="仿宋" w:cs="Times New Roman"/>
          <w:sz w:val="28"/>
          <w:szCs w:val="28"/>
          <w:lang w:eastAsia="zh-CN"/>
        </w:rPr>
        <w:t>北京经济技术开发区经海三路109号院67号楼二层201</w:t>
      </w:r>
    </w:p>
    <w:p w14:paraId="2416CCA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u w:val="none"/>
        </w:rPr>
      </w:pPr>
      <w:r>
        <w:rPr>
          <w:rFonts w:hint="eastAsia" w:ascii="仿宋" w:hAnsi="仿宋" w:eastAsia="仿宋"/>
          <w:sz w:val="28"/>
          <w:szCs w:val="28"/>
          <w:u w:val="none"/>
        </w:rPr>
        <w:t>联系方式：何江敏、</w:t>
      </w:r>
      <w:r>
        <w:rPr>
          <w:rFonts w:hint="eastAsia" w:ascii="仿宋" w:hAnsi="仿宋" w:eastAsia="仿宋"/>
          <w:sz w:val="28"/>
          <w:szCs w:val="28"/>
          <w:u w:val="none"/>
          <w:lang w:val="en-US" w:eastAsia="zh-CN"/>
        </w:rPr>
        <w:t xml:space="preserve">李晓娟、周满堂、李文义 </w:t>
      </w:r>
      <w:r>
        <w:rPr>
          <w:rFonts w:hint="eastAsia" w:ascii="仿宋" w:hAnsi="仿宋" w:eastAsia="仿宋"/>
          <w:sz w:val="28"/>
          <w:szCs w:val="28"/>
          <w:u w:val="none"/>
        </w:rPr>
        <w:t>010-69248172</w:t>
      </w:r>
    </w:p>
    <w:p w14:paraId="7D84EDE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u w:val="none"/>
        </w:rPr>
      </w:pPr>
      <w:r>
        <w:rPr>
          <w:rFonts w:hint="eastAsia" w:ascii="仿宋" w:hAnsi="仿宋" w:eastAsia="仿宋"/>
          <w:sz w:val="28"/>
          <w:szCs w:val="28"/>
          <w:u w:val="none"/>
        </w:rPr>
        <w:t>3.项目联系方式</w:t>
      </w:r>
    </w:p>
    <w:p w14:paraId="2702B1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u w:val="none"/>
        </w:rPr>
      </w:pPr>
      <w:r>
        <w:rPr>
          <w:rFonts w:hint="eastAsia" w:ascii="仿宋" w:hAnsi="仿宋" w:eastAsia="仿宋"/>
          <w:sz w:val="28"/>
          <w:szCs w:val="28"/>
          <w:u w:val="none"/>
        </w:rPr>
        <w:t>项目联系人：何江敏、</w:t>
      </w:r>
      <w:r>
        <w:rPr>
          <w:rFonts w:hint="eastAsia" w:ascii="仿宋" w:hAnsi="仿宋" w:eastAsia="仿宋"/>
          <w:sz w:val="28"/>
          <w:szCs w:val="28"/>
          <w:u w:val="none"/>
          <w:lang w:val="en-US" w:eastAsia="zh-CN"/>
        </w:rPr>
        <w:t>李晓娟、周满堂、李文义</w:t>
      </w:r>
    </w:p>
    <w:p w14:paraId="6A8AE89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sz w:val="28"/>
          <w:szCs w:val="28"/>
          <w:u w:val="none"/>
        </w:rPr>
      </w:pPr>
      <w:r>
        <w:rPr>
          <w:rFonts w:hint="eastAsia" w:ascii="仿宋" w:hAnsi="仿宋" w:eastAsia="仿宋"/>
          <w:sz w:val="28"/>
          <w:szCs w:val="28"/>
          <w:u w:val="none"/>
        </w:rPr>
        <w:t>电　    话：010-69248172</w:t>
      </w:r>
    </w:p>
    <w:p w14:paraId="418111C8"/>
    <w:p w14:paraId="3EAF1C36">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right"/>
        <w:textAlignment w:val="auto"/>
        <w:rPr>
          <w:rFonts w:hint="eastAsia" w:ascii="仿宋" w:hAnsi="仿宋" w:eastAsia="仿宋" w:cs="Times New Roman"/>
          <w:sz w:val="28"/>
          <w:szCs w:val="28"/>
          <w:lang w:val="en-US" w:eastAsia="zh-CN"/>
        </w:rPr>
      </w:pPr>
    </w:p>
    <w:p w14:paraId="2F8B08C8">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right"/>
        <w:textAlignment w:val="auto"/>
        <w:rPr>
          <w:rFonts w:hint="eastAsia" w:ascii="仿宋" w:hAnsi="仿宋" w:eastAsia="仿宋" w:cs="Times New Roman"/>
          <w:sz w:val="28"/>
          <w:szCs w:val="28"/>
          <w:lang w:val="en-US" w:eastAsia="zh-CN"/>
        </w:rPr>
      </w:pPr>
    </w:p>
    <w:p w14:paraId="40FC72A5">
      <w:pPr>
        <w:pStyle w:val="2"/>
        <w:jc w:val="right"/>
        <w:rPr>
          <w:rFonts w:hint="default"/>
          <w:lang w:val="en-US" w:eastAsia="zh-CN"/>
        </w:rPr>
      </w:pPr>
      <w:r>
        <w:rPr>
          <w:rFonts w:hint="eastAsia" w:ascii="仿宋" w:hAnsi="仿宋" w:eastAsia="仿宋" w:cs="宋体"/>
          <w:sz w:val="28"/>
          <w:szCs w:val="28"/>
          <w:lang w:val="en-US" w:eastAsia="zh-CN"/>
        </w:rPr>
        <w:t>采购人：</w:t>
      </w:r>
      <w:r>
        <w:rPr>
          <w:rFonts w:hint="eastAsia" w:ascii="仿宋" w:hAnsi="仿宋" w:eastAsia="仿宋" w:cs="宋体"/>
          <w:sz w:val="28"/>
          <w:szCs w:val="28"/>
        </w:rPr>
        <w:t>北京市第二中学经开区学校</w:t>
      </w:r>
      <w:bookmarkStart w:id="29" w:name="_GoBack"/>
      <w:bookmarkEnd w:id="29"/>
    </w:p>
    <w:p w14:paraId="5D621181">
      <w:pPr>
        <w:spacing w:line="360" w:lineRule="auto"/>
        <w:ind w:left="1124" w:leftChars="266" w:hanging="565" w:hangingChars="202"/>
        <w:jc w:val="right"/>
        <w:rPr>
          <w:rFonts w:hint="eastAsia" w:ascii="仿宋" w:hAnsi="仿宋" w:eastAsia="仿宋" w:cs="宋体"/>
          <w:sz w:val="28"/>
          <w:szCs w:val="28"/>
        </w:rPr>
      </w:pPr>
      <w:r>
        <w:rPr>
          <w:rFonts w:hint="eastAsia" w:ascii="仿宋" w:hAnsi="仿宋" w:eastAsia="仿宋" w:cs="宋体"/>
          <w:sz w:val="28"/>
          <w:szCs w:val="28"/>
          <w:lang w:val="en-US" w:eastAsia="zh-CN"/>
        </w:rPr>
        <w:t>日期：</w:t>
      </w:r>
      <w:r>
        <w:rPr>
          <w:rFonts w:hint="eastAsia" w:ascii="仿宋" w:hAnsi="仿宋" w:eastAsia="仿宋" w:cs="宋体"/>
          <w:sz w:val="28"/>
          <w:szCs w:val="28"/>
        </w:rPr>
        <w:t>202</w:t>
      </w:r>
      <w:r>
        <w:rPr>
          <w:rFonts w:hint="eastAsia" w:ascii="仿宋" w:hAnsi="仿宋" w:eastAsia="仿宋" w:cs="宋体"/>
          <w:sz w:val="28"/>
          <w:szCs w:val="28"/>
          <w:lang w:val="en-US" w:eastAsia="zh-CN"/>
        </w:rPr>
        <w:t>6</w:t>
      </w:r>
      <w:r>
        <w:rPr>
          <w:rFonts w:hint="eastAsia" w:ascii="仿宋" w:hAnsi="仿宋" w:eastAsia="仿宋" w:cs="宋体"/>
          <w:sz w:val="28"/>
          <w:szCs w:val="28"/>
        </w:rPr>
        <w:t>年</w:t>
      </w:r>
      <w:r>
        <w:rPr>
          <w:rFonts w:hint="eastAsia" w:ascii="仿宋" w:hAnsi="仿宋" w:eastAsia="仿宋" w:cs="宋体"/>
          <w:sz w:val="28"/>
          <w:szCs w:val="28"/>
          <w:lang w:val="en-US" w:eastAsia="zh-CN"/>
        </w:rPr>
        <w:t>02</w:t>
      </w:r>
      <w:r>
        <w:rPr>
          <w:rFonts w:hint="eastAsia" w:ascii="仿宋" w:hAnsi="仿宋" w:eastAsia="仿宋" w:cs="宋体"/>
          <w:sz w:val="28"/>
          <w:szCs w:val="28"/>
        </w:rPr>
        <w:t>月</w:t>
      </w:r>
      <w:r>
        <w:rPr>
          <w:rFonts w:hint="eastAsia" w:ascii="仿宋" w:hAnsi="仿宋" w:eastAsia="仿宋" w:cs="宋体"/>
          <w:sz w:val="28"/>
          <w:szCs w:val="28"/>
          <w:lang w:val="en-US" w:eastAsia="zh-CN"/>
        </w:rPr>
        <w:t>06</w:t>
      </w:r>
      <w:r>
        <w:rPr>
          <w:rFonts w:hint="eastAsia" w:ascii="仿宋" w:hAnsi="仿宋" w:eastAsia="仿宋" w:cs="宋体"/>
          <w:sz w:val="28"/>
          <w:szCs w:val="28"/>
        </w:rPr>
        <w:t>日</w:t>
      </w:r>
    </w:p>
    <w:p w14:paraId="1AE03871">
      <w:pPr>
        <w:spacing w:line="360" w:lineRule="auto"/>
        <w:ind w:left="1124" w:leftChars="266" w:hanging="565" w:hangingChars="202"/>
        <w:jc w:val="right"/>
        <w:rPr>
          <w:rFonts w:hint="eastAsia" w:ascii="仿宋" w:hAnsi="仿宋" w:eastAsia="仿宋" w:cs="宋体"/>
          <w:sz w:val="28"/>
          <w:szCs w:val="28"/>
        </w:rPr>
      </w:pPr>
    </w:p>
    <w:p w14:paraId="174D7A1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仿宋" w:hAnsi="仿宋" w:eastAsia="仿宋" w:cs="宋体"/>
          <w:sz w:val="28"/>
          <w:szCs w:val="28"/>
        </w:rPr>
      </w:pPr>
    </w:p>
    <w:sectPr>
      <w:pgSz w:w="11906" w:h="16838"/>
      <w:pgMar w:top="1900" w:right="1800" w:bottom="1118"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RlYWMwZWVhMjc4ODY1YTZjYjdiY2FkOTE3NDNkNWMifQ=="/>
  </w:docVars>
  <w:rsids>
    <w:rsidRoot w:val="00631982"/>
    <w:rsid w:val="00005807"/>
    <w:rsid w:val="000236A3"/>
    <w:rsid w:val="00095FE3"/>
    <w:rsid w:val="000D684F"/>
    <w:rsid w:val="000E180B"/>
    <w:rsid w:val="00114ED6"/>
    <w:rsid w:val="00144569"/>
    <w:rsid w:val="001C0B83"/>
    <w:rsid w:val="001F1216"/>
    <w:rsid w:val="003959FF"/>
    <w:rsid w:val="003D2C2D"/>
    <w:rsid w:val="0053627B"/>
    <w:rsid w:val="00566C02"/>
    <w:rsid w:val="00576675"/>
    <w:rsid w:val="005A7E7A"/>
    <w:rsid w:val="00631982"/>
    <w:rsid w:val="00672EE2"/>
    <w:rsid w:val="00682193"/>
    <w:rsid w:val="006D3270"/>
    <w:rsid w:val="00753ABD"/>
    <w:rsid w:val="007D0E2F"/>
    <w:rsid w:val="007E42B3"/>
    <w:rsid w:val="00877925"/>
    <w:rsid w:val="00926A4F"/>
    <w:rsid w:val="00961AB3"/>
    <w:rsid w:val="00975D4F"/>
    <w:rsid w:val="009C41C0"/>
    <w:rsid w:val="00A842C7"/>
    <w:rsid w:val="00AA32AC"/>
    <w:rsid w:val="00AE4160"/>
    <w:rsid w:val="00BC2107"/>
    <w:rsid w:val="00BE088F"/>
    <w:rsid w:val="00C514AC"/>
    <w:rsid w:val="00D74483"/>
    <w:rsid w:val="00DB5607"/>
    <w:rsid w:val="00E10A6E"/>
    <w:rsid w:val="00E233AB"/>
    <w:rsid w:val="00E6540D"/>
    <w:rsid w:val="00F500E6"/>
    <w:rsid w:val="00F539F9"/>
    <w:rsid w:val="00F53CE4"/>
    <w:rsid w:val="00F57068"/>
    <w:rsid w:val="00F73190"/>
    <w:rsid w:val="00FA3D5A"/>
    <w:rsid w:val="01F5730C"/>
    <w:rsid w:val="02491B47"/>
    <w:rsid w:val="02964AA1"/>
    <w:rsid w:val="0387583F"/>
    <w:rsid w:val="06A75B5B"/>
    <w:rsid w:val="077D0952"/>
    <w:rsid w:val="0E187C6B"/>
    <w:rsid w:val="10094413"/>
    <w:rsid w:val="16B44517"/>
    <w:rsid w:val="17180D61"/>
    <w:rsid w:val="17E277F7"/>
    <w:rsid w:val="18A87FA5"/>
    <w:rsid w:val="18F70FAB"/>
    <w:rsid w:val="1992599A"/>
    <w:rsid w:val="1D921913"/>
    <w:rsid w:val="1FD76AB9"/>
    <w:rsid w:val="21DF7FCE"/>
    <w:rsid w:val="21F65475"/>
    <w:rsid w:val="22105BB3"/>
    <w:rsid w:val="23381B6F"/>
    <w:rsid w:val="23D53509"/>
    <w:rsid w:val="2459749F"/>
    <w:rsid w:val="265A277B"/>
    <w:rsid w:val="268D30C8"/>
    <w:rsid w:val="2778352E"/>
    <w:rsid w:val="277D148F"/>
    <w:rsid w:val="28143EB7"/>
    <w:rsid w:val="286E1ABE"/>
    <w:rsid w:val="2BB85E73"/>
    <w:rsid w:val="2BC04B39"/>
    <w:rsid w:val="2BE85FFC"/>
    <w:rsid w:val="2C324463"/>
    <w:rsid w:val="2C5F6CC3"/>
    <w:rsid w:val="2D07138F"/>
    <w:rsid w:val="2DA5781C"/>
    <w:rsid w:val="35AE7C32"/>
    <w:rsid w:val="35EE56AE"/>
    <w:rsid w:val="36292679"/>
    <w:rsid w:val="3633439E"/>
    <w:rsid w:val="37913BA6"/>
    <w:rsid w:val="38EA1439"/>
    <w:rsid w:val="39175837"/>
    <w:rsid w:val="3A0C0813"/>
    <w:rsid w:val="3EBC5985"/>
    <w:rsid w:val="3EC107C5"/>
    <w:rsid w:val="3F3A61FE"/>
    <w:rsid w:val="3F427A46"/>
    <w:rsid w:val="3F8517BC"/>
    <w:rsid w:val="3FE546DA"/>
    <w:rsid w:val="40266520"/>
    <w:rsid w:val="43B758D3"/>
    <w:rsid w:val="50564D60"/>
    <w:rsid w:val="575E6E59"/>
    <w:rsid w:val="583417CD"/>
    <w:rsid w:val="588A5113"/>
    <w:rsid w:val="5AC15C46"/>
    <w:rsid w:val="5B701144"/>
    <w:rsid w:val="5B932BD3"/>
    <w:rsid w:val="5D6865F2"/>
    <w:rsid w:val="5FCD5BCB"/>
    <w:rsid w:val="61B1707F"/>
    <w:rsid w:val="663D73C8"/>
    <w:rsid w:val="69A2564B"/>
    <w:rsid w:val="6C4D392D"/>
    <w:rsid w:val="6DE60E2F"/>
    <w:rsid w:val="6E9D3E72"/>
    <w:rsid w:val="6F6152CA"/>
    <w:rsid w:val="7075609C"/>
    <w:rsid w:val="727A45F5"/>
    <w:rsid w:val="73DE15A4"/>
    <w:rsid w:val="75A50F74"/>
    <w:rsid w:val="7674180D"/>
    <w:rsid w:val="78363D23"/>
    <w:rsid w:val="79814D9E"/>
    <w:rsid w:val="79FE579F"/>
    <w:rsid w:val="7BEE09F4"/>
    <w:rsid w:val="7C4D160A"/>
    <w:rsid w:val="7DE001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qFormat/>
    <w:uiPriority w:val="0"/>
    <w:pPr>
      <w:keepNext/>
      <w:keepLines/>
      <w:spacing w:before="260" w:after="260" w:line="415" w:lineRule="auto"/>
      <w:outlineLvl w:val="1"/>
    </w:pPr>
    <w:rPr>
      <w:rFonts w:ascii="Arial" w:hAnsi="Arial" w:eastAsia="黑体" w:cs="Arial"/>
      <w:b/>
      <w:bCs/>
      <w:sz w:val="32"/>
      <w:szCs w:val="32"/>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kern w:val="0"/>
      <w:sz w:val="24"/>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Body Text Indent"/>
    <w:basedOn w:val="1"/>
    <w:qFormat/>
    <w:uiPriority w:val="0"/>
    <w:pPr>
      <w:spacing w:line="360" w:lineRule="auto"/>
      <w:ind w:firstLine="570"/>
    </w:pPr>
    <w:rPr>
      <w:sz w:val="24"/>
    </w:rPr>
  </w:style>
  <w:style w:type="paragraph" w:styleId="7">
    <w:name w:val="Plain Text"/>
    <w:basedOn w:val="1"/>
    <w:link w:val="31"/>
    <w:qFormat/>
    <w:uiPriority w:val="0"/>
    <w:rPr>
      <w:rFonts w:ascii="宋体" w:hAnsi="Courier New" w:eastAsia="宋体" w:cs="Times New Roman"/>
      <w:szCs w:val="22"/>
    </w:rPr>
  </w:style>
  <w:style w:type="paragraph" w:styleId="8">
    <w:name w:val="Date"/>
    <w:basedOn w:val="1"/>
    <w:next w:val="1"/>
    <w:link w:val="32"/>
    <w:unhideWhenUsed/>
    <w:qFormat/>
    <w:uiPriority w:val="99"/>
    <w:pPr>
      <w:ind w:left="100" w:leftChars="2500"/>
    </w:pPr>
  </w:style>
  <w:style w:type="paragraph" w:styleId="9">
    <w:name w:val="Balloon Text"/>
    <w:basedOn w:val="1"/>
    <w:link w:val="33"/>
    <w:unhideWhenUsed/>
    <w:qFormat/>
    <w:uiPriority w:val="99"/>
    <w:rPr>
      <w:sz w:val="18"/>
      <w:szCs w:val="18"/>
    </w:rPr>
  </w:style>
  <w:style w:type="paragraph" w:styleId="10">
    <w:name w:val="footer"/>
    <w:basedOn w:val="1"/>
    <w:link w:val="34"/>
    <w:unhideWhenUsed/>
    <w:qFormat/>
    <w:uiPriority w:val="99"/>
    <w:pPr>
      <w:tabs>
        <w:tab w:val="center" w:pos="4153"/>
        <w:tab w:val="right" w:pos="8306"/>
      </w:tabs>
      <w:snapToGrid w:val="0"/>
      <w:jc w:val="left"/>
    </w:pPr>
    <w:rPr>
      <w:sz w:val="18"/>
      <w:szCs w:val="18"/>
    </w:rPr>
  </w:style>
  <w:style w:type="paragraph" w:styleId="11">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rPr>
      <w:color w:val="0000FF"/>
      <w:sz w:val="24"/>
    </w:rPr>
  </w:style>
  <w:style w:type="paragraph" w:styleId="13">
    <w:name w:val="Normal (Web)"/>
    <w:basedOn w:val="1"/>
    <w:unhideWhenUsed/>
    <w:qFormat/>
    <w:uiPriority w:val="99"/>
    <w:pPr>
      <w:spacing w:before="0" w:beforeAutospacing="0" w:after="100" w:afterAutospacing="0"/>
      <w:ind w:left="0" w:right="0"/>
      <w:jc w:val="left"/>
    </w:pPr>
    <w:rPr>
      <w:kern w:val="0"/>
      <w:sz w:val="24"/>
      <w:lang w:val="en-US" w:eastAsia="zh-CN" w:bidi="ar"/>
    </w:rPr>
  </w:style>
  <w:style w:type="paragraph" w:styleId="14">
    <w:name w:val="Body Text First Indent"/>
    <w:basedOn w:val="2"/>
    <w:qFormat/>
    <w:uiPriority w:val="0"/>
    <w:pPr>
      <w:ind w:firstLine="420" w:firstLineChars="100"/>
    </w:pPr>
    <w:rPr>
      <w:rFonts w:ascii="Calibri" w:hAnsi="Calibri" w:eastAsia="宋体" w:cs="Calibri"/>
      <w:sz w:val="28"/>
      <w:szCs w:val="28"/>
    </w:rPr>
  </w:style>
  <w:style w:type="paragraph" w:styleId="15">
    <w:name w:val="Body Text First Indent 2"/>
    <w:basedOn w:val="6"/>
    <w:next w:val="1"/>
    <w:qFormat/>
    <w:uiPriority w:val="0"/>
    <w:pPr>
      <w:spacing w:after="120" w:line="480" w:lineRule="exact"/>
      <w:ind w:left="420" w:leftChars="200" w:firstLine="420" w:firstLineChars="200"/>
    </w:pPr>
  </w:style>
  <w:style w:type="character" w:styleId="18">
    <w:name w:val="Strong"/>
    <w:basedOn w:val="17"/>
    <w:qFormat/>
    <w:uiPriority w:val="22"/>
    <w:rPr>
      <w:b/>
      <w:bCs/>
    </w:rPr>
  </w:style>
  <w:style w:type="character" w:styleId="19">
    <w:name w:val="FollowedHyperlink"/>
    <w:basedOn w:val="17"/>
    <w:unhideWhenUsed/>
    <w:qFormat/>
    <w:uiPriority w:val="99"/>
    <w:rPr>
      <w:color w:val="428BCA"/>
      <w:u w:val="none"/>
    </w:rPr>
  </w:style>
  <w:style w:type="character" w:styleId="20">
    <w:name w:val="Emphasis"/>
    <w:basedOn w:val="17"/>
    <w:qFormat/>
    <w:uiPriority w:val="20"/>
  </w:style>
  <w:style w:type="character" w:styleId="21">
    <w:name w:val="HTML Definition"/>
    <w:basedOn w:val="17"/>
    <w:unhideWhenUsed/>
    <w:qFormat/>
    <w:uiPriority w:val="99"/>
  </w:style>
  <w:style w:type="character" w:styleId="22">
    <w:name w:val="HTML Acronym"/>
    <w:basedOn w:val="17"/>
    <w:unhideWhenUsed/>
    <w:qFormat/>
    <w:uiPriority w:val="99"/>
  </w:style>
  <w:style w:type="character" w:styleId="23">
    <w:name w:val="HTML Variable"/>
    <w:basedOn w:val="17"/>
    <w:unhideWhenUsed/>
    <w:qFormat/>
    <w:uiPriority w:val="99"/>
  </w:style>
  <w:style w:type="character" w:styleId="24">
    <w:name w:val="Hyperlink"/>
    <w:basedOn w:val="17"/>
    <w:unhideWhenUsed/>
    <w:qFormat/>
    <w:uiPriority w:val="99"/>
    <w:rPr>
      <w:color w:val="428BCA"/>
      <w:u w:val="none"/>
    </w:rPr>
  </w:style>
  <w:style w:type="character" w:styleId="25">
    <w:name w:val="HTML Code"/>
    <w:basedOn w:val="17"/>
    <w:unhideWhenUsed/>
    <w:qFormat/>
    <w:uiPriority w:val="99"/>
    <w:rPr>
      <w:rFonts w:hint="default" w:ascii="Consolas" w:hAnsi="Consolas" w:eastAsia="Consolas" w:cs="Consolas"/>
      <w:color w:val="C7254E"/>
      <w:sz w:val="21"/>
      <w:szCs w:val="21"/>
      <w:shd w:val="clear" w:color="auto" w:fill="F9F2F4"/>
    </w:rPr>
  </w:style>
  <w:style w:type="character" w:styleId="26">
    <w:name w:val="HTML Cite"/>
    <w:basedOn w:val="17"/>
    <w:unhideWhenUsed/>
    <w:qFormat/>
    <w:uiPriority w:val="99"/>
  </w:style>
  <w:style w:type="character" w:styleId="27">
    <w:name w:val="HTML Keyboard"/>
    <w:basedOn w:val="17"/>
    <w:unhideWhenUsed/>
    <w:qFormat/>
    <w:uiPriority w:val="99"/>
    <w:rPr>
      <w:rFonts w:ascii="Consolas" w:hAnsi="Consolas" w:eastAsia="Consolas" w:cs="Consolas"/>
      <w:color w:val="FFFFFF"/>
      <w:sz w:val="21"/>
      <w:szCs w:val="21"/>
      <w:shd w:val="clear" w:color="auto" w:fill="333333"/>
    </w:rPr>
  </w:style>
  <w:style w:type="character" w:styleId="28">
    <w:name w:val="HTML Sample"/>
    <w:basedOn w:val="17"/>
    <w:unhideWhenUsed/>
    <w:qFormat/>
    <w:uiPriority w:val="99"/>
    <w:rPr>
      <w:rFonts w:hint="default" w:ascii="Consolas" w:hAnsi="Consolas" w:eastAsia="Consolas" w:cs="Consolas"/>
      <w:sz w:val="21"/>
      <w:szCs w:val="21"/>
    </w:rPr>
  </w:style>
  <w:style w:type="character" w:customStyle="1" w:styleId="29">
    <w:name w:val="标题 1 Char"/>
    <w:link w:val="3"/>
    <w:qFormat/>
    <w:uiPriority w:val="9"/>
    <w:rPr>
      <w:rFonts w:ascii="Times New Roman" w:hAnsi="Times New Roman" w:eastAsia="宋体" w:cs="Times New Roman"/>
      <w:b/>
      <w:bCs/>
      <w:kern w:val="44"/>
      <w:sz w:val="44"/>
      <w:szCs w:val="44"/>
    </w:rPr>
  </w:style>
  <w:style w:type="character" w:customStyle="1" w:styleId="30">
    <w:name w:val="标题 2 Char"/>
    <w:link w:val="4"/>
    <w:qFormat/>
    <w:uiPriority w:val="0"/>
    <w:rPr>
      <w:rFonts w:ascii="Arial" w:hAnsi="Arial" w:eastAsia="黑体" w:cs="Arial"/>
      <w:b/>
      <w:bCs/>
      <w:sz w:val="32"/>
      <w:szCs w:val="32"/>
    </w:rPr>
  </w:style>
  <w:style w:type="character" w:customStyle="1" w:styleId="31">
    <w:name w:val="纯文本 Char"/>
    <w:link w:val="7"/>
    <w:qFormat/>
    <w:uiPriority w:val="0"/>
    <w:rPr>
      <w:rFonts w:ascii="宋体" w:hAnsi="Courier New"/>
    </w:rPr>
  </w:style>
  <w:style w:type="character" w:customStyle="1" w:styleId="32">
    <w:name w:val="日期 Char"/>
    <w:link w:val="8"/>
    <w:semiHidden/>
    <w:qFormat/>
    <w:uiPriority w:val="99"/>
    <w:rPr>
      <w:rFonts w:ascii="Times New Roman" w:hAnsi="Times New Roman" w:eastAsia="宋体" w:cs="Times New Roman"/>
      <w:szCs w:val="21"/>
    </w:rPr>
  </w:style>
  <w:style w:type="character" w:customStyle="1" w:styleId="33">
    <w:name w:val="批注框文本 Char"/>
    <w:link w:val="9"/>
    <w:semiHidden/>
    <w:qFormat/>
    <w:uiPriority w:val="99"/>
    <w:rPr>
      <w:kern w:val="2"/>
      <w:sz w:val="18"/>
      <w:szCs w:val="18"/>
    </w:rPr>
  </w:style>
  <w:style w:type="character" w:customStyle="1" w:styleId="34">
    <w:name w:val="页脚 Char"/>
    <w:link w:val="10"/>
    <w:semiHidden/>
    <w:qFormat/>
    <w:uiPriority w:val="99"/>
    <w:rPr>
      <w:sz w:val="18"/>
      <w:szCs w:val="18"/>
    </w:rPr>
  </w:style>
  <w:style w:type="character" w:customStyle="1" w:styleId="35">
    <w:name w:val="页眉 Char"/>
    <w:link w:val="11"/>
    <w:semiHidden/>
    <w:qFormat/>
    <w:uiPriority w:val="99"/>
    <w:rPr>
      <w:sz w:val="18"/>
      <w:szCs w:val="18"/>
    </w:rPr>
  </w:style>
  <w:style w:type="paragraph" w:customStyle="1" w:styleId="36">
    <w:name w:val="正文 缩进2字符"/>
    <w:basedOn w:val="1"/>
    <w:qFormat/>
    <w:uiPriority w:val="0"/>
    <w:pPr>
      <w:spacing w:line="288" w:lineRule="auto"/>
    </w:pPr>
    <w:rPr>
      <w:rFonts w:ascii="宋体" w:hAnsi="宋体"/>
      <w:sz w:val="28"/>
      <w:szCs w:val="28"/>
    </w:rPr>
  </w:style>
  <w:style w:type="paragraph" w:customStyle="1" w:styleId="37">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38">
    <w:name w:val="List Paragraph"/>
    <w:basedOn w:val="1"/>
    <w:qFormat/>
    <w:uiPriority w:val="34"/>
    <w:pPr>
      <w:ind w:firstLine="420" w:firstLineChars="200"/>
    </w:pPr>
  </w:style>
  <w:style w:type="character" w:customStyle="1" w:styleId="39">
    <w:name w:val="nth-child(4)"/>
    <w:basedOn w:val="17"/>
    <w:qFormat/>
    <w:uiPriority w:val="0"/>
  </w:style>
  <w:style w:type="character" w:customStyle="1" w:styleId="40">
    <w:name w:val="nth-child(4)1"/>
    <w:basedOn w:val="17"/>
    <w:qFormat/>
    <w:uiPriority w:val="0"/>
  </w:style>
  <w:style w:type="character" w:customStyle="1" w:styleId="41">
    <w:name w:val="nth-child(4)2"/>
    <w:basedOn w:val="17"/>
    <w:qFormat/>
    <w:uiPriority w:val="0"/>
  </w:style>
  <w:style w:type="character" w:customStyle="1" w:styleId="42">
    <w:name w:val="nth-child(4)3"/>
    <w:basedOn w:val="17"/>
    <w:qFormat/>
    <w:uiPriority w:val="0"/>
  </w:style>
  <w:style w:type="character" w:customStyle="1" w:styleId="43">
    <w:name w:val="nth-child(4)4"/>
    <w:basedOn w:val="17"/>
    <w:qFormat/>
    <w:uiPriority w:val="0"/>
  </w:style>
  <w:style w:type="character" w:customStyle="1" w:styleId="44">
    <w:name w:val="nth-child(4)5"/>
    <w:basedOn w:val="17"/>
    <w:qFormat/>
    <w:uiPriority w:val="0"/>
  </w:style>
  <w:style w:type="character" w:customStyle="1" w:styleId="45">
    <w:name w:val="nth-child(4)6"/>
    <w:basedOn w:val="17"/>
    <w:qFormat/>
    <w:uiPriority w:val="0"/>
  </w:style>
  <w:style w:type="character" w:customStyle="1" w:styleId="46">
    <w:name w:val="nth-child(4)7"/>
    <w:basedOn w:val="17"/>
    <w:qFormat/>
    <w:uiPriority w:val="0"/>
  </w:style>
  <w:style w:type="character" w:customStyle="1" w:styleId="47">
    <w:name w:val="nth-child(4)8"/>
    <w:basedOn w:val="17"/>
    <w:qFormat/>
    <w:uiPriority w:val="0"/>
  </w:style>
  <w:style w:type="character" w:customStyle="1" w:styleId="48">
    <w:name w:val="nth-child(4)9"/>
    <w:basedOn w:val="17"/>
    <w:qFormat/>
    <w:uiPriority w:val="0"/>
  </w:style>
  <w:style w:type="character" w:customStyle="1" w:styleId="49">
    <w:name w:val="nth-child(4)10"/>
    <w:basedOn w:val="17"/>
    <w:qFormat/>
    <w:uiPriority w:val="0"/>
  </w:style>
  <w:style w:type="character" w:customStyle="1" w:styleId="50">
    <w:name w:val="nth-child(4)11"/>
    <w:basedOn w:val="17"/>
    <w:qFormat/>
    <w:uiPriority w:val="0"/>
  </w:style>
  <w:style w:type="character" w:customStyle="1" w:styleId="51">
    <w:name w:val="nth-child(4)12"/>
    <w:basedOn w:val="17"/>
    <w:qFormat/>
    <w:uiPriority w:val="0"/>
  </w:style>
  <w:style w:type="character" w:customStyle="1" w:styleId="52">
    <w:name w:val="nth-child(4)13"/>
    <w:basedOn w:val="17"/>
    <w:qFormat/>
    <w:uiPriority w:val="0"/>
  </w:style>
  <w:style w:type="character" w:customStyle="1" w:styleId="53">
    <w:name w:val="nth-child(4)14"/>
    <w:basedOn w:val="17"/>
    <w:qFormat/>
    <w:uiPriority w:val="0"/>
  </w:style>
  <w:style w:type="character" w:customStyle="1" w:styleId="54">
    <w:name w:val="nth-child(4)15"/>
    <w:basedOn w:val="17"/>
    <w:qFormat/>
    <w:uiPriority w:val="0"/>
  </w:style>
  <w:style w:type="character" w:customStyle="1" w:styleId="55">
    <w:name w:val="nth-child(4)16"/>
    <w:basedOn w:val="17"/>
    <w:qFormat/>
    <w:uiPriority w:val="0"/>
  </w:style>
  <w:style w:type="character" w:customStyle="1" w:styleId="56">
    <w:name w:val="ui-icon"/>
    <w:basedOn w:val="17"/>
    <w:qFormat/>
    <w:uiPriority w:val="0"/>
  </w:style>
  <w:style w:type="character" w:customStyle="1" w:styleId="57">
    <w:name w:val="nth-child(3)"/>
    <w:basedOn w:val="17"/>
    <w:qFormat/>
    <w:uiPriority w:val="0"/>
  </w:style>
  <w:style w:type="character" w:customStyle="1" w:styleId="58">
    <w:name w:val="not([class*=suffix])"/>
    <w:basedOn w:val="17"/>
    <w:qFormat/>
    <w:uiPriority w:val="0"/>
  </w:style>
  <w:style w:type="character" w:customStyle="1" w:styleId="59">
    <w:name w:val="not([class*=suffix])1"/>
    <w:basedOn w:val="17"/>
    <w:qFormat/>
    <w:uiPriority w:val="0"/>
    <w:rPr>
      <w:sz w:val="13"/>
      <w:szCs w:val="13"/>
    </w:rPr>
  </w:style>
  <w:style w:type="character" w:customStyle="1" w:styleId="60">
    <w:name w:val="after"/>
    <w:basedOn w:val="17"/>
    <w:qFormat/>
    <w:uiPriority w:val="0"/>
  </w:style>
  <w:style w:type="character" w:customStyle="1" w:styleId="61">
    <w:name w:val="nth-child(2)"/>
    <w:basedOn w:val="17"/>
    <w:qFormat/>
    <w:uiPriority w:val="0"/>
  </w:style>
  <w:style w:type="character" w:customStyle="1" w:styleId="62">
    <w:name w:val="nth-child(2)1"/>
    <w:basedOn w:val="17"/>
    <w:qFormat/>
    <w:uiPriority w:val="0"/>
  </w:style>
  <w:style w:type="character" w:customStyle="1" w:styleId="63">
    <w:name w:val="nth-child(2)2"/>
    <w:basedOn w:val="17"/>
    <w:qFormat/>
    <w:uiPriority w:val="0"/>
  </w:style>
  <w:style w:type="character" w:customStyle="1" w:styleId="64">
    <w:name w:val="nth-child(2)3"/>
    <w:basedOn w:val="17"/>
    <w:qFormat/>
    <w:uiPriority w:val="0"/>
  </w:style>
  <w:style w:type="character" w:customStyle="1" w:styleId="65">
    <w:name w:val="nth-child(2)4"/>
    <w:basedOn w:val="17"/>
    <w:qFormat/>
    <w:uiPriority w:val="0"/>
  </w:style>
  <w:style w:type="character" w:customStyle="1" w:styleId="66">
    <w:name w:val="nth-child(2)5"/>
    <w:basedOn w:val="17"/>
    <w:qFormat/>
    <w:uiPriority w:val="0"/>
  </w:style>
  <w:style w:type="character" w:customStyle="1" w:styleId="67">
    <w:name w:val="nth-child(2)6"/>
    <w:basedOn w:val="17"/>
    <w:qFormat/>
    <w:uiPriority w:val="0"/>
  </w:style>
  <w:style w:type="character" w:customStyle="1" w:styleId="68">
    <w:name w:val="nth-child(2)7"/>
    <w:basedOn w:val="17"/>
    <w:qFormat/>
    <w:uiPriority w:val="0"/>
  </w:style>
  <w:style w:type="character" w:customStyle="1" w:styleId="69">
    <w:name w:val="nth-child(2)8"/>
    <w:basedOn w:val="17"/>
    <w:qFormat/>
    <w:uiPriority w:val="0"/>
  </w:style>
  <w:style w:type="character" w:customStyle="1" w:styleId="70">
    <w:name w:val="nth-child(2)9"/>
    <w:basedOn w:val="17"/>
    <w:qFormat/>
    <w:uiPriority w:val="0"/>
  </w:style>
  <w:style w:type="character" w:customStyle="1" w:styleId="71">
    <w:name w:val="nth-child(2)10"/>
    <w:basedOn w:val="17"/>
    <w:qFormat/>
    <w:uiPriority w:val="0"/>
  </w:style>
  <w:style w:type="character" w:customStyle="1" w:styleId="72">
    <w:name w:val="nth-child(2)11"/>
    <w:basedOn w:val="17"/>
    <w:qFormat/>
    <w:uiPriority w:val="0"/>
  </w:style>
  <w:style w:type="character" w:customStyle="1" w:styleId="73">
    <w:name w:val="nth-child(2)12"/>
    <w:basedOn w:val="17"/>
    <w:qFormat/>
    <w:uiPriority w:val="0"/>
  </w:style>
  <w:style w:type="character" w:customStyle="1" w:styleId="74">
    <w:name w:val="nth-child(2)13"/>
    <w:basedOn w:val="17"/>
    <w:qFormat/>
    <w:uiPriority w:val="0"/>
  </w:style>
  <w:style w:type="character" w:customStyle="1" w:styleId="75">
    <w:name w:val="nth-child(2)14"/>
    <w:basedOn w:val="17"/>
    <w:qFormat/>
    <w:uiPriority w:val="0"/>
  </w:style>
  <w:style w:type="character" w:customStyle="1" w:styleId="76">
    <w:name w:val="nth-child(2)15"/>
    <w:basedOn w:val="17"/>
    <w:qFormat/>
    <w:uiPriority w:val="0"/>
  </w:style>
  <w:style w:type="character" w:customStyle="1" w:styleId="77">
    <w:name w:val="nth-child(2)16"/>
    <w:basedOn w:val="17"/>
    <w:qFormat/>
    <w:uiPriority w:val="0"/>
  </w:style>
  <w:style w:type="character" w:customStyle="1" w:styleId="78">
    <w:name w:val="nth-child(5)"/>
    <w:basedOn w:val="17"/>
    <w:qFormat/>
    <w:uiPriority w:val="0"/>
  </w:style>
  <w:style w:type="character" w:customStyle="1" w:styleId="79">
    <w:name w:val="nth-child(5)1"/>
    <w:basedOn w:val="17"/>
    <w:qFormat/>
    <w:uiPriority w:val="0"/>
  </w:style>
  <w:style w:type="character" w:customStyle="1" w:styleId="80">
    <w:name w:val="nth-child(5)2"/>
    <w:basedOn w:val="17"/>
    <w:qFormat/>
    <w:uiPriority w:val="0"/>
  </w:style>
  <w:style w:type="character" w:customStyle="1" w:styleId="81">
    <w:name w:val="nth-child(5)3"/>
    <w:basedOn w:val="17"/>
    <w:qFormat/>
    <w:uiPriority w:val="0"/>
  </w:style>
  <w:style w:type="character" w:customStyle="1" w:styleId="82">
    <w:name w:val="nth-child(5)4"/>
    <w:basedOn w:val="17"/>
    <w:qFormat/>
    <w:uiPriority w:val="0"/>
  </w:style>
  <w:style w:type="character" w:customStyle="1" w:styleId="83">
    <w:name w:val="nth-child(5)5"/>
    <w:basedOn w:val="17"/>
    <w:qFormat/>
    <w:uiPriority w:val="0"/>
  </w:style>
  <w:style w:type="character" w:customStyle="1" w:styleId="84">
    <w:name w:val="nth-child(5)6"/>
    <w:basedOn w:val="17"/>
    <w:qFormat/>
    <w:uiPriority w:val="0"/>
  </w:style>
  <w:style w:type="character" w:customStyle="1" w:styleId="85">
    <w:name w:val="nth-child(5)7"/>
    <w:basedOn w:val="17"/>
    <w:qFormat/>
    <w:uiPriority w:val="0"/>
  </w:style>
  <w:style w:type="character" w:customStyle="1" w:styleId="86">
    <w:name w:val="nth-child(5)8"/>
    <w:basedOn w:val="17"/>
    <w:qFormat/>
    <w:uiPriority w:val="0"/>
  </w:style>
  <w:style w:type="character" w:customStyle="1" w:styleId="87">
    <w:name w:val="nth-child(5)9"/>
    <w:basedOn w:val="17"/>
    <w:qFormat/>
    <w:uiPriority w:val="0"/>
  </w:style>
  <w:style w:type="character" w:customStyle="1" w:styleId="88">
    <w:name w:val="nth-child(5)10"/>
    <w:basedOn w:val="17"/>
    <w:qFormat/>
    <w:uiPriority w:val="0"/>
  </w:style>
  <w:style w:type="character" w:customStyle="1" w:styleId="89">
    <w:name w:val="nth-child(5)11"/>
    <w:basedOn w:val="17"/>
    <w:qFormat/>
    <w:uiPriority w:val="0"/>
  </w:style>
  <w:style w:type="character" w:customStyle="1" w:styleId="90">
    <w:name w:val="nth-child(5)12"/>
    <w:basedOn w:val="17"/>
    <w:qFormat/>
    <w:uiPriority w:val="0"/>
  </w:style>
  <w:style w:type="character" w:customStyle="1" w:styleId="91">
    <w:name w:val="nth-child(5)13"/>
    <w:basedOn w:val="17"/>
    <w:qFormat/>
    <w:uiPriority w:val="0"/>
  </w:style>
  <w:style w:type="character" w:customStyle="1" w:styleId="92">
    <w:name w:val="nth-child(5)14"/>
    <w:basedOn w:val="17"/>
    <w:qFormat/>
    <w:uiPriority w:val="0"/>
  </w:style>
  <w:style w:type="character" w:customStyle="1" w:styleId="93">
    <w:name w:val="nth-child(5)15"/>
    <w:basedOn w:val="17"/>
    <w:qFormat/>
    <w:uiPriority w:val="0"/>
  </w:style>
  <w:style w:type="character" w:customStyle="1" w:styleId="94">
    <w:name w:val="nth-child(5)16"/>
    <w:basedOn w:val="17"/>
    <w:qFormat/>
    <w:uiPriority w:val="0"/>
  </w:style>
  <w:style w:type="character" w:customStyle="1" w:styleId="95">
    <w:name w:val="first-child"/>
    <w:basedOn w:val="17"/>
    <w:qFormat/>
    <w:uiPriority w:val="0"/>
  </w:style>
  <w:style w:type="character" w:customStyle="1" w:styleId="96">
    <w:name w:val="first-child1"/>
    <w:basedOn w:val="17"/>
    <w:qFormat/>
    <w:uiPriority w:val="0"/>
  </w:style>
  <w:style w:type="character" w:customStyle="1" w:styleId="97">
    <w:name w:val="first-child2"/>
    <w:basedOn w:val="17"/>
    <w:qFormat/>
    <w:uiPriority w:val="0"/>
  </w:style>
  <w:style w:type="character" w:customStyle="1" w:styleId="98">
    <w:name w:val="first-child3"/>
    <w:basedOn w:val="17"/>
    <w:qFormat/>
    <w:uiPriority w:val="0"/>
  </w:style>
  <w:style w:type="character" w:customStyle="1" w:styleId="99">
    <w:name w:val="first-child4"/>
    <w:basedOn w:val="17"/>
    <w:qFormat/>
    <w:uiPriority w:val="0"/>
  </w:style>
  <w:style w:type="character" w:customStyle="1" w:styleId="100">
    <w:name w:val="first-child5"/>
    <w:basedOn w:val="17"/>
    <w:qFormat/>
    <w:uiPriority w:val="0"/>
  </w:style>
  <w:style w:type="character" w:customStyle="1" w:styleId="101">
    <w:name w:val="first-child6"/>
    <w:basedOn w:val="17"/>
    <w:qFormat/>
    <w:uiPriority w:val="0"/>
  </w:style>
  <w:style w:type="character" w:customStyle="1" w:styleId="102">
    <w:name w:val="first-child7"/>
    <w:basedOn w:val="17"/>
    <w:qFormat/>
    <w:uiPriority w:val="0"/>
  </w:style>
  <w:style w:type="character" w:customStyle="1" w:styleId="103">
    <w:name w:val="first-child8"/>
    <w:basedOn w:val="17"/>
    <w:qFormat/>
    <w:uiPriority w:val="0"/>
  </w:style>
  <w:style w:type="character" w:customStyle="1" w:styleId="104">
    <w:name w:val="first-child9"/>
    <w:basedOn w:val="17"/>
    <w:qFormat/>
    <w:uiPriority w:val="0"/>
  </w:style>
  <w:style w:type="character" w:customStyle="1" w:styleId="105">
    <w:name w:val="first-child10"/>
    <w:basedOn w:val="17"/>
    <w:qFormat/>
    <w:uiPriority w:val="0"/>
  </w:style>
  <w:style w:type="character" w:customStyle="1" w:styleId="106">
    <w:name w:val="first-child11"/>
    <w:basedOn w:val="17"/>
    <w:qFormat/>
    <w:uiPriority w:val="0"/>
  </w:style>
  <w:style w:type="character" w:customStyle="1" w:styleId="107">
    <w:name w:val="first-child12"/>
    <w:basedOn w:val="17"/>
    <w:qFormat/>
    <w:uiPriority w:val="0"/>
  </w:style>
  <w:style w:type="character" w:customStyle="1" w:styleId="108">
    <w:name w:val="first-child13"/>
    <w:basedOn w:val="17"/>
    <w:qFormat/>
    <w:uiPriority w:val="0"/>
  </w:style>
  <w:style w:type="character" w:customStyle="1" w:styleId="109">
    <w:name w:val="first-child14"/>
    <w:basedOn w:val="17"/>
    <w:qFormat/>
    <w:uiPriority w:val="0"/>
  </w:style>
  <w:style w:type="character" w:customStyle="1" w:styleId="110">
    <w:name w:val="first-child15"/>
    <w:basedOn w:val="17"/>
    <w:qFormat/>
    <w:uiPriority w:val="0"/>
  </w:style>
  <w:style w:type="character" w:customStyle="1" w:styleId="111">
    <w:name w:val="first-child16"/>
    <w:basedOn w:val="17"/>
    <w:qFormat/>
    <w:uiPriority w:val="0"/>
  </w:style>
  <w:style w:type="character" w:customStyle="1" w:styleId="112">
    <w:name w:val="nth-child(7)"/>
    <w:basedOn w:val="17"/>
    <w:qFormat/>
    <w:uiPriority w:val="0"/>
  </w:style>
  <w:style w:type="character" w:customStyle="1" w:styleId="113">
    <w:name w:val="nth-child(7)1"/>
    <w:basedOn w:val="17"/>
    <w:qFormat/>
    <w:uiPriority w:val="0"/>
  </w:style>
  <w:style w:type="character" w:customStyle="1" w:styleId="114">
    <w:name w:val="nth-child(7)2"/>
    <w:basedOn w:val="17"/>
    <w:qFormat/>
    <w:uiPriority w:val="0"/>
  </w:style>
  <w:style w:type="character" w:customStyle="1" w:styleId="115">
    <w:name w:val="nth-child(7)3"/>
    <w:basedOn w:val="17"/>
    <w:qFormat/>
    <w:uiPriority w:val="0"/>
  </w:style>
  <w:style w:type="character" w:customStyle="1" w:styleId="116">
    <w:name w:val="nth-child(7)4"/>
    <w:basedOn w:val="17"/>
    <w:qFormat/>
    <w:uiPriority w:val="0"/>
  </w:style>
  <w:style w:type="character" w:customStyle="1" w:styleId="117">
    <w:name w:val="nth-child(7)5"/>
    <w:basedOn w:val="17"/>
    <w:qFormat/>
    <w:uiPriority w:val="0"/>
  </w:style>
  <w:style w:type="character" w:customStyle="1" w:styleId="118">
    <w:name w:val="nth-child(7)6"/>
    <w:basedOn w:val="17"/>
    <w:qFormat/>
    <w:uiPriority w:val="0"/>
  </w:style>
  <w:style w:type="character" w:customStyle="1" w:styleId="119">
    <w:name w:val="nth-child(7)7"/>
    <w:basedOn w:val="17"/>
    <w:qFormat/>
    <w:uiPriority w:val="0"/>
  </w:style>
  <w:style w:type="character" w:customStyle="1" w:styleId="120">
    <w:name w:val="before2"/>
    <w:basedOn w:val="17"/>
    <w:qFormat/>
    <w:uiPriority w:val="0"/>
    <w:rPr>
      <w:bdr w:val="single" w:color="9E9C9C" w:sz="4" w:space="0"/>
    </w:rPr>
  </w:style>
  <w:style w:type="character" w:customStyle="1" w:styleId="121">
    <w:name w:val="nth-child(6)"/>
    <w:basedOn w:val="17"/>
    <w:qFormat/>
    <w:uiPriority w:val="0"/>
  </w:style>
  <w:style w:type="character" w:customStyle="1" w:styleId="122">
    <w:name w:val="nth-child(6)1"/>
    <w:basedOn w:val="17"/>
    <w:qFormat/>
    <w:uiPriority w:val="0"/>
  </w:style>
  <w:style w:type="character" w:customStyle="1" w:styleId="123">
    <w:name w:val="nth-child(6)2"/>
    <w:basedOn w:val="17"/>
    <w:qFormat/>
    <w:uiPriority w:val="0"/>
  </w:style>
  <w:style w:type="character" w:customStyle="1" w:styleId="124">
    <w:name w:val="nth-child(6)3"/>
    <w:basedOn w:val="17"/>
    <w:qFormat/>
    <w:uiPriority w:val="0"/>
  </w:style>
  <w:style w:type="character" w:customStyle="1" w:styleId="125">
    <w:name w:val="nth-child(6)4"/>
    <w:basedOn w:val="17"/>
    <w:qFormat/>
    <w:uiPriority w:val="0"/>
  </w:style>
  <w:style w:type="character" w:customStyle="1" w:styleId="126">
    <w:name w:val="nth-child(6)5"/>
    <w:basedOn w:val="17"/>
    <w:qFormat/>
    <w:uiPriority w:val="0"/>
  </w:style>
  <w:style w:type="character" w:customStyle="1" w:styleId="127">
    <w:name w:val="nth-child(6)6"/>
    <w:basedOn w:val="17"/>
    <w:qFormat/>
    <w:uiPriority w:val="0"/>
  </w:style>
  <w:style w:type="character" w:customStyle="1" w:styleId="128">
    <w:name w:val="nth-child(6)7"/>
    <w:basedOn w:val="17"/>
    <w:qFormat/>
    <w:uiPriority w:val="0"/>
  </w:style>
  <w:style w:type="character" w:customStyle="1" w:styleId="129">
    <w:name w:val="nth-child(1)"/>
    <w:basedOn w:val="17"/>
    <w:qFormat/>
    <w:uiPriority w:val="0"/>
  </w:style>
  <w:style w:type="paragraph" w:customStyle="1" w:styleId="130">
    <w:name w:val="_Style 129"/>
    <w:basedOn w:val="1"/>
    <w:next w:val="1"/>
    <w:qFormat/>
    <w:uiPriority w:val="0"/>
    <w:pPr>
      <w:pBdr>
        <w:bottom w:val="single" w:color="auto" w:sz="6" w:space="1"/>
      </w:pBdr>
      <w:jc w:val="center"/>
    </w:pPr>
    <w:rPr>
      <w:rFonts w:ascii="Arial" w:eastAsia="宋体"/>
      <w:vanish/>
      <w:sz w:val="16"/>
    </w:rPr>
  </w:style>
  <w:style w:type="paragraph" w:customStyle="1" w:styleId="131">
    <w:name w:val="_Style 130"/>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2532</Words>
  <Characters>2898</Characters>
  <Lines>14</Lines>
  <Paragraphs>4</Paragraphs>
  <TotalTime>22</TotalTime>
  <ScaleCrop>false</ScaleCrop>
  <LinksUpToDate>false</LinksUpToDate>
  <CharactersWithSpaces>2956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2020-05-03T15:05:00Z</dcterms:created>
  <dc:creator>Windows 用户</dc:creator>
  <cp:lastModifiedBy>第四晚心情</cp:lastModifiedBy>
  <cp:lastPrinted>2024-01-10T03:03:00Z</cp:lastPrinted>
  <dcterms:modified xsi:type="dcterms:W3CDTF">2026-02-05T02:11:01Z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42A0CB14BAD34E409BA16B9A357DE2A9_13</vt:lpwstr>
  </property>
  <property fmtid="{D5CDD505-2E9C-101B-9397-08002B2CF9AE}" pid="4" name="KSOTemplateDocerSaveRecord">
    <vt:lpwstr>eyJoZGlkIjoiNjRlYWMwZWVhMjc4ODY1YTZjYjdiY2FkOTE3NDNkNWMiLCJ1c2VySWQiOiI2NjQ3NjQ0MDYifQ==</vt:lpwstr>
  </property>
</Properties>
</file>