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FE772">
      <w:pPr>
        <w:snapToGrid w:val="0"/>
        <w:spacing w:line="540" w:lineRule="exact"/>
        <w:jc w:val="center"/>
        <w:outlineLvl w:val="0"/>
        <w:rPr>
          <w:rFonts w:hint="default" w:ascii="仿宋" w:hAnsi="仿宋" w:eastAsia="仿宋" w:cs="仿宋"/>
          <w:color w:val="auto"/>
          <w:sz w:val="32"/>
          <w:szCs w:val="32"/>
          <w:highlight w:val="none"/>
          <w:lang w:val="en-US" w:eastAsia="zh-CN"/>
        </w:rPr>
      </w:pPr>
      <w:bookmarkStart w:id="26" w:name="_GoBack"/>
      <w:r>
        <w:rPr>
          <w:rFonts w:hint="eastAsia" w:ascii="仿宋" w:hAnsi="仿宋" w:eastAsia="仿宋" w:cs="仿宋"/>
          <w:b/>
          <w:color w:val="auto"/>
          <w:sz w:val="36"/>
          <w:szCs w:val="36"/>
          <w:highlight w:val="none"/>
        </w:rPr>
        <w:t>北京奥林匹克中心区2026年花卉布置项目</w:t>
      </w:r>
      <w:r>
        <w:rPr>
          <w:rFonts w:hint="eastAsia" w:ascii="仿宋" w:hAnsi="仿宋" w:eastAsia="仿宋" w:cs="仿宋"/>
          <w:b/>
          <w:color w:val="auto"/>
          <w:sz w:val="36"/>
          <w:szCs w:val="36"/>
          <w:highlight w:val="none"/>
          <w:lang w:val="en-US" w:eastAsia="zh-CN"/>
        </w:rPr>
        <w:t>公开招标公告</w:t>
      </w:r>
    </w:p>
    <w:bookmarkEnd w:id="26"/>
    <w:p w14:paraId="78ED366D">
      <w:pPr>
        <w:pStyle w:val="2"/>
        <w:snapToGrid w:val="0"/>
        <w:spacing w:before="0" w:line="540" w:lineRule="exact"/>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项目基本情况</w:t>
      </w:r>
    </w:p>
    <w:p w14:paraId="29A50E05">
      <w:pPr>
        <w:snapToGrid w:val="0"/>
        <w:spacing w:line="540" w:lineRule="exact"/>
        <w:ind w:firstLine="480" w:firstLineChars="20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1.项目编号</w:t>
      </w:r>
      <w:r>
        <w:rPr>
          <w:rFonts w:hint="eastAsia" w:ascii="仿宋" w:hAnsi="仿宋" w:eastAsia="仿宋" w:cs="仿宋"/>
          <w:color w:val="auto"/>
          <w:sz w:val="24"/>
          <w:highlight w:val="none"/>
          <w:lang w:val="en-US" w:eastAsia="zh-CN"/>
        </w:rPr>
        <w:t>/包号</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lang w:val="en-US" w:eastAsia="zh-CN"/>
        </w:rPr>
        <w:t>11010526210200028462-XM001/1</w:t>
      </w:r>
    </w:p>
    <w:p w14:paraId="63CCD8BF">
      <w:pPr>
        <w:snapToGrid w:val="0"/>
        <w:spacing w:line="54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2.项目名称：</w:t>
      </w:r>
      <w:r>
        <w:rPr>
          <w:rFonts w:hint="eastAsia" w:ascii="仿宋" w:hAnsi="仿宋" w:eastAsia="仿宋" w:cs="仿宋"/>
          <w:color w:val="auto"/>
          <w:sz w:val="24"/>
          <w:highlight w:val="none"/>
          <w:u w:val="single"/>
          <w:lang w:eastAsia="zh-CN"/>
        </w:rPr>
        <w:t xml:space="preserve"> 北京奥林匹克中心区2026年花卉布置项目</w:t>
      </w:r>
    </w:p>
    <w:p w14:paraId="5DB9B021">
      <w:pPr>
        <w:snapToGrid w:val="0"/>
        <w:spacing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3.项目预算金额：</w:t>
      </w:r>
      <w:r>
        <w:rPr>
          <w:rFonts w:hint="eastAsia" w:ascii="仿宋" w:hAnsi="仿宋" w:eastAsia="仿宋" w:cs="仿宋"/>
          <w:color w:val="auto"/>
          <w:sz w:val="24"/>
          <w:highlight w:val="none"/>
          <w:u w:val="single"/>
        </w:rPr>
        <w:t>446</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55</w:t>
      </w:r>
      <w:r>
        <w:rPr>
          <w:rFonts w:hint="eastAsia" w:ascii="仿宋" w:hAnsi="仿宋" w:eastAsia="仿宋" w:cs="仿宋"/>
          <w:color w:val="auto"/>
          <w:sz w:val="24"/>
          <w:highlight w:val="none"/>
        </w:rPr>
        <w:t>万元、项目最高限价：</w:t>
      </w:r>
      <w:r>
        <w:rPr>
          <w:rFonts w:hint="eastAsia" w:ascii="仿宋" w:hAnsi="仿宋" w:eastAsia="仿宋" w:cs="仿宋"/>
          <w:color w:val="auto"/>
          <w:sz w:val="24"/>
          <w:highlight w:val="none"/>
          <w:u w:val="single"/>
          <w:lang w:val="en-US" w:eastAsia="zh-CN"/>
        </w:rPr>
        <w:t>446.542696</w:t>
      </w:r>
      <w:r>
        <w:rPr>
          <w:rFonts w:hint="eastAsia" w:ascii="仿宋" w:hAnsi="仿宋" w:eastAsia="仿宋" w:cs="仿宋"/>
          <w:color w:val="auto"/>
          <w:sz w:val="24"/>
          <w:highlight w:val="none"/>
        </w:rPr>
        <w:t>万元</w:t>
      </w:r>
    </w:p>
    <w:p w14:paraId="3792E3B5">
      <w:pPr>
        <w:snapToGrid w:val="0"/>
        <w:spacing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4.采购需求：</w:t>
      </w:r>
    </w:p>
    <w:tbl>
      <w:tblPr>
        <w:tblStyle w:val="5"/>
        <w:tblW w:w="9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1618"/>
        <w:gridCol w:w="1512"/>
        <w:gridCol w:w="1513"/>
        <w:gridCol w:w="760"/>
        <w:gridCol w:w="3424"/>
      </w:tblGrid>
      <w:tr w14:paraId="689DC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454" w:type="dxa"/>
            <w:shd w:val="clear" w:color="auto" w:fill="auto"/>
            <w:vAlign w:val="center"/>
          </w:tcPr>
          <w:p w14:paraId="18B55CE1">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包号</w:t>
            </w:r>
          </w:p>
        </w:tc>
        <w:tc>
          <w:tcPr>
            <w:tcW w:w="1618" w:type="dxa"/>
            <w:shd w:val="clear" w:color="auto" w:fill="auto"/>
            <w:vAlign w:val="center"/>
          </w:tcPr>
          <w:p w14:paraId="49C6C660">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标的名称</w:t>
            </w:r>
          </w:p>
        </w:tc>
        <w:tc>
          <w:tcPr>
            <w:tcW w:w="1512" w:type="dxa"/>
            <w:shd w:val="clear" w:color="auto" w:fill="auto"/>
            <w:vAlign w:val="center"/>
          </w:tcPr>
          <w:p w14:paraId="2581D02C">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包预算金额</w:t>
            </w:r>
          </w:p>
          <w:p w14:paraId="5089BAA8">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513" w:type="dxa"/>
            <w:shd w:val="clear" w:color="auto" w:fill="auto"/>
            <w:vAlign w:val="center"/>
          </w:tcPr>
          <w:p w14:paraId="1AF59369">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包</w:t>
            </w:r>
            <w:r>
              <w:rPr>
                <w:rFonts w:hint="eastAsia" w:ascii="仿宋" w:hAnsi="仿宋" w:eastAsia="仿宋" w:cs="仿宋"/>
                <w:color w:val="auto"/>
                <w:kern w:val="0"/>
                <w:sz w:val="24"/>
                <w:szCs w:val="24"/>
                <w:highlight w:val="none"/>
                <w:lang w:val="en-US" w:eastAsia="zh-CN"/>
              </w:rPr>
              <w:t>最高限价</w:t>
            </w:r>
          </w:p>
          <w:p w14:paraId="7934A1BB">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760" w:type="dxa"/>
            <w:shd w:val="clear" w:color="auto" w:fill="auto"/>
            <w:vAlign w:val="center"/>
          </w:tcPr>
          <w:p w14:paraId="1883BD36">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数量</w:t>
            </w:r>
          </w:p>
        </w:tc>
        <w:tc>
          <w:tcPr>
            <w:tcW w:w="3424" w:type="dxa"/>
            <w:shd w:val="clear" w:color="auto" w:fill="auto"/>
            <w:vAlign w:val="center"/>
          </w:tcPr>
          <w:p w14:paraId="09D54368">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简要技术需求或服务要求</w:t>
            </w:r>
          </w:p>
        </w:tc>
      </w:tr>
      <w:tr w14:paraId="28A03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4" w:type="dxa"/>
            <w:shd w:val="clear" w:color="auto" w:fill="auto"/>
            <w:vAlign w:val="center"/>
          </w:tcPr>
          <w:p w14:paraId="607D1E73">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618" w:type="dxa"/>
            <w:shd w:val="clear" w:color="auto" w:fill="auto"/>
            <w:vAlign w:val="center"/>
          </w:tcPr>
          <w:p w14:paraId="22F192BE">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highlight w:val="none"/>
                <w:u w:val="single"/>
                <w:lang w:eastAsia="zh-CN"/>
              </w:rPr>
              <w:t>花卉布置</w:t>
            </w:r>
          </w:p>
        </w:tc>
        <w:tc>
          <w:tcPr>
            <w:tcW w:w="1512" w:type="dxa"/>
            <w:shd w:val="clear" w:color="auto" w:fill="auto"/>
            <w:vAlign w:val="center"/>
          </w:tcPr>
          <w:p w14:paraId="04B83B21">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rPr>
            </w:pPr>
            <w:r>
              <w:rPr>
                <w:rFonts w:hint="eastAsia" w:ascii="仿宋" w:hAnsi="仿宋" w:eastAsia="仿宋" w:cs="仿宋"/>
                <w:color w:val="auto"/>
                <w:sz w:val="24"/>
                <w:highlight w:val="none"/>
                <w:u w:val="single"/>
              </w:rPr>
              <w:t>446</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55</w:t>
            </w:r>
          </w:p>
        </w:tc>
        <w:tc>
          <w:tcPr>
            <w:tcW w:w="1513" w:type="dxa"/>
            <w:shd w:val="clear" w:color="auto" w:fill="auto"/>
            <w:vAlign w:val="center"/>
          </w:tcPr>
          <w:p w14:paraId="46EE2AD2">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highlight w:val="none"/>
                <w:u w:val="single"/>
              </w:rPr>
              <w:t>446</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542696</w:t>
            </w:r>
          </w:p>
        </w:tc>
        <w:tc>
          <w:tcPr>
            <w:tcW w:w="760" w:type="dxa"/>
            <w:shd w:val="clear" w:color="auto" w:fill="auto"/>
            <w:vAlign w:val="center"/>
          </w:tcPr>
          <w:p w14:paraId="5DAFE05E">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1项</w:t>
            </w:r>
          </w:p>
        </w:tc>
        <w:tc>
          <w:tcPr>
            <w:tcW w:w="3424" w:type="dxa"/>
            <w:shd w:val="clear" w:color="auto" w:fill="auto"/>
            <w:vAlign w:val="center"/>
          </w:tcPr>
          <w:p w14:paraId="5E9E6822">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u w:val="none"/>
                <w:lang w:val="en-US" w:eastAsia="zh-CN"/>
              </w:rPr>
              <w:t>为营造靓丽美观的园区环境，北京奥林匹克中心区管理委员会计划于近期开展</w:t>
            </w:r>
            <w:r>
              <w:rPr>
                <w:rFonts w:hint="eastAsia" w:ascii="仿宋" w:hAnsi="仿宋" w:eastAsia="仿宋" w:cs="仿宋"/>
                <w:color w:val="auto"/>
                <w:sz w:val="24"/>
                <w:highlight w:val="none"/>
                <w:u w:val="none"/>
                <w:lang w:eastAsia="zh-CN"/>
              </w:rPr>
              <w:t xml:space="preserve"> 2026年花卉布置</w:t>
            </w:r>
            <w:r>
              <w:rPr>
                <w:rFonts w:hint="eastAsia" w:ascii="仿宋" w:hAnsi="仿宋" w:eastAsia="仿宋" w:cs="仿宋"/>
                <w:color w:val="auto"/>
                <w:kern w:val="0"/>
                <w:sz w:val="24"/>
                <w:szCs w:val="24"/>
                <w:highlight w:val="none"/>
                <w:u w:val="none"/>
                <w:lang w:val="en-US" w:eastAsia="zh-CN"/>
              </w:rPr>
              <w:t>工作等</w:t>
            </w:r>
          </w:p>
        </w:tc>
      </w:tr>
    </w:tbl>
    <w:p w14:paraId="219D87C9">
      <w:pPr>
        <w:tabs>
          <w:tab w:val="left" w:pos="2014"/>
        </w:tabs>
        <w:snapToGrid w:val="0"/>
        <w:spacing w:line="540" w:lineRule="exact"/>
        <w:ind w:firstLine="480" w:firstLineChars="200"/>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5.合同履行期限：</w:t>
      </w:r>
      <w:r>
        <w:rPr>
          <w:rFonts w:hint="eastAsia" w:ascii="仿宋" w:hAnsi="仿宋" w:eastAsia="仿宋" w:cs="仿宋"/>
          <w:color w:val="auto"/>
          <w:sz w:val="24"/>
          <w:highlight w:val="none"/>
          <w:u w:val="single"/>
        </w:rPr>
        <w:t>花卉布置项目开工时间为2026年4月</w:t>
      </w:r>
      <w:r>
        <w:rPr>
          <w:rFonts w:hint="eastAsia" w:ascii="仿宋" w:hAnsi="仿宋" w:eastAsia="仿宋" w:cs="仿宋"/>
          <w:color w:val="auto"/>
          <w:sz w:val="24"/>
          <w:highlight w:val="none"/>
          <w:u w:val="single"/>
          <w:lang w:eastAsia="zh-CN"/>
        </w:rPr>
        <w:t>中旬</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single"/>
          <w:lang w:eastAsia="zh-CN"/>
        </w:rPr>
        <w:t>补植</w:t>
      </w:r>
      <w:r>
        <w:rPr>
          <w:rFonts w:hint="eastAsia" w:ascii="仿宋" w:hAnsi="仿宋" w:eastAsia="仿宋" w:cs="仿宋"/>
          <w:color w:val="auto"/>
          <w:sz w:val="24"/>
          <w:highlight w:val="none"/>
          <w:u w:val="single"/>
        </w:rPr>
        <w:t>应在2026年</w:t>
      </w:r>
      <w:r>
        <w:rPr>
          <w:rFonts w:hint="eastAsia" w:ascii="仿宋" w:hAnsi="仿宋" w:eastAsia="仿宋" w:cs="仿宋"/>
          <w:color w:val="auto"/>
          <w:sz w:val="24"/>
          <w:highlight w:val="none"/>
          <w:u w:val="single"/>
          <w:lang w:val="en-US" w:eastAsia="zh-CN"/>
        </w:rPr>
        <w:t>8</w:t>
      </w:r>
      <w:r>
        <w:rPr>
          <w:rFonts w:hint="eastAsia" w:ascii="仿宋" w:hAnsi="仿宋" w:eastAsia="仿宋" w:cs="仿宋"/>
          <w:color w:val="auto"/>
          <w:sz w:val="24"/>
          <w:highlight w:val="none"/>
          <w:u w:val="single"/>
        </w:rPr>
        <w:t>月3</w:t>
      </w:r>
      <w:r>
        <w:rPr>
          <w:rFonts w:hint="eastAsia" w:ascii="仿宋" w:hAnsi="仿宋" w:eastAsia="仿宋" w:cs="仿宋"/>
          <w:color w:val="auto"/>
          <w:sz w:val="24"/>
          <w:highlight w:val="none"/>
          <w:u w:val="single"/>
          <w:lang w:val="en-US" w:eastAsia="zh-CN"/>
        </w:rPr>
        <w:t>1</w:t>
      </w:r>
      <w:r>
        <w:rPr>
          <w:rFonts w:hint="eastAsia" w:ascii="仿宋" w:hAnsi="仿宋" w:eastAsia="仿宋" w:cs="仿宋"/>
          <w:color w:val="auto"/>
          <w:sz w:val="24"/>
          <w:highlight w:val="none"/>
          <w:u w:val="single"/>
        </w:rPr>
        <w:t>日前完成；维养期自</w:t>
      </w:r>
      <w:r>
        <w:rPr>
          <w:rFonts w:hint="eastAsia" w:ascii="仿宋" w:hAnsi="仿宋" w:eastAsia="仿宋" w:cs="仿宋"/>
          <w:color w:val="auto"/>
          <w:sz w:val="24"/>
          <w:highlight w:val="none"/>
          <w:u w:val="single"/>
          <w:lang w:val="en-US" w:eastAsia="zh-CN"/>
        </w:rPr>
        <w:t>2026年4月</w:t>
      </w:r>
      <w:r>
        <w:rPr>
          <w:rFonts w:hint="eastAsia" w:ascii="仿宋" w:hAnsi="仿宋" w:eastAsia="仿宋" w:cs="仿宋"/>
          <w:color w:val="auto"/>
          <w:sz w:val="24"/>
          <w:highlight w:val="none"/>
          <w:u w:val="single"/>
        </w:rPr>
        <w:t>至2026年11月底（其中花箱防寒维护期至2027年4月30日），具体时间以</w:t>
      </w:r>
      <w:r>
        <w:rPr>
          <w:rFonts w:hint="eastAsia" w:ascii="仿宋" w:hAnsi="仿宋" w:eastAsia="仿宋" w:cs="仿宋"/>
          <w:color w:val="auto"/>
          <w:sz w:val="24"/>
          <w:highlight w:val="none"/>
          <w:u w:val="single"/>
          <w:lang w:eastAsia="zh-CN"/>
        </w:rPr>
        <w:t>采购人</w:t>
      </w:r>
      <w:r>
        <w:rPr>
          <w:rFonts w:hint="eastAsia" w:ascii="仿宋" w:hAnsi="仿宋" w:eastAsia="仿宋" w:cs="仿宋"/>
          <w:color w:val="auto"/>
          <w:sz w:val="24"/>
          <w:highlight w:val="none"/>
          <w:u w:val="single"/>
        </w:rPr>
        <w:t>要求为准。</w:t>
      </w:r>
    </w:p>
    <w:p w14:paraId="6B93537E">
      <w:pPr>
        <w:snapToGrid w:val="0"/>
        <w:spacing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6.本项目是否接受联合体投标：□是  ■否。</w:t>
      </w:r>
    </w:p>
    <w:p w14:paraId="2277862C">
      <w:pPr>
        <w:pStyle w:val="2"/>
        <w:snapToGrid w:val="0"/>
        <w:spacing w:before="0" w:line="540" w:lineRule="exact"/>
        <w:jc w:val="left"/>
        <w:rPr>
          <w:rFonts w:hint="eastAsia" w:ascii="仿宋" w:hAnsi="仿宋" w:eastAsia="仿宋" w:cs="仿宋"/>
          <w:color w:val="auto"/>
          <w:sz w:val="24"/>
          <w:szCs w:val="24"/>
          <w:highlight w:val="none"/>
        </w:rPr>
      </w:pPr>
      <w:bookmarkStart w:id="0" w:name="_Toc35393622"/>
      <w:bookmarkStart w:id="1" w:name="_Toc28359003"/>
      <w:bookmarkStart w:id="2" w:name="_Toc28359080"/>
      <w:bookmarkStart w:id="3" w:name="_Toc35393791"/>
      <w:r>
        <w:rPr>
          <w:rFonts w:hint="eastAsia" w:ascii="仿宋" w:hAnsi="仿宋" w:eastAsia="仿宋" w:cs="仿宋"/>
          <w:color w:val="auto"/>
          <w:sz w:val="24"/>
          <w:szCs w:val="24"/>
          <w:highlight w:val="none"/>
        </w:rPr>
        <w:t>二、申请人的资格要求（须同时满足）</w:t>
      </w:r>
      <w:bookmarkEnd w:id="0"/>
      <w:bookmarkEnd w:id="1"/>
      <w:bookmarkEnd w:id="2"/>
      <w:bookmarkEnd w:id="3"/>
    </w:p>
    <w:p w14:paraId="220B96CE">
      <w:pPr>
        <w:snapToGrid w:val="0"/>
        <w:spacing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1.满足《中华人民共和国政府采购法》第二十二条规定；</w:t>
      </w:r>
    </w:p>
    <w:p w14:paraId="0DDE2E3E">
      <w:pPr>
        <w:snapToGrid w:val="0"/>
        <w:spacing w:line="540" w:lineRule="exact"/>
        <w:ind w:firstLine="480" w:firstLineChars="200"/>
        <w:rPr>
          <w:rFonts w:hint="eastAsia" w:ascii="仿宋" w:hAnsi="仿宋" w:eastAsia="仿宋" w:cs="仿宋"/>
          <w:color w:val="auto"/>
          <w:sz w:val="24"/>
          <w:highlight w:val="none"/>
        </w:rPr>
      </w:pPr>
      <w:bookmarkStart w:id="4" w:name="_Toc28359081"/>
      <w:bookmarkStart w:id="5" w:name="_Toc28359004"/>
      <w:r>
        <w:rPr>
          <w:rFonts w:hint="eastAsia" w:ascii="仿宋" w:hAnsi="仿宋" w:eastAsia="仿宋" w:cs="仿宋"/>
          <w:color w:val="auto"/>
          <w:sz w:val="24"/>
          <w:highlight w:val="none"/>
        </w:rPr>
        <w:t>2.落实政府采购政策需满足的资格要求：</w:t>
      </w:r>
    </w:p>
    <w:p w14:paraId="548943A3">
      <w:pPr>
        <w:snapToGrid w:val="0"/>
        <w:spacing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 中小企业政策</w:t>
      </w:r>
    </w:p>
    <w:p w14:paraId="3939776F">
      <w:pPr>
        <w:snapToGrid w:val="0"/>
        <w:spacing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□本项目不专门面向中小企业预留采购份额。</w:t>
      </w:r>
    </w:p>
    <w:p w14:paraId="60421CA8">
      <w:pPr>
        <w:snapToGrid w:val="0"/>
        <w:spacing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■本项目专门面向</w:t>
      </w:r>
      <w:r>
        <w:rPr>
          <w:rFonts w:hint="eastAsia" w:ascii="仿宋" w:hAnsi="仿宋" w:eastAsia="仿宋" w:cs="仿宋"/>
          <w:color w:val="auto"/>
          <w:sz w:val="24"/>
          <w:highlight w:val="none"/>
          <w:lang w:val="en-US" w:eastAsia="zh-CN"/>
        </w:rPr>
        <w:t>小微</w:t>
      </w:r>
      <w:r>
        <w:rPr>
          <w:rFonts w:hint="eastAsia" w:ascii="仿宋" w:hAnsi="仿宋" w:eastAsia="仿宋" w:cs="仿宋"/>
          <w:color w:val="auto"/>
          <w:sz w:val="24"/>
          <w:highlight w:val="none"/>
        </w:rPr>
        <w:t>企业采购。</w:t>
      </w:r>
    </w:p>
    <w:p w14:paraId="7085A4AE">
      <w:pPr>
        <w:snapToGrid w:val="0"/>
        <w:spacing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即：提供的服务全部由符合政策要求的</w:t>
      </w:r>
      <w:r>
        <w:rPr>
          <w:rFonts w:hint="eastAsia" w:ascii="仿宋" w:hAnsi="仿宋" w:eastAsia="仿宋" w:cs="仿宋"/>
          <w:color w:val="auto"/>
          <w:sz w:val="24"/>
          <w:highlight w:val="none"/>
          <w:lang w:val="en-US" w:eastAsia="zh-CN"/>
        </w:rPr>
        <w:t>小微</w:t>
      </w:r>
      <w:r>
        <w:rPr>
          <w:rFonts w:hint="eastAsia" w:ascii="仿宋" w:hAnsi="仿宋" w:eastAsia="仿宋" w:cs="仿宋"/>
          <w:color w:val="auto"/>
          <w:sz w:val="24"/>
          <w:highlight w:val="none"/>
        </w:rPr>
        <w:t>企业承接。</w:t>
      </w:r>
    </w:p>
    <w:p w14:paraId="7FF74B8F">
      <w:pPr>
        <w:snapToGrid w:val="0"/>
        <w:spacing w:line="54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w:t>
      </w:r>
    </w:p>
    <w:p w14:paraId="72BC67AC">
      <w:pPr>
        <w:snapToGrid w:val="0"/>
        <w:spacing w:line="54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2.2 其它落实政府采购政策的资格要求（如有）：</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w:t>
      </w:r>
    </w:p>
    <w:p w14:paraId="1D88A6B8">
      <w:pPr>
        <w:snapToGrid w:val="0"/>
        <w:spacing w:line="540" w:lineRule="exact"/>
        <w:ind w:firstLine="480" w:firstLineChars="200"/>
        <w:rPr>
          <w:rFonts w:hint="eastAsia" w:ascii="仿宋" w:hAnsi="仿宋" w:eastAsia="仿宋" w:cs="仿宋"/>
          <w:i/>
          <w:iCs/>
          <w:color w:val="auto"/>
          <w:sz w:val="24"/>
          <w:highlight w:val="none"/>
          <w:u w:val="single"/>
        </w:rPr>
      </w:pPr>
      <w:r>
        <w:rPr>
          <w:rFonts w:hint="eastAsia" w:ascii="仿宋" w:hAnsi="仿宋" w:eastAsia="仿宋" w:cs="仿宋"/>
          <w:color w:val="auto"/>
          <w:sz w:val="24"/>
          <w:highlight w:val="none"/>
        </w:rPr>
        <w:t>3.本项目的特定资格要求：</w:t>
      </w:r>
    </w:p>
    <w:p w14:paraId="5AB05580">
      <w:pPr>
        <w:tabs>
          <w:tab w:val="left" w:pos="900"/>
          <w:tab w:val="left" w:pos="1134"/>
          <w:tab w:val="left" w:pos="1589"/>
          <w:tab w:val="left" w:pos="5521"/>
        </w:tabs>
        <w:snapToGrid w:val="0"/>
        <w:spacing w:line="540" w:lineRule="exact"/>
        <w:ind w:firstLine="480" w:firstLineChars="200"/>
        <w:rPr>
          <w:rFonts w:hint="eastAsia" w:ascii="仿宋" w:hAnsi="仿宋" w:eastAsia="仿宋" w:cs="仿宋"/>
          <w:i/>
          <w:color w:val="auto"/>
          <w:sz w:val="24"/>
          <w:highlight w:val="none"/>
        </w:rPr>
      </w:pPr>
      <w:r>
        <w:rPr>
          <w:rFonts w:hint="eastAsia" w:ascii="仿宋" w:hAnsi="仿宋" w:eastAsia="仿宋" w:cs="仿宋"/>
          <w:color w:val="auto"/>
          <w:sz w:val="24"/>
          <w:highlight w:val="none"/>
        </w:rPr>
        <w:t>3.1本项目是否接受分支机构参与投标：□是   ■否；</w:t>
      </w:r>
    </w:p>
    <w:p w14:paraId="79D9757A">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3.2本项目是否属于政府购买服务：</w:t>
      </w:r>
    </w:p>
    <w:p w14:paraId="4ADB6567">
      <w:pPr>
        <w:tabs>
          <w:tab w:val="left" w:pos="900"/>
          <w:tab w:val="left" w:pos="1134"/>
          <w:tab w:val="left" w:pos="1589"/>
          <w:tab w:val="left" w:pos="5521"/>
        </w:tabs>
        <w:snapToGrid w:val="0"/>
        <w:spacing w:line="540" w:lineRule="exact"/>
        <w:ind w:left="991" w:leftChars="472" w:firstLine="2"/>
        <w:rPr>
          <w:rFonts w:hint="eastAsia" w:ascii="仿宋" w:hAnsi="仿宋" w:eastAsia="仿宋" w:cs="仿宋"/>
          <w:color w:val="auto"/>
          <w:sz w:val="24"/>
          <w:highlight w:val="none"/>
        </w:rPr>
      </w:pPr>
      <w:r>
        <w:rPr>
          <w:rFonts w:hint="eastAsia" w:ascii="仿宋" w:hAnsi="仿宋" w:eastAsia="仿宋" w:cs="仿宋"/>
          <w:color w:val="auto"/>
          <w:sz w:val="24"/>
          <w:highlight w:val="none"/>
        </w:rPr>
        <w:t>□否</w:t>
      </w:r>
    </w:p>
    <w:p w14:paraId="14C9FC0A">
      <w:pPr>
        <w:tabs>
          <w:tab w:val="left" w:pos="900"/>
          <w:tab w:val="left" w:pos="1134"/>
          <w:tab w:val="left" w:pos="1589"/>
          <w:tab w:val="left" w:pos="5521"/>
        </w:tabs>
        <w:snapToGrid w:val="0"/>
        <w:spacing w:line="540" w:lineRule="exact"/>
        <w:ind w:left="991" w:leftChars="472" w:firstLine="2"/>
        <w:rPr>
          <w:rFonts w:hint="eastAsia" w:ascii="仿宋" w:hAnsi="仿宋" w:eastAsia="仿宋" w:cs="仿宋"/>
          <w:color w:val="auto"/>
          <w:sz w:val="24"/>
          <w:highlight w:val="none"/>
        </w:rPr>
      </w:pPr>
      <w:r>
        <w:rPr>
          <w:rFonts w:hint="eastAsia" w:ascii="仿宋" w:hAnsi="仿宋" w:eastAsia="仿宋" w:cs="仿宋"/>
          <w:color w:val="auto"/>
          <w:sz w:val="24"/>
          <w:highlight w:val="none"/>
        </w:rPr>
        <w:t>■是，公益一类事业单位、使用事业编制且由财政拨款保障的群团组织，不得作为承接主体；</w:t>
      </w:r>
    </w:p>
    <w:p w14:paraId="08F5FA59">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3.3其他特定资格要求：</w:t>
      </w:r>
    </w:p>
    <w:p w14:paraId="00B03804">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highlight w:val="none"/>
          <w:u w:val="none"/>
          <w:lang w:eastAsia="zh-CN"/>
        </w:rPr>
      </w:pPr>
      <w:r>
        <w:rPr>
          <w:rFonts w:hint="eastAsia" w:ascii="仿宋" w:hAnsi="仿宋" w:eastAsia="仿宋" w:cs="仿宋"/>
          <w:color w:val="auto"/>
          <w:sz w:val="24"/>
          <w:highlight w:val="none"/>
          <w:u w:val="none"/>
          <w:lang w:val="en-US" w:eastAsia="zh-CN"/>
        </w:rPr>
        <w:t>3.3.1</w:t>
      </w:r>
      <w:r>
        <w:rPr>
          <w:rFonts w:hint="eastAsia" w:ascii="仿宋" w:hAnsi="仿宋" w:eastAsia="仿宋" w:cs="仿宋"/>
          <w:color w:val="auto"/>
          <w:sz w:val="24"/>
          <w:highlight w:val="none"/>
          <w:u w:val="none"/>
          <w:lang w:eastAsia="zh-CN"/>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信用信息截止时点为开标当日；</w:t>
      </w:r>
    </w:p>
    <w:p w14:paraId="13E39A9F">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3.3.2投标人应符合中华人民共和国财政部令第102号《政府购买服务管理办法》的第六条：依法成立的企业、社会组织（不含由财政拨款保障的群团组织），公益二类和从事生产经营活动的事业单位，农村集体经济组织，基层群众性自治组织，以及具备条件的个人可以作为政府购买服务的承接主体的规定；</w:t>
      </w:r>
    </w:p>
    <w:p w14:paraId="6604C58C">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highlight w:val="none"/>
          <w:u w:val="none"/>
          <w:lang w:eastAsia="zh-CN"/>
        </w:rPr>
      </w:pPr>
      <w:r>
        <w:rPr>
          <w:rFonts w:hint="eastAsia" w:ascii="仿宋" w:hAnsi="仿宋" w:eastAsia="仿宋" w:cs="仿宋"/>
          <w:color w:val="auto"/>
          <w:sz w:val="24"/>
          <w:highlight w:val="none"/>
          <w:u w:val="none"/>
          <w:lang w:val="en-US" w:eastAsia="zh-CN"/>
        </w:rPr>
        <w:t>3.3.3投标人应符合中华人民共和国财政部令第102号《政府购买服务管理办法》的第八条：公益一类事业单位、使用事业编制且由财政拨款保障的群团组织，不作为政府购买服务的购买主体和承接主体的规定；</w:t>
      </w:r>
    </w:p>
    <w:p w14:paraId="48E67D1B">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3.3.4单位负责人为同一人或者存在直接控股、管理关系的不同供应商，不得参加同一合同项下的政府采购活动;</w:t>
      </w:r>
    </w:p>
    <w:p w14:paraId="54F2684E">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3.3.5为采购项目提供整体设计、规范编制或者项目管理、监理、检测等服务的供应商，不得再参加该采购项目的其他采购活动;</w:t>
      </w:r>
    </w:p>
    <w:p w14:paraId="3657E9B9">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3.3.6投标人应获取本项目招标文件。</w:t>
      </w:r>
    </w:p>
    <w:bookmarkEnd w:id="4"/>
    <w:bookmarkEnd w:id="5"/>
    <w:p w14:paraId="47CCEFBA">
      <w:pPr>
        <w:pStyle w:val="2"/>
        <w:widowControl/>
        <w:snapToGrid w:val="0"/>
        <w:spacing w:before="0" w:line="540" w:lineRule="exact"/>
        <w:jc w:val="left"/>
        <w:rPr>
          <w:rFonts w:hint="eastAsia" w:ascii="仿宋" w:hAnsi="仿宋" w:eastAsia="仿宋" w:cs="仿宋"/>
          <w:color w:val="auto"/>
          <w:sz w:val="24"/>
          <w:szCs w:val="24"/>
          <w:highlight w:val="none"/>
        </w:rPr>
      </w:pPr>
      <w:bookmarkStart w:id="6" w:name="_Toc35393792"/>
      <w:bookmarkStart w:id="7" w:name="_Toc35393623"/>
      <w:r>
        <w:rPr>
          <w:rFonts w:hint="eastAsia" w:ascii="仿宋" w:hAnsi="仿宋" w:eastAsia="仿宋" w:cs="仿宋"/>
          <w:color w:val="auto"/>
          <w:sz w:val="24"/>
          <w:szCs w:val="24"/>
          <w:highlight w:val="none"/>
        </w:rPr>
        <w:t>三、获取招标文件</w:t>
      </w:r>
      <w:bookmarkEnd w:id="6"/>
      <w:bookmarkEnd w:id="7"/>
    </w:p>
    <w:p w14:paraId="29409376">
      <w:pPr>
        <w:adjustRightInd w:val="0"/>
        <w:snapToGrid w:val="0"/>
        <w:spacing w:line="540" w:lineRule="exact"/>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1.时间：</w:t>
      </w:r>
      <w:r>
        <w:rPr>
          <w:rFonts w:hint="eastAsia" w:ascii="仿宋" w:hAnsi="仿宋" w:eastAsia="仿宋" w:cs="仿宋"/>
          <w:color w:val="auto"/>
          <w:sz w:val="24"/>
          <w:highlight w:val="none"/>
          <w:lang w:eastAsia="zh-CN" w:bidi="ar"/>
        </w:rPr>
        <w:t>2026年</w:t>
      </w:r>
      <w:r>
        <w:rPr>
          <w:rFonts w:hint="eastAsia" w:ascii="仿宋" w:hAnsi="仿宋" w:eastAsia="仿宋" w:cs="仿宋"/>
          <w:color w:val="auto"/>
          <w:sz w:val="24"/>
          <w:highlight w:val="none"/>
          <w:lang w:val="en-US" w:eastAsia="zh-CN" w:bidi="ar"/>
        </w:rPr>
        <w:t>3</w:t>
      </w:r>
      <w:r>
        <w:rPr>
          <w:rFonts w:hint="eastAsia" w:ascii="仿宋" w:hAnsi="仿宋" w:eastAsia="仿宋" w:cs="仿宋"/>
          <w:color w:val="auto"/>
          <w:sz w:val="24"/>
          <w:highlight w:val="none"/>
          <w:lang w:bidi="ar"/>
        </w:rPr>
        <w:t>月</w:t>
      </w:r>
      <w:r>
        <w:rPr>
          <w:rFonts w:hint="eastAsia" w:ascii="仿宋" w:hAnsi="仿宋" w:eastAsia="仿宋" w:cs="仿宋"/>
          <w:color w:val="auto"/>
          <w:sz w:val="24"/>
          <w:highlight w:val="none"/>
          <w:lang w:val="en-US" w:eastAsia="zh-CN" w:bidi="ar"/>
        </w:rPr>
        <w:t>26</w:t>
      </w:r>
      <w:r>
        <w:rPr>
          <w:rFonts w:hint="eastAsia" w:ascii="仿宋" w:hAnsi="仿宋" w:eastAsia="仿宋" w:cs="仿宋"/>
          <w:color w:val="auto"/>
          <w:sz w:val="24"/>
          <w:highlight w:val="none"/>
          <w:lang w:bidi="ar"/>
        </w:rPr>
        <w:t>日至</w:t>
      </w:r>
      <w:r>
        <w:rPr>
          <w:rFonts w:hint="eastAsia" w:ascii="仿宋" w:hAnsi="仿宋" w:eastAsia="仿宋" w:cs="仿宋"/>
          <w:color w:val="auto"/>
          <w:sz w:val="24"/>
          <w:highlight w:val="none"/>
          <w:lang w:eastAsia="zh-CN" w:bidi="ar"/>
        </w:rPr>
        <w:t>2026年</w:t>
      </w:r>
      <w:r>
        <w:rPr>
          <w:rFonts w:hint="eastAsia" w:ascii="仿宋" w:hAnsi="仿宋" w:eastAsia="仿宋" w:cs="仿宋"/>
          <w:color w:val="auto"/>
          <w:sz w:val="24"/>
          <w:highlight w:val="none"/>
          <w:lang w:val="en-US" w:eastAsia="zh-CN" w:bidi="ar"/>
        </w:rPr>
        <w:t>4</w:t>
      </w:r>
      <w:r>
        <w:rPr>
          <w:rFonts w:hint="eastAsia" w:ascii="仿宋" w:hAnsi="仿宋" w:eastAsia="仿宋" w:cs="仿宋"/>
          <w:color w:val="auto"/>
          <w:sz w:val="24"/>
          <w:highlight w:val="none"/>
          <w:lang w:bidi="ar"/>
        </w:rPr>
        <w:t>月</w:t>
      </w:r>
      <w:r>
        <w:rPr>
          <w:rFonts w:hint="eastAsia" w:ascii="仿宋" w:hAnsi="仿宋" w:eastAsia="仿宋" w:cs="仿宋"/>
          <w:color w:val="auto"/>
          <w:sz w:val="24"/>
          <w:highlight w:val="none"/>
          <w:lang w:val="en-US" w:eastAsia="zh-CN" w:bidi="ar"/>
        </w:rPr>
        <w:t>1</w:t>
      </w:r>
      <w:r>
        <w:rPr>
          <w:rFonts w:hint="eastAsia" w:ascii="仿宋" w:hAnsi="仿宋" w:eastAsia="仿宋" w:cs="仿宋"/>
          <w:color w:val="auto"/>
          <w:sz w:val="24"/>
          <w:highlight w:val="none"/>
          <w:lang w:bidi="ar"/>
        </w:rPr>
        <w:t>日，每天上午9:00至11:30，下午13：00至16:00（北京时间，法定节假日除外）。</w:t>
      </w:r>
    </w:p>
    <w:p w14:paraId="27214D8D">
      <w:pPr>
        <w:adjustRightInd w:val="0"/>
        <w:snapToGrid w:val="0"/>
        <w:spacing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2.地点：北京市政府采购电子交易平台</w:t>
      </w:r>
    </w:p>
    <w:p w14:paraId="63E9BD17">
      <w:pPr>
        <w:widowControl/>
        <w:adjustRightInd w:val="0"/>
        <w:snapToGrid w:val="0"/>
        <w:spacing w:line="540" w:lineRule="exact"/>
        <w:ind w:firstLine="480" w:firstLineChars="200"/>
        <w:jc w:val="left"/>
        <w:rPr>
          <w:rFonts w:hint="eastAsia" w:ascii="仿宋" w:hAnsi="仿宋" w:eastAsia="仿宋" w:cs="仿宋"/>
          <w:b/>
          <w:bCs/>
          <w:color w:val="auto"/>
          <w:sz w:val="24"/>
          <w:highlight w:val="none"/>
          <w:lang w:bidi="ar"/>
        </w:rPr>
      </w:pPr>
      <w:r>
        <w:rPr>
          <w:rFonts w:hint="eastAsia" w:ascii="仿宋" w:hAnsi="仿宋" w:eastAsia="仿宋" w:cs="仿宋"/>
          <w:color w:val="auto"/>
          <w:sz w:val="24"/>
          <w:highlight w:val="none"/>
          <w:lang w:bidi="ar"/>
        </w:rPr>
        <w:t>3.方式：供应商使用CA数字证书或电子营业执照登录北京市政府采购电子交易平台（http://zbcg-bjzc.zhongcy.com/bjczj-portal-site/index.html#/home）获取电子版招标文件。</w:t>
      </w:r>
    </w:p>
    <w:p w14:paraId="57A9736E">
      <w:pPr>
        <w:widowControl/>
        <w:adjustRightInd w:val="0"/>
        <w:snapToGrid w:val="0"/>
        <w:spacing w:line="5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4.售价：0元。</w:t>
      </w:r>
    </w:p>
    <w:p w14:paraId="20A592A7">
      <w:pPr>
        <w:pStyle w:val="2"/>
        <w:widowControl/>
        <w:snapToGrid w:val="0"/>
        <w:spacing w:before="0" w:line="540" w:lineRule="exact"/>
        <w:jc w:val="left"/>
        <w:rPr>
          <w:rFonts w:hint="eastAsia" w:ascii="仿宋" w:hAnsi="仿宋" w:eastAsia="仿宋" w:cs="仿宋"/>
          <w:color w:val="auto"/>
          <w:sz w:val="24"/>
          <w:szCs w:val="24"/>
          <w:highlight w:val="none"/>
        </w:rPr>
      </w:pPr>
      <w:bookmarkStart w:id="8" w:name="_Toc28359005"/>
      <w:bookmarkStart w:id="9" w:name="_Toc28359082"/>
      <w:bookmarkStart w:id="10" w:name="_Toc35393793"/>
      <w:bookmarkStart w:id="11" w:name="_Toc35393624"/>
      <w:r>
        <w:rPr>
          <w:rFonts w:hint="eastAsia" w:ascii="仿宋" w:hAnsi="仿宋" w:eastAsia="仿宋" w:cs="仿宋"/>
          <w:color w:val="auto"/>
          <w:sz w:val="24"/>
          <w:szCs w:val="24"/>
          <w:highlight w:val="none"/>
        </w:rPr>
        <w:t>四、提交投标文件</w:t>
      </w:r>
      <w:bookmarkEnd w:id="8"/>
      <w:bookmarkEnd w:id="9"/>
      <w:r>
        <w:rPr>
          <w:rFonts w:hint="eastAsia" w:ascii="仿宋" w:hAnsi="仿宋" w:eastAsia="仿宋" w:cs="仿宋"/>
          <w:color w:val="auto"/>
          <w:sz w:val="24"/>
          <w:szCs w:val="24"/>
          <w:highlight w:val="none"/>
        </w:rPr>
        <w:t>截止时间、开标时间和地点</w:t>
      </w:r>
      <w:bookmarkEnd w:id="10"/>
      <w:bookmarkEnd w:id="11"/>
    </w:p>
    <w:p w14:paraId="64B54C6E">
      <w:pPr>
        <w:snapToGrid w:val="0"/>
        <w:spacing w:line="540" w:lineRule="exact"/>
        <w:ind w:firstLine="480" w:firstLineChars="200"/>
        <w:rPr>
          <w:rFonts w:hint="eastAsia" w:ascii="仿宋" w:hAnsi="仿宋" w:eastAsia="仿宋" w:cs="仿宋"/>
          <w:bCs/>
          <w:color w:val="auto"/>
          <w:sz w:val="24"/>
          <w:highlight w:val="none"/>
          <w:u w:val="single"/>
        </w:rPr>
      </w:pPr>
      <w:r>
        <w:rPr>
          <w:rFonts w:hint="eastAsia" w:ascii="仿宋" w:hAnsi="仿宋" w:eastAsia="仿宋" w:cs="仿宋"/>
          <w:color w:val="auto"/>
          <w:sz w:val="24"/>
          <w:highlight w:val="none"/>
          <w:lang w:bidi="ar"/>
        </w:rPr>
        <w:t>投标截止时间、开标时间：</w:t>
      </w:r>
      <w:r>
        <w:rPr>
          <w:rFonts w:hint="eastAsia" w:ascii="仿宋" w:hAnsi="仿宋" w:eastAsia="仿宋" w:cs="仿宋"/>
          <w:color w:val="auto"/>
          <w:sz w:val="24"/>
          <w:highlight w:val="none"/>
          <w:lang w:eastAsia="zh-CN" w:bidi="ar"/>
        </w:rPr>
        <w:t>2026年</w:t>
      </w:r>
      <w:r>
        <w:rPr>
          <w:rFonts w:hint="eastAsia" w:ascii="仿宋" w:hAnsi="仿宋" w:eastAsia="仿宋" w:cs="仿宋"/>
          <w:color w:val="auto"/>
          <w:sz w:val="24"/>
          <w:highlight w:val="none"/>
          <w:lang w:val="en-US" w:eastAsia="zh-CN" w:bidi="ar"/>
        </w:rPr>
        <w:t>4</w:t>
      </w:r>
      <w:r>
        <w:rPr>
          <w:rFonts w:hint="eastAsia" w:ascii="仿宋" w:hAnsi="仿宋" w:eastAsia="仿宋" w:cs="仿宋"/>
          <w:color w:val="auto"/>
          <w:sz w:val="24"/>
          <w:highlight w:val="none"/>
          <w:lang w:eastAsia="zh-CN" w:bidi="ar"/>
        </w:rPr>
        <w:t>月</w:t>
      </w:r>
      <w:r>
        <w:rPr>
          <w:rFonts w:hint="eastAsia" w:ascii="仿宋" w:hAnsi="仿宋" w:eastAsia="仿宋" w:cs="仿宋"/>
          <w:color w:val="auto"/>
          <w:sz w:val="24"/>
          <w:highlight w:val="none"/>
          <w:lang w:val="en-US" w:eastAsia="zh-CN" w:bidi="ar"/>
        </w:rPr>
        <w:t>15</w:t>
      </w:r>
      <w:r>
        <w:rPr>
          <w:rFonts w:hint="eastAsia" w:ascii="仿宋" w:hAnsi="仿宋" w:eastAsia="仿宋" w:cs="仿宋"/>
          <w:color w:val="auto"/>
          <w:sz w:val="24"/>
          <w:highlight w:val="none"/>
          <w:lang w:bidi="ar"/>
        </w:rPr>
        <w:t>日</w:t>
      </w:r>
      <w:r>
        <w:rPr>
          <w:rFonts w:hint="eastAsia" w:ascii="仿宋" w:hAnsi="仿宋" w:eastAsia="仿宋" w:cs="仿宋"/>
          <w:color w:val="auto"/>
          <w:sz w:val="24"/>
          <w:highlight w:val="none"/>
          <w:lang w:val="en-US" w:eastAsia="zh-CN" w:bidi="ar"/>
        </w:rPr>
        <w:t>13</w:t>
      </w:r>
      <w:r>
        <w:rPr>
          <w:rFonts w:hint="eastAsia" w:ascii="仿宋" w:hAnsi="仿宋" w:eastAsia="仿宋" w:cs="仿宋"/>
          <w:color w:val="auto"/>
          <w:sz w:val="24"/>
          <w:highlight w:val="none"/>
          <w:lang w:bidi="ar"/>
        </w:rPr>
        <w:t>点</w:t>
      </w:r>
      <w:r>
        <w:rPr>
          <w:rFonts w:hint="eastAsia" w:ascii="仿宋" w:hAnsi="仿宋" w:eastAsia="仿宋" w:cs="仿宋"/>
          <w:color w:val="auto"/>
          <w:sz w:val="24"/>
          <w:highlight w:val="none"/>
          <w:lang w:val="en-US" w:eastAsia="zh-CN" w:bidi="ar"/>
        </w:rPr>
        <w:t>00</w:t>
      </w:r>
      <w:r>
        <w:rPr>
          <w:rFonts w:hint="eastAsia" w:ascii="仿宋" w:hAnsi="仿宋" w:eastAsia="仿宋" w:cs="仿宋"/>
          <w:color w:val="auto"/>
          <w:sz w:val="24"/>
          <w:highlight w:val="none"/>
          <w:lang w:bidi="ar"/>
        </w:rPr>
        <w:t>分</w:t>
      </w:r>
      <w:r>
        <w:rPr>
          <w:rFonts w:hint="eastAsia" w:ascii="仿宋" w:hAnsi="仿宋" w:eastAsia="仿宋" w:cs="仿宋"/>
          <w:bCs/>
          <w:color w:val="auto"/>
          <w:sz w:val="24"/>
          <w:highlight w:val="none"/>
          <w:lang w:bidi="ar"/>
        </w:rPr>
        <w:t>（北京时间）</w:t>
      </w:r>
      <w:r>
        <w:rPr>
          <w:rFonts w:hint="eastAsia" w:ascii="仿宋" w:hAnsi="仿宋" w:eastAsia="仿宋" w:cs="仿宋"/>
          <w:iCs/>
          <w:color w:val="auto"/>
          <w:sz w:val="24"/>
          <w:highlight w:val="none"/>
          <w:lang w:bidi="ar"/>
        </w:rPr>
        <w:t>。</w:t>
      </w:r>
    </w:p>
    <w:p w14:paraId="3CE0F353">
      <w:pPr>
        <w:snapToGrid w:val="0"/>
        <w:spacing w:line="540" w:lineRule="exact"/>
        <w:ind w:firstLine="480" w:firstLineChars="200"/>
        <w:rPr>
          <w:rFonts w:hint="eastAsia" w:ascii="仿宋" w:hAnsi="仿宋" w:eastAsia="仿宋" w:cs="仿宋"/>
          <w:bCs/>
          <w:color w:val="auto"/>
          <w:sz w:val="24"/>
          <w:highlight w:val="none"/>
          <w:u w:val="single"/>
        </w:rPr>
      </w:pPr>
      <w:r>
        <w:rPr>
          <w:rFonts w:hint="eastAsia" w:ascii="仿宋" w:hAnsi="仿宋" w:eastAsia="仿宋" w:cs="仿宋"/>
          <w:color w:val="auto"/>
          <w:sz w:val="24"/>
          <w:highlight w:val="none"/>
          <w:lang w:bidi="ar"/>
        </w:rPr>
        <w:t>地点：</w:t>
      </w:r>
      <w:r>
        <w:rPr>
          <w:rFonts w:hint="eastAsia" w:ascii="仿宋" w:hAnsi="仿宋" w:eastAsia="仿宋" w:cs="仿宋"/>
          <w:color w:val="auto"/>
          <w:sz w:val="24"/>
          <w:highlight w:val="none"/>
          <w:lang w:val="en-US" w:eastAsia="zh-CN"/>
        </w:rPr>
        <w:t>北京市政府采购电子交易平台</w:t>
      </w:r>
      <w:r>
        <w:rPr>
          <w:rFonts w:hint="eastAsia" w:ascii="仿宋" w:hAnsi="仿宋" w:eastAsia="仿宋" w:cs="仿宋"/>
          <w:color w:val="auto"/>
          <w:sz w:val="24"/>
          <w:highlight w:val="none"/>
          <w:lang w:val="zh-TW" w:bidi="ar"/>
        </w:rPr>
        <w:t>。</w:t>
      </w:r>
    </w:p>
    <w:p w14:paraId="4B5B78BE">
      <w:pPr>
        <w:pStyle w:val="2"/>
        <w:snapToGrid w:val="0"/>
        <w:spacing w:before="0" w:line="540" w:lineRule="exact"/>
        <w:jc w:val="left"/>
        <w:rPr>
          <w:rFonts w:hint="eastAsia" w:ascii="仿宋" w:hAnsi="仿宋" w:eastAsia="仿宋" w:cs="仿宋"/>
          <w:color w:val="auto"/>
          <w:sz w:val="24"/>
          <w:szCs w:val="24"/>
          <w:highlight w:val="none"/>
        </w:rPr>
      </w:pPr>
      <w:bookmarkStart w:id="12" w:name="_Toc28359007"/>
      <w:bookmarkStart w:id="13" w:name="_Toc28359084"/>
      <w:bookmarkStart w:id="14" w:name="_Toc35393794"/>
      <w:bookmarkStart w:id="15" w:name="_Toc35393625"/>
      <w:r>
        <w:rPr>
          <w:rFonts w:hint="eastAsia" w:ascii="仿宋" w:hAnsi="仿宋" w:eastAsia="仿宋" w:cs="仿宋"/>
          <w:color w:val="auto"/>
          <w:sz w:val="24"/>
          <w:szCs w:val="24"/>
          <w:highlight w:val="none"/>
        </w:rPr>
        <w:t>五、公告期限</w:t>
      </w:r>
      <w:bookmarkEnd w:id="12"/>
      <w:bookmarkEnd w:id="13"/>
      <w:bookmarkEnd w:id="14"/>
      <w:bookmarkEnd w:id="15"/>
    </w:p>
    <w:p w14:paraId="7ABE6869">
      <w:pPr>
        <w:snapToGrid w:val="0"/>
        <w:spacing w:line="5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自本公告发布之日起5个工作日。</w:t>
      </w:r>
      <w:bookmarkStart w:id="16" w:name="_Toc35393795"/>
      <w:bookmarkStart w:id="17" w:name="_Toc35393626"/>
    </w:p>
    <w:p w14:paraId="305B9C67">
      <w:pPr>
        <w:snapToGrid w:val="0"/>
        <w:spacing w:line="540" w:lineRule="exact"/>
        <w:rPr>
          <w:rFonts w:hint="eastAsia" w:ascii="仿宋" w:hAnsi="仿宋" w:eastAsia="仿宋" w:cs="仿宋"/>
          <w:color w:val="auto"/>
          <w:sz w:val="24"/>
          <w:highlight w:val="none"/>
        </w:rPr>
      </w:pPr>
      <w:r>
        <w:rPr>
          <w:rFonts w:hint="eastAsia" w:ascii="仿宋" w:hAnsi="仿宋" w:eastAsia="仿宋" w:cs="仿宋"/>
          <w:b/>
          <w:color w:val="auto"/>
          <w:kern w:val="0"/>
          <w:sz w:val="24"/>
          <w:highlight w:val="none"/>
        </w:rPr>
        <w:t>六、其他补充事宜</w:t>
      </w:r>
      <w:bookmarkEnd w:id="16"/>
      <w:bookmarkEnd w:id="17"/>
    </w:p>
    <w:p w14:paraId="67E9A0FC">
      <w:pPr>
        <w:snapToGrid w:val="0"/>
        <w:spacing w:line="5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本项目需要落实的政府采购政策：</w:t>
      </w:r>
    </w:p>
    <w:p w14:paraId="7AA17895">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鼓励节能、环保政策：依据《财政部发展改革委生态环境部市场监管总局关于调整优化节能产品、环境标志产品政府采购执行机制的通知（财库（2019）9号）》执行。</w:t>
      </w:r>
    </w:p>
    <w:p w14:paraId="59E0AEEE">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2.扶持中小企业政策：本项目专门面向小微企业采购。监狱企业视同小型、微型企业。残疾人福利性单位视同小型、微型企业，不重复享受政策。</w:t>
      </w:r>
    </w:p>
    <w:p w14:paraId="177DDB15">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3.本项目采购标的接受进口产品情况：本项目不适用。</w:t>
      </w:r>
    </w:p>
    <w:p w14:paraId="5C57A3CC">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7E33FD6B">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CA数字证书服务热线 010-58511086</w:t>
      </w:r>
    </w:p>
    <w:p w14:paraId="06C27CAF">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电子营业执照服务热线 400-699-7000</w:t>
      </w:r>
    </w:p>
    <w:p w14:paraId="7FF1286B">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技术支持服务热线    010-86483801</w:t>
      </w:r>
    </w:p>
    <w:p w14:paraId="75B72BDE">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4.1办理CA数字证书或电子营业执照</w:t>
      </w:r>
    </w:p>
    <w:p w14:paraId="47176F6C">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供应商登录北京市政府采购电子交易平台查阅 “用户指南”—“操作指南”—“市场主体CA办理操作流程指引”/“电子营业执照使用指南”，按照程序要求办理。</w:t>
      </w:r>
    </w:p>
    <w:p w14:paraId="30122084">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4.2注册</w:t>
      </w:r>
    </w:p>
    <w:p w14:paraId="2AB84EBC">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供应商登录北京市政府采购电子交易平台“用户指南”—“操作指南”—“市场主体注册入库操作流程指引”进行自助注册绑定。</w:t>
      </w:r>
    </w:p>
    <w:p w14:paraId="73682285">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4.3驱动、客户端下载</w:t>
      </w:r>
    </w:p>
    <w:p w14:paraId="1C5CB4BD">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供应商登录北京市政府采购电子交易平台“用户指南”—“工具下载”—“招标采购系统文件驱动安装包”下载相关驱动。</w:t>
      </w:r>
    </w:p>
    <w:p w14:paraId="55039858">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供应商登录北京市政府采购电子交易平台“用户指南”—“工具下载”—“投标文件编制工具”下载相关客户端。</w:t>
      </w:r>
    </w:p>
    <w:p w14:paraId="19BCA04C">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4.4 获取电子招标文件</w:t>
      </w:r>
    </w:p>
    <w:p w14:paraId="12D9B775">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供应商使用CA数字证书或电子营业执照登录北京市政府采购电子交易平台获取电子招标文件。</w:t>
      </w:r>
    </w:p>
    <w:p w14:paraId="0D62344E">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207DF23">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4.5编制电子投标文件</w:t>
      </w:r>
    </w:p>
    <w:p w14:paraId="526DABA5">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6CDD4061">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zh-TW" w:eastAsia="zh-CN"/>
        </w:rPr>
      </w:pP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lang w:val="zh-TW" w:eastAsia="zh-TW"/>
        </w:rPr>
        <w:t>.6</w:t>
      </w:r>
      <w:r>
        <w:rPr>
          <w:rFonts w:hint="eastAsia" w:ascii="仿宋" w:hAnsi="仿宋" w:eastAsia="仿宋" w:cs="仿宋"/>
          <w:color w:val="auto"/>
          <w:kern w:val="0"/>
          <w:sz w:val="24"/>
          <w:highlight w:val="none"/>
          <w:lang w:val="zh-TW" w:eastAsia="zh-CN"/>
        </w:rPr>
        <w:t>提交电子投标文件</w:t>
      </w:r>
    </w:p>
    <w:p w14:paraId="64728BB0">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供应商应于投标截止时间前在北京市政府采购电子交易平台提交电子投标文件，上传电子投标文件过程中请保持与互联网的连接畅通。</w:t>
      </w:r>
    </w:p>
    <w:p w14:paraId="33611414">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TW"/>
        </w:rPr>
      </w:pP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lang w:val="zh-TW" w:eastAsia="zh-CN"/>
        </w:rPr>
        <w:t>.</w:t>
      </w:r>
      <w:r>
        <w:rPr>
          <w:rFonts w:hint="eastAsia" w:ascii="仿宋" w:hAnsi="仿宋" w:eastAsia="仿宋" w:cs="仿宋"/>
          <w:color w:val="auto"/>
          <w:kern w:val="0"/>
          <w:sz w:val="24"/>
          <w:highlight w:val="none"/>
          <w:lang w:val="zh-TW" w:eastAsia="zh-TW"/>
        </w:rPr>
        <w:t>7</w:t>
      </w:r>
      <w:r>
        <w:rPr>
          <w:rFonts w:hint="eastAsia" w:ascii="仿宋" w:hAnsi="仿宋" w:eastAsia="仿宋" w:cs="仿宋"/>
          <w:color w:val="auto"/>
          <w:kern w:val="0"/>
          <w:sz w:val="24"/>
          <w:highlight w:val="none"/>
          <w:lang w:val="zh-TW" w:eastAsia="zh-CN"/>
        </w:rPr>
        <w:t>电子开标</w:t>
      </w:r>
    </w:p>
    <w:p w14:paraId="1297AAF6">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TW"/>
        </w:rPr>
      </w:pPr>
      <w:r>
        <w:rPr>
          <w:rFonts w:hint="eastAsia" w:ascii="仿宋" w:hAnsi="仿宋" w:eastAsia="仿宋" w:cs="仿宋"/>
          <w:color w:val="auto"/>
          <w:kern w:val="0"/>
          <w:sz w:val="24"/>
          <w:highlight w:val="none"/>
          <w:lang w:val="zh-TW" w:eastAsia="zh-CN"/>
        </w:rPr>
        <w:t>供应商在开标地点使用</w:t>
      </w:r>
      <w:r>
        <w:rPr>
          <w:rFonts w:hint="eastAsia" w:ascii="仿宋" w:hAnsi="仿宋" w:eastAsia="仿宋" w:cs="仿宋"/>
          <w:color w:val="auto"/>
          <w:kern w:val="0"/>
          <w:sz w:val="24"/>
          <w:highlight w:val="none"/>
          <w:lang w:val="en-US" w:eastAsia="zh-CN"/>
        </w:rPr>
        <w:t>CA数字证书或电子营业执照</w:t>
      </w:r>
      <w:r>
        <w:rPr>
          <w:rFonts w:hint="eastAsia" w:ascii="仿宋" w:hAnsi="仿宋" w:eastAsia="仿宋" w:cs="仿宋"/>
          <w:color w:val="auto"/>
          <w:kern w:val="0"/>
          <w:sz w:val="24"/>
          <w:highlight w:val="none"/>
          <w:lang w:val="zh-TW" w:eastAsia="zh-CN"/>
        </w:rPr>
        <w:t>登录</w:t>
      </w:r>
      <w:r>
        <w:rPr>
          <w:rFonts w:hint="eastAsia" w:ascii="仿宋" w:hAnsi="仿宋" w:eastAsia="仿宋" w:cs="仿宋"/>
          <w:color w:val="auto"/>
          <w:kern w:val="0"/>
          <w:sz w:val="24"/>
          <w:highlight w:val="none"/>
          <w:lang w:val="en-US" w:eastAsia="zh-CN"/>
        </w:rPr>
        <w:t>北京市政府采购电子交易平台进行电子开标</w:t>
      </w:r>
      <w:r>
        <w:rPr>
          <w:rFonts w:hint="eastAsia" w:ascii="仿宋" w:hAnsi="仿宋" w:eastAsia="仿宋" w:cs="仿宋"/>
          <w:color w:val="auto"/>
          <w:kern w:val="0"/>
          <w:sz w:val="24"/>
          <w:highlight w:val="none"/>
          <w:lang w:val="zh-TW" w:eastAsia="zh-CN"/>
        </w:rPr>
        <w:t>。</w:t>
      </w:r>
    </w:p>
    <w:p w14:paraId="16B836AA">
      <w:pPr>
        <w:pStyle w:val="2"/>
        <w:snapToGrid w:val="0"/>
        <w:spacing w:before="0" w:line="540" w:lineRule="exact"/>
        <w:jc w:val="left"/>
        <w:rPr>
          <w:rFonts w:hint="eastAsia" w:ascii="仿宋" w:hAnsi="仿宋" w:eastAsia="仿宋" w:cs="仿宋"/>
          <w:color w:val="auto"/>
          <w:sz w:val="24"/>
          <w:szCs w:val="24"/>
          <w:highlight w:val="none"/>
        </w:rPr>
      </w:pPr>
      <w:bookmarkStart w:id="18" w:name="_Toc35393627"/>
      <w:bookmarkStart w:id="19" w:name="_Toc28359008"/>
      <w:bookmarkStart w:id="20" w:name="_Toc28359085"/>
      <w:bookmarkStart w:id="21" w:name="_Toc35393796"/>
      <w:r>
        <w:rPr>
          <w:rFonts w:hint="eastAsia" w:ascii="仿宋" w:hAnsi="仿宋" w:eastAsia="仿宋" w:cs="仿宋"/>
          <w:color w:val="auto"/>
          <w:sz w:val="24"/>
          <w:szCs w:val="24"/>
          <w:highlight w:val="none"/>
        </w:rPr>
        <w:t>七、对本次招标提出询问，请按以下方式联系</w:t>
      </w:r>
      <w:bookmarkEnd w:id="18"/>
      <w:bookmarkEnd w:id="19"/>
      <w:bookmarkEnd w:id="20"/>
      <w:bookmarkEnd w:id="21"/>
    </w:p>
    <w:p w14:paraId="19DAE9F5">
      <w:pPr>
        <w:widowControl/>
        <w:snapToGrid w:val="0"/>
        <w:spacing w:line="540" w:lineRule="exact"/>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1.采购人信息</w:t>
      </w:r>
    </w:p>
    <w:p w14:paraId="5697E2D9">
      <w:pPr>
        <w:snapToGrid w:val="0"/>
        <w:spacing w:line="540" w:lineRule="exact"/>
        <w:ind w:firstLine="480" w:firstLineChars="200"/>
        <w:jc w:val="left"/>
        <w:rPr>
          <w:rFonts w:hint="eastAsia" w:ascii="仿宋" w:hAnsi="仿宋" w:eastAsia="仿宋" w:cs="仿宋"/>
          <w:color w:val="auto"/>
          <w:sz w:val="24"/>
          <w:highlight w:val="none"/>
          <w:lang w:val="en-US" w:eastAsia="zh-CN"/>
        </w:rPr>
      </w:pPr>
      <w:bookmarkStart w:id="22" w:name="_Toc28359086"/>
      <w:bookmarkStart w:id="23" w:name="_Toc28359009"/>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lang w:val="en-US" w:eastAsia="zh-CN"/>
        </w:rPr>
        <w:t>北京奥林匹克中心区管理委员会</w:t>
      </w:r>
    </w:p>
    <w:p w14:paraId="7DF24618">
      <w:pPr>
        <w:snapToGrid w:val="0"/>
        <w:spacing w:line="540" w:lineRule="exact"/>
        <w:ind w:firstLine="480" w:firstLineChars="200"/>
        <w:jc w:val="left"/>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rPr>
        <w:t>地    址：</w:t>
      </w:r>
      <w:r>
        <w:rPr>
          <w:rFonts w:hint="eastAsia" w:ascii="仿宋" w:hAnsi="仿宋" w:eastAsia="仿宋" w:cs="仿宋"/>
          <w:color w:val="auto"/>
          <w:sz w:val="24"/>
          <w:szCs w:val="24"/>
          <w:highlight w:val="none"/>
          <w:u w:val="none"/>
          <w:lang w:val="en-US" w:eastAsia="zh-CN"/>
        </w:rPr>
        <w:t>北京市朝阳区北辰东路15号</w:t>
      </w:r>
    </w:p>
    <w:p w14:paraId="288183F2">
      <w:pPr>
        <w:snapToGrid w:val="0"/>
        <w:spacing w:line="540" w:lineRule="exact"/>
        <w:ind w:firstLine="480" w:firstLineChars="200"/>
        <w:jc w:val="left"/>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rPr>
        <w:t>联系方式：</w:t>
      </w:r>
      <w:r>
        <w:rPr>
          <w:rFonts w:hint="eastAsia" w:ascii="仿宋" w:hAnsi="仿宋" w:eastAsia="仿宋" w:cs="仿宋"/>
          <w:color w:val="auto"/>
          <w:sz w:val="24"/>
          <w:szCs w:val="24"/>
          <w:highlight w:val="none"/>
          <w:u w:val="none"/>
          <w:lang w:val="en-US" w:eastAsia="zh-CN"/>
        </w:rPr>
        <w:t>010-84972796</w:t>
      </w:r>
    </w:p>
    <w:p w14:paraId="685A92D9">
      <w:pPr>
        <w:snapToGrid w:val="0"/>
        <w:spacing w:line="540" w:lineRule="exact"/>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2.采购代理机构信息</w:t>
      </w:r>
      <w:bookmarkEnd w:id="22"/>
      <w:bookmarkEnd w:id="23"/>
    </w:p>
    <w:p w14:paraId="45CD06FA">
      <w:pPr>
        <w:snapToGrid w:val="0"/>
        <w:spacing w:line="540" w:lineRule="exact"/>
        <w:ind w:firstLine="480" w:firstLineChars="200"/>
        <w:jc w:val="left"/>
        <w:rPr>
          <w:rFonts w:hint="eastAsia" w:ascii="仿宋" w:hAnsi="仿宋" w:eastAsia="仿宋" w:cs="仿宋"/>
          <w:color w:val="auto"/>
          <w:sz w:val="24"/>
          <w:highlight w:val="none"/>
        </w:rPr>
      </w:pPr>
      <w:bookmarkStart w:id="24" w:name="_Toc28359010"/>
      <w:bookmarkStart w:id="25" w:name="_Toc28359087"/>
      <w:r>
        <w:rPr>
          <w:rFonts w:hint="eastAsia" w:ascii="仿宋" w:hAnsi="仿宋" w:eastAsia="仿宋" w:cs="仿宋"/>
          <w:color w:val="auto"/>
          <w:sz w:val="24"/>
          <w:highlight w:val="none"/>
        </w:rPr>
        <w:t>名    称：中技国际招标有限公司</w:t>
      </w:r>
    </w:p>
    <w:p w14:paraId="227ADA90">
      <w:pPr>
        <w:snapToGrid w:val="0"/>
        <w:spacing w:line="5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址：北京市丰台区西营街1号院通用时代中心C座9层</w:t>
      </w:r>
    </w:p>
    <w:p w14:paraId="7CC6592E">
      <w:pPr>
        <w:snapToGrid w:val="0"/>
        <w:spacing w:line="540" w:lineRule="exact"/>
        <w:ind w:firstLine="480" w:firstLineChars="200"/>
        <w:jc w:val="left"/>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联系方式：010</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8116</w:t>
      </w:r>
      <w:r>
        <w:rPr>
          <w:rFonts w:hint="eastAsia" w:ascii="仿宋" w:hAnsi="仿宋" w:eastAsia="仿宋" w:cs="仿宋"/>
          <w:color w:val="auto"/>
          <w:sz w:val="24"/>
          <w:highlight w:val="none"/>
          <w:lang w:val="en-US" w:eastAsia="zh-CN"/>
        </w:rPr>
        <w:t>8493</w:t>
      </w:r>
    </w:p>
    <w:p w14:paraId="68E5CFE9">
      <w:pPr>
        <w:snapToGrid w:val="0"/>
        <w:spacing w:line="540" w:lineRule="exact"/>
        <w:ind w:firstLine="482" w:firstLineChars="200"/>
        <w:rPr>
          <w:rFonts w:hint="eastAsia" w:ascii="仿宋" w:hAnsi="仿宋" w:eastAsia="仿宋" w:cs="仿宋"/>
          <w:b/>
          <w:color w:val="auto"/>
          <w:sz w:val="24"/>
          <w:highlight w:val="none"/>
          <w:u w:val="single"/>
        </w:rPr>
      </w:pPr>
      <w:r>
        <w:rPr>
          <w:rFonts w:hint="eastAsia" w:ascii="仿宋" w:hAnsi="仿宋" w:eastAsia="仿宋" w:cs="仿宋"/>
          <w:b/>
          <w:color w:val="auto"/>
          <w:sz w:val="24"/>
          <w:highlight w:val="none"/>
        </w:rPr>
        <w:t>3.项目联系方式</w:t>
      </w:r>
      <w:bookmarkEnd w:id="24"/>
      <w:bookmarkEnd w:id="25"/>
    </w:p>
    <w:p w14:paraId="77C5C2D3">
      <w:pPr>
        <w:pStyle w:val="3"/>
        <w:snapToGrid w:val="0"/>
        <w:spacing w:line="540" w:lineRule="exact"/>
        <w:ind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val="en-US" w:eastAsia="zh-CN"/>
        </w:rPr>
        <w:t>陈刚、王昕</w:t>
      </w:r>
    </w:p>
    <w:p w14:paraId="3DAFB61C">
      <w:pPr>
        <w:pStyle w:val="3"/>
        <w:snapToGrid w:val="0"/>
        <w:spacing w:line="540" w:lineRule="exact"/>
        <w:ind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highlight w:val="none"/>
        </w:rPr>
        <w:t>010</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8116</w:t>
      </w:r>
      <w:r>
        <w:rPr>
          <w:rFonts w:hint="eastAsia" w:ascii="仿宋" w:hAnsi="仿宋" w:eastAsia="仿宋" w:cs="仿宋"/>
          <w:color w:val="auto"/>
          <w:sz w:val="24"/>
          <w:highlight w:val="none"/>
          <w:lang w:val="en-US" w:eastAsia="zh-CN"/>
        </w:rPr>
        <w:t>8493、81168289</w:t>
      </w:r>
    </w:p>
    <w:p w14:paraId="5CFE4E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572CE8"/>
    <w:rsid w:val="0D3F57C2"/>
    <w:rsid w:val="30470FC3"/>
    <w:rsid w:val="4C572CE8"/>
    <w:rsid w:val="74316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rPr>
      <w:rFonts w:hint="eastAsia" w:ascii="宋体" w:hAnsi="Courier New"/>
      <w:szCs w:val="20"/>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2456</Words>
  <Characters>2818</Characters>
  <Lines>0</Lines>
  <Paragraphs>0</Paragraphs>
  <TotalTime>0</TotalTime>
  <ScaleCrop>false</ScaleCrop>
  <LinksUpToDate>false</LinksUpToDate>
  <CharactersWithSpaces>2859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2026-03-25T03:20:00Z</dcterms:created>
  <dc:creator>XXX</dc:creator>
  <cp:lastModifiedBy>吴家豪</cp:lastModifiedBy>
  <dcterms:modified xsi:type="dcterms:W3CDTF">2026-03-25T03:30:34Z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B01D0A38125044789E4098CF0BDCBD52_13</vt:lpwstr>
  </property>
  <property fmtid="{D5CDD505-2E9C-101B-9397-08002B2CF9AE}" pid="4" name="KSOTemplateDocerSaveRecord">
    <vt:lpwstr>eyJoZGlkIjoiODk0OTRhMzQwYTliNzVmNjk5OGY4YzAxODI1YjNkNTYiLCJ1c2VySWQiOiIyMjkxNDI4MjQifQ==</vt:lpwstr>
  </property>
</Properties>
</file>