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43F38">
      <w:pPr>
        <w:widowControl w:val="0"/>
        <w:numPr>
          <w:ilvl w:val="0"/>
          <w:numId w:val="1"/>
        </w:numPr>
        <w:spacing w:line="360" w:lineRule="auto"/>
        <w:ind w:left="500" w:hanging="500" w:firstLineChars="0"/>
        <w:contextualSpacing/>
        <w:jc w:val="both"/>
        <w:rPr>
          <w:rFonts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采购标的</w:t>
      </w:r>
      <w:bookmarkStart w:id="0" w:name="_GoBack"/>
      <w:bookmarkEnd w:id="0"/>
    </w:p>
    <w:p w14:paraId="2630A737">
      <w:pPr>
        <w:spacing w:line="360" w:lineRule="auto"/>
        <w:contextualSpacing/>
        <w:rPr>
          <w:rFonts w:ascii="仿宋" w:hAnsi="仿宋" w:eastAsia="仿宋" w:cs="仿宋"/>
          <w:bCs/>
          <w:sz w:val="24"/>
        </w:rPr>
      </w:pPr>
      <w:r>
        <w:rPr>
          <w:rFonts w:hint="eastAsia" w:ascii="仿宋" w:hAnsi="仿宋" w:eastAsia="仿宋" w:cs="仿宋"/>
          <w:bCs/>
          <w:sz w:val="24"/>
        </w:rPr>
        <w:t>1. 采购标的</w:t>
      </w:r>
    </w:p>
    <w:tbl>
      <w:tblPr>
        <w:tblStyle w:val="2"/>
        <w:tblW w:w="50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1"/>
        <w:gridCol w:w="5866"/>
        <w:gridCol w:w="1471"/>
      </w:tblGrid>
      <w:tr w14:paraId="38FA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600" w:type="pct"/>
            <w:vAlign w:val="center"/>
          </w:tcPr>
          <w:p w14:paraId="15E829AC">
            <w:pPr>
              <w:autoSpaceDE w:val="0"/>
              <w:autoSpaceDN w:val="0"/>
              <w:jc w:val="center"/>
              <w:rPr>
                <w:rFonts w:ascii="仿宋" w:hAnsi="仿宋" w:eastAsia="仿宋" w:cs="仿宋"/>
                <w:kern w:val="0"/>
                <w:sz w:val="24"/>
              </w:rPr>
            </w:pPr>
            <w:r>
              <w:rPr>
                <w:rFonts w:hint="eastAsia" w:ascii="仿宋" w:hAnsi="仿宋" w:eastAsia="仿宋" w:cs="仿宋"/>
                <w:b/>
                <w:bCs/>
                <w:kern w:val="0"/>
                <w:sz w:val="24"/>
              </w:rPr>
              <w:t>包号</w:t>
            </w:r>
          </w:p>
        </w:tc>
        <w:tc>
          <w:tcPr>
            <w:tcW w:w="3517" w:type="pct"/>
            <w:vAlign w:val="center"/>
          </w:tcPr>
          <w:p w14:paraId="66775172">
            <w:pPr>
              <w:autoSpaceDE w:val="0"/>
              <w:autoSpaceDN w:val="0"/>
              <w:jc w:val="center"/>
              <w:rPr>
                <w:rFonts w:ascii="仿宋" w:hAnsi="仿宋" w:eastAsia="仿宋" w:cs="仿宋"/>
                <w:kern w:val="0"/>
                <w:sz w:val="24"/>
              </w:rPr>
            </w:pPr>
            <w:r>
              <w:rPr>
                <w:rFonts w:hint="eastAsia" w:ascii="仿宋" w:hAnsi="仿宋" w:eastAsia="仿宋" w:cs="仿宋"/>
                <w:b/>
                <w:bCs/>
                <w:kern w:val="0"/>
                <w:sz w:val="24"/>
              </w:rPr>
              <w:t>标的名称</w:t>
            </w:r>
          </w:p>
        </w:tc>
        <w:tc>
          <w:tcPr>
            <w:tcW w:w="882" w:type="pct"/>
            <w:vAlign w:val="center"/>
          </w:tcPr>
          <w:p w14:paraId="7BF74D25">
            <w:pPr>
              <w:autoSpaceDE w:val="0"/>
              <w:autoSpaceDN w:val="0"/>
              <w:jc w:val="center"/>
              <w:rPr>
                <w:rFonts w:ascii="仿宋" w:hAnsi="仿宋" w:eastAsia="仿宋" w:cs="仿宋"/>
                <w:b/>
                <w:bCs/>
                <w:kern w:val="0"/>
                <w:sz w:val="24"/>
              </w:rPr>
            </w:pPr>
            <w:r>
              <w:rPr>
                <w:rFonts w:hint="eastAsia" w:ascii="仿宋" w:hAnsi="仿宋" w:eastAsia="仿宋" w:cs="仿宋"/>
                <w:b/>
                <w:bCs/>
                <w:kern w:val="0"/>
                <w:sz w:val="24"/>
                <w:lang w:eastAsia="en-US"/>
              </w:rPr>
              <w:t>数量</w:t>
            </w:r>
          </w:p>
        </w:tc>
      </w:tr>
      <w:tr w14:paraId="281E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600" w:type="pct"/>
            <w:vAlign w:val="center"/>
          </w:tcPr>
          <w:p w14:paraId="0E67A451">
            <w:pPr>
              <w:autoSpaceDE w:val="0"/>
              <w:autoSpaceDN w:val="0"/>
              <w:jc w:val="center"/>
              <w:rPr>
                <w:rFonts w:ascii="仿宋" w:hAnsi="仿宋" w:eastAsia="仿宋" w:cs="仿宋"/>
                <w:kern w:val="0"/>
                <w:sz w:val="24"/>
              </w:rPr>
            </w:pPr>
            <w:r>
              <w:rPr>
                <w:rFonts w:hint="eastAsia" w:ascii="仿宋" w:hAnsi="仿宋" w:eastAsia="仿宋" w:cs="仿宋"/>
                <w:kern w:val="0"/>
                <w:sz w:val="24"/>
              </w:rPr>
              <w:t>1</w:t>
            </w:r>
          </w:p>
        </w:tc>
        <w:tc>
          <w:tcPr>
            <w:tcW w:w="3517" w:type="pct"/>
            <w:vAlign w:val="center"/>
          </w:tcPr>
          <w:p w14:paraId="5153EBB1">
            <w:pPr>
              <w:widowControl/>
              <w:autoSpaceDE w:val="0"/>
              <w:autoSpaceDN w:val="0"/>
              <w:jc w:val="center"/>
              <w:textAlignment w:val="center"/>
              <w:rPr>
                <w:rFonts w:ascii="仿宋" w:hAnsi="仿宋" w:eastAsia="仿宋" w:cs="仿宋"/>
                <w:kern w:val="0"/>
                <w:sz w:val="24"/>
              </w:rPr>
            </w:pPr>
            <w:r>
              <w:rPr>
                <w:rFonts w:hint="eastAsia" w:ascii="仿宋" w:hAnsi="仿宋" w:eastAsia="仿宋" w:cs="仿宋"/>
                <w:kern w:val="0"/>
                <w:sz w:val="24"/>
              </w:rPr>
              <w:t>孕妇外周血胎儿游离DNA产前筛查（NIPT）检测服务</w:t>
            </w:r>
          </w:p>
        </w:tc>
        <w:tc>
          <w:tcPr>
            <w:tcW w:w="882" w:type="pct"/>
            <w:vAlign w:val="center"/>
          </w:tcPr>
          <w:p w14:paraId="7EB5FB93">
            <w:pPr>
              <w:widowControl/>
              <w:autoSpaceDE w:val="0"/>
              <w:autoSpaceDN w:val="0"/>
              <w:jc w:val="center"/>
              <w:textAlignment w:val="center"/>
              <w:rPr>
                <w:rFonts w:ascii="仿宋" w:hAnsi="仿宋" w:eastAsia="仿宋" w:cs="仿宋"/>
                <w:kern w:val="0"/>
                <w:sz w:val="24"/>
              </w:rPr>
            </w:pPr>
            <w:r>
              <w:rPr>
                <w:rFonts w:hint="eastAsia" w:ascii="仿宋" w:hAnsi="仿宋" w:eastAsia="仿宋" w:cs="仿宋"/>
                <w:kern w:val="0"/>
                <w:sz w:val="24"/>
              </w:rPr>
              <w:t>10000</w:t>
            </w:r>
          </w:p>
        </w:tc>
      </w:tr>
    </w:tbl>
    <w:p w14:paraId="09BEFFD1">
      <w:pPr>
        <w:spacing w:line="360" w:lineRule="auto"/>
        <w:ind w:firstLine="482"/>
        <w:contextualSpacing/>
        <w:rPr>
          <w:rFonts w:ascii="仿宋" w:hAnsi="仿宋" w:eastAsia="仿宋" w:cs="仿宋"/>
          <w:b/>
          <w:sz w:val="24"/>
        </w:rPr>
      </w:pPr>
    </w:p>
    <w:p w14:paraId="548B81EC">
      <w:pPr>
        <w:widowControl w:val="0"/>
        <w:numPr>
          <w:ilvl w:val="0"/>
          <w:numId w:val="1"/>
        </w:numPr>
        <w:spacing w:line="360" w:lineRule="auto"/>
        <w:ind w:left="500" w:hanging="500" w:firstLineChars="0"/>
        <w:contextualSpacing/>
        <w:jc w:val="both"/>
        <w:rPr>
          <w:rFonts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商务要求</w:t>
      </w:r>
    </w:p>
    <w:p w14:paraId="54D61897">
      <w:pPr>
        <w:spacing w:line="360" w:lineRule="auto"/>
        <w:contextualSpacing/>
        <w:rPr>
          <w:rFonts w:ascii="仿宋" w:hAnsi="仿宋" w:eastAsia="仿宋" w:cs="仿宋"/>
          <w:sz w:val="24"/>
        </w:rPr>
      </w:pPr>
      <w:r>
        <w:rPr>
          <w:rFonts w:hint="eastAsia" w:ascii="仿宋" w:hAnsi="仿宋" w:eastAsia="仿宋" w:cs="仿宋"/>
          <w:sz w:val="24"/>
        </w:rPr>
        <w:t>1. 交付（实施）的时间（期限）和地点（范围）</w:t>
      </w:r>
    </w:p>
    <w:p w14:paraId="1CDCE781">
      <w:pPr>
        <w:spacing w:line="360" w:lineRule="auto"/>
        <w:ind w:firstLine="421"/>
        <w:contextualSpacing/>
        <w:rPr>
          <w:rFonts w:ascii="仿宋" w:hAnsi="仿宋" w:eastAsia="仿宋" w:cs="仿宋"/>
          <w:sz w:val="24"/>
        </w:rPr>
      </w:pPr>
      <w:r>
        <w:rPr>
          <w:rFonts w:hint="eastAsia" w:ascii="仿宋" w:hAnsi="仿宋" w:eastAsia="仿宋" w:cs="仿宋"/>
          <w:sz w:val="24"/>
        </w:rPr>
        <w:t>1.1服务时间：按采购人要求。</w:t>
      </w:r>
    </w:p>
    <w:p w14:paraId="44E4056B">
      <w:pPr>
        <w:spacing w:line="360" w:lineRule="auto"/>
        <w:ind w:firstLine="421"/>
        <w:contextualSpacing/>
        <w:rPr>
          <w:rFonts w:ascii="仿宋" w:hAnsi="仿宋" w:eastAsia="仿宋" w:cs="仿宋"/>
          <w:sz w:val="24"/>
        </w:rPr>
      </w:pPr>
      <w:r>
        <w:rPr>
          <w:rFonts w:hint="eastAsia" w:ascii="仿宋" w:hAnsi="仿宋" w:eastAsia="仿宋" w:cs="仿宋"/>
          <w:sz w:val="24"/>
        </w:rPr>
        <w:t>1.2服务地点：采购人指定地点。</w:t>
      </w:r>
    </w:p>
    <w:p w14:paraId="47A96AD5">
      <w:pPr>
        <w:spacing w:line="360" w:lineRule="auto"/>
        <w:contextualSpacing/>
        <w:rPr>
          <w:rFonts w:ascii="仿宋" w:hAnsi="仿宋" w:eastAsia="仿宋" w:cs="仿宋"/>
          <w:sz w:val="24"/>
        </w:rPr>
      </w:pPr>
      <w:r>
        <w:rPr>
          <w:rFonts w:hint="eastAsia" w:ascii="仿宋" w:hAnsi="仿宋" w:eastAsia="仿宋" w:cs="仿宋"/>
          <w:sz w:val="24"/>
        </w:rPr>
        <w:t>2. 付款条件（进度和方式）：以最终合同签为准</w:t>
      </w:r>
    </w:p>
    <w:p w14:paraId="3902E554">
      <w:pPr>
        <w:widowControl w:val="0"/>
        <w:numPr>
          <w:ilvl w:val="0"/>
          <w:numId w:val="1"/>
        </w:numPr>
        <w:spacing w:line="360" w:lineRule="auto"/>
        <w:ind w:left="500" w:hanging="500" w:firstLineChars="0"/>
        <w:contextualSpacing/>
        <w:jc w:val="both"/>
        <w:rPr>
          <w:rFonts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技术要求</w:t>
      </w:r>
    </w:p>
    <w:p w14:paraId="6C407169">
      <w:pPr>
        <w:spacing w:line="360" w:lineRule="auto"/>
        <w:ind w:firstLine="421" w:firstLineChars="0"/>
        <w:rPr>
          <w:rFonts w:hint="eastAsia" w:ascii="仿宋" w:hAnsi="仿宋" w:eastAsia="仿宋" w:cs="仿宋"/>
          <w:sz w:val="24"/>
          <w:szCs w:val="24"/>
        </w:rPr>
      </w:pPr>
      <w:r>
        <w:rPr>
          <w:rFonts w:hint="eastAsia" w:ascii="仿宋" w:hAnsi="仿宋" w:eastAsia="仿宋" w:cs="仿宋"/>
          <w:sz w:val="24"/>
          <w:szCs w:val="24"/>
        </w:rPr>
        <w:t>1.检测内容：21三体综合征、18三体综合征和13三体综合征。</w:t>
      </w:r>
    </w:p>
    <w:p w14:paraId="33E416B9">
      <w:pPr>
        <w:spacing w:line="360" w:lineRule="auto"/>
        <w:ind w:firstLine="421" w:firstLineChars="0"/>
        <w:rPr>
          <w:rFonts w:hint="eastAsia" w:ascii="仿宋" w:hAnsi="仿宋" w:eastAsia="仿宋" w:cs="仿宋"/>
          <w:sz w:val="24"/>
          <w:szCs w:val="24"/>
        </w:rPr>
      </w:pPr>
      <w:r>
        <w:rPr>
          <w:rFonts w:hint="eastAsia" w:ascii="仿宋" w:hAnsi="仿宋" w:eastAsia="仿宋" w:cs="仿宋"/>
          <w:sz w:val="24"/>
          <w:szCs w:val="24"/>
        </w:rPr>
        <w:t>2.附加可提示其它染色体异常。</w:t>
      </w:r>
    </w:p>
    <w:p w14:paraId="274AEA30">
      <w:pPr>
        <w:spacing w:line="360" w:lineRule="auto"/>
        <w:ind w:firstLine="421" w:firstLineChars="0"/>
        <w:rPr>
          <w:rFonts w:hint="eastAsia" w:ascii="仿宋" w:hAnsi="仿宋" w:eastAsia="仿宋" w:cs="仿宋"/>
          <w:sz w:val="24"/>
          <w:szCs w:val="24"/>
        </w:rPr>
      </w:pPr>
      <w:r>
        <w:rPr>
          <w:rFonts w:hint="eastAsia" w:ascii="仿宋" w:hAnsi="仿宋" w:eastAsia="仿宋" w:cs="仿宋"/>
          <w:sz w:val="24"/>
          <w:szCs w:val="24"/>
        </w:rPr>
        <w:t>3.检测准确性：按卫健委要求，胎儿染色体非整倍体基因检测，21三体综合征检出率应不低于95%，18三体综合征检出率应不低于85%，13三体综合征检出率应不低于70%；复合假阳性率应不高于0.5%。</w:t>
      </w:r>
    </w:p>
    <w:p w14:paraId="242FAE3B">
      <w:pPr>
        <w:spacing w:line="360" w:lineRule="auto"/>
        <w:ind w:firstLine="421" w:firstLineChars="0"/>
        <w:rPr>
          <w:rFonts w:hint="eastAsia" w:ascii="仿宋" w:hAnsi="仿宋" w:eastAsia="仿宋" w:cs="仿宋"/>
          <w:sz w:val="24"/>
          <w:szCs w:val="24"/>
        </w:rPr>
      </w:pPr>
      <w:r>
        <w:rPr>
          <w:rFonts w:hint="eastAsia" w:ascii="仿宋" w:hAnsi="仿宋" w:eastAsia="仿宋" w:cs="仿宋"/>
          <w:sz w:val="24"/>
          <w:szCs w:val="24"/>
        </w:rPr>
        <w:t>4.样本要求：孕妇外周血5-10mL。</w:t>
      </w:r>
    </w:p>
    <w:p w14:paraId="3C48862E">
      <w:pPr>
        <w:spacing w:line="360" w:lineRule="auto"/>
        <w:ind w:firstLine="421" w:firstLineChars="0"/>
        <w:rPr>
          <w:rFonts w:hint="eastAsia" w:ascii="仿宋" w:hAnsi="仿宋" w:eastAsia="仿宋" w:cs="仿宋"/>
          <w:sz w:val="24"/>
          <w:szCs w:val="24"/>
        </w:rPr>
      </w:pPr>
      <w:r>
        <w:rPr>
          <w:rFonts w:hint="eastAsia" w:ascii="仿宋" w:hAnsi="仿宋" w:eastAsia="仿宋" w:cs="仿宋"/>
          <w:sz w:val="24"/>
          <w:szCs w:val="24"/>
        </w:rPr>
        <w:t>5.检测周期：不大于10个工作日。</w:t>
      </w:r>
    </w:p>
    <w:p w14:paraId="655C1BCD">
      <w:pPr>
        <w:spacing w:line="360" w:lineRule="auto"/>
        <w:ind w:firstLine="421" w:firstLineChars="0"/>
        <w:rPr>
          <w:rFonts w:hint="eastAsia" w:ascii="仿宋" w:hAnsi="仿宋" w:eastAsia="仿宋" w:cs="仿宋"/>
          <w:sz w:val="24"/>
          <w:szCs w:val="24"/>
        </w:rPr>
      </w:pPr>
      <w:r>
        <w:rPr>
          <w:rFonts w:hint="eastAsia" w:ascii="仿宋" w:hAnsi="仿宋" w:eastAsia="仿宋" w:cs="仿宋"/>
          <w:sz w:val="24"/>
          <w:szCs w:val="24"/>
        </w:rPr>
        <w:t>▲6.数据量：每个样本唯一比对序列数(Unique reads,UR)不少于2M reads。</w:t>
      </w:r>
    </w:p>
    <w:p w14:paraId="417E90B5">
      <w:pPr>
        <w:spacing w:line="360" w:lineRule="auto"/>
        <w:ind w:firstLine="421" w:firstLineChars="0"/>
        <w:rPr>
          <w:rFonts w:hint="eastAsia" w:ascii="仿宋" w:hAnsi="仿宋" w:eastAsia="仿宋" w:cs="仿宋"/>
          <w:sz w:val="24"/>
          <w:szCs w:val="24"/>
        </w:rPr>
      </w:pPr>
      <w:r>
        <w:rPr>
          <w:rFonts w:hint="eastAsia" w:ascii="仿宋" w:hAnsi="仿宋" w:eastAsia="仿宋" w:cs="仿宋"/>
          <w:sz w:val="24"/>
          <w:szCs w:val="24"/>
        </w:rPr>
        <w:t>7.检测设备和检测试剂均具备药监局批准可用于临床检测（提供医疗器械注册证或备案凭证复印件）。</w:t>
      </w:r>
    </w:p>
    <w:p w14:paraId="466AB55D">
      <w:pPr>
        <w:spacing w:line="360" w:lineRule="auto"/>
        <w:ind w:firstLine="421" w:firstLineChars="0"/>
        <w:rPr>
          <w:rFonts w:hint="eastAsia" w:ascii="仿宋" w:hAnsi="仿宋" w:eastAsia="仿宋" w:cs="仿宋"/>
          <w:sz w:val="24"/>
          <w:szCs w:val="24"/>
        </w:rPr>
      </w:pPr>
      <w:r>
        <w:rPr>
          <w:rFonts w:hint="eastAsia" w:ascii="仿宋" w:hAnsi="仿宋" w:eastAsia="仿宋" w:cs="仿宋"/>
          <w:sz w:val="24"/>
          <w:szCs w:val="24"/>
        </w:rPr>
        <w:t>▲8.胎儿染色体非整倍体基因检测软件获得药品监督管理局颁发的医疗器械注册证（提供注册证复印件）。</w:t>
      </w:r>
    </w:p>
    <w:p w14:paraId="0EB55236">
      <w:pPr>
        <w:spacing w:line="360" w:lineRule="auto"/>
        <w:ind w:firstLine="421" w:firstLineChars="0"/>
        <w:rPr>
          <w:rFonts w:hint="eastAsia" w:ascii="仿宋" w:hAnsi="仿宋" w:eastAsia="仿宋" w:cs="仿宋"/>
          <w:sz w:val="24"/>
          <w:szCs w:val="24"/>
        </w:rPr>
      </w:pPr>
      <w:r>
        <w:rPr>
          <w:rFonts w:hint="eastAsia" w:ascii="仿宋" w:hAnsi="仿宋" w:eastAsia="仿宋" w:cs="仿宋"/>
          <w:sz w:val="24"/>
          <w:szCs w:val="24"/>
        </w:rPr>
        <w:t>▲9.建库试剂盒适用机型不少于2个。</w:t>
      </w:r>
    </w:p>
    <w:p w14:paraId="0EFB65E5">
      <w:pPr>
        <w:spacing w:line="360" w:lineRule="auto"/>
        <w:ind w:firstLine="421" w:firstLineChars="0"/>
        <w:rPr>
          <w:rFonts w:hint="eastAsia" w:ascii="仿宋" w:hAnsi="仿宋" w:eastAsia="仿宋" w:cs="仿宋"/>
          <w:sz w:val="24"/>
          <w:szCs w:val="24"/>
        </w:rPr>
      </w:pPr>
      <w:r>
        <w:rPr>
          <w:rFonts w:hint="eastAsia" w:ascii="仿宋" w:hAnsi="仿宋" w:eastAsia="仿宋" w:cs="仿宋"/>
          <w:sz w:val="24"/>
          <w:szCs w:val="24"/>
        </w:rPr>
        <w:t>▲10.为提高检测成功率，使用胎儿浓度富集技术以提高胎儿浓度。</w:t>
      </w:r>
    </w:p>
    <w:p w14:paraId="4726D979">
      <w:pPr>
        <w:spacing w:line="360" w:lineRule="auto"/>
        <w:ind w:firstLine="421" w:firstLineChars="0"/>
        <w:rPr>
          <w:rFonts w:ascii="仿宋" w:hAnsi="仿宋" w:eastAsia="仿宋" w:cs="仿宋"/>
          <w:sz w:val="24"/>
          <w:szCs w:val="24"/>
        </w:rPr>
      </w:pPr>
      <w:r>
        <w:rPr>
          <w:rFonts w:hint="eastAsia" w:ascii="仿宋" w:hAnsi="仿宋" w:eastAsia="仿宋" w:cs="仿宋"/>
          <w:sz w:val="24"/>
          <w:szCs w:val="24"/>
        </w:rPr>
        <w:t>▲11.投标人需使用质控品检测孕妇外周血胎儿染色体非整倍体（T21、T18 和 T13）的性能。</w:t>
      </w:r>
    </w:p>
    <w:p w14:paraId="0EFC4E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C1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2026-03-17T05:42:36Z</dcterms:created>
  <dc:creator>Administrator</dc:creator>
  <cp:lastModifiedBy>ZHYR</cp:lastModifiedBy>
  <dcterms:modified xsi:type="dcterms:W3CDTF">2026-03-17T05:43:04Z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eyJoZGlkIjoiMjU5NmUxMDM0NmE0ZTI1ZWYxZGM3MTYyZmE4MDE0ZGQiLCJ1c2VySWQiOiI0MzU0Njc3NTAifQ==</vt:lpwstr>
  </property>
  <property fmtid="{D5CDD505-2E9C-101B-9397-08002B2CF9AE}" pid="4" name="ICV">
    <vt:lpwstr>469B03D0222C4F17BD1358CB3AA1BC50_12</vt:lpwstr>
  </property>
</Properties>
</file>