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ascii="仿宋" w:hAnsi="仿宋" w:eastAsia="仿宋" w:cs="仿宋"/>
          <w:sz w:val="28"/>
          <w:szCs w:val="28"/>
        </w:rPr>
      </w:pPr>
      <w:bookmarkStart w:id="0" w:name="_Toc35393789"/>
      <w:bookmarkStart w:id="1" w:name="_Toc28359001"/>
      <w:r>
        <w:rPr>
          <w:rFonts w:hint="eastAsia" w:ascii="仿宋" w:hAnsi="仿宋" w:eastAsia="仿宋" w:cs="仿宋"/>
          <w:sz w:val="28"/>
          <w:szCs w:val="28"/>
        </w:rPr>
        <w:t>招标公告</w:t>
      </w:r>
      <w:bookmarkEnd w:id="0"/>
      <w:bookmarkEnd w:id="1"/>
    </w:p>
    <w:p w14:paraId="6D9E0346">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ind w:firstLine="560" w:firstLineChars="200"/>
        <w:textAlignment w:val="auto"/>
        <w:rPr>
          <w:rFonts w:ascii="仿宋" w:hAnsi="仿宋" w:eastAsia="仿宋" w:cs="仿宋"/>
          <w:sz w:val="28"/>
          <w:szCs w:val="28"/>
          <w:highlight w:val="none"/>
        </w:rPr>
      </w:pPr>
      <w:bookmarkStart w:id="33" w:name="_GoBack"/>
      <w:r>
        <w:rPr>
          <w:rFonts w:hint="eastAsia" w:ascii="仿宋" w:hAnsi="仿宋" w:eastAsia="仿宋" w:cs="仿宋"/>
          <w:sz w:val="28"/>
          <w:szCs w:val="28"/>
          <w:u w:val="single"/>
          <w:lang w:eastAsia="zh-CN"/>
        </w:rPr>
        <w:t>北京市第六医院医疗设备采购项目</w:t>
      </w:r>
      <w:bookmarkEnd w:id="33"/>
      <w:r>
        <w:rPr>
          <w:rFonts w:hint="eastAsia" w:ascii="仿宋" w:hAnsi="仿宋" w:eastAsia="仿宋" w:cs="仿宋"/>
          <w:sz w:val="28"/>
          <w:szCs w:val="28"/>
        </w:rPr>
        <w:t>的潜在投标人应在</w:t>
      </w:r>
      <w:r>
        <w:rPr>
          <w:rFonts w:hint="eastAsia" w:ascii="仿宋" w:hAnsi="仿宋" w:eastAsia="仿宋" w:cs="仿宋"/>
          <w:sz w:val="28"/>
          <w:szCs w:val="28"/>
          <w:u w:val="single"/>
        </w:rPr>
        <w:t>http://zbcg-bjzc.zhongcy.com/</w:t>
      </w:r>
      <w:r>
        <w:rPr>
          <w:rFonts w:hint="eastAsia" w:ascii="仿宋" w:hAnsi="仿宋" w:eastAsia="仿宋" w:cs="仿宋"/>
          <w:sz w:val="28"/>
          <w:szCs w:val="28"/>
          <w:highlight w:val="none"/>
          <w:u w:val="single"/>
        </w:rPr>
        <w:t>bjczj-portal-site/index.html#/home</w:t>
      </w:r>
      <w:r>
        <w:rPr>
          <w:rFonts w:hint="eastAsia" w:ascii="仿宋" w:hAnsi="仿宋" w:eastAsia="仿宋" w:cs="仿宋"/>
          <w:sz w:val="28"/>
          <w:szCs w:val="28"/>
          <w:highlight w:val="none"/>
          <w:u w:val="none"/>
          <w:lang w:val="en-US" w:eastAsia="zh-CN"/>
        </w:rPr>
        <w:t>获取</w:t>
      </w:r>
      <w:r>
        <w:rPr>
          <w:rFonts w:hint="eastAsia" w:ascii="仿宋" w:hAnsi="仿宋" w:eastAsia="仿宋" w:cs="仿宋"/>
          <w:sz w:val="28"/>
          <w:szCs w:val="28"/>
          <w:highlight w:val="none"/>
        </w:rPr>
        <w:t>招标文件，并于</w:t>
      </w:r>
      <w:r>
        <w:rPr>
          <w:rFonts w:hint="eastAsia" w:ascii="仿宋" w:hAnsi="仿宋" w:eastAsia="仿宋" w:cs="仿宋"/>
          <w:sz w:val="28"/>
          <w:szCs w:val="28"/>
          <w:highlight w:val="none"/>
          <w:u w:val="single"/>
          <w:lang w:eastAsia="zh-CN"/>
        </w:rPr>
        <w:t>2026年4月23日下午13</w:t>
      </w:r>
      <w:r>
        <w:rPr>
          <w:rFonts w:hint="eastAsia" w:ascii="仿宋" w:hAnsi="仿宋" w:eastAsia="仿宋" w:cs="仿宋"/>
          <w:sz w:val="28"/>
          <w:szCs w:val="28"/>
          <w:highlight w:val="none"/>
          <w:u w:val="single"/>
          <w:lang w:val="en-US" w:eastAsia="zh-CN"/>
        </w:rPr>
        <w:t>时</w:t>
      </w:r>
      <w:r>
        <w:rPr>
          <w:rFonts w:hint="eastAsia" w:ascii="仿宋" w:hAnsi="仿宋" w:eastAsia="仿宋" w:cs="仿宋"/>
          <w:sz w:val="28"/>
          <w:szCs w:val="28"/>
          <w:highlight w:val="none"/>
          <w:u w:val="single"/>
          <w:lang w:eastAsia="zh-CN"/>
        </w:rPr>
        <w:t>30分</w:t>
      </w:r>
      <w:r>
        <w:rPr>
          <w:rFonts w:hint="eastAsia" w:ascii="仿宋" w:hAnsi="仿宋" w:eastAsia="仿宋" w:cs="仿宋"/>
          <w:sz w:val="28"/>
          <w:szCs w:val="28"/>
          <w:highlight w:val="none"/>
        </w:rPr>
        <w:t>（北京时间）</w:t>
      </w:r>
      <w:r>
        <w:rPr>
          <w:rFonts w:hint="eastAsia" w:ascii="仿宋" w:hAnsi="仿宋" w:eastAsia="仿宋" w:cs="仿宋"/>
          <w:bCs/>
          <w:sz w:val="28"/>
          <w:szCs w:val="28"/>
          <w:highlight w:val="none"/>
        </w:rPr>
        <w:t>前递交投标文件</w:t>
      </w:r>
      <w:r>
        <w:rPr>
          <w:rFonts w:hint="eastAsia" w:ascii="仿宋" w:hAnsi="仿宋" w:eastAsia="仿宋" w:cs="仿宋"/>
          <w:sz w:val="28"/>
          <w:szCs w:val="28"/>
          <w:highlight w:val="none"/>
        </w:rPr>
        <w:t>。</w:t>
      </w:r>
    </w:p>
    <w:p w14:paraId="092FC1F6">
      <w:pPr>
        <w:rPr>
          <w:rFonts w:ascii="仿宋" w:hAnsi="仿宋" w:eastAsia="仿宋" w:cs="仿宋"/>
          <w:sz w:val="28"/>
          <w:szCs w:val="28"/>
        </w:rPr>
      </w:pPr>
    </w:p>
    <w:p w14:paraId="65CE4E48">
      <w:pPr>
        <w:pStyle w:val="3"/>
        <w:spacing w:before="0" w:line="360" w:lineRule="auto"/>
        <w:rPr>
          <w:rFonts w:ascii="仿宋" w:hAnsi="仿宋" w:eastAsia="仿宋" w:cs="仿宋"/>
          <w:b w:val="0"/>
          <w:sz w:val="28"/>
          <w:szCs w:val="28"/>
        </w:rPr>
      </w:pPr>
      <w:bookmarkStart w:id="2" w:name="_Toc35393621"/>
      <w:bookmarkStart w:id="3" w:name="_Toc35393790"/>
      <w:bookmarkStart w:id="4" w:name="_Toc28359002"/>
      <w:bookmarkStart w:id="5" w:name="_Toc28359079"/>
      <w:bookmarkStart w:id="6" w:name="_Hlk24379207"/>
      <w:r>
        <w:rPr>
          <w:rFonts w:hint="eastAsia" w:ascii="仿宋" w:hAnsi="仿宋" w:eastAsia="仿宋" w:cs="仿宋"/>
          <w:b w:val="0"/>
          <w:sz w:val="28"/>
          <w:szCs w:val="28"/>
        </w:rPr>
        <w:t>一、项目基本情况</w:t>
      </w:r>
      <w:bookmarkEnd w:id="2"/>
      <w:bookmarkEnd w:id="3"/>
      <w:bookmarkEnd w:id="4"/>
      <w:bookmarkEnd w:id="5"/>
    </w:p>
    <w:p w14:paraId="34DABD9C">
      <w:pPr>
        <w:ind w:firstLine="560" w:firstLineChars="200"/>
        <w:rPr>
          <w:rFonts w:hint="eastAsia" w:ascii="仿宋" w:hAnsi="仿宋" w:eastAsia="仿宋" w:cs="仿宋"/>
          <w:sz w:val="28"/>
          <w:szCs w:val="28"/>
        </w:rPr>
      </w:pPr>
      <w:r>
        <w:rPr>
          <w:rFonts w:hint="eastAsia" w:ascii="仿宋" w:hAnsi="仿宋" w:eastAsia="仿宋" w:cs="仿宋"/>
          <w:sz w:val="28"/>
          <w:szCs w:val="28"/>
        </w:rPr>
        <w:t>1.项目编号：0686-2611QI044513Z</w:t>
      </w:r>
    </w:p>
    <w:p w14:paraId="47304DCF">
      <w:pPr>
        <w:ind w:left="2099" w:leftChars="266" w:hanging="1540" w:hangingChars="550"/>
        <w:rPr>
          <w:rFonts w:hint="eastAsia" w:ascii="仿宋" w:hAnsi="仿宋" w:eastAsia="仿宋" w:cs="仿宋"/>
          <w:sz w:val="28"/>
          <w:szCs w:val="28"/>
          <w:lang w:eastAsia="zh-CN"/>
        </w:rPr>
      </w:pPr>
      <w:r>
        <w:rPr>
          <w:rFonts w:hint="eastAsia" w:ascii="仿宋" w:hAnsi="仿宋" w:eastAsia="仿宋" w:cs="仿宋"/>
          <w:sz w:val="28"/>
          <w:szCs w:val="28"/>
        </w:rPr>
        <w:t>2.项目名称：</w:t>
      </w:r>
      <w:bookmarkEnd w:id="6"/>
      <w:r>
        <w:rPr>
          <w:rFonts w:hint="eastAsia" w:ascii="仿宋" w:hAnsi="仿宋" w:eastAsia="仿宋" w:cs="仿宋"/>
          <w:sz w:val="28"/>
          <w:szCs w:val="28"/>
          <w:lang w:eastAsia="zh-CN"/>
        </w:rPr>
        <w:t>北京市第六医院医疗设备采购项目</w:t>
      </w:r>
    </w:p>
    <w:p w14:paraId="7A9A64B6">
      <w:pPr>
        <w:ind w:firstLine="560" w:firstLineChars="200"/>
        <w:rPr>
          <w:rFonts w:ascii="仿宋" w:hAnsi="仿宋" w:eastAsia="仿宋" w:cs="仿宋"/>
          <w:sz w:val="28"/>
          <w:szCs w:val="28"/>
        </w:rPr>
      </w:pPr>
      <w:r>
        <w:rPr>
          <w:rFonts w:hint="eastAsia" w:ascii="仿宋" w:hAnsi="仿宋" w:eastAsia="仿宋" w:cs="仿宋"/>
          <w:sz w:val="28"/>
          <w:szCs w:val="28"/>
        </w:rPr>
        <w:t>3.预算金额：人民币</w:t>
      </w:r>
      <w:r>
        <w:rPr>
          <w:rFonts w:hint="eastAsia" w:ascii="仿宋" w:hAnsi="仿宋" w:eastAsia="仿宋" w:cs="仿宋"/>
          <w:sz w:val="28"/>
          <w:szCs w:val="28"/>
          <w:lang w:val="en-US" w:eastAsia="zh-CN"/>
        </w:rPr>
        <w:t>320</w:t>
      </w:r>
      <w:r>
        <w:rPr>
          <w:rFonts w:hint="eastAsia" w:ascii="仿宋" w:hAnsi="仿宋" w:eastAsia="仿宋" w:cs="仿宋"/>
          <w:sz w:val="28"/>
          <w:szCs w:val="28"/>
        </w:rPr>
        <w:t>万元</w:t>
      </w:r>
    </w:p>
    <w:p w14:paraId="50C0B75A">
      <w:pPr>
        <w:ind w:firstLine="560" w:firstLineChars="200"/>
        <w:rPr>
          <w:rFonts w:hint="eastAsia" w:ascii="仿宋" w:hAnsi="仿宋" w:eastAsia="仿宋" w:cs="仿宋"/>
          <w:sz w:val="28"/>
          <w:szCs w:val="28"/>
        </w:rPr>
      </w:pPr>
      <w:r>
        <w:rPr>
          <w:rFonts w:hint="eastAsia" w:ascii="仿宋" w:hAnsi="仿宋" w:eastAsia="仿宋" w:cs="仿宋"/>
          <w:sz w:val="28"/>
          <w:szCs w:val="28"/>
        </w:rPr>
        <w:t>4.采购需求：</w:t>
      </w:r>
    </w:p>
    <w:p w14:paraId="77B4FF96">
      <w:pPr>
        <w:pStyle w:val="17"/>
        <w:rPr>
          <w:rFonts w:hint="default" w:eastAsia="仿宋"/>
          <w:lang w:val="en-US" w:eastAsia="zh-CN"/>
        </w:rPr>
      </w:pPr>
      <w:r>
        <w:rPr>
          <w:rFonts w:hint="eastAsia" w:ascii="仿宋" w:hAnsi="仿宋" w:eastAsia="仿宋" w:cs="仿宋"/>
          <w:sz w:val="28"/>
          <w:szCs w:val="28"/>
          <w:lang w:val="en-US" w:eastAsia="zh-CN"/>
        </w:rPr>
        <w:t xml:space="preserve">    </w:t>
      </w:r>
    </w:p>
    <w:tbl>
      <w:tblPr>
        <w:tblStyle w:val="13"/>
        <w:tblW w:w="10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026"/>
        <w:gridCol w:w="1754"/>
        <w:gridCol w:w="993"/>
        <w:gridCol w:w="1797"/>
        <w:gridCol w:w="1189"/>
        <w:gridCol w:w="1811"/>
      </w:tblGrid>
      <w:tr w14:paraId="4041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vAlign w:val="center"/>
          </w:tcPr>
          <w:p w14:paraId="4A8C3C99">
            <w:pPr>
              <w:jc w:val="center"/>
              <w:rPr>
                <w:rFonts w:hint="eastAsia" w:ascii="宋体" w:hAnsi="宋体" w:eastAsia="宋体" w:cs="宋体"/>
                <w:b/>
                <w:sz w:val="24"/>
                <w:highlight w:val="none"/>
              </w:rPr>
            </w:pPr>
            <w:r>
              <w:rPr>
                <w:rFonts w:hint="eastAsia" w:ascii="宋体" w:hAnsi="宋体" w:eastAsia="宋体" w:cs="宋体"/>
                <w:b/>
                <w:sz w:val="24"/>
                <w:highlight w:val="none"/>
              </w:rPr>
              <w:t>包号</w:t>
            </w:r>
          </w:p>
        </w:tc>
        <w:tc>
          <w:tcPr>
            <w:tcW w:w="2026" w:type="dxa"/>
            <w:vAlign w:val="center"/>
          </w:tcPr>
          <w:p w14:paraId="30394288">
            <w:pPr>
              <w:jc w:val="center"/>
              <w:rPr>
                <w:rFonts w:hint="eastAsia" w:ascii="宋体" w:hAnsi="宋体" w:eastAsia="宋体" w:cs="宋体"/>
                <w:b/>
                <w:sz w:val="24"/>
                <w:highlight w:val="none"/>
              </w:rPr>
            </w:pPr>
            <w:r>
              <w:rPr>
                <w:rFonts w:hint="eastAsia" w:ascii="宋体" w:hAnsi="宋体" w:eastAsia="宋体" w:cs="宋体"/>
                <w:b/>
                <w:sz w:val="24"/>
                <w:highlight w:val="none"/>
                <w:lang w:val="en-US" w:eastAsia="zh-CN"/>
              </w:rPr>
              <w:t>采购包</w:t>
            </w:r>
            <w:r>
              <w:rPr>
                <w:rFonts w:hint="eastAsia" w:ascii="宋体" w:hAnsi="宋体" w:eastAsia="宋体" w:cs="宋体"/>
                <w:b/>
                <w:sz w:val="24"/>
                <w:highlight w:val="none"/>
              </w:rPr>
              <w:t>预算金额</w:t>
            </w:r>
          </w:p>
          <w:p w14:paraId="1D986B93">
            <w:pPr>
              <w:jc w:val="center"/>
              <w:rPr>
                <w:rFonts w:hint="eastAsia" w:ascii="宋体" w:hAnsi="宋体" w:eastAsia="宋体" w:cs="宋体"/>
                <w:b/>
                <w:sz w:val="24"/>
                <w:highlight w:val="none"/>
              </w:rPr>
            </w:pPr>
            <w:r>
              <w:rPr>
                <w:rFonts w:hint="eastAsia" w:ascii="宋体" w:hAnsi="宋体" w:cs="宋体"/>
                <w:b/>
                <w:sz w:val="24"/>
                <w:highlight w:val="none"/>
                <w:lang w:eastAsia="zh-CN"/>
              </w:rPr>
              <w:t>（</w:t>
            </w:r>
            <w:r>
              <w:rPr>
                <w:rFonts w:hint="eastAsia" w:ascii="宋体" w:hAnsi="宋体" w:eastAsia="宋体" w:cs="宋体"/>
                <w:b/>
                <w:sz w:val="24"/>
                <w:highlight w:val="none"/>
              </w:rPr>
              <w:t>万元）</w:t>
            </w:r>
          </w:p>
        </w:tc>
        <w:tc>
          <w:tcPr>
            <w:tcW w:w="1754" w:type="dxa"/>
            <w:vAlign w:val="center"/>
          </w:tcPr>
          <w:p w14:paraId="4C80ACD5">
            <w:pPr>
              <w:jc w:val="center"/>
              <w:rPr>
                <w:rFonts w:hint="default" w:ascii="宋体" w:hAnsi="宋体" w:cs="宋体"/>
                <w:b/>
                <w:sz w:val="24"/>
                <w:highlight w:val="none"/>
                <w:lang w:val="en-US" w:eastAsia="zh-CN"/>
              </w:rPr>
            </w:pPr>
            <w:r>
              <w:rPr>
                <w:rFonts w:hint="eastAsia" w:ascii="宋体" w:hAnsi="宋体" w:cs="宋体"/>
                <w:b/>
                <w:sz w:val="24"/>
                <w:highlight w:val="none"/>
                <w:lang w:val="en-US" w:eastAsia="zh-CN"/>
              </w:rPr>
              <w:t>单价</w:t>
            </w:r>
            <w:r>
              <w:rPr>
                <w:rFonts w:hint="eastAsia" w:ascii="宋体" w:hAnsi="宋体" w:eastAsia="宋体" w:cs="宋体"/>
                <w:b/>
                <w:sz w:val="24"/>
                <w:highlight w:val="none"/>
              </w:rPr>
              <w:t>预算金额</w:t>
            </w:r>
            <w:r>
              <w:rPr>
                <w:rFonts w:hint="eastAsia" w:ascii="宋体" w:hAnsi="宋体" w:cs="宋体"/>
                <w:b/>
                <w:sz w:val="24"/>
                <w:highlight w:val="none"/>
                <w:lang w:val="en-US" w:eastAsia="zh-CN"/>
              </w:rPr>
              <w:t>（万元）</w:t>
            </w:r>
          </w:p>
        </w:tc>
        <w:tc>
          <w:tcPr>
            <w:tcW w:w="993" w:type="dxa"/>
            <w:vAlign w:val="center"/>
          </w:tcPr>
          <w:p w14:paraId="29F276AF">
            <w:pPr>
              <w:jc w:val="center"/>
              <w:rPr>
                <w:rFonts w:hint="eastAsia" w:ascii="宋体" w:hAnsi="宋体" w:eastAsia="宋体" w:cs="宋体"/>
                <w:b/>
                <w:sz w:val="24"/>
                <w:highlight w:val="none"/>
              </w:rPr>
            </w:pPr>
            <w:r>
              <w:rPr>
                <w:rFonts w:hint="eastAsia" w:ascii="宋体" w:hAnsi="宋体" w:eastAsia="宋体" w:cs="宋体"/>
                <w:b/>
                <w:sz w:val="24"/>
                <w:highlight w:val="none"/>
              </w:rPr>
              <w:t>品目号</w:t>
            </w:r>
          </w:p>
        </w:tc>
        <w:tc>
          <w:tcPr>
            <w:tcW w:w="1797" w:type="dxa"/>
            <w:vAlign w:val="center"/>
          </w:tcPr>
          <w:p w14:paraId="22081C6C">
            <w:pPr>
              <w:jc w:val="center"/>
              <w:rPr>
                <w:rFonts w:hint="eastAsia" w:ascii="宋体" w:hAnsi="宋体" w:eastAsia="宋体" w:cs="宋体"/>
                <w:b/>
                <w:sz w:val="24"/>
                <w:highlight w:val="none"/>
              </w:rPr>
            </w:pPr>
            <w:r>
              <w:rPr>
                <w:rFonts w:hint="eastAsia" w:ascii="宋体" w:hAnsi="宋体" w:eastAsia="宋体" w:cs="宋体"/>
                <w:b/>
                <w:sz w:val="24"/>
                <w:highlight w:val="none"/>
              </w:rPr>
              <w:t>标的名称</w:t>
            </w:r>
          </w:p>
        </w:tc>
        <w:tc>
          <w:tcPr>
            <w:tcW w:w="1189" w:type="dxa"/>
            <w:vAlign w:val="center"/>
          </w:tcPr>
          <w:p w14:paraId="588122AA">
            <w:pPr>
              <w:jc w:val="center"/>
              <w:rPr>
                <w:rFonts w:hint="eastAsia" w:ascii="宋体" w:hAnsi="宋体" w:eastAsia="宋体" w:cs="宋体"/>
                <w:b/>
                <w:sz w:val="24"/>
                <w:highlight w:val="none"/>
              </w:rPr>
            </w:pPr>
            <w:r>
              <w:rPr>
                <w:rFonts w:hint="eastAsia" w:ascii="宋体" w:hAnsi="宋体" w:eastAsia="宋体" w:cs="宋体"/>
                <w:b/>
                <w:sz w:val="24"/>
                <w:highlight w:val="none"/>
              </w:rPr>
              <w:t>数量</w:t>
            </w:r>
          </w:p>
        </w:tc>
        <w:tc>
          <w:tcPr>
            <w:tcW w:w="1811" w:type="dxa"/>
            <w:vAlign w:val="center"/>
          </w:tcPr>
          <w:p w14:paraId="5B30BDD5">
            <w:pPr>
              <w:jc w:val="center"/>
              <w:rPr>
                <w:rFonts w:hint="eastAsia" w:ascii="宋体" w:hAnsi="宋体" w:eastAsia="宋体" w:cs="宋体"/>
                <w:b/>
                <w:sz w:val="24"/>
                <w:highlight w:val="none"/>
              </w:rPr>
            </w:pPr>
            <w:r>
              <w:rPr>
                <w:rFonts w:hint="eastAsia" w:ascii="宋体" w:hAnsi="宋体" w:eastAsia="宋体" w:cs="宋体"/>
                <w:b/>
                <w:sz w:val="24"/>
                <w:highlight w:val="none"/>
              </w:rPr>
              <w:t>简要技术需求或服务要求</w:t>
            </w:r>
          </w:p>
        </w:tc>
      </w:tr>
      <w:tr w14:paraId="21AB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5" w:type="dxa"/>
            <w:shd w:val="clear" w:color="auto" w:fill="auto"/>
            <w:vAlign w:val="center"/>
          </w:tcPr>
          <w:p w14:paraId="47CC0D63">
            <w:pPr>
              <w:jc w:val="center"/>
              <w:rPr>
                <w:rFonts w:hint="eastAsia" w:ascii="宋体" w:hAnsi="宋体" w:eastAsia="宋体" w:cs="宋体"/>
                <w:bCs/>
                <w:sz w:val="24"/>
                <w:highlight w:val="none"/>
              </w:rPr>
            </w:pPr>
            <w:r>
              <w:rPr>
                <w:rFonts w:hint="eastAsia" w:ascii="宋体" w:hAnsi="宋体" w:eastAsia="宋体" w:cs="宋体"/>
                <w:bCs/>
                <w:sz w:val="24"/>
                <w:highlight w:val="none"/>
              </w:rPr>
              <w:t>1</w:t>
            </w:r>
          </w:p>
        </w:tc>
        <w:tc>
          <w:tcPr>
            <w:tcW w:w="2026" w:type="dxa"/>
            <w:shd w:val="clear" w:color="auto" w:fill="auto"/>
            <w:vAlign w:val="center"/>
          </w:tcPr>
          <w:p w14:paraId="6E27C7E9">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250</w:t>
            </w:r>
          </w:p>
        </w:tc>
        <w:tc>
          <w:tcPr>
            <w:tcW w:w="1754" w:type="dxa"/>
            <w:shd w:val="clear" w:color="auto" w:fill="auto"/>
            <w:vAlign w:val="center"/>
          </w:tcPr>
          <w:p w14:paraId="215658C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250</w:t>
            </w:r>
          </w:p>
        </w:tc>
        <w:tc>
          <w:tcPr>
            <w:tcW w:w="993" w:type="dxa"/>
            <w:shd w:val="clear" w:color="auto" w:fill="auto"/>
            <w:vAlign w:val="center"/>
          </w:tcPr>
          <w:p w14:paraId="45231FF7">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1-1</w:t>
            </w:r>
          </w:p>
        </w:tc>
        <w:tc>
          <w:tcPr>
            <w:tcW w:w="1797" w:type="dxa"/>
            <w:shd w:val="clear" w:color="auto" w:fill="auto"/>
            <w:vAlign w:val="center"/>
          </w:tcPr>
          <w:p w14:paraId="6CCB6A3B">
            <w:pPr>
              <w:keepNext w:val="0"/>
              <w:keepLines w:val="0"/>
              <w:widowControl/>
              <w:suppressLineNumbers w:val="0"/>
              <w:jc w:val="center"/>
              <w:textAlignment w:val="center"/>
              <w:rPr>
                <w:rFonts w:hint="eastAsia" w:ascii="宋体" w:hAnsi="宋体" w:eastAsia="宋体" w:cs="宋体"/>
                <w:bCs/>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超声电子支气管镜</w:t>
            </w:r>
          </w:p>
        </w:tc>
        <w:tc>
          <w:tcPr>
            <w:tcW w:w="1189" w:type="dxa"/>
            <w:shd w:val="clear" w:color="auto" w:fill="auto"/>
            <w:vAlign w:val="center"/>
          </w:tcPr>
          <w:p w14:paraId="0B5D6E86">
            <w:pPr>
              <w:keepNext w:val="0"/>
              <w:keepLines w:val="0"/>
              <w:widowControl/>
              <w:suppressLineNumbers w:val="0"/>
              <w:jc w:val="center"/>
              <w:textAlignment w:val="center"/>
              <w:rPr>
                <w:rFonts w:hint="eastAsia" w:ascii="宋体" w:hAnsi="宋体" w:eastAsia="宋体" w:cs="宋体"/>
                <w:bCs/>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c>
          <w:tcPr>
            <w:tcW w:w="1811" w:type="dxa"/>
            <w:shd w:val="clear" w:color="auto" w:fill="auto"/>
            <w:vAlign w:val="center"/>
          </w:tcPr>
          <w:p w14:paraId="296D1760">
            <w:pPr>
              <w:jc w:val="center"/>
              <w:rPr>
                <w:rFonts w:hint="eastAsia" w:ascii="宋体" w:hAnsi="宋体" w:eastAsia="宋体" w:cs="宋体"/>
                <w:bCs/>
                <w:sz w:val="24"/>
                <w:highlight w:val="none"/>
              </w:rPr>
            </w:pPr>
            <w:r>
              <w:rPr>
                <w:rFonts w:hint="eastAsia"/>
                <w:sz w:val="24"/>
                <w:szCs w:val="24"/>
                <w:highlight w:val="none"/>
                <w:lang w:val="en-US" w:eastAsia="zh-CN"/>
              </w:rPr>
              <w:t>详见“采购需求”</w:t>
            </w:r>
          </w:p>
        </w:tc>
      </w:tr>
      <w:tr w14:paraId="2F2D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5" w:type="dxa"/>
            <w:shd w:val="clear" w:color="auto" w:fill="auto"/>
            <w:vAlign w:val="center"/>
          </w:tcPr>
          <w:p w14:paraId="67788178">
            <w:pPr>
              <w:jc w:val="center"/>
              <w:rPr>
                <w:rFonts w:hint="eastAsia" w:ascii="宋体" w:hAnsi="宋体" w:eastAsia="宋体" w:cs="宋体"/>
                <w:bCs/>
                <w:sz w:val="24"/>
                <w:highlight w:val="none"/>
              </w:rPr>
            </w:pPr>
          </w:p>
        </w:tc>
        <w:tc>
          <w:tcPr>
            <w:tcW w:w="2026" w:type="dxa"/>
            <w:shd w:val="clear" w:color="auto" w:fill="auto"/>
            <w:vAlign w:val="center"/>
          </w:tcPr>
          <w:p w14:paraId="4884DFC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1754" w:type="dxa"/>
            <w:shd w:val="clear" w:color="auto" w:fill="auto"/>
            <w:vAlign w:val="center"/>
          </w:tcPr>
          <w:p w14:paraId="6D0C286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w:t>
            </w:r>
          </w:p>
        </w:tc>
        <w:tc>
          <w:tcPr>
            <w:tcW w:w="993" w:type="dxa"/>
            <w:shd w:val="clear" w:color="auto" w:fill="auto"/>
            <w:vAlign w:val="center"/>
          </w:tcPr>
          <w:p w14:paraId="2E9805A3">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1-2</w:t>
            </w:r>
          </w:p>
        </w:tc>
        <w:tc>
          <w:tcPr>
            <w:tcW w:w="1797" w:type="dxa"/>
            <w:shd w:val="clear" w:color="auto" w:fill="auto"/>
            <w:vAlign w:val="center"/>
          </w:tcPr>
          <w:p w14:paraId="31039588">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电子膀胱镜</w:t>
            </w:r>
          </w:p>
        </w:tc>
        <w:tc>
          <w:tcPr>
            <w:tcW w:w="1189" w:type="dxa"/>
            <w:shd w:val="clear" w:color="auto" w:fill="auto"/>
            <w:vAlign w:val="center"/>
          </w:tcPr>
          <w:p w14:paraId="731FBC69">
            <w:pPr>
              <w:keepNext w:val="0"/>
              <w:keepLines w:val="0"/>
              <w:widowControl/>
              <w:suppressLineNumbers w:val="0"/>
              <w:jc w:val="center"/>
              <w:textAlignment w:val="center"/>
              <w:rPr>
                <w:rFonts w:hint="eastAsia" w:ascii="宋体" w:hAnsi="宋体" w:eastAsia="宋体" w:cs="宋体"/>
                <w:bCs/>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c>
          <w:tcPr>
            <w:tcW w:w="1811" w:type="dxa"/>
            <w:shd w:val="clear" w:color="auto" w:fill="auto"/>
            <w:vAlign w:val="center"/>
          </w:tcPr>
          <w:p w14:paraId="58424A7A">
            <w:pPr>
              <w:jc w:val="center"/>
              <w:rPr>
                <w:rFonts w:hint="eastAsia" w:ascii="宋体" w:hAnsi="宋体" w:eastAsia="宋体" w:cs="宋体"/>
                <w:bCs/>
                <w:sz w:val="24"/>
                <w:highlight w:val="none"/>
              </w:rPr>
            </w:pPr>
          </w:p>
        </w:tc>
      </w:tr>
      <w:tr w14:paraId="5438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5" w:type="dxa"/>
            <w:shd w:val="clear" w:color="auto" w:fill="auto"/>
            <w:vAlign w:val="center"/>
          </w:tcPr>
          <w:p w14:paraId="03DB3AE8">
            <w:pPr>
              <w:jc w:val="center"/>
              <w:rPr>
                <w:rFonts w:hint="eastAsia" w:ascii="宋体" w:hAnsi="宋体" w:eastAsia="宋体" w:cs="宋体"/>
                <w:bCs/>
                <w:sz w:val="24"/>
                <w:highlight w:val="none"/>
              </w:rPr>
            </w:pPr>
          </w:p>
        </w:tc>
        <w:tc>
          <w:tcPr>
            <w:tcW w:w="2026" w:type="dxa"/>
            <w:shd w:val="clear" w:color="auto" w:fill="auto"/>
            <w:vAlign w:val="center"/>
          </w:tcPr>
          <w:p w14:paraId="38D3AB3B">
            <w:pPr>
              <w:keepNext w:val="0"/>
              <w:keepLines w:val="0"/>
              <w:widowControl/>
              <w:suppressLineNumbers w:val="0"/>
              <w:jc w:val="center"/>
              <w:textAlignment w:val="center"/>
              <w:rPr>
                <w:rFonts w:hint="eastAsia" w:ascii="宋体" w:hAnsi="宋体" w:eastAsia="宋体" w:cs="宋体"/>
                <w:bCs/>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45</w:t>
            </w:r>
          </w:p>
        </w:tc>
        <w:tc>
          <w:tcPr>
            <w:tcW w:w="1754" w:type="dxa"/>
            <w:shd w:val="clear" w:color="auto" w:fill="auto"/>
            <w:vAlign w:val="center"/>
          </w:tcPr>
          <w:p w14:paraId="7BE04F2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22.5</w:t>
            </w:r>
          </w:p>
        </w:tc>
        <w:tc>
          <w:tcPr>
            <w:tcW w:w="993" w:type="dxa"/>
            <w:shd w:val="clear" w:color="auto" w:fill="auto"/>
            <w:vAlign w:val="center"/>
          </w:tcPr>
          <w:p w14:paraId="1D194BDC">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1-3</w:t>
            </w:r>
          </w:p>
        </w:tc>
        <w:tc>
          <w:tcPr>
            <w:tcW w:w="1797" w:type="dxa"/>
            <w:shd w:val="clear" w:color="auto" w:fill="auto"/>
            <w:vAlign w:val="center"/>
          </w:tcPr>
          <w:p w14:paraId="4146EFA4">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血滤机</w:t>
            </w:r>
          </w:p>
        </w:tc>
        <w:tc>
          <w:tcPr>
            <w:tcW w:w="1189" w:type="dxa"/>
            <w:shd w:val="clear" w:color="auto" w:fill="auto"/>
            <w:vAlign w:val="center"/>
          </w:tcPr>
          <w:p w14:paraId="048271A0">
            <w:pPr>
              <w:keepNext w:val="0"/>
              <w:keepLines w:val="0"/>
              <w:widowControl/>
              <w:suppressLineNumbers w:val="0"/>
              <w:jc w:val="center"/>
              <w:textAlignment w:val="center"/>
              <w:rPr>
                <w:rFonts w:hint="eastAsia" w:ascii="宋体" w:hAnsi="宋体" w:eastAsia="宋体" w:cs="宋体"/>
                <w:bCs/>
                <w:sz w:val="24"/>
                <w:szCs w:val="24"/>
                <w:highlight w:val="none"/>
                <w:lang w:val="en-US" w:eastAsia="zh-CN"/>
              </w:rPr>
            </w:pPr>
            <w:r>
              <w:rPr>
                <w:rFonts w:hint="eastAsia" w:ascii="宋体" w:hAnsi="宋体" w:cs="宋体"/>
                <w:i w:val="0"/>
                <w:iCs w:val="0"/>
                <w:color w:val="000000"/>
                <w:kern w:val="0"/>
                <w:sz w:val="24"/>
                <w:szCs w:val="24"/>
                <w:highlight w:val="none"/>
                <w:u w:val="none"/>
                <w:lang w:val="en-US" w:eastAsia="zh-CN" w:bidi="ar"/>
              </w:rPr>
              <w:t>2</w:t>
            </w:r>
          </w:p>
        </w:tc>
        <w:tc>
          <w:tcPr>
            <w:tcW w:w="1811" w:type="dxa"/>
            <w:shd w:val="clear" w:color="auto" w:fill="auto"/>
            <w:vAlign w:val="center"/>
          </w:tcPr>
          <w:p w14:paraId="154AFB15">
            <w:pPr>
              <w:jc w:val="center"/>
              <w:rPr>
                <w:rFonts w:hint="eastAsia" w:ascii="宋体" w:hAnsi="宋体" w:eastAsia="宋体" w:cs="宋体"/>
                <w:bCs/>
                <w:sz w:val="24"/>
                <w:highlight w:val="none"/>
              </w:rPr>
            </w:pPr>
          </w:p>
        </w:tc>
      </w:tr>
    </w:tbl>
    <w:p w14:paraId="517B8EFA">
      <w:pPr>
        <w:rPr>
          <w:rFonts w:hint="eastAsia" w:ascii="仿宋" w:hAnsi="仿宋" w:eastAsia="仿宋" w:cs="仿宋"/>
          <w:sz w:val="28"/>
          <w:szCs w:val="28"/>
        </w:rPr>
      </w:pPr>
    </w:p>
    <w:p w14:paraId="13FE7BCD">
      <w:pPr>
        <w:ind w:firstLine="560" w:firstLineChars="200"/>
        <w:rPr>
          <w:rFonts w:ascii="仿宋" w:hAnsi="仿宋" w:eastAsia="仿宋" w:cs="仿宋"/>
          <w:sz w:val="28"/>
          <w:szCs w:val="28"/>
          <w:u w:val="single"/>
        </w:rPr>
      </w:pPr>
      <w:r>
        <w:rPr>
          <w:rFonts w:hint="eastAsia" w:ascii="仿宋" w:hAnsi="仿宋" w:eastAsia="仿宋" w:cs="仿宋"/>
          <w:sz w:val="28"/>
          <w:szCs w:val="28"/>
        </w:rPr>
        <w:t>5.合同履行期限：</w:t>
      </w:r>
      <w:r>
        <w:rPr>
          <w:rFonts w:hint="eastAsia" w:ascii="仿宋" w:hAnsi="仿宋" w:eastAsia="仿宋" w:cs="仿宋"/>
          <w:sz w:val="28"/>
          <w:szCs w:val="28"/>
          <w:lang w:eastAsia="zh-CN"/>
        </w:rPr>
        <w:t>按采购人要求</w:t>
      </w:r>
    </w:p>
    <w:p w14:paraId="73F7730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6.本项目不接受联合体投标。</w:t>
      </w:r>
    </w:p>
    <w:p w14:paraId="6DC1024A">
      <w:pPr>
        <w:pStyle w:val="3"/>
        <w:spacing w:line="360" w:lineRule="auto"/>
        <w:rPr>
          <w:rFonts w:ascii="仿宋" w:hAnsi="仿宋" w:eastAsia="仿宋" w:cs="仿宋"/>
          <w:b w:val="0"/>
          <w:sz w:val="28"/>
          <w:szCs w:val="28"/>
        </w:rPr>
      </w:pPr>
      <w:bookmarkStart w:id="7" w:name="_Toc28359080"/>
      <w:bookmarkStart w:id="8" w:name="_Toc35393622"/>
      <w:bookmarkStart w:id="9" w:name="_Toc35393791"/>
      <w:bookmarkStart w:id="10" w:name="_Toc28359003"/>
      <w:r>
        <w:rPr>
          <w:rFonts w:hint="eastAsia" w:ascii="仿宋" w:hAnsi="仿宋" w:eastAsia="仿宋" w:cs="仿宋"/>
          <w:b w:val="0"/>
          <w:sz w:val="28"/>
          <w:szCs w:val="28"/>
        </w:rPr>
        <w:t>二、申请人的资格要求：</w:t>
      </w:r>
      <w:bookmarkEnd w:id="7"/>
      <w:bookmarkEnd w:id="8"/>
      <w:bookmarkEnd w:id="9"/>
      <w:bookmarkEnd w:id="10"/>
    </w:p>
    <w:p w14:paraId="265354CD">
      <w:pPr>
        <w:ind w:firstLine="840" w:firstLineChars="300"/>
        <w:rPr>
          <w:rFonts w:hint="eastAsia" w:ascii="仿宋" w:hAnsi="仿宋" w:eastAsia="仿宋" w:cs="仿宋"/>
          <w:sz w:val="28"/>
          <w:szCs w:val="28"/>
          <w:lang w:val="en-US" w:eastAsia="zh-CN"/>
        </w:rPr>
      </w:pPr>
      <w:bookmarkStart w:id="11" w:name="_Toc35393623"/>
      <w:bookmarkStart w:id="12" w:name="_Toc28359004"/>
      <w:bookmarkStart w:id="13" w:name="_Toc28359081"/>
      <w:bookmarkStart w:id="14" w:name="_Toc35393792"/>
      <w:r>
        <w:rPr>
          <w:rFonts w:hint="eastAsia" w:ascii="仿宋" w:hAnsi="仿宋" w:eastAsia="仿宋" w:cs="仿宋"/>
          <w:sz w:val="28"/>
          <w:szCs w:val="28"/>
          <w:lang w:val="en-US" w:eastAsia="zh-CN"/>
        </w:rPr>
        <w:t>1.满足《中华人民共和国政府采购法》第二十二条规定；</w:t>
      </w:r>
    </w:p>
    <w:p w14:paraId="5A5129DC">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2.落实政府采购政策需满足的资格要求：</w:t>
      </w:r>
    </w:p>
    <w:p w14:paraId="38FCE439">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 中小企业政策</w:t>
      </w:r>
    </w:p>
    <w:p w14:paraId="765DD2E1">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■本项目不专门面向中小企业预留采购份额。</w:t>
      </w:r>
    </w:p>
    <w:p w14:paraId="594222CC">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 其它落实政府采购政策的资格要求：/。</w:t>
      </w:r>
    </w:p>
    <w:p w14:paraId="1A0157FC">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3.本项目的特定资格要求：</w:t>
      </w:r>
    </w:p>
    <w:p w14:paraId="1D56D7F0">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 本项目是否接受分支机构参与投标：□是   ■否；</w:t>
      </w:r>
    </w:p>
    <w:p w14:paraId="4F737D6A">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 本项目是否属于政府购买服务：</w:t>
      </w:r>
    </w:p>
    <w:p w14:paraId="37C13C0C">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否</w:t>
      </w:r>
    </w:p>
    <w:p w14:paraId="381FFAA6">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是，公益一类事业单位、使用事业编制且由财政拨款保障的群团组织，不得作为承接主体；</w:t>
      </w:r>
    </w:p>
    <w:p w14:paraId="4F1DE0E4">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 其他特定资格要求：投标产品属于医疗器械的，供应商如为代理商，应具有合法的医疗器械经营资格；供应商如为制造商，使用自身生产的产品投标时，应具有合法的医疗器械生产资格。</w:t>
      </w:r>
    </w:p>
    <w:p w14:paraId="7F827E0E">
      <w:pPr>
        <w:pStyle w:val="3"/>
        <w:spacing w:line="360" w:lineRule="auto"/>
        <w:rPr>
          <w:rFonts w:ascii="仿宋" w:hAnsi="仿宋" w:eastAsia="仿宋" w:cs="仿宋"/>
          <w:b w:val="0"/>
          <w:sz w:val="28"/>
          <w:szCs w:val="28"/>
        </w:rPr>
      </w:pPr>
      <w:r>
        <w:rPr>
          <w:rFonts w:hint="eastAsia" w:ascii="仿宋" w:hAnsi="仿宋" w:eastAsia="仿宋" w:cs="仿宋"/>
          <w:b w:val="0"/>
          <w:sz w:val="28"/>
          <w:szCs w:val="28"/>
        </w:rPr>
        <w:t>三、获取招标文件</w:t>
      </w:r>
      <w:bookmarkEnd w:id="11"/>
      <w:bookmarkEnd w:id="12"/>
      <w:bookmarkEnd w:id="13"/>
      <w:bookmarkEnd w:id="14"/>
    </w:p>
    <w:p w14:paraId="5780B92E">
      <w:pPr>
        <w:spacing w:line="360" w:lineRule="auto"/>
        <w:ind w:firstLine="560" w:firstLineChars="200"/>
        <w:rPr>
          <w:rFonts w:ascii="仿宋" w:hAnsi="仿宋" w:eastAsia="仿宋" w:cs="仿宋"/>
          <w:sz w:val="28"/>
          <w:szCs w:val="28"/>
          <w:highlight w:val="none"/>
        </w:rPr>
      </w:pPr>
      <w:bookmarkStart w:id="15" w:name="_Toc28359005"/>
      <w:bookmarkStart w:id="16" w:name="_Toc28359082"/>
      <w:bookmarkStart w:id="17" w:name="_Toc35393624"/>
      <w:bookmarkStart w:id="18" w:name="_Toc35393793"/>
      <w:r>
        <w:rPr>
          <w:rFonts w:ascii="仿宋" w:hAnsi="仿宋" w:eastAsia="仿宋" w:cs="仿宋"/>
          <w:sz w:val="28"/>
          <w:szCs w:val="28"/>
        </w:rPr>
        <w:t>1.时</w:t>
      </w:r>
      <w:r>
        <w:rPr>
          <w:rFonts w:ascii="仿宋" w:hAnsi="仿宋" w:eastAsia="仿宋" w:cs="仿宋"/>
          <w:sz w:val="28"/>
          <w:szCs w:val="28"/>
          <w:highlight w:val="none"/>
        </w:rPr>
        <w:t>间：</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日至202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日</w:t>
      </w:r>
      <w:r>
        <w:rPr>
          <w:rFonts w:ascii="仿宋" w:hAnsi="仿宋" w:eastAsia="仿宋" w:cs="仿宋"/>
          <w:sz w:val="28"/>
          <w:szCs w:val="28"/>
          <w:highlight w:val="none"/>
        </w:rPr>
        <w:t>，每天上午</w:t>
      </w:r>
      <w:r>
        <w:rPr>
          <w:rFonts w:hint="eastAsia" w:ascii="仿宋" w:hAnsi="仿宋" w:eastAsia="仿宋" w:cs="仿宋"/>
          <w:sz w:val="28"/>
          <w:szCs w:val="28"/>
          <w:highlight w:val="none"/>
          <w:lang w:val="en-US" w:eastAsia="zh-CN"/>
        </w:rPr>
        <w:t>8:30</w:t>
      </w:r>
      <w:r>
        <w:rPr>
          <w:rFonts w:ascii="仿宋" w:hAnsi="仿宋" w:eastAsia="仿宋" w:cs="仿宋"/>
          <w:sz w:val="28"/>
          <w:szCs w:val="28"/>
          <w:highlight w:val="none"/>
        </w:rPr>
        <w:t>至</w:t>
      </w:r>
      <w:r>
        <w:rPr>
          <w:rFonts w:hint="eastAsia" w:ascii="仿宋" w:hAnsi="仿宋" w:eastAsia="仿宋" w:cs="仿宋"/>
          <w:sz w:val="28"/>
          <w:szCs w:val="28"/>
          <w:highlight w:val="none"/>
          <w:lang w:val="en-US" w:eastAsia="zh-CN"/>
        </w:rPr>
        <w:t>12:00</w:t>
      </w:r>
      <w:r>
        <w:rPr>
          <w:rFonts w:ascii="仿宋" w:hAnsi="仿宋" w:eastAsia="仿宋" w:cs="仿宋"/>
          <w:sz w:val="28"/>
          <w:szCs w:val="28"/>
          <w:highlight w:val="none"/>
        </w:rPr>
        <w:t>，下午</w:t>
      </w:r>
      <w:r>
        <w:rPr>
          <w:rFonts w:hint="eastAsia" w:ascii="仿宋" w:hAnsi="仿宋" w:eastAsia="仿宋" w:cs="仿宋"/>
          <w:sz w:val="28"/>
          <w:szCs w:val="28"/>
          <w:highlight w:val="none"/>
          <w:lang w:val="en-US" w:eastAsia="zh-CN"/>
        </w:rPr>
        <w:t>12:00</w:t>
      </w:r>
      <w:r>
        <w:rPr>
          <w:rFonts w:ascii="仿宋" w:hAnsi="仿宋" w:eastAsia="仿宋" w:cs="仿宋"/>
          <w:sz w:val="28"/>
          <w:szCs w:val="28"/>
          <w:highlight w:val="none"/>
        </w:rPr>
        <w:t>至</w:t>
      </w:r>
      <w:r>
        <w:rPr>
          <w:rFonts w:hint="eastAsia" w:ascii="仿宋" w:hAnsi="仿宋" w:eastAsia="仿宋" w:cs="仿宋"/>
          <w:sz w:val="28"/>
          <w:szCs w:val="28"/>
          <w:highlight w:val="none"/>
          <w:lang w:val="en-US" w:eastAsia="zh-CN"/>
        </w:rPr>
        <w:t>16:30</w:t>
      </w:r>
      <w:r>
        <w:rPr>
          <w:rFonts w:ascii="仿宋" w:hAnsi="仿宋" w:eastAsia="仿宋" w:cs="仿宋"/>
          <w:sz w:val="28"/>
          <w:szCs w:val="28"/>
          <w:highlight w:val="none"/>
        </w:rPr>
        <w:t>（北京时间，法定节假日除外）。</w:t>
      </w:r>
    </w:p>
    <w:p w14:paraId="56E09375">
      <w:pPr>
        <w:spacing w:line="360" w:lineRule="auto"/>
        <w:ind w:firstLine="560" w:firstLineChars="200"/>
        <w:rPr>
          <w:rFonts w:ascii="仿宋" w:hAnsi="仿宋" w:eastAsia="仿宋" w:cs="仿宋"/>
          <w:sz w:val="28"/>
          <w:szCs w:val="28"/>
        </w:rPr>
      </w:pPr>
      <w:r>
        <w:rPr>
          <w:rFonts w:ascii="仿宋" w:hAnsi="仿宋" w:eastAsia="仿宋" w:cs="仿宋"/>
          <w:sz w:val="28"/>
          <w:szCs w:val="28"/>
        </w:rPr>
        <w:t>2.地点：北京市政府采购电子交易平台</w:t>
      </w:r>
      <w:r>
        <w:rPr>
          <w:rFonts w:hint="eastAsia" w:ascii="仿宋" w:hAnsi="仿宋" w:eastAsia="仿宋" w:cs="仿宋"/>
          <w:sz w:val="28"/>
          <w:szCs w:val="28"/>
          <w:lang w:val="en-US" w:eastAsia="zh-CN"/>
        </w:rPr>
        <w:t>。</w:t>
      </w:r>
    </w:p>
    <w:p w14:paraId="2B9414FC">
      <w:pPr>
        <w:spacing w:line="360" w:lineRule="auto"/>
        <w:ind w:firstLine="560" w:firstLineChars="200"/>
        <w:rPr>
          <w:rFonts w:ascii="仿宋" w:hAnsi="仿宋" w:eastAsia="仿宋" w:cs="仿宋"/>
          <w:sz w:val="28"/>
          <w:szCs w:val="28"/>
        </w:rPr>
      </w:pPr>
      <w:r>
        <w:rPr>
          <w:rFonts w:ascii="仿宋" w:hAnsi="仿宋" w:eastAsia="仿宋" w:cs="仿宋"/>
          <w:sz w:val="28"/>
          <w:szCs w:val="28"/>
        </w:rPr>
        <w:t>3.方式：</w:t>
      </w:r>
      <w:r>
        <w:rPr>
          <w:rFonts w:hint="eastAsia" w:ascii="仿宋" w:hAnsi="仿宋" w:eastAsia="仿宋" w:cs="仿宋"/>
          <w:sz w:val="28"/>
          <w:szCs w:val="28"/>
        </w:rPr>
        <w:t>供应商使用 CA 数字证书或电子营业执照登录北京市政府采购电子交易平台（</w:t>
      </w:r>
      <w:r>
        <w:rPr>
          <w:rFonts w:ascii="仿宋" w:hAnsi="仿宋" w:eastAsia="仿宋" w:cs="仿宋"/>
          <w:sz w:val="28"/>
          <w:szCs w:val="28"/>
        </w:rPr>
        <w:fldChar w:fldCharType="begin"/>
      </w:r>
      <w:r>
        <w:rPr>
          <w:rFonts w:ascii="仿宋" w:hAnsi="仿宋" w:eastAsia="仿宋" w:cs="仿宋"/>
          <w:sz w:val="28"/>
          <w:szCs w:val="28"/>
        </w:rPr>
        <w:instrText xml:space="preserve"> HYPERLINK "http://zbcg-bjzc.zhongcy.com/bjczj-portal-site/index.html%23/home" \h </w:instrText>
      </w:r>
      <w:r>
        <w:rPr>
          <w:rFonts w:ascii="仿宋" w:hAnsi="仿宋" w:eastAsia="仿宋" w:cs="仿宋"/>
          <w:sz w:val="28"/>
          <w:szCs w:val="28"/>
        </w:rPr>
        <w:fldChar w:fldCharType="separate"/>
      </w:r>
      <w:r>
        <w:rPr>
          <w:rFonts w:hint="eastAsia" w:ascii="仿宋" w:hAnsi="仿宋" w:eastAsia="仿宋" w:cs="仿宋"/>
          <w:sz w:val="28"/>
          <w:szCs w:val="28"/>
        </w:rPr>
        <w:t>http://zbcg-bjzc.zhongcy.com/bjczj-portal-site/index.html#/home</w:t>
      </w:r>
      <w:r>
        <w:rPr>
          <w:rFonts w:hint="eastAsia" w:ascii="仿宋" w:hAnsi="仿宋" w:eastAsia="仿宋" w:cs="仿宋"/>
          <w:sz w:val="28"/>
          <w:szCs w:val="28"/>
        </w:rPr>
        <w:fldChar w:fldCharType="end"/>
      </w:r>
      <w:r>
        <w:rPr>
          <w:rFonts w:hint="eastAsia" w:ascii="仿宋" w:hAnsi="仿宋" w:eastAsia="仿宋" w:cs="仿宋"/>
          <w:sz w:val="28"/>
          <w:szCs w:val="28"/>
        </w:rPr>
        <w:t>）获取电子版招标文件。</w:t>
      </w:r>
    </w:p>
    <w:p w14:paraId="604CDE81">
      <w:pPr>
        <w:spacing w:line="360" w:lineRule="auto"/>
        <w:ind w:firstLine="560" w:firstLineChars="200"/>
        <w:rPr>
          <w:rFonts w:ascii="仿宋" w:hAnsi="仿宋" w:eastAsia="仿宋" w:cs="仿宋"/>
          <w:sz w:val="28"/>
          <w:szCs w:val="28"/>
        </w:rPr>
      </w:pPr>
      <w:r>
        <w:rPr>
          <w:rFonts w:ascii="仿宋" w:hAnsi="仿宋" w:eastAsia="仿宋" w:cs="仿宋"/>
          <w:sz w:val="28"/>
          <w:szCs w:val="28"/>
        </w:rPr>
        <w:t>4.售价：0元。</w:t>
      </w:r>
    </w:p>
    <w:p w14:paraId="47AD5CA7">
      <w:pPr>
        <w:pStyle w:val="3"/>
        <w:spacing w:line="360" w:lineRule="auto"/>
        <w:rPr>
          <w:rFonts w:ascii="仿宋" w:hAnsi="仿宋" w:eastAsia="仿宋" w:cs="仿宋"/>
          <w:b w:val="0"/>
          <w:sz w:val="28"/>
          <w:szCs w:val="28"/>
        </w:rPr>
      </w:pPr>
      <w:r>
        <w:rPr>
          <w:rFonts w:hint="eastAsia" w:ascii="仿宋" w:hAnsi="仿宋" w:eastAsia="仿宋" w:cs="仿宋"/>
          <w:b w:val="0"/>
          <w:sz w:val="28"/>
          <w:szCs w:val="28"/>
        </w:rPr>
        <w:t>四、提交投标文件</w:t>
      </w:r>
      <w:bookmarkEnd w:id="15"/>
      <w:bookmarkEnd w:id="16"/>
      <w:r>
        <w:rPr>
          <w:rFonts w:hint="eastAsia" w:ascii="仿宋" w:hAnsi="仿宋" w:eastAsia="仿宋" w:cs="仿宋"/>
          <w:b w:val="0"/>
          <w:sz w:val="28"/>
          <w:szCs w:val="28"/>
        </w:rPr>
        <w:t>截止时间、开标时间和地点</w:t>
      </w:r>
      <w:bookmarkEnd w:id="17"/>
      <w:bookmarkEnd w:id="18"/>
    </w:p>
    <w:p w14:paraId="5B5360F3">
      <w:pPr>
        <w:spacing w:line="360" w:lineRule="auto"/>
        <w:ind w:firstLine="420" w:firstLineChars="150"/>
        <w:rPr>
          <w:rFonts w:hint="eastAsia" w:ascii="仿宋" w:hAnsi="仿宋" w:eastAsia="仿宋" w:cs="仿宋"/>
          <w:bCs/>
          <w:sz w:val="28"/>
          <w:szCs w:val="28"/>
          <w:highlight w:val="none"/>
        </w:rPr>
      </w:pPr>
      <w:bookmarkStart w:id="19" w:name="_Toc35393625"/>
      <w:bookmarkStart w:id="20" w:name="_Toc28359007"/>
      <w:bookmarkStart w:id="21" w:name="_Toc35393794"/>
      <w:bookmarkStart w:id="22" w:name="_Toc28359084"/>
      <w:r>
        <w:rPr>
          <w:rFonts w:hint="eastAsia" w:ascii="仿宋" w:hAnsi="仿宋" w:eastAsia="仿宋" w:cs="仿宋"/>
          <w:bCs/>
          <w:sz w:val="28"/>
          <w:szCs w:val="28"/>
        </w:rPr>
        <w:t>投标截止时间、开标时</w:t>
      </w:r>
      <w:r>
        <w:rPr>
          <w:rFonts w:hint="eastAsia" w:ascii="仿宋" w:hAnsi="仿宋" w:eastAsia="仿宋" w:cs="仿宋"/>
          <w:bCs/>
          <w:sz w:val="28"/>
          <w:szCs w:val="28"/>
          <w:highlight w:val="none"/>
        </w:rPr>
        <w:t>间：</w:t>
      </w:r>
      <w:r>
        <w:rPr>
          <w:rFonts w:hint="eastAsia" w:ascii="仿宋" w:hAnsi="仿宋" w:eastAsia="仿宋" w:cs="仿宋"/>
          <w:bCs/>
          <w:sz w:val="28"/>
          <w:szCs w:val="28"/>
          <w:highlight w:val="none"/>
          <w:lang w:eastAsia="zh-CN"/>
        </w:rPr>
        <w:t>2026年4月23日</w:t>
      </w:r>
      <w:r>
        <w:rPr>
          <w:rFonts w:hint="eastAsia" w:ascii="仿宋" w:hAnsi="仿宋" w:eastAsia="仿宋" w:cs="仿宋"/>
          <w:bCs/>
          <w:sz w:val="28"/>
          <w:szCs w:val="28"/>
          <w:highlight w:val="none"/>
          <w:lang w:val="en-US" w:eastAsia="zh-CN"/>
        </w:rPr>
        <w:t>下</w:t>
      </w:r>
      <w:r>
        <w:rPr>
          <w:rFonts w:hint="eastAsia" w:ascii="仿宋" w:hAnsi="仿宋" w:eastAsia="仿宋" w:cs="仿宋"/>
          <w:bCs/>
          <w:sz w:val="28"/>
          <w:szCs w:val="28"/>
          <w:highlight w:val="none"/>
          <w:lang w:eastAsia="zh-CN"/>
        </w:rPr>
        <w:t>午13点30分</w:t>
      </w:r>
      <w:r>
        <w:rPr>
          <w:rFonts w:hint="eastAsia" w:ascii="仿宋" w:hAnsi="仿宋" w:eastAsia="仿宋" w:cs="仿宋"/>
          <w:bCs/>
          <w:sz w:val="28"/>
          <w:szCs w:val="28"/>
          <w:highlight w:val="none"/>
        </w:rPr>
        <w:t>（北京时间）。</w:t>
      </w:r>
    </w:p>
    <w:p w14:paraId="143BE43D">
      <w:pPr>
        <w:spacing w:line="360" w:lineRule="auto"/>
        <w:ind w:firstLine="420" w:firstLineChars="150"/>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地点：</w:t>
      </w:r>
      <w:r>
        <w:rPr>
          <w:rFonts w:hint="eastAsia" w:ascii="仿宋" w:hAnsi="仿宋" w:eastAsia="仿宋" w:cs="仿宋"/>
          <w:bCs/>
          <w:sz w:val="28"/>
          <w:szCs w:val="28"/>
          <w:highlight w:val="none"/>
          <w:lang w:val="en-US" w:eastAsia="zh-CN"/>
        </w:rPr>
        <w:t>北京国际贸易有限公司（</w:t>
      </w:r>
      <w:r>
        <w:rPr>
          <w:rFonts w:hint="eastAsia" w:ascii="仿宋" w:hAnsi="仿宋" w:eastAsia="仿宋" w:cs="仿宋"/>
          <w:bCs/>
          <w:sz w:val="28"/>
          <w:szCs w:val="28"/>
          <w:highlight w:val="none"/>
        </w:rPr>
        <w:t>北京市朝阳区建国门外大街甲3号</w:t>
      </w:r>
      <w:r>
        <w:rPr>
          <w:rFonts w:hint="eastAsia" w:ascii="仿宋" w:hAnsi="仿宋" w:eastAsia="仿宋" w:cs="仿宋"/>
          <w:bCs/>
          <w:sz w:val="28"/>
          <w:szCs w:val="28"/>
          <w:highlight w:val="none"/>
          <w:lang w:val="en-US" w:eastAsia="zh-CN"/>
        </w:rPr>
        <w:t>）</w:t>
      </w:r>
      <w:r>
        <w:rPr>
          <w:rFonts w:hint="eastAsia" w:ascii="仿宋" w:hAnsi="仿宋" w:eastAsia="仿宋" w:cs="仿宋"/>
          <w:bCs/>
          <w:sz w:val="28"/>
          <w:szCs w:val="28"/>
          <w:highlight w:val="none"/>
        </w:rPr>
        <w:t>。</w:t>
      </w:r>
    </w:p>
    <w:p w14:paraId="51F50E26">
      <w:pPr>
        <w:spacing w:line="360" w:lineRule="auto"/>
        <w:ind w:firstLine="420" w:firstLineChars="150"/>
        <w:rPr>
          <w:rFonts w:hint="eastAsia" w:ascii="仿宋" w:hAnsi="仿宋" w:eastAsia="仿宋" w:cs="仿宋"/>
          <w:bCs/>
          <w:sz w:val="28"/>
          <w:szCs w:val="28"/>
        </w:rPr>
      </w:pPr>
    </w:p>
    <w:p w14:paraId="56E1BB06">
      <w:pPr>
        <w:rPr>
          <w:rFonts w:ascii="仿宋" w:hAnsi="仿宋" w:eastAsia="仿宋" w:cs="仿宋"/>
          <w:sz w:val="28"/>
          <w:szCs w:val="28"/>
        </w:rPr>
      </w:pPr>
      <w:r>
        <w:rPr>
          <w:rFonts w:hint="eastAsia" w:ascii="仿宋" w:hAnsi="仿宋" w:eastAsia="仿宋" w:cs="仿宋"/>
          <w:sz w:val="28"/>
          <w:szCs w:val="28"/>
        </w:rPr>
        <w:t>五、公告期限</w:t>
      </w:r>
      <w:bookmarkEnd w:id="19"/>
      <w:bookmarkEnd w:id="20"/>
      <w:bookmarkEnd w:id="21"/>
      <w:bookmarkEnd w:id="22"/>
    </w:p>
    <w:p w14:paraId="404CEDC5">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自本公告发布之日起5个工作日。</w:t>
      </w:r>
    </w:p>
    <w:p w14:paraId="67462528">
      <w:pPr>
        <w:pStyle w:val="3"/>
        <w:numPr>
          <w:ilvl w:val="0"/>
          <w:numId w:val="1"/>
        </w:numPr>
        <w:spacing w:line="240" w:lineRule="auto"/>
        <w:rPr>
          <w:rFonts w:ascii="仿宋" w:hAnsi="仿宋" w:eastAsia="仿宋" w:cs="仿宋"/>
          <w:kern w:val="0"/>
          <w:sz w:val="28"/>
          <w:szCs w:val="28"/>
        </w:rPr>
      </w:pPr>
      <w:bookmarkStart w:id="23" w:name="_Toc35393795"/>
      <w:bookmarkStart w:id="24" w:name="_Toc35393626"/>
      <w:r>
        <w:rPr>
          <w:rFonts w:hint="eastAsia" w:ascii="仿宋" w:hAnsi="仿宋" w:eastAsia="仿宋" w:cs="仿宋"/>
          <w:b w:val="0"/>
          <w:sz w:val="28"/>
          <w:szCs w:val="28"/>
        </w:rPr>
        <w:t>其他补充事宜</w:t>
      </w:r>
      <w:bookmarkEnd w:id="23"/>
      <w:bookmarkEnd w:id="24"/>
      <w:bookmarkStart w:id="25" w:name="_Toc35393627"/>
      <w:bookmarkStart w:id="26" w:name="_Toc28359085"/>
      <w:bookmarkStart w:id="27" w:name="_Toc35393796"/>
      <w:bookmarkStart w:id="28" w:name="_Toc28359008"/>
    </w:p>
    <w:p w14:paraId="3E15D357">
      <w:pPr>
        <w:pageBreakBefore w:val="0"/>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kinsoku/>
        <w:wordWrap/>
        <w:overflowPunct/>
        <w:topLinePunct w:val="0"/>
        <w:bidi w:val="0"/>
        <w:spacing w:before="120" w:line="360" w:lineRule="auto"/>
        <w:ind w:left="0" w:leftChars="0" w:right="0" w:firstLine="480" w:firstLineChars="200"/>
        <w:jc w:val="both"/>
        <w:textAlignment w:val="auto"/>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1.本项目需要落实的政府采购政策：</w:t>
      </w:r>
      <w:r>
        <w:rPr>
          <w:rFonts w:hint="eastAsia" w:ascii="宋体" w:hAnsi="宋体" w:eastAsia="宋体" w:cs="宋体"/>
          <w:kern w:val="2"/>
          <w:sz w:val="24"/>
          <w:szCs w:val="24"/>
          <w:highlight w:val="none"/>
          <w:lang w:val="en-US" w:eastAsia="zh-CN" w:bidi="ar-SA"/>
        </w:rPr>
        <w:t>促进中小企业发展政策、监狱企业扶持政策、促进残疾人就业政府采购政策、鼓励节能、环保政策、</w:t>
      </w:r>
      <w:r>
        <w:rPr>
          <w:rFonts w:hint="eastAsia" w:ascii="宋体" w:hAnsi="宋体" w:eastAsia="宋体" w:cs="宋体"/>
          <w:i w:val="0"/>
          <w:iCs w:val="0"/>
          <w:caps w:val="0"/>
          <w:color w:val="383838"/>
          <w:spacing w:val="0"/>
          <w:kern w:val="2"/>
          <w:sz w:val="24"/>
          <w:szCs w:val="24"/>
          <w:highlight w:val="none"/>
          <w:shd w:val="clear" w:fill="FFFFFF"/>
          <w:lang w:val="en-US" w:eastAsia="zh-CN" w:bidi="ar-SA"/>
        </w:rPr>
        <w:t>实施本国产品标准及相关政策等</w:t>
      </w:r>
      <w:r>
        <w:rPr>
          <w:rFonts w:hint="eastAsia" w:ascii="宋体" w:hAnsi="宋体" w:eastAsia="宋体" w:cs="宋体"/>
          <w:kern w:val="2"/>
          <w:sz w:val="24"/>
          <w:szCs w:val="24"/>
          <w:highlight w:val="none"/>
          <w:lang w:val="en-US" w:eastAsia="zh-CN" w:bidi="ar-SA"/>
        </w:rPr>
        <w:t xml:space="preserve">。具体落实情况详见招标文件。 </w:t>
      </w:r>
    </w:p>
    <w:p w14:paraId="714DC8D6">
      <w:pPr>
        <w:pageBreakBefore w:val="0"/>
        <w:widowControl w:val="0"/>
        <w:numPr>
          <w:ilvl w:val="0"/>
          <w:numId w:val="0"/>
        </w:numPr>
        <w:tabs>
          <w:tab w:val="left" w:pos="567"/>
        </w:tabs>
        <w:kinsoku/>
        <w:wordWrap/>
        <w:overflowPunct/>
        <w:topLinePunct w:val="0"/>
        <w:bidi w:val="0"/>
        <w:spacing w:before="120" w:line="360" w:lineRule="auto"/>
        <w:ind w:left="0" w:leftChars="0" w:right="0" w:rightChars="0" w:firstLine="480" w:firstLineChars="200"/>
        <w:jc w:val="both"/>
        <w:textAlignment w:val="auto"/>
        <w:rPr>
          <w:rFonts w:ascii="宋体" w:hAnsi="宋体" w:eastAsia="宋体" w:cs="Times New Roman"/>
          <w:kern w:val="2"/>
          <w:sz w:val="24"/>
          <w:szCs w:val="24"/>
          <w:highlight w:val="none"/>
          <w:lang w:val="en-US" w:eastAsia="zh-CN" w:bidi="ar-SA"/>
        </w:rPr>
      </w:pPr>
      <w:r>
        <w:rPr>
          <w:rFonts w:ascii="宋体" w:hAnsi="宋体" w:eastAsia="宋体" w:cs="Times New Roman"/>
          <w:kern w:val="2"/>
          <w:sz w:val="24"/>
          <w:szCs w:val="24"/>
          <w:lang w:val="en-US" w:eastAsia="zh-CN" w:bidi="ar-SA"/>
        </w:rPr>
        <w:t>2.</w:t>
      </w:r>
      <w:r>
        <w:rPr>
          <w:rFonts w:hint="eastAsia" w:ascii="宋体" w:hAnsi="宋体" w:eastAsia="宋体" w:cs="Times New Roman"/>
          <w:kern w:val="2"/>
          <w:sz w:val="24"/>
          <w:szCs w:val="24"/>
          <w:highlight w:val="none"/>
          <w:lang w:val="en-US" w:eastAsia="zh-CN" w:bidi="ar-SA"/>
        </w:rPr>
        <w:t xml:space="preserve">申请人的资格要求补充： </w:t>
      </w:r>
    </w:p>
    <w:p w14:paraId="6087F1AB">
      <w:pPr>
        <w:pageBreakBefore w:val="0"/>
        <w:widowControl w:val="0"/>
        <w:numPr>
          <w:ilvl w:val="0"/>
          <w:numId w:val="0"/>
        </w:numPr>
        <w:tabs>
          <w:tab w:val="left" w:pos="567"/>
        </w:tabs>
        <w:kinsoku/>
        <w:wordWrap/>
        <w:overflowPunct/>
        <w:topLinePunct w:val="0"/>
        <w:bidi w:val="0"/>
        <w:spacing w:before="120" w:line="360" w:lineRule="auto"/>
        <w:ind w:left="0" w:leftChars="0" w:right="0" w:rightChars="0" w:firstLine="480" w:firstLineChars="200"/>
        <w:jc w:val="both"/>
        <w:textAlignment w:val="auto"/>
        <w:rPr>
          <w:rFonts w:ascii="宋体" w:hAnsi="宋体" w:eastAsia="宋体" w:cs="Times New Roman"/>
          <w:kern w:val="2"/>
          <w:sz w:val="24"/>
          <w:szCs w:val="24"/>
          <w:highlight w:val="none"/>
          <w:lang w:val="en-US" w:eastAsia="zh-CN" w:bidi="ar-SA"/>
        </w:rPr>
      </w:pPr>
      <w:r>
        <w:rPr>
          <w:rFonts w:ascii="宋体" w:hAnsi="宋体" w:eastAsia="宋体" w:cs="Times New Roman"/>
          <w:kern w:val="2"/>
          <w:sz w:val="24"/>
          <w:szCs w:val="24"/>
          <w:lang w:val="en-US" w:eastAsia="zh-CN" w:bidi="ar-SA"/>
        </w:rPr>
        <w:t>（1）</w:t>
      </w:r>
      <w:r>
        <w:rPr>
          <w:rFonts w:hint="eastAsia" w:ascii="宋体" w:hAnsi="宋体" w:eastAsia="宋体" w:cs="Times New Roman"/>
          <w:kern w:val="2"/>
          <w:sz w:val="24"/>
          <w:szCs w:val="24"/>
          <w:highlight w:val="none"/>
          <w:lang w:val="en-US" w:eastAsia="zh-CN" w:bidi="ar-SA"/>
        </w:rPr>
        <w:t>被“信用中国”网站（www.creditchina.gov.cn）列入失信被执行人和重大税收</w:t>
      </w:r>
    </w:p>
    <w:p w14:paraId="21589C42">
      <w:pPr>
        <w:pageBreakBefore w:val="0"/>
        <w:widowControl w:val="0"/>
        <w:tabs>
          <w:tab w:val="left" w:pos="567"/>
        </w:tabs>
        <w:kinsoku/>
        <w:wordWrap/>
        <w:overflowPunct/>
        <w:topLinePunct w:val="0"/>
        <w:bidi w:val="0"/>
        <w:spacing w:before="120" w:line="360" w:lineRule="auto"/>
        <w:ind w:left="0" w:leftChars="0" w:right="0" w:firstLine="480" w:firstLineChars="200"/>
        <w:jc w:val="both"/>
        <w:textAlignment w:val="auto"/>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违法案件当事人名单的、被“中国政府采购网”网站（www.ccgp.gov.cn）列入政</w:t>
      </w:r>
    </w:p>
    <w:p w14:paraId="42C1E716">
      <w:pPr>
        <w:pageBreakBefore w:val="0"/>
        <w:widowControl w:val="0"/>
        <w:tabs>
          <w:tab w:val="left" w:pos="567"/>
        </w:tabs>
        <w:kinsoku/>
        <w:wordWrap/>
        <w:overflowPunct/>
        <w:topLinePunct w:val="0"/>
        <w:bidi w:val="0"/>
        <w:spacing w:before="120" w:line="360" w:lineRule="auto"/>
        <w:ind w:left="0" w:leftChars="0" w:right="0" w:firstLine="480" w:firstLineChars="200"/>
        <w:jc w:val="both"/>
        <w:textAlignment w:val="auto"/>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府采购严重违法失信行为记录名单（处罚期限尚未届满的）的供应商，不得参与</w:t>
      </w:r>
    </w:p>
    <w:p w14:paraId="375A150D">
      <w:pPr>
        <w:pageBreakBefore w:val="0"/>
        <w:widowControl w:val="0"/>
        <w:tabs>
          <w:tab w:val="left" w:pos="567"/>
        </w:tabs>
        <w:kinsoku/>
        <w:wordWrap/>
        <w:overflowPunct/>
        <w:topLinePunct w:val="0"/>
        <w:bidi w:val="0"/>
        <w:spacing w:before="120" w:line="360" w:lineRule="auto"/>
        <w:ind w:left="0" w:leftChars="0" w:right="0" w:firstLine="480" w:firstLineChars="200"/>
        <w:jc w:val="both"/>
        <w:textAlignment w:val="auto"/>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本项目的政府采购活动。 </w:t>
      </w:r>
    </w:p>
    <w:p w14:paraId="249F98DB">
      <w:pPr>
        <w:pageBreakBefore w:val="0"/>
        <w:widowControl w:val="0"/>
        <w:numPr>
          <w:ilvl w:val="0"/>
          <w:numId w:val="0"/>
        </w:numPr>
        <w:tabs>
          <w:tab w:val="left" w:pos="567"/>
        </w:tabs>
        <w:kinsoku/>
        <w:wordWrap/>
        <w:overflowPunct/>
        <w:topLinePunct w:val="0"/>
        <w:bidi w:val="0"/>
        <w:spacing w:before="120" w:line="360" w:lineRule="auto"/>
        <w:ind w:left="0" w:leftChars="0" w:right="0" w:rightChars="0" w:firstLine="480" w:firstLineChars="200"/>
        <w:jc w:val="both"/>
        <w:textAlignment w:val="auto"/>
        <w:rPr>
          <w:rFonts w:ascii="宋体" w:hAnsi="宋体" w:eastAsia="宋体" w:cs="Times New Roman"/>
          <w:kern w:val="2"/>
          <w:sz w:val="24"/>
          <w:szCs w:val="24"/>
          <w:highlight w:val="none"/>
          <w:lang w:val="en-US" w:eastAsia="zh-CN" w:bidi="ar-SA"/>
        </w:rPr>
      </w:pPr>
      <w:r>
        <w:rPr>
          <w:rFonts w:ascii="宋体" w:hAnsi="宋体" w:eastAsia="宋体" w:cs="Times New Roman"/>
          <w:kern w:val="2"/>
          <w:sz w:val="24"/>
          <w:szCs w:val="24"/>
          <w:lang w:val="en-US" w:eastAsia="zh-CN" w:bidi="ar-SA"/>
        </w:rPr>
        <w:t>（2）</w:t>
      </w:r>
      <w:r>
        <w:rPr>
          <w:rFonts w:hint="eastAsia" w:ascii="宋体" w:hAnsi="宋体" w:eastAsia="宋体" w:cs="Times New Roman"/>
          <w:kern w:val="2"/>
          <w:sz w:val="24"/>
          <w:szCs w:val="24"/>
          <w:highlight w:val="none"/>
          <w:lang w:val="en-US" w:eastAsia="zh-CN" w:bidi="ar-SA"/>
        </w:rPr>
        <w:t>单位负责人为同一人或者存在直接控股、管理关系的不同供应商，不得参加同一</w:t>
      </w:r>
    </w:p>
    <w:p w14:paraId="63525149">
      <w:pPr>
        <w:pageBreakBefore w:val="0"/>
        <w:widowControl w:val="0"/>
        <w:tabs>
          <w:tab w:val="left" w:pos="567"/>
        </w:tabs>
        <w:kinsoku/>
        <w:wordWrap/>
        <w:overflowPunct/>
        <w:topLinePunct w:val="0"/>
        <w:bidi w:val="0"/>
        <w:spacing w:before="120" w:line="360" w:lineRule="auto"/>
        <w:ind w:left="0" w:leftChars="0" w:right="0" w:firstLine="480" w:firstLineChars="200"/>
        <w:jc w:val="both"/>
        <w:textAlignment w:val="auto"/>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包的投标或者未划分包的同一招标项目的投标。 </w:t>
      </w:r>
    </w:p>
    <w:p w14:paraId="7483CA24">
      <w:pPr>
        <w:pageBreakBefore w:val="0"/>
        <w:widowControl w:val="0"/>
        <w:numPr>
          <w:ilvl w:val="0"/>
          <w:numId w:val="0"/>
        </w:numPr>
        <w:tabs>
          <w:tab w:val="left" w:pos="567"/>
        </w:tabs>
        <w:kinsoku/>
        <w:wordWrap/>
        <w:overflowPunct/>
        <w:topLinePunct w:val="0"/>
        <w:bidi w:val="0"/>
        <w:spacing w:before="120" w:line="360" w:lineRule="auto"/>
        <w:ind w:left="0" w:leftChars="0" w:right="0" w:rightChars="0" w:firstLine="480" w:firstLineChars="200"/>
        <w:jc w:val="both"/>
        <w:textAlignment w:val="auto"/>
        <w:rPr>
          <w:rFonts w:ascii="宋体" w:hAnsi="宋体" w:eastAsia="宋体" w:cs="Times New Roman"/>
          <w:kern w:val="2"/>
          <w:sz w:val="24"/>
          <w:szCs w:val="24"/>
          <w:highlight w:val="none"/>
          <w:lang w:val="en-US" w:eastAsia="zh-CN" w:bidi="ar-SA"/>
        </w:rPr>
      </w:pPr>
      <w:r>
        <w:rPr>
          <w:rFonts w:ascii="宋体" w:hAnsi="宋体" w:eastAsia="宋体" w:cs="Times New Roman"/>
          <w:kern w:val="2"/>
          <w:sz w:val="24"/>
          <w:szCs w:val="24"/>
          <w:lang w:val="en-US" w:eastAsia="zh-CN" w:bidi="ar-SA"/>
        </w:rPr>
        <w:t>1)</w:t>
      </w:r>
      <w:r>
        <w:rPr>
          <w:rFonts w:hint="eastAsia" w:ascii="宋体" w:hAnsi="宋体" w:eastAsia="宋体" w:cs="Times New Roman"/>
          <w:kern w:val="2"/>
          <w:sz w:val="24"/>
          <w:szCs w:val="24"/>
          <w:highlight w:val="none"/>
          <w:lang w:val="en-US" w:eastAsia="zh-CN" w:bidi="ar-SA"/>
        </w:rPr>
        <w:t xml:space="preserve"> 本条所指单位负责人为同一人指单位法定代表人或者法律、行政法规规定代表单位行使职权的主要负责人。 </w:t>
      </w:r>
    </w:p>
    <w:p w14:paraId="13132530">
      <w:pPr>
        <w:pageBreakBefore w:val="0"/>
        <w:widowControl w:val="0"/>
        <w:tabs>
          <w:tab w:val="left" w:pos="567"/>
        </w:tabs>
        <w:kinsoku/>
        <w:wordWrap/>
        <w:overflowPunct/>
        <w:topLinePunct w:val="0"/>
        <w:bidi w:val="0"/>
        <w:spacing w:before="120" w:line="360" w:lineRule="auto"/>
        <w:ind w:left="0" w:leftChars="0" w:right="0" w:firstLine="480" w:firstLineChars="200"/>
        <w:jc w:val="both"/>
        <w:textAlignment w:val="auto"/>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 本条所指控股关系指单位或股东的控股关系。控股股东指：</w:t>
      </w:r>
    </w:p>
    <w:p w14:paraId="03FEE4FF">
      <w:pPr>
        <w:pageBreakBefore w:val="0"/>
        <w:widowControl w:val="0"/>
        <w:tabs>
          <w:tab w:val="left" w:pos="567"/>
        </w:tabs>
        <w:kinsoku/>
        <w:wordWrap/>
        <w:overflowPunct/>
        <w:topLinePunct w:val="0"/>
        <w:bidi w:val="0"/>
        <w:spacing w:before="120" w:line="360" w:lineRule="auto"/>
        <w:ind w:left="0" w:leftChars="0" w:right="0" w:firstLine="480" w:firstLineChars="200"/>
        <w:jc w:val="both"/>
        <w:textAlignment w:val="auto"/>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a.出资额占有限责任公司资本总额百分之五十以上或者其持有的股份占股份有限公司股本总额百分之五十以上的股东； </w:t>
      </w:r>
    </w:p>
    <w:p w14:paraId="7DF2CB87">
      <w:pPr>
        <w:pageBreakBefore w:val="0"/>
        <w:widowControl w:val="0"/>
        <w:tabs>
          <w:tab w:val="left" w:pos="567"/>
        </w:tabs>
        <w:kinsoku/>
        <w:wordWrap/>
        <w:overflowPunct/>
        <w:topLinePunct w:val="0"/>
        <w:bidi w:val="0"/>
        <w:spacing w:before="120" w:line="360" w:lineRule="auto"/>
        <w:ind w:left="0" w:leftChars="0" w:right="0" w:firstLine="480" w:firstLineChars="200"/>
        <w:jc w:val="both"/>
        <w:textAlignment w:val="auto"/>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518C19A2">
      <w:pPr>
        <w:pageBreakBefore w:val="0"/>
        <w:widowControl w:val="0"/>
        <w:numPr>
          <w:ilvl w:val="0"/>
          <w:numId w:val="0"/>
        </w:numPr>
        <w:tabs>
          <w:tab w:val="left" w:pos="567"/>
        </w:tabs>
        <w:kinsoku/>
        <w:wordWrap/>
        <w:overflowPunct/>
        <w:topLinePunct w:val="0"/>
        <w:bidi w:val="0"/>
        <w:spacing w:before="120" w:line="360" w:lineRule="auto"/>
        <w:ind w:left="0" w:leftChars="0" w:right="0" w:rightChars="0" w:firstLine="480" w:firstLineChars="200"/>
        <w:jc w:val="both"/>
        <w:textAlignment w:val="auto"/>
        <w:rPr>
          <w:rFonts w:ascii="宋体" w:hAnsi="宋体" w:eastAsia="宋体" w:cs="Times New Roman"/>
          <w:kern w:val="2"/>
          <w:sz w:val="24"/>
          <w:szCs w:val="24"/>
          <w:highlight w:val="none"/>
          <w:lang w:val="en-US" w:eastAsia="zh-CN" w:bidi="ar-SA"/>
        </w:rPr>
      </w:pPr>
      <w:r>
        <w:rPr>
          <w:rFonts w:ascii="宋体" w:hAnsi="宋体" w:eastAsia="宋体" w:cs="Times New Roman"/>
          <w:kern w:val="2"/>
          <w:sz w:val="24"/>
          <w:szCs w:val="24"/>
          <w:lang w:val="en-US" w:eastAsia="zh-CN" w:bidi="ar-SA"/>
        </w:rPr>
        <w:t>3)</w:t>
      </w:r>
      <w:r>
        <w:rPr>
          <w:rFonts w:hint="eastAsia" w:ascii="宋体" w:hAnsi="宋体" w:eastAsia="宋体" w:cs="Times New Roman"/>
          <w:kern w:val="2"/>
          <w:sz w:val="24"/>
          <w:szCs w:val="24"/>
          <w:highlight w:val="none"/>
          <w:lang w:val="en-US" w:eastAsia="zh-CN" w:bidi="ar-SA"/>
        </w:rPr>
        <w:t xml:space="preserve"> 本条所指管理关系指不具有出资持股关系的其他单位之间存在的管理与被管理关系。 </w:t>
      </w:r>
    </w:p>
    <w:p w14:paraId="16B93FF8">
      <w:pPr>
        <w:pageBreakBefore w:val="0"/>
        <w:widowControl w:val="0"/>
        <w:tabs>
          <w:tab w:val="left" w:pos="567"/>
        </w:tabs>
        <w:kinsoku/>
        <w:wordWrap/>
        <w:overflowPunct/>
        <w:topLinePunct w:val="0"/>
        <w:bidi w:val="0"/>
        <w:spacing w:before="120" w:line="360" w:lineRule="auto"/>
        <w:ind w:left="0" w:leftChars="0" w:right="0" w:firstLine="480" w:firstLineChars="200"/>
        <w:jc w:val="both"/>
        <w:textAlignment w:val="auto"/>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注：本条所指的控股、管理关系仅限于直接控股、直接管理关系，不包括间接控</w:t>
      </w:r>
    </w:p>
    <w:p w14:paraId="38F46DD9">
      <w:pPr>
        <w:pageBreakBefore w:val="0"/>
        <w:widowControl w:val="0"/>
        <w:tabs>
          <w:tab w:val="left" w:pos="567"/>
        </w:tabs>
        <w:kinsoku/>
        <w:wordWrap/>
        <w:overflowPunct/>
        <w:topLinePunct w:val="0"/>
        <w:bidi w:val="0"/>
        <w:spacing w:before="120" w:line="360" w:lineRule="auto"/>
        <w:ind w:right="0"/>
        <w:jc w:val="both"/>
        <w:textAlignment w:val="auto"/>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股或管理关系。 </w:t>
      </w:r>
    </w:p>
    <w:p w14:paraId="7C5EA92E">
      <w:pPr>
        <w:pageBreakBefore w:val="0"/>
        <w:widowControl w:val="0"/>
        <w:numPr>
          <w:ilvl w:val="0"/>
          <w:numId w:val="0"/>
        </w:numPr>
        <w:tabs>
          <w:tab w:val="left" w:pos="567"/>
        </w:tabs>
        <w:kinsoku/>
        <w:wordWrap/>
        <w:overflowPunct/>
        <w:topLinePunct w:val="0"/>
        <w:bidi w:val="0"/>
        <w:spacing w:before="120" w:line="360" w:lineRule="auto"/>
        <w:ind w:left="0" w:leftChars="0" w:right="0" w:rightChars="0" w:firstLine="480" w:firstLineChars="200"/>
        <w:jc w:val="both"/>
        <w:textAlignment w:val="auto"/>
        <w:rPr>
          <w:rFonts w:ascii="宋体" w:hAnsi="宋体" w:eastAsia="宋体" w:cs="Times New Roman"/>
          <w:kern w:val="2"/>
          <w:sz w:val="24"/>
          <w:szCs w:val="24"/>
          <w:highlight w:val="none"/>
          <w:lang w:val="en-US" w:eastAsia="zh-CN" w:bidi="ar-SA"/>
        </w:rPr>
      </w:pPr>
      <w:r>
        <w:rPr>
          <w:rFonts w:ascii="宋体" w:hAnsi="宋体" w:eastAsia="宋体" w:cs="Times New Roman"/>
          <w:kern w:val="2"/>
          <w:sz w:val="24"/>
          <w:szCs w:val="24"/>
          <w:lang w:val="en-US" w:eastAsia="zh-CN" w:bidi="ar-SA"/>
        </w:rPr>
        <w:t>（3）</w:t>
      </w:r>
      <w:r>
        <w:rPr>
          <w:rFonts w:hint="eastAsia" w:ascii="宋体" w:hAnsi="宋体" w:eastAsia="宋体" w:cs="Times New Roman"/>
          <w:kern w:val="2"/>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53D906AB">
      <w:pPr>
        <w:pageBreakBefore w:val="0"/>
        <w:widowControl w:val="0"/>
        <w:tabs>
          <w:tab w:val="left" w:pos="567"/>
        </w:tabs>
        <w:kinsoku/>
        <w:wordWrap/>
        <w:overflowPunct/>
        <w:topLinePunct w:val="0"/>
        <w:bidi w:val="0"/>
        <w:spacing w:before="120" w:line="360" w:lineRule="auto"/>
        <w:ind w:left="0" w:leftChars="0" w:right="0" w:firstLine="480" w:firstLineChars="200"/>
        <w:jc w:val="both"/>
        <w:textAlignment w:val="auto"/>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（4）按照招标公告要求获取了招标文件。 </w:t>
      </w:r>
    </w:p>
    <w:p w14:paraId="4DCDF8C2">
      <w:pPr>
        <w:pageBreakBefore w:val="0"/>
        <w:widowControl w:val="0"/>
        <w:tabs>
          <w:tab w:val="left" w:pos="567"/>
        </w:tabs>
        <w:kinsoku/>
        <w:wordWrap/>
        <w:overflowPunct/>
        <w:topLinePunct w:val="0"/>
        <w:bidi w:val="0"/>
        <w:spacing w:before="120" w:line="360" w:lineRule="auto"/>
        <w:ind w:left="0" w:leftChars="0" w:right="0" w:firstLine="480" w:firstLineChars="200"/>
        <w:jc w:val="both"/>
        <w:textAlignment w:val="auto"/>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（5）符合法律、行政法规规定的其他要求。</w:t>
      </w:r>
    </w:p>
    <w:p w14:paraId="2A596AEC">
      <w:pPr>
        <w:pageBreakBefore w:val="0"/>
        <w:tabs>
          <w:tab w:val="left" w:pos="3469"/>
          <w:tab w:val="left" w:pos="5579"/>
          <w:tab w:val="left" w:pos="8166"/>
        </w:tabs>
        <w:kinsoku/>
        <w:wordWrap/>
        <w:overflowPunct/>
        <w:topLinePunct w:val="0"/>
        <w:bidi w:val="0"/>
        <w:spacing w:line="360" w:lineRule="auto"/>
        <w:ind w:left="0" w:leftChars="0" w:right="0" w:firstLine="480" w:firstLineChars="200"/>
        <w:textAlignment w:val="auto"/>
        <w:rPr>
          <w:rFonts w:ascii="Times New Roman" w:hAnsi="Times New Roman" w:cs="Times New Roman"/>
          <w:i/>
          <w:sz w:val="24"/>
          <w:szCs w:val="24"/>
          <w:highlight w:val="none"/>
          <w:lang w:eastAsia="zh-CN"/>
        </w:rPr>
      </w:pPr>
      <w:r>
        <w:rPr>
          <w:rFonts w:hint="eastAsia" w:ascii="Times New Roman" w:hAnsi="Times New Roman" w:cs="Times New Roman"/>
          <w:sz w:val="24"/>
          <w:szCs w:val="24"/>
          <w:highlight w:val="none"/>
          <w:lang w:eastAsia="zh-CN"/>
        </w:rPr>
        <w:t>3.本次招标供应商必须以包为单位进行投标响应，评标和合同授予也以包为单位。</w:t>
      </w:r>
    </w:p>
    <w:p w14:paraId="147F2046">
      <w:pPr>
        <w:pageBreakBefore w:val="0"/>
        <w:widowControl w:val="0"/>
        <w:tabs>
          <w:tab w:val="left" w:pos="567"/>
        </w:tabs>
        <w:kinsoku/>
        <w:wordWrap/>
        <w:overflowPunct/>
        <w:topLinePunct w:val="0"/>
        <w:bidi w:val="0"/>
        <w:spacing w:before="120" w:line="360" w:lineRule="auto"/>
        <w:ind w:left="0" w:leftChars="0" w:right="0" w:firstLine="480" w:firstLineChars="200"/>
        <w:jc w:val="both"/>
        <w:textAlignment w:val="auto"/>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w:t>
      </w:r>
      <w:r>
        <w:rPr>
          <w:rFonts w:hint="eastAsia" w:ascii="宋体" w:hAnsi="宋体" w:eastAsia="宋体" w:cs="Times New Roman"/>
          <w:b/>
          <w:bCs/>
          <w:kern w:val="2"/>
          <w:sz w:val="24"/>
          <w:szCs w:val="24"/>
          <w:highlight w:val="none"/>
          <w:lang w:val="en-US" w:eastAsia="zh-CN" w:bidi="ar"/>
        </w:rPr>
        <w:t>本项目采用全流程电子化招标方式</w:t>
      </w:r>
      <w:r>
        <w:rPr>
          <w:rFonts w:hint="eastAsia" w:ascii="宋体" w:hAnsi="宋体" w:eastAsia="宋体" w:cs="Times New Roman"/>
          <w:b/>
          <w:bCs/>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Times New Roman"/>
          <w:w w:val="85"/>
          <w:kern w:val="2"/>
          <w:sz w:val="24"/>
          <w:szCs w:val="24"/>
          <w:highlight w:val="none"/>
          <w:lang w:val="en-US" w:eastAsia="zh-CN" w:bidi="ar-SA"/>
        </w:rPr>
        <w:t>C</w:t>
      </w:r>
      <w:r>
        <w:rPr>
          <w:rFonts w:hint="eastAsia" w:ascii="宋体" w:hAnsi="宋体" w:eastAsia="宋体" w:cs="Times New Roman"/>
          <w:w w:val="92"/>
          <w:kern w:val="2"/>
          <w:sz w:val="24"/>
          <w:szCs w:val="24"/>
          <w:highlight w:val="none"/>
          <w:lang w:val="en-US" w:eastAsia="zh-CN" w:bidi="ar-SA"/>
        </w:rPr>
        <w:t>A</w:t>
      </w:r>
      <w:r>
        <w:rPr>
          <w:rFonts w:hint="eastAsia" w:ascii="宋体" w:hAnsi="宋体" w:eastAsia="宋体" w:cs="Times New Roman"/>
          <w:kern w:val="2"/>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31904E6F">
      <w:pPr>
        <w:pageBreakBefore w:val="0"/>
        <w:widowControl w:val="0"/>
        <w:tabs>
          <w:tab w:val="left" w:pos="567"/>
        </w:tabs>
        <w:kinsoku/>
        <w:wordWrap/>
        <w:overflowPunct/>
        <w:topLinePunct w:val="0"/>
        <w:bidi w:val="0"/>
        <w:spacing w:before="120" w:line="360" w:lineRule="auto"/>
        <w:ind w:left="0" w:leftChars="0" w:right="0" w:firstLine="480" w:firstLineChars="200"/>
        <w:jc w:val="both"/>
        <w:textAlignment w:val="auto"/>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CA 数字证书服务热线 010-58511086</w:t>
      </w:r>
    </w:p>
    <w:p w14:paraId="5CEC6200">
      <w:pPr>
        <w:pageBreakBefore w:val="0"/>
        <w:widowControl w:val="0"/>
        <w:tabs>
          <w:tab w:val="left" w:pos="567"/>
        </w:tabs>
        <w:kinsoku/>
        <w:wordWrap/>
        <w:overflowPunct/>
        <w:topLinePunct w:val="0"/>
        <w:bidi w:val="0"/>
        <w:spacing w:before="120" w:line="360" w:lineRule="auto"/>
        <w:ind w:left="0" w:leftChars="0" w:right="0" w:firstLine="480" w:firstLineChars="200"/>
        <w:jc w:val="both"/>
        <w:textAlignment w:val="auto"/>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电子营业执照服务热线  400-699-7000</w:t>
      </w:r>
    </w:p>
    <w:p w14:paraId="70EC24A2">
      <w:pPr>
        <w:pageBreakBefore w:val="0"/>
        <w:widowControl w:val="0"/>
        <w:tabs>
          <w:tab w:val="left" w:pos="3001"/>
        </w:tabs>
        <w:kinsoku/>
        <w:wordWrap/>
        <w:overflowPunct/>
        <w:topLinePunct w:val="0"/>
        <w:bidi w:val="0"/>
        <w:spacing w:before="120" w:line="360" w:lineRule="auto"/>
        <w:ind w:left="0" w:leftChars="0" w:right="0" w:firstLine="480" w:firstLineChars="200"/>
        <w:jc w:val="both"/>
        <w:textAlignment w:val="auto"/>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技术支持服务热线  010-86483801</w:t>
      </w:r>
    </w:p>
    <w:p w14:paraId="0CA37E6B">
      <w:pPr>
        <w:pageBreakBefore w:val="0"/>
        <w:widowControl w:val="0"/>
        <w:numPr>
          <w:ilvl w:val="1"/>
          <w:numId w:val="0"/>
        </w:numPr>
        <w:tabs>
          <w:tab w:val="left" w:pos="1041"/>
        </w:tabs>
        <w:kinsoku/>
        <w:wordWrap/>
        <w:overflowPunct/>
        <w:topLinePunct w:val="0"/>
        <w:bidi w:val="0"/>
        <w:spacing w:before="0" w:line="360" w:lineRule="auto"/>
        <w:ind w:left="0" w:leftChars="0" w:right="0" w:firstLine="480" w:firstLineChars="200"/>
        <w:jc w:val="both"/>
        <w:textAlignment w:val="auto"/>
        <w:rPr>
          <w:rFonts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4.1 办理 CA 数字证书或电子营业执照</w:t>
      </w:r>
    </w:p>
    <w:p w14:paraId="56BBB118">
      <w:pPr>
        <w:pageBreakBefore w:val="0"/>
        <w:widowControl w:val="0"/>
        <w:tabs>
          <w:tab w:val="left" w:pos="567"/>
        </w:tabs>
        <w:kinsoku/>
        <w:wordWrap/>
        <w:overflowPunct/>
        <w:topLinePunct w:val="0"/>
        <w:bidi w:val="0"/>
        <w:spacing w:before="120" w:line="360" w:lineRule="auto"/>
        <w:ind w:left="0" w:leftChars="0" w:right="0" w:firstLine="480" w:firstLineChars="200"/>
        <w:jc w:val="both"/>
        <w:textAlignment w:val="auto"/>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供应商登录北京市政府采购电子交易平台查阅 “用户指南”—“操作指南”—</w:t>
      </w:r>
    </w:p>
    <w:p w14:paraId="5AF96A40">
      <w:pPr>
        <w:pageBreakBefore w:val="0"/>
        <w:widowControl w:val="0"/>
        <w:tabs>
          <w:tab w:val="left" w:pos="567"/>
        </w:tabs>
        <w:kinsoku/>
        <w:wordWrap/>
        <w:overflowPunct/>
        <w:topLinePunct w:val="0"/>
        <w:bidi w:val="0"/>
        <w:spacing w:before="120" w:line="360" w:lineRule="auto"/>
        <w:ind w:left="0" w:leftChars="0" w:right="0" w:firstLine="480" w:firstLineChars="200"/>
        <w:jc w:val="both"/>
        <w:textAlignment w:val="auto"/>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“市场主体 CA 办理操作流程指引”/“电子营业执照使用指南”，按照程序要求办理。</w:t>
      </w:r>
    </w:p>
    <w:p w14:paraId="5DC9E895">
      <w:pPr>
        <w:pageBreakBefore w:val="0"/>
        <w:widowControl w:val="0"/>
        <w:numPr>
          <w:ilvl w:val="1"/>
          <w:numId w:val="0"/>
        </w:numPr>
        <w:tabs>
          <w:tab w:val="left" w:pos="1041"/>
        </w:tabs>
        <w:kinsoku/>
        <w:wordWrap/>
        <w:overflowPunct/>
        <w:topLinePunct w:val="0"/>
        <w:bidi w:val="0"/>
        <w:spacing w:before="0" w:line="360" w:lineRule="auto"/>
        <w:ind w:left="0" w:leftChars="0" w:right="0" w:firstLine="480" w:firstLineChars="200"/>
        <w:jc w:val="both"/>
        <w:textAlignment w:val="auto"/>
        <w:rPr>
          <w:rFonts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4.2 注册</w:t>
      </w:r>
    </w:p>
    <w:p w14:paraId="7F5DB8BE">
      <w:pPr>
        <w:pageBreakBefore w:val="0"/>
        <w:widowControl w:val="0"/>
        <w:tabs>
          <w:tab w:val="left" w:pos="567"/>
        </w:tabs>
        <w:kinsoku/>
        <w:wordWrap/>
        <w:overflowPunct/>
        <w:topLinePunct w:val="0"/>
        <w:bidi w:val="0"/>
        <w:spacing w:before="120" w:line="360" w:lineRule="auto"/>
        <w:ind w:left="0" w:leftChars="0" w:right="0" w:firstLine="480" w:firstLineChars="200"/>
        <w:jc w:val="both"/>
        <w:textAlignment w:val="auto"/>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供应商登录北京市政府采购电子交易平台“用户指南”—“操作指南”—“市</w:t>
      </w:r>
    </w:p>
    <w:p w14:paraId="44DDBBAA">
      <w:pPr>
        <w:pageBreakBefore w:val="0"/>
        <w:widowControl w:val="0"/>
        <w:tabs>
          <w:tab w:val="left" w:pos="567"/>
        </w:tabs>
        <w:kinsoku/>
        <w:wordWrap/>
        <w:overflowPunct/>
        <w:topLinePunct w:val="0"/>
        <w:bidi w:val="0"/>
        <w:spacing w:before="120" w:line="360" w:lineRule="auto"/>
        <w:ind w:left="0" w:leftChars="0" w:right="0" w:firstLine="480" w:firstLineChars="200"/>
        <w:jc w:val="both"/>
        <w:textAlignment w:val="auto"/>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场主体注册入库操作流程指引”进行自助注册绑定。</w:t>
      </w:r>
    </w:p>
    <w:p w14:paraId="2A8E57B6">
      <w:pPr>
        <w:pageBreakBefore w:val="0"/>
        <w:widowControl w:val="0"/>
        <w:numPr>
          <w:ilvl w:val="1"/>
          <w:numId w:val="0"/>
        </w:numPr>
        <w:tabs>
          <w:tab w:val="left" w:pos="1041"/>
        </w:tabs>
        <w:kinsoku/>
        <w:wordWrap/>
        <w:overflowPunct/>
        <w:topLinePunct w:val="0"/>
        <w:bidi w:val="0"/>
        <w:spacing w:before="0" w:line="360" w:lineRule="auto"/>
        <w:ind w:left="0" w:leftChars="0" w:right="0" w:firstLine="480" w:firstLineChars="200"/>
        <w:jc w:val="both"/>
        <w:textAlignment w:val="auto"/>
        <w:rPr>
          <w:rFonts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4.3 驱动、客户端下载</w:t>
      </w:r>
    </w:p>
    <w:p w14:paraId="36FA9912">
      <w:pPr>
        <w:pageBreakBefore w:val="0"/>
        <w:widowControl w:val="0"/>
        <w:tabs>
          <w:tab w:val="left" w:pos="567"/>
        </w:tabs>
        <w:kinsoku/>
        <w:wordWrap/>
        <w:overflowPunct/>
        <w:topLinePunct w:val="0"/>
        <w:bidi w:val="0"/>
        <w:spacing w:before="120" w:line="360" w:lineRule="auto"/>
        <w:ind w:left="0" w:leftChars="0" w:right="0" w:firstLine="480" w:firstLineChars="200"/>
        <w:jc w:val="both"/>
        <w:textAlignment w:val="auto"/>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供应商登录北京市政府采购电子交易平台“用户指南”—“工具下载”—“招</w:t>
      </w:r>
    </w:p>
    <w:p w14:paraId="20154E20">
      <w:pPr>
        <w:pageBreakBefore w:val="0"/>
        <w:widowControl w:val="0"/>
        <w:tabs>
          <w:tab w:val="left" w:pos="567"/>
        </w:tabs>
        <w:kinsoku/>
        <w:wordWrap/>
        <w:overflowPunct/>
        <w:topLinePunct w:val="0"/>
        <w:bidi w:val="0"/>
        <w:spacing w:before="120" w:line="360" w:lineRule="auto"/>
        <w:ind w:left="0" w:leftChars="0" w:right="0" w:firstLine="480" w:firstLineChars="200"/>
        <w:jc w:val="both"/>
        <w:textAlignment w:val="auto"/>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标采购系统文件驱动安装包”下载相关驱动。</w:t>
      </w:r>
    </w:p>
    <w:p w14:paraId="3D85B0C5">
      <w:pPr>
        <w:pageBreakBefore w:val="0"/>
        <w:widowControl w:val="0"/>
        <w:tabs>
          <w:tab w:val="left" w:pos="567"/>
        </w:tabs>
        <w:kinsoku/>
        <w:wordWrap/>
        <w:overflowPunct/>
        <w:topLinePunct w:val="0"/>
        <w:bidi w:val="0"/>
        <w:spacing w:before="120" w:line="360" w:lineRule="auto"/>
        <w:ind w:left="0" w:leftChars="0" w:right="0" w:firstLine="480" w:firstLineChars="200"/>
        <w:jc w:val="both"/>
        <w:textAlignment w:val="auto"/>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供应商登录北京市政府采购电子交易平台“用户指南”—“工具下载”—“投</w:t>
      </w:r>
    </w:p>
    <w:p w14:paraId="4232B66E">
      <w:pPr>
        <w:pageBreakBefore w:val="0"/>
        <w:widowControl w:val="0"/>
        <w:tabs>
          <w:tab w:val="left" w:pos="567"/>
        </w:tabs>
        <w:kinsoku/>
        <w:wordWrap/>
        <w:overflowPunct/>
        <w:topLinePunct w:val="0"/>
        <w:bidi w:val="0"/>
        <w:spacing w:before="120" w:line="360" w:lineRule="auto"/>
        <w:ind w:left="0" w:leftChars="0" w:right="0" w:firstLine="480" w:firstLineChars="200"/>
        <w:jc w:val="both"/>
        <w:textAlignment w:val="auto"/>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标文件编制工具”下载相关客户端。</w:t>
      </w:r>
    </w:p>
    <w:p w14:paraId="29CEA87A">
      <w:pPr>
        <w:pageBreakBefore w:val="0"/>
        <w:widowControl w:val="0"/>
        <w:numPr>
          <w:ilvl w:val="1"/>
          <w:numId w:val="0"/>
        </w:numPr>
        <w:tabs>
          <w:tab w:val="left" w:pos="1041"/>
        </w:tabs>
        <w:kinsoku/>
        <w:wordWrap/>
        <w:overflowPunct/>
        <w:topLinePunct w:val="0"/>
        <w:bidi w:val="0"/>
        <w:spacing w:before="0" w:line="360" w:lineRule="auto"/>
        <w:ind w:left="0" w:leftChars="0" w:right="0" w:firstLine="480" w:firstLineChars="200"/>
        <w:jc w:val="both"/>
        <w:textAlignment w:val="auto"/>
        <w:rPr>
          <w:rFonts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4.4 获取电子招标文件</w:t>
      </w:r>
    </w:p>
    <w:p w14:paraId="0A5C7DC9">
      <w:pPr>
        <w:pageBreakBefore w:val="0"/>
        <w:widowControl w:val="0"/>
        <w:tabs>
          <w:tab w:val="left" w:pos="567"/>
        </w:tabs>
        <w:kinsoku/>
        <w:wordWrap/>
        <w:overflowPunct/>
        <w:topLinePunct w:val="0"/>
        <w:bidi w:val="0"/>
        <w:spacing w:before="120" w:line="360" w:lineRule="auto"/>
        <w:ind w:left="0" w:leftChars="0" w:right="0" w:firstLine="480" w:firstLineChars="200"/>
        <w:jc w:val="both"/>
        <w:textAlignment w:val="auto"/>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供应商使用 CA 数字证书或电子营业执照登录北京市政府采购电子交易平台获取</w:t>
      </w:r>
    </w:p>
    <w:p w14:paraId="50DA6A90">
      <w:pPr>
        <w:pageBreakBefore w:val="0"/>
        <w:widowControl w:val="0"/>
        <w:tabs>
          <w:tab w:val="left" w:pos="567"/>
        </w:tabs>
        <w:kinsoku/>
        <w:wordWrap/>
        <w:overflowPunct/>
        <w:topLinePunct w:val="0"/>
        <w:bidi w:val="0"/>
        <w:spacing w:before="120" w:line="360" w:lineRule="auto"/>
        <w:ind w:left="0" w:leftChars="0" w:right="0" w:firstLine="480" w:firstLineChars="200"/>
        <w:jc w:val="both"/>
        <w:textAlignment w:val="auto"/>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电子招标文件。</w:t>
      </w:r>
    </w:p>
    <w:p w14:paraId="581B3893">
      <w:pPr>
        <w:pageBreakBefore w:val="0"/>
        <w:widowControl w:val="0"/>
        <w:tabs>
          <w:tab w:val="left" w:pos="567"/>
        </w:tabs>
        <w:kinsoku/>
        <w:wordWrap/>
        <w:overflowPunct/>
        <w:topLinePunct w:val="0"/>
        <w:bidi w:val="0"/>
        <w:spacing w:before="120" w:line="360" w:lineRule="auto"/>
        <w:ind w:left="0" w:leftChars="0" w:right="0" w:firstLine="480" w:firstLineChars="200"/>
        <w:jc w:val="both"/>
        <w:textAlignment w:val="auto"/>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w:t>
      </w:r>
    </w:p>
    <w:p w14:paraId="7B9501C6">
      <w:pPr>
        <w:pageBreakBefore w:val="0"/>
        <w:widowControl w:val="0"/>
        <w:tabs>
          <w:tab w:val="left" w:pos="567"/>
        </w:tabs>
        <w:kinsoku/>
        <w:wordWrap/>
        <w:overflowPunct/>
        <w:topLinePunct w:val="0"/>
        <w:bidi w:val="0"/>
        <w:spacing w:before="120" w:line="360" w:lineRule="auto"/>
        <w:ind w:left="0" w:leftChars="0" w:right="0" w:firstLine="480" w:firstLineChars="200"/>
        <w:jc w:val="both"/>
        <w:textAlignment w:val="auto"/>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分别按采购包下载招标文件电子版。未在规定期限内按上述操作获取招标文件的</w:t>
      </w:r>
      <w:r>
        <w:rPr>
          <w:rFonts w:hint="eastAsia" w:ascii="宋体" w:hAnsi="宋体" w:eastAsia="宋体" w:cs="Times New Roman"/>
          <w:b/>
          <w:bCs/>
          <w:kern w:val="2"/>
          <w:sz w:val="24"/>
          <w:szCs w:val="24"/>
          <w:highlight w:val="none"/>
          <w:lang w:val="en-US" w:eastAsia="zh-CN" w:bidi="ar-SA"/>
        </w:rPr>
        <w:t>投标无效</w:t>
      </w:r>
      <w:r>
        <w:rPr>
          <w:rFonts w:hint="eastAsia" w:ascii="宋体" w:hAnsi="宋体" w:eastAsia="宋体" w:cs="Times New Roman"/>
          <w:kern w:val="2"/>
          <w:sz w:val="24"/>
          <w:szCs w:val="24"/>
          <w:highlight w:val="none"/>
          <w:lang w:val="en-US" w:eastAsia="zh-CN" w:bidi="ar-SA"/>
        </w:rPr>
        <w:t>。</w:t>
      </w:r>
    </w:p>
    <w:p w14:paraId="211A59AE">
      <w:pPr>
        <w:pageBreakBefore w:val="0"/>
        <w:kinsoku/>
        <w:wordWrap/>
        <w:overflowPunct/>
        <w:topLinePunct w:val="0"/>
        <w:bidi w:val="0"/>
        <w:adjustRightInd w:val="0"/>
        <w:snapToGrid w:val="0"/>
        <w:spacing w:line="360" w:lineRule="auto"/>
        <w:ind w:left="0" w:leftChars="0" w:right="0" w:firstLine="480" w:firstLineChars="200"/>
        <w:textAlignment w:val="auto"/>
        <w:rPr>
          <w:rFonts w:ascii="Times New Roman" w:hAnsi="Times New Roman" w:cs="Times New Roman"/>
          <w:sz w:val="24"/>
          <w:szCs w:val="24"/>
          <w:highlight w:val="none"/>
          <w:lang w:eastAsia="zh-CN" w:bidi="ar"/>
        </w:rPr>
      </w:pPr>
      <w:r>
        <w:rPr>
          <w:rFonts w:hint="eastAsia" w:ascii="Times New Roman" w:hAnsi="Times New Roman" w:cs="Times New Roman"/>
          <w:sz w:val="24"/>
          <w:szCs w:val="24"/>
          <w:highlight w:val="none"/>
          <w:lang w:eastAsia="zh-CN" w:bidi="ar"/>
        </w:rPr>
        <w:t>4.5 编制电子投标文件</w:t>
      </w:r>
    </w:p>
    <w:p w14:paraId="19BFF02B">
      <w:pPr>
        <w:pageBreakBefore w:val="0"/>
        <w:kinsoku/>
        <w:wordWrap/>
        <w:overflowPunct/>
        <w:topLinePunct w:val="0"/>
        <w:bidi w:val="0"/>
        <w:adjustRightInd w:val="0"/>
        <w:snapToGrid w:val="0"/>
        <w:spacing w:line="360" w:lineRule="auto"/>
        <w:ind w:left="0" w:leftChars="0" w:right="0" w:firstLine="480" w:firstLineChars="200"/>
        <w:textAlignment w:val="auto"/>
        <w:rPr>
          <w:rFonts w:ascii="Times New Roman" w:hAnsi="Times New Roman" w:cs="Times New Roman"/>
          <w:sz w:val="24"/>
          <w:szCs w:val="24"/>
          <w:highlight w:val="none"/>
          <w:lang w:eastAsia="zh-CN" w:bidi="ar"/>
        </w:rPr>
      </w:pPr>
      <w:r>
        <w:rPr>
          <w:rFonts w:hint="eastAsia" w:ascii="Times New Roman" w:hAnsi="Times New Roman" w:cs="Times New Roman"/>
          <w:sz w:val="24"/>
          <w:szCs w:val="24"/>
          <w:highlight w:val="none"/>
          <w:lang w:eastAsia="zh-CN" w:bidi="ar"/>
        </w:rPr>
        <w:t>供应商应使用电子投标客户端编制电子投标文件并进行线上投标，供应商电子投标</w:t>
      </w:r>
    </w:p>
    <w:p w14:paraId="59CAEBEF">
      <w:pPr>
        <w:pageBreakBefore w:val="0"/>
        <w:kinsoku/>
        <w:wordWrap/>
        <w:overflowPunct/>
        <w:topLinePunct w:val="0"/>
        <w:bidi w:val="0"/>
        <w:adjustRightInd w:val="0"/>
        <w:snapToGrid w:val="0"/>
        <w:spacing w:line="360" w:lineRule="auto"/>
        <w:ind w:left="0" w:leftChars="0" w:right="0" w:firstLine="480" w:firstLineChars="200"/>
        <w:textAlignment w:val="auto"/>
        <w:rPr>
          <w:rFonts w:ascii="Times New Roman" w:hAnsi="Times New Roman" w:cs="Times New Roman"/>
          <w:sz w:val="24"/>
          <w:szCs w:val="24"/>
          <w:highlight w:val="none"/>
          <w:lang w:eastAsia="zh-CN" w:bidi="ar"/>
        </w:rPr>
      </w:pPr>
      <w:r>
        <w:rPr>
          <w:rFonts w:hint="eastAsia" w:ascii="Times New Roman" w:hAnsi="Times New Roman" w:cs="Times New Roman"/>
          <w:sz w:val="24"/>
          <w:szCs w:val="24"/>
          <w:highlight w:val="none"/>
          <w:lang w:eastAsia="zh-CN" w:bidi="ar"/>
        </w:rPr>
        <w:t>文件需要加密并加盖电子签章</w:t>
      </w:r>
      <w:r>
        <w:rPr>
          <w:rFonts w:hint="eastAsia" w:ascii="Times New Roman" w:hAnsi="Times New Roman" w:cs="Times New Roman"/>
          <w:bCs/>
          <w:sz w:val="24"/>
          <w:szCs w:val="24"/>
          <w:highlight w:val="none"/>
          <w:lang w:eastAsia="zh-CN" w:bidi="ar"/>
        </w:rPr>
        <w:t>，如无法按照要求在电子投标文件中加盖电子签章和加密，请及时通过技术支持服务热线联系技术人员</w:t>
      </w:r>
      <w:r>
        <w:rPr>
          <w:rFonts w:hint="eastAsia" w:ascii="Times New Roman" w:hAnsi="Times New Roman" w:cs="Times New Roman"/>
          <w:sz w:val="24"/>
          <w:szCs w:val="24"/>
          <w:highlight w:val="none"/>
          <w:lang w:eastAsia="zh-CN" w:bidi="ar"/>
        </w:rPr>
        <w:t>。</w:t>
      </w:r>
    </w:p>
    <w:p w14:paraId="172E6B90">
      <w:pPr>
        <w:pageBreakBefore w:val="0"/>
        <w:widowControl/>
        <w:kinsoku/>
        <w:wordWrap/>
        <w:overflowPunct/>
        <w:topLinePunct w:val="0"/>
        <w:bidi w:val="0"/>
        <w:snapToGrid w:val="0"/>
        <w:spacing w:line="360" w:lineRule="auto"/>
        <w:ind w:left="0" w:leftChars="0" w:right="0" w:firstLine="480" w:firstLineChars="200"/>
        <w:textAlignment w:val="auto"/>
        <w:rPr>
          <w:rFonts w:ascii="Times New Roman" w:hAnsi="Times New Roman" w:cs="Times New Roman"/>
          <w:sz w:val="24"/>
          <w:szCs w:val="24"/>
          <w:highlight w:val="none"/>
          <w:lang w:val="zh-TW" w:eastAsia="zh-CN" w:bidi="ar"/>
        </w:rPr>
      </w:pPr>
      <w:r>
        <w:rPr>
          <w:rFonts w:hint="eastAsia" w:ascii="Times New Roman" w:hAnsi="Times New Roman" w:cs="Times New Roman"/>
          <w:sz w:val="24"/>
          <w:szCs w:val="24"/>
          <w:highlight w:val="none"/>
          <w:lang w:eastAsia="zh-CN" w:bidi="ar"/>
        </w:rPr>
        <w:t>4</w:t>
      </w:r>
      <w:r>
        <w:rPr>
          <w:rFonts w:hint="eastAsia" w:ascii="Times New Roman" w:hAnsi="Times New Roman" w:cs="Times New Roman"/>
          <w:sz w:val="24"/>
          <w:szCs w:val="24"/>
          <w:highlight w:val="none"/>
          <w:lang w:val="zh-TW" w:eastAsia="zh-TW" w:bidi="ar"/>
        </w:rPr>
        <w:t>.6</w:t>
      </w:r>
      <w:r>
        <w:rPr>
          <w:rFonts w:hint="eastAsia" w:ascii="Times New Roman" w:hAnsi="Times New Roman" w:cs="Times New Roman"/>
          <w:sz w:val="24"/>
          <w:szCs w:val="24"/>
          <w:highlight w:val="none"/>
          <w:lang w:eastAsia="zh-CN" w:bidi="ar"/>
        </w:rPr>
        <w:t xml:space="preserve"> </w:t>
      </w:r>
      <w:r>
        <w:rPr>
          <w:rFonts w:hint="eastAsia" w:ascii="Times New Roman" w:hAnsi="Times New Roman" w:cs="Times New Roman"/>
          <w:sz w:val="24"/>
          <w:szCs w:val="24"/>
          <w:highlight w:val="none"/>
          <w:lang w:val="zh-TW" w:eastAsia="zh-CN" w:bidi="ar"/>
        </w:rPr>
        <w:t>提交电子投标文件</w:t>
      </w:r>
    </w:p>
    <w:p w14:paraId="0F4EA0C6">
      <w:pPr>
        <w:pageBreakBefore w:val="0"/>
        <w:widowControl/>
        <w:kinsoku/>
        <w:wordWrap/>
        <w:overflowPunct/>
        <w:topLinePunct w:val="0"/>
        <w:bidi w:val="0"/>
        <w:snapToGrid w:val="0"/>
        <w:spacing w:line="360" w:lineRule="auto"/>
        <w:ind w:left="0" w:leftChars="0" w:right="0" w:firstLine="480" w:firstLineChars="200"/>
        <w:textAlignment w:val="auto"/>
        <w:rPr>
          <w:rFonts w:ascii="Times New Roman" w:hAnsi="Times New Roman" w:cs="Times New Roman"/>
          <w:sz w:val="24"/>
          <w:szCs w:val="24"/>
          <w:highlight w:val="none"/>
          <w:lang w:eastAsia="zh-CN" w:bidi="ar"/>
        </w:rPr>
      </w:pPr>
      <w:r>
        <w:rPr>
          <w:rFonts w:hint="eastAsia" w:ascii="Times New Roman" w:hAnsi="Times New Roman" w:cs="Times New Roman"/>
          <w:sz w:val="24"/>
          <w:szCs w:val="24"/>
          <w:highlight w:val="none"/>
          <w:lang w:eastAsia="zh-CN" w:bidi="ar"/>
        </w:rPr>
        <w:t>供应商应于投标截止时间前在北京市政府采购电子交易平台提交电子投标文件，上</w:t>
      </w:r>
    </w:p>
    <w:p w14:paraId="3B8EBA50">
      <w:pPr>
        <w:pageBreakBefore w:val="0"/>
        <w:widowControl/>
        <w:kinsoku/>
        <w:wordWrap/>
        <w:overflowPunct/>
        <w:topLinePunct w:val="0"/>
        <w:bidi w:val="0"/>
        <w:snapToGrid w:val="0"/>
        <w:spacing w:line="360" w:lineRule="auto"/>
        <w:ind w:left="0" w:leftChars="0" w:right="0" w:firstLine="480" w:firstLineChars="200"/>
        <w:textAlignment w:val="auto"/>
        <w:rPr>
          <w:rFonts w:ascii="Times New Roman" w:hAnsi="Times New Roman" w:cs="Times New Roman"/>
          <w:sz w:val="24"/>
          <w:szCs w:val="24"/>
          <w:highlight w:val="none"/>
          <w:lang w:eastAsia="zh-CN" w:bidi="ar"/>
        </w:rPr>
      </w:pPr>
      <w:r>
        <w:rPr>
          <w:rFonts w:hint="eastAsia" w:ascii="Times New Roman" w:hAnsi="Times New Roman" w:cs="Times New Roman"/>
          <w:sz w:val="24"/>
          <w:szCs w:val="24"/>
          <w:highlight w:val="none"/>
          <w:lang w:eastAsia="zh-CN" w:bidi="ar"/>
        </w:rPr>
        <w:t>传电子投标文件过程中请保持与互联网的连接畅通。</w:t>
      </w:r>
    </w:p>
    <w:p w14:paraId="29110D88">
      <w:pPr>
        <w:pageBreakBefore w:val="0"/>
        <w:widowControl/>
        <w:kinsoku/>
        <w:wordWrap/>
        <w:overflowPunct/>
        <w:topLinePunct w:val="0"/>
        <w:bidi w:val="0"/>
        <w:snapToGrid w:val="0"/>
        <w:spacing w:line="360" w:lineRule="auto"/>
        <w:ind w:left="0" w:leftChars="0" w:right="0" w:firstLine="480" w:firstLineChars="200"/>
        <w:textAlignment w:val="auto"/>
        <w:rPr>
          <w:rFonts w:ascii="Times New Roman" w:hAnsi="Times New Roman" w:cs="Times New Roman"/>
          <w:sz w:val="24"/>
          <w:szCs w:val="24"/>
          <w:highlight w:val="none"/>
          <w:lang w:eastAsia="zh-TW" w:bidi="ar"/>
        </w:rPr>
      </w:pPr>
      <w:r>
        <w:rPr>
          <w:rFonts w:hint="eastAsia" w:ascii="Times New Roman" w:hAnsi="Times New Roman" w:cs="Times New Roman"/>
          <w:sz w:val="24"/>
          <w:szCs w:val="24"/>
          <w:highlight w:val="none"/>
          <w:lang w:eastAsia="zh-CN" w:bidi="ar"/>
        </w:rPr>
        <w:t>4</w:t>
      </w:r>
      <w:r>
        <w:rPr>
          <w:rFonts w:hint="eastAsia" w:ascii="Times New Roman" w:hAnsi="Times New Roman" w:cs="Times New Roman"/>
          <w:sz w:val="24"/>
          <w:szCs w:val="24"/>
          <w:highlight w:val="none"/>
          <w:lang w:val="zh-TW" w:eastAsia="zh-CN" w:bidi="ar"/>
        </w:rPr>
        <w:t>.</w:t>
      </w:r>
      <w:r>
        <w:rPr>
          <w:rFonts w:hint="eastAsia" w:ascii="Times New Roman" w:hAnsi="Times New Roman" w:cs="Times New Roman"/>
          <w:sz w:val="24"/>
          <w:szCs w:val="24"/>
          <w:highlight w:val="none"/>
          <w:lang w:val="zh-TW" w:eastAsia="zh-TW" w:bidi="ar"/>
        </w:rPr>
        <w:t>7</w:t>
      </w:r>
      <w:r>
        <w:rPr>
          <w:rFonts w:hint="eastAsia" w:ascii="Times New Roman" w:hAnsi="Times New Roman" w:cs="Times New Roman"/>
          <w:sz w:val="24"/>
          <w:szCs w:val="24"/>
          <w:highlight w:val="none"/>
          <w:lang w:eastAsia="zh-CN" w:bidi="ar"/>
        </w:rPr>
        <w:t xml:space="preserve"> </w:t>
      </w:r>
      <w:r>
        <w:rPr>
          <w:rFonts w:hint="eastAsia" w:ascii="Times New Roman" w:hAnsi="Times New Roman" w:cs="Times New Roman"/>
          <w:sz w:val="24"/>
          <w:szCs w:val="24"/>
          <w:highlight w:val="none"/>
          <w:lang w:val="zh-TW" w:eastAsia="zh-CN" w:bidi="ar"/>
        </w:rPr>
        <w:t>电子开标</w:t>
      </w:r>
    </w:p>
    <w:p w14:paraId="301CBCF5">
      <w:pPr>
        <w:pageBreakBefore w:val="0"/>
        <w:widowControl w:val="0"/>
        <w:tabs>
          <w:tab w:val="left" w:pos="567"/>
        </w:tabs>
        <w:kinsoku/>
        <w:wordWrap/>
        <w:overflowPunct/>
        <w:topLinePunct w:val="0"/>
        <w:bidi w:val="0"/>
        <w:spacing w:before="120" w:line="360" w:lineRule="auto"/>
        <w:ind w:left="0" w:leftChars="0" w:right="0" w:firstLine="480" w:firstLineChars="200"/>
        <w:jc w:val="both"/>
        <w:textAlignment w:val="auto"/>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zh-TW" w:eastAsia="zh-CN" w:bidi="ar"/>
        </w:rPr>
        <w:t>供应商在开标地点使用</w:t>
      </w:r>
      <w:r>
        <w:rPr>
          <w:rFonts w:hint="eastAsia" w:ascii="宋体" w:hAnsi="宋体" w:eastAsia="宋体" w:cs="Times New Roman"/>
          <w:kern w:val="2"/>
          <w:sz w:val="24"/>
          <w:szCs w:val="24"/>
          <w:highlight w:val="none"/>
          <w:lang w:val="en-US" w:eastAsia="zh-CN" w:bidi="ar"/>
        </w:rPr>
        <w:t>CA认证证书</w:t>
      </w:r>
      <w:r>
        <w:rPr>
          <w:rFonts w:hint="eastAsia" w:ascii="宋体" w:hAnsi="宋体" w:eastAsia="宋体" w:cs="Times New Roman"/>
          <w:kern w:val="2"/>
          <w:sz w:val="24"/>
          <w:szCs w:val="24"/>
          <w:highlight w:val="none"/>
          <w:lang w:val="zh-TW" w:eastAsia="zh-CN" w:bidi="ar"/>
        </w:rPr>
        <w:t>登录</w:t>
      </w:r>
      <w:r>
        <w:rPr>
          <w:rFonts w:hint="eastAsia" w:ascii="宋体" w:hAnsi="宋体" w:eastAsia="宋体" w:cs="Times New Roman"/>
          <w:kern w:val="2"/>
          <w:sz w:val="24"/>
          <w:szCs w:val="24"/>
          <w:highlight w:val="none"/>
          <w:lang w:val="en-US" w:eastAsia="zh-CN" w:bidi="ar"/>
        </w:rPr>
        <w:t>北京市政府采购电子交易平台进行电子开标</w:t>
      </w:r>
      <w:r>
        <w:rPr>
          <w:rFonts w:hint="eastAsia" w:ascii="宋体" w:hAnsi="宋体" w:eastAsia="宋体" w:cs="Times New Roman"/>
          <w:kern w:val="2"/>
          <w:sz w:val="24"/>
          <w:szCs w:val="24"/>
          <w:highlight w:val="none"/>
          <w:lang w:val="zh-TW" w:eastAsia="zh-CN" w:bidi="ar"/>
        </w:rPr>
        <w:t>。</w:t>
      </w:r>
    </w:p>
    <w:p w14:paraId="1BC5558A">
      <w:pPr>
        <w:widowControl w:val="0"/>
        <w:autoSpaceDE w:val="0"/>
        <w:autoSpaceDN w:val="0"/>
        <w:spacing w:line="560" w:lineRule="exact"/>
        <w:ind w:firstLine="480" w:firstLineChars="200"/>
        <w:rPr>
          <w:rFonts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 xml:space="preserve">5 </w:t>
      </w:r>
      <w:r>
        <w:rPr>
          <w:rFonts w:hint="eastAsia" w:ascii="宋体" w:hAnsi="宋体" w:eastAsia="宋体" w:cs="宋体"/>
          <w:sz w:val="24"/>
          <w:szCs w:val="24"/>
          <w:highlight w:val="none"/>
        </w:rPr>
        <w:t>本项目投标保证金响应要求政策，参与本项目的供应商递交保证金时需提交投标担保函（</w:t>
      </w:r>
      <w:r>
        <w:rPr>
          <w:rFonts w:hint="eastAsia" w:ascii="Times New Roman" w:hAnsi="Times New Roman" w:cs="Times New Roman"/>
          <w:sz w:val="24"/>
          <w:szCs w:val="24"/>
          <w:highlight w:val="none"/>
        </w:rPr>
        <w:t>保险）替代现金方式，以此之外方式递交保证金的，需由供应商出具说明函。</w:t>
      </w:r>
    </w:p>
    <w:p w14:paraId="0E201EF2">
      <w:pPr>
        <w:tabs>
          <w:tab w:val="left" w:pos="360"/>
          <w:tab w:val="left" w:pos="794"/>
        </w:tabs>
        <w:spacing w:before="156" w:beforeLines="50" w:line="360" w:lineRule="auto"/>
        <w:jc w:val="left"/>
        <w:rPr>
          <w:rFonts w:ascii="仿宋" w:hAnsi="仿宋" w:eastAsia="仿宋" w:cs="仿宋"/>
          <w:sz w:val="28"/>
          <w:szCs w:val="28"/>
        </w:rPr>
      </w:pPr>
      <w:r>
        <w:rPr>
          <w:rFonts w:hint="eastAsia" w:ascii="仿宋" w:hAnsi="仿宋" w:eastAsia="仿宋" w:cs="仿宋"/>
          <w:sz w:val="28"/>
          <w:szCs w:val="28"/>
        </w:rPr>
        <w:t>七、对本次招标提出询问，请按以下方式联系。</w:t>
      </w:r>
      <w:bookmarkEnd w:id="25"/>
      <w:bookmarkEnd w:id="26"/>
      <w:bookmarkEnd w:id="27"/>
      <w:bookmarkEnd w:id="28"/>
    </w:p>
    <w:p w14:paraId="4B5AC6A7">
      <w:pPr>
        <w:spacing w:line="360" w:lineRule="auto"/>
        <w:ind w:firstLine="840" w:firstLineChars="300"/>
        <w:rPr>
          <w:rFonts w:hint="default" w:ascii="仿宋" w:hAnsi="仿宋" w:eastAsia="仿宋" w:cs="仿宋"/>
          <w:bCs/>
          <w:sz w:val="28"/>
          <w:szCs w:val="28"/>
          <w:u w:val="single"/>
          <w:lang w:val="en-US" w:eastAsia="zh-CN"/>
        </w:rPr>
      </w:pPr>
      <w:r>
        <w:rPr>
          <w:rFonts w:hint="default" w:ascii="仿宋" w:hAnsi="仿宋" w:eastAsia="仿宋" w:cs="仿宋"/>
          <w:bCs/>
          <w:sz w:val="28"/>
          <w:szCs w:val="28"/>
          <w:u w:val="single"/>
          <w:lang w:val="en-US" w:eastAsia="zh-CN"/>
        </w:rPr>
        <w:t>1.采购人信息</w:t>
      </w:r>
    </w:p>
    <w:p w14:paraId="0F0D3BE7">
      <w:pPr>
        <w:spacing w:line="360" w:lineRule="auto"/>
        <w:ind w:firstLine="840" w:firstLineChars="300"/>
        <w:rPr>
          <w:rFonts w:hint="default" w:ascii="仿宋" w:hAnsi="仿宋" w:eastAsia="仿宋" w:cs="仿宋"/>
          <w:bCs/>
          <w:sz w:val="28"/>
          <w:szCs w:val="28"/>
          <w:u w:val="single"/>
          <w:lang w:val="en-US" w:eastAsia="zh-CN"/>
        </w:rPr>
      </w:pPr>
      <w:bookmarkStart w:id="29" w:name="_Toc28359086"/>
      <w:bookmarkStart w:id="30" w:name="_Toc28359009"/>
      <w:r>
        <w:rPr>
          <w:rFonts w:hint="default" w:ascii="仿宋" w:hAnsi="仿宋" w:eastAsia="仿宋" w:cs="仿宋"/>
          <w:bCs/>
          <w:sz w:val="28"/>
          <w:szCs w:val="28"/>
          <w:u w:val="single"/>
          <w:lang w:val="en-US" w:eastAsia="zh-CN"/>
        </w:rPr>
        <w:t>名称：北京市第六医院</w:t>
      </w:r>
    </w:p>
    <w:p w14:paraId="789C81BB">
      <w:pPr>
        <w:spacing w:line="360" w:lineRule="auto"/>
        <w:ind w:firstLine="840" w:firstLineChars="300"/>
        <w:rPr>
          <w:rFonts w:hint="default" w:ascii="仿宋" w:hAnsi="仿宋" w:eastAsia="仿宋" w:cs="仿宋"/>
          <w:bCs/>
          <w:sz w:val="28"/>
          <w:szCs w:val="28"/>
          <w:u w:val="single"/>
          <w:lang w:val="en-US" w:eastAsia="zh-CN"/>
        </w:rPr>
      </w:pPr>
      <w:r>
        <w:rPr>
          <w:rFonts w:hint="default" w:ascii="仿宋" w:hAnsi="仿宋" w:eastAsia="仿宋" w:cs="仿宋"/>
          <w:bCs/>
          <w:sz w:val="28"/>
          <w:szCs w:val="28"/>
          <w:u w:val="single"/>
          <w:lang w:val="en-US" w:eastAsia="zh-CN"/>
        </w:rPr>
        <w:t>地址：北京市东城区交道口北二条36号</w:t>
      </w:r>
    </w:p>
    <w:p w14:paraId="4AF17A40">
      <w:pPr>
        <w:spacing w:line="360" w:lineRule="auto"/>
        <w:ind w:firstLine="840" w:firstLineChars="300"/>
        <w:rPr>
          <w:rFonts w:hint="default" w:ascii="仿宋" w:hAnsi="仿宋" w:eastAsia="仿宋" w:cs="仿宋"/>
          <w:bCs/>
          <w:sz w:val="28"/>
          <w:szCs w:val="28"/>
          <w:u w:val="single"/>
          <w:lang w:val="en-US" w:eastAsia="zh-CN"/>
        </w:rPr>
      </w:pPr>
      <w:r>
        <w:rPr>
          <w:rFonts w:hint="default" w:ascii="仿宋" w:hAnsi="仿宋" w:eastAsia="仿宋" w:cs="仿宋"/>
          <w:bCs/>
          <w:sz w:val="28"/>
          <w:szCs w:val="28"/>
          <w:u w:val="single"/>
          <w:lang w:val="en-US" w:eastAsia="zh-CN"/>
        </w:rPr>
        <w:t>联系方式：010-64035566</w:t>
      </w:r>
    </w:p>
    <w:p w14:paraId="583892DD">
      <w:pPr>
        <w:spacing w:line="360" w:lineRule="auto"/>
        <w:ind w:firstLine="840" w:firstLineChars="300"/>
        <w:rPr>
          <w:rFonts w:hint="default" w:ascii="仿宋" w:hAnsi="仿宋" w:eastAsia="仿宋" w:cs="仿宋"/>
          <w:bCs/>
          <w:sz w:val="28"/>
          <w:szCs w:val="28"/>
          <w:u w:val="single"/>
          <w:lang w:val="en-US" w:eastAsia="zh-CN"/>
        </w:rPr>
      </w:pPr>
      <w:r>
        <w:rPr>
          <w:rFonts w:hint="default" w:ascii="仿宋" w:hAnsi="仿宋" w:eastAsia="仿宋" w:cs="仿宋"/>
          <w:bCs/>
          <w:sz w:val="28"/>
          <w:szCs w:val="28"/>
          <w:u w:val="single"/>
          <w:lang w:val="en-US" w:eastAsia="zh-CN"/>
        </w:rPr>
        <w:t>2.采购代理机构信息</w:t>
      </w:r>
      <w:bookmarkEnd w:id="29"/>
      <w:bookmarkEnd w:id="30"/>
    </w:p>
    <w:p w14:paraId="78192FDA">
      <w:pPr>
        <w:spacing w:line="360" w:lineRule="auto"/>
        <w:ind w:firstLine="840" w:firstLineChars="300"/>
        <w:rPr>
          <w:rFonts w:hint="default" w:ascii="仿宋" w:hAnsi="仿宋" w:eastAsia="仿宋" w:cs="仿宋"/>
          <w:bCs/>
          <w:sz w:val="28"/>
          <w:szCs w:val="28"/>
          <w:u w:val="single"/>
          <w:lang w:val="en-US" w:eastAsia="zh-CN"/>
        </w:rPr>
      </w:pPr>
      <w:bookmarkStart w:id="31" w:name="_Toc28359087"/>
      <w:bookmarkStart w:id="32" w:name="_Toc28359010"/>
      <w:r>
        <w:rPr>
          <w:rFonts w:hint="default" w:ascii="仿宋" w:hAnsi="仿宋" w:eastAsia="仿宋" w:cs="仿宋"/>
          <w:bCs/>
          <w:sz w:val="28"/>
          <w:szCs w:val="28"/>
          <w:u w:val="single"/>
          <w:lang w:val="en-US" w:eastAsia="zh-CN"/>
        </w:rPr>
        <w:t>名称：北京国际贸易有限公司</w:t>
      </w:r>
    </w:p>
    <w:p w14:paraId="64E1D2CE">
      <w:pPr>
        <w:spacing w:line="360" w:lineRule="auto"/>
        <w:ind w:firstLine="840" w:firstLineChars="300"/>
        <w:rPr>
          <w:rFonts w:hint="default" w:ascii="仿宋" w:hAnsi="仿宋" w:eastAsia="仿宋" w:cs="仿宋"/>
          <w:bCs/>
          <w:sz w:val="28"/>
          <w:szCs w:val="28"/>
          <w:u w:val="single"/>
          <w:lang w:val="en-US" w:eastAsia="zh-CN"/>
        </w:rPr>
      </w:pPr>
      <w:r>
        <w:rPr>
          <w:rFonts w:hint="default" w:ascii="仿宋" w:hAnsi="仿宋" w:eastAsia="仿宋" w:cs="仿宋"/>
          <w:bCs/>
          <w:sz w:val="28"/>
          <w:szCs w:val="28"/>
          <w:u w:val="single"/>
          <w:lang w:val="en-US" w:eastAsia="zh-CN"/>
        </w:rPr>
        <w:t>地址：北京市朝阳区建国门外大街甲3号</w:t>
      </w:r>
    </w:p>
    <w:p w14:paraId="58EE249A">
      <w:pPr>
        <w:spacing w:line="360" w:lineRule="auto"/>
        <w:ind w:firstLine="840" w:firstLineChars="300"/>
        <w:rPr>
          <w:rFonts w:hint="default" w:ascii="仿宋" w:hAnsi="仿宋" w:eastAsia="仿宋" w:cs="仿宋"/>
          <w:bCs/>
          <w:sz w:val="28"/>
          <w:szCs w:val="28"/>
          <w:u w:val="single"/>
          <w:lang w:val="en-US" w:eastAsia="zh-CN"/>
        </w:rPr>
      </w:pPr>
      <w:r>
        <w:rPr>
          <w:rFonts w:hint="default" w:ascii="仿宋" w:hAnsi="仿宋" w:eastAsia="仿宋" w:cs="仿宋"/>
          <w:bCs/>
          <w:sz w:val="28"/>
          <w:szCs w:val="28"/>
          <w:u w:val="single"/>
          <w:lang w:val="en-US" w:eastAsia="zh-CN"/>
        </w:rPr>
        <w:t>联系方式：010-85343456</w:t>
      </w:r>
    </w:p>
    <w:p w14:paraId="00013F07">
      <w:pPr>
        <w:spacing w:line="360" w:lineRule="auto"/>
        <w:ind w:firstLine="840" w:firstLineChars="300"/>
        <w:rPr>
          <w:rFonts w:hint="default" w:ascii="仿宋" w:hAnsi="仿宋" w:eastAsia="仿宋" w:cs="仿宋"/>
          <w:bCs/>
          <w:sz w:val="28"/>
          <w:szCs w:val="28"/>
          <w:u w:val="single"/>
          <w:lang w:val="en-US" w:eastAsia="zh-CN"/>
        </w:rPr>
      </w:pPr>
      <w:r>
        <w:rPr>
          <w:rFonts w:hint="default" w:ascii="仿宋" w:hAnsi="仿宋" w:eastAsia="仿宋" w:cs="仿宋"/>
          <w:bCs/>
          <w:sz w:val="28"/>
          <w:szCs w:val="28"/>
          <w:u w:val="single"/>
          <w:lang w:val="en-US" w:eastAsia="zh-CN"/>
        </w:rPr>
        <w:t>3.项目联系方式</w:t>
      </w:r>
      <w:bookmarkEnd w:id="31"/>
      <w:bookmarkEnd w:id="32"/>
    </w:p>
    <w:p w14:paraId="7A5AD587">
      <w:pPr>
        <w:spacing w:line="360" w:lineRule="auto"/>
        <w:ind w:firstLine="840" w:firstLineChars="300"/>
        <w:rPr>
          <w:rFonts w:hint="default" w:ascii="仿宋" w:hAnsi="仿宋" w:eastAsia="仿宋" w:cs="仿宋"/>
          <w:bCs/>
          <w:sz w:val="28"/>
          <w:szCs w:val="28"/>
          <w:u w:val="single"/>
          <w:lang w:val="en-US" w:eastAsia="zh-CN"/>
        </w:rPr>
      </w:pPr>
      <w:r>
        <w:rPr>
          <w:rFonts w:hint="default" w:ascii="仿宋" w:hAnsi="仿宋" w:eastAsia="仿宋" w:cs="仿宋"/>
          <w:bCs/>
          <w:sz w:val="28"/>
          <w:szCs w:val="28"/>
          <w:u w:val="single"/>
          <w:lang w:val="en-US" w:eastAsia="zh-CN"/>
        </w:rPr>
        <w:t>项目联系人：张娇、张珊、梁潇</w:t>
      </w:r>
    </w:p>
    <w:p w14:paraId="13A1217A">
      <w:pPr>
        <w:spacing w:line="360" w:lineRule="auto"/>
        <w:ind w:firstLine="840" w:firstLineChars="300"/>
        <w:rPr>
          <w:rFonts w:hint="default" w:ascii="仿宋" w:hAnsi="仿宋" w:eastAsia="仿宋" w:cs="仿宋"/>
          <w:bCs/>
          <w:sz w:val="28"/>
          <w:szCs w:val="28"/>
          <w:u w:val="single"/>
          <w:lang w:val="en-US" w:eastAsia="zh-CN"/>
        </w:rPr>
      </w:pPr>
      <w:r>
        <w:rPr>
          <w:rFonts w:hint="default" w:ascii="仿宋" w:hAnsi="仿宋" w:eastAsia="仿宋" w:cs="仿宋"/>
          <w:bCs/>
          <w:sz w:val="28"/>
          <w:szCs w:val="28"/>
          <w:u w:val="single"/>
          <w:lang w:val="en-US" w:eastAsia="zh-CN"/>
        </w:rPr>
        <w:t>电话：010-85343456</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3EE0393"/>
    <w:rsid w:val="03F36EDF"/>
    <w:rsid w:val="041C6F4E"/>
    <w:rsid w:val="044D466E"/>
    <w:rsid w:val="04923431"/>
    <w:rsid w:val="04B24EC3"/>
    <w:rsid w:val="06475B39"/>
    <w:rsid w:val="07A54001"/>
    <w:rsid w:val="07FC3326"/>
    <w:rsid w:val="0854278F"/>
    <w:rsid w:val="090D2269"/>
    <w:rsid w:val="0AF376E5"/>
    <w:rsid w:val="0B3B3792"/>
    <w:rsid w:val="0B616D1D"/>
    <w:rsid w:val="0BA430E7"/>
    <w:rsid w:val="0CF937E2"/>
    <w:rsid w:val="0E0B286D"/>
    <w:rsid w:val="0E4C6701"/>
    <w:rsid w:val="0FE614C3"/>
    <w:rsid w:val="103E71C0"/>
    <w:rsid w:val="12A51AA6"/>
    <w:rsid w:val="130E27A5"/>
    <w:rsid w:val="13400495"/>
    <w:rsid w:val="134C1D1E"/>
    <w:rsid w:val="13EA45AA"/>
    <w:rsid w:val="13F86009"/>
    <w:rsid w:val="141D78B9"/>
    <w:rsid w:val="15065107"/>
    <w:rsid w:val="158C674C"/>
    <w:rsid w:val="172168E9"/>
    <w:rsid w:val="17CF0DE0"/>
    <w:rsid w:val="18335BC8"/>
    <w:rsid w:val="19F03C9C"/>
    <w:rsid w:val="1A3C3D20"/>
    <w:rsid w:val="1B0442B0"/>
    <w:rsid w:val="1B4048D1"/>
    <w:rsid w:val="1B866B59"/>
    <w:rsid w:val="1C3F1559"/>
    <w:rsid w:val="1C4972F3"/>
    <w:rsid w:val="1CCA710D"/>
    <w:rsid w:val="1E1411A7"/>
    <w:rsid w:val="1ED35AA3"/>
    <w:rsid w:val="1EE17DC8"/>
    <w:rsid w:val="205C14B5"/>
    <w:rsid w:val="2113111A"/>
    <w:rsid w:val="21457417"/>
    <w:rsid w:val="2224601B"/>
    <w:rsid w:val="230456A7"/>
    <w:rsid w:val="239B2179"/>
    <w:rsid w:val="250F7ADC"/>
    <w:rsid w:val="256C4FCA"/>
    <w:rsid w:val="25B76FF0"/>
    <w:rsid w:val="25F33BB6"/>
    <w:rsid w:val="25FF1B34"/>
    <w:rsid w:val="26AD7506"/>
    <w:rsid w:val="27401BB2"/>
    <w:rsid w:val="285212FE"/>
    <w:rsid w:val="291C4B35"/>
    <w:rsid w:val="2A874528"/>
    <w:rsid w:val="2BCA04EF"/>
    <w:rsid w:val="2C6037DF"/>
    <w:rsid w:val="2EC63CEE"/>
    <w:rsid w:val="303E35CF"/>
    <w:rsid w:val="31886C6D"/>
    <w:rsid w:val="31F50738"/>
    <w:rsid w:val="3262685B"/>
    <w:rsid w:val="32627B42"/>
    <w:rsid w:val="329434F6"/>
    <w:rsid w:val="33526100"/>
    <w:rsid w:val="337E053C"/>
    <w:rsid w:val="33A1236A"/>
    <w:rsid w:val="34D07ED2"/>
    <w:rsid w:val="34DD22D5"/>
    <w:rsid w:val="351C6F68"/>
    <w:rsid w:val="3569702C"/>
    <w:rsid w:val="36151C5B"/>
    <w:rsid w:val="36A06E2F"/>
    <w:rsid w:val="36D81DC5"/>
    <w:rsid w:val="387B69BA"/>
    <w:rsid w:val="390377C3"/>
    <w:rsid w:val="3D0657A9"/>
    <w:rsid w:val="3D7344A5"/>
    <w:rsid w:val="3DA90D42"/>
    <w:rsid w:val="3F302C3B"/>
    <w:rsid w:val="40331F2C"/>
    <w:rsid w:val="40E6314D"/>
    <w:rsid w:val="40FD2E2B"/>
    <w:rsid w:val="425D1A0B"/>
    <w:rsid w:val="43CA6B8D"/>
    <w:rsid w:val="440700DA"/>
    <w:rsid w:val="459660BA"/>
    <w:rsid w:val="46050649"/>
    <w:rsid w:val="467A0B72"/>
    <w:rsid w:val="46AF7F09"/>
    <w:rsid w:val="46CA2B46"/>
    <w:rsid w:val="46D52298"/>
    <w:rsid w:val="48A87680"/>
    <w:rsid w:val="494E49AA"/>
    <w:rsid w:val="4BB5041C"/>
    <w:rsid w:val="4C6F0B7D"/>
    <w:rsid w:val="4C9F5D25"/>
    <w:rsid w:val="4CAB781B"/>
    <w:rsid w:val="4D21520B"/>
    <w:rsid w:val="4D771C1E"/>
    <w:rsid w:val="4D9C11A0"/>
    <w:rsid w:val="4E212C99"/>
    <w:rsid w:val="4E3C38DE"/>
    <w:rsid w:val="4E524648"/>
    <w:rsid w:val="4EB8286A"/>
    <w:rsid w:val="4EBA744A"/>
    <w:rsid w:val="4FC96956"/>
    <w:rsid w:val="50B018E0"/>
    <w:rsid w:val="50C8175A"/>
    <w:rsid w:val="5186480E"/>
    <w:rsid w:val="52897EE0"/>
    <w:rsid w:val="52C23F57"/>
    <w:rsid w:val="52EF249C"/>
    <w:rsid w:val="531E6325"/>
    <w:rsid w:val="53457C95"/>
    <w:rsid w:val="53A86942"/>
    <w:rsid w:val="53D23BDF"/>
    <w:rsid w:val="548D63DA"/>
    <w:rsid w:val="567B02F2"/>
    <w:rsid w:val="56C00491"/>
    <w:rsid w:val="5814071D"/>
    <w:rsid w:val="59413C36"/>
    <w:rsid w:val="594828CF"/>
    <w:rsid w:val="5A59165A"/>
    <w:rsid w:val="5B4857A8"/>
    <w:rsid w:val="5BC0634E"/>
    <w:rsid w:val="5C69757C"/>
    <w:rsid w:val="5CEB3E00"/>
    <w:rsid w:val="5D5B3753"/>
    <w:rsid w:val="5DBE13B2"/>
    <w:rsid w:val="5E127261"/>
    <w:rsid w:val="5E7E4A0C"/>
    <w:rsid w:val="5F100B70"/>
    <w:rsid w:val="60E16980"/>
    <w:rsid w:val="62AC0550"/>
    <w:rsid w:val="62CA27A3"/>
    <w:rsid w:val="63DB4629"/>
    <w:rsid w:val="643D1F77"/>
    <w:rsid w:val="64793376"/>
    <w:rsid w:val="65EE2A50"/>
    <w:rsid w:val="66940DD7"/>
    <w:rsid w:val="66DD3ED2"/>
    <w:rsid w:val="677A75D3"/>
    <w:rsid w:val="68DF504F"/>
    <w:rsid w:val="68E02922"/>
    <w:rsid w:val="69725190"/>
    <w:rsid w:val="69A54848"/>
    <w:rsid w:val="6A373141"/>
    <w:rsid w:val="6B2262B4"/>
    <w:rsid w:val="6BCE04E9"/>
    <w:rsid w:val="6C3D7821"/>
    <w:rsid w:val="70E632A0"/>
    <w:rsid w:val="71EE7763"/>
    <w:rsid w:val="728D1118"/>
    <w:rsid w:val="72F23D89"/>
    <w:rsid w:val="73364194"/>
    <w:rsid w:val="73723423"/>
    <w:rsid w:val="74057A00"/>
    <w:rsid w:val="74294E24"/>
    <w:rsid w:val="74AE2CAA"/>
    <w:rsid w:val="750652A7"/>
    <w:rsid w:val="7506570B"/>
    <w:rsid w:val="7522503C"/>
    <w:rsid w:val="75B2173C"/>
    <w:rsid w:val="76A9682B"/>
    <w:rsid w:val="7747264E"/>
    <w:rsid w:val="77C65F49"/>
    <w:rsid w:val="7843265A"/>
    <w:rsid w:val="78B910A6"/>
    <w:rsid w:val="793730E3"/>
    <w:rsid w:val="798538CB"/>
    <w:rsid w:val="79FF1A80"/>
    <w:rsid w:val="7A4A0D23"/>
    <w:rsid w:val="7AE57ADF"/>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next w:val="6"/>
    <w:qFormat/>
    <w:uiPriority w:val="0"/>
    <w:pPr>
      <w:spacing w:after="120"/>
    </w:pPr>
    <w:rPr>
      <w:szCs w:val="24"/>
    </w:rPr>
  </w:style>
  <w:style w:type="paragraph" w:styleId="6">
    <w:name w:val="Title"/>
    <w:basedOn w:val="1"/>
    <w:next w:val="1"/>
    <w:qFormat/>
    <w:uiPriority w:val="0"/>
    <w:pPr>
      <w:jc w:val="center"/>
      <w:outlineLvl w:val="0"/>
    </w:pPr>
    <w:rPr>
      <w:b/>
      <w:sz w:val="32"/>
      <w:szCs w:val="20"/>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5">
    <w:name w:val="FollowedHyperlink"/>
    <w:basedOn w:val="14"/>
    <w:qFormat/>
    <w:uiPriority w:val="0"/>
    <w:rPr>
      <w:color w:val="2490F8"/>
      <w:u w:val="single"/>
    </w:rPr>
  </w:style>
  <w:style w:type="character" w:styleId="16">
    <w:name w:val="Hyperlink"/>
    <w:basedOn w:val="14"/>
    <w:qFormat/>
    <w:uiPriority w:val="0"/>
    <w:rPr>
      <w:color w:val="2490F8"/>
      <w:u w:val="single"/>
    </w:rPr>
  </w:style>
  <w:style w:type="paragraph" w:customStyle="1" w:styleId="1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
    <w:name w:val="首行缩进"/>
    <w:basedOn w:val="1"/>
    <w:qFormat/>
    <w:uiPriority w:val="0"/>
    <w:pPr>
      <w:spacing w:line="360" w:lineRule="auto"/>
      <w:ind w:firstLine="480" w:firstLineChars="200"/>
    </w:pPr>
    <w:rPr>
      <w:rFonts w:ascii="宋体" w:hAnsi="宋体" w:cs="宋体"/>
      <w:kern w:val="0"/>
      <w:sz w:val="24"/>
    </w:rPr>
  </w:style>
  <w:style w:type="paragraph" w:customStyle="1" w:styleId="19">
    <w:name w:val="表格文字"/>
    <w:basedOn w:val="1"/>
    <w:qFormat/>
    <w:uiPriority w:val="0"/>
    <w:pPr>
      <w:spacing w:before="25" w:after="25"/>
      <w:jc w:val="left"/>
    </w:pPr>
    <w:rPr>
      <w:bCs/>
      <w:spacing w:val="10"/>
      <w:kern w:val="0"/>
      <w:sz w:val="24"/>
    </w:rPr>
  </w:style>
  <w:style w:type="paragraph" w:customStyle="1" w:styleId="20">
    <w:name w:val="列表段落1"/>
    <w:basedOn w:val="1"/>
    <w:qFormat/>
    <w:uiPriority w:val="34"/>
    <w:pPr>
      <w:ind w:firstLine="420" w:firstLineChars="200"/>
    </w:pPr>
  </w:style>
  <w:style w:type="paragraph" w:customStyle="1" w:styleId="21">
    <w:name w:val="正文3"/>
    <w:qFormat/>
    <w:uiPriority w:val="0"/>
    <w:pPr>
      <w:jc w:val="both"/>
    </w:pPr>
    <w:rPr>
      <w:rFonts w:ascii="Calibri" w:hAnsi="Calibri" w:eastAsia="宋体" w:cs="Times New Roman"/>
      <w:kern w:val="2"/>
      <w:sz w:val="21"/>
      <w:szCs w:val="21"/>
      <w:lang w:val="en-US" w:eastAsia="zh-CN" w:bidi="ar-SA"/>
    </w:rPr>
  </w:style>
  <w:style w:type="character" w:customStyle="1" w:styleId="22">
    <w:name w:val="font21"/>
    <w:basedOn w:val="14"/>
    <w:qFormat/>
    <w:uiPriority w:val="0"/>
    <w:rPr>
      <w:rFonts w:ascii="Tahoma" w:hAnsi="Tahoma" w:eastAsia="Tahoma" w:cs="Tahoma"/>
      <w:color w:val="000000"/>
      <w:sz w:val="22"/>
      <w:szCs w:val="22"/>
      <w:u w:val="none"/>
    </w:rPr>
  </w:style>
  <w:style w:type="character" w:customStyle="1" w:styleId="23">
    <w:name w:val="drapbtn"/>
    <w:basedOn w:val="14"/>
    <w:qFormat/>
    <w:uiPriority w:val="0"/>
  </w:style>
  <w:style w:type="character" w:customStyle="1" w:styleId="24">
    <w:name w:val="button"/>
    <w:basedOn w:val="14"/>
    <w:qFormat/>
    <w:uiPriority w:val="0"/>
  </w:style>
  <w:style w:type="character" w:customStyle="1" w:styleId="25">
    <w:name w:val="iconline2"/>
    <w:basedOn w:val="14"/>
    <w:qFormat/>
    <w:uiPriority w:val="0"/>
  </w:style>
  <w:style w:type="character" w:customStyle="1" w:styleId="26">
    <w:name w:val="icontext3"/>
    <w:basedOn w:val="14"/>
    <w:qFormat/>
    <w:uiPriority w:val="0"/>
  </w:style>
  <w:style w:type="character" w:customStyle="1" w:styleId="27">
    <w:name w:val="after"/>
    <w:basedOn w:val="14"/>
    <w:qFormat/>
    <w:uiPriority w:val="0"/>
    <w:rPr>
      <w:sz w:val="0"/>
      <w:szCs w:val="0"/>
    </w:rPr>
  </w:style>
  <w:style w:type="character" w:customStyle="1" w:styleId="28">
    <w:name w:val="pagechatarealistclose_box"/>
    <w:basedOn w:val="14"/>
    <w:qFormat/>
    <w:uiPriority w:val="0"/>
  </w:style>
  <w:style w:type="character" w:customStyle="1" w:styleId="29">
    <w:name w:val="pagechatarealistclose_box1"/>
    <w:basedOn w:val="14"/>
    <w:qFormat/>
    <w:uiPriority w:val="0"/>
  </w:style>
  <w:style w:type="character" w:customStyle="1" w:styleId="30">
    <w:name w:val="cy"/>
    <w:basedOn w:val="14"/>
    <w:qFormat/>
    <w:uiPriority w:val="0"/>
  </w:style>
  <w:style w:type="character" w:customStyle="1" w:styleId="31">
    <w:name w:val="hilite5"/>
    <w:basedOn w:val="14"/>
    <w:qFormat/>
    <w:uiPriority w:val="0"/>
    <w:rPr>
      <w:color w:val="FFFFFF"/>
      <w:shd w:val="clear" w:fill="666666"/>
    </w:rPr>
  </w:style>
  <w:style w:type="character" w:customStyle="1" w:styleId="32">
    <w:name w:val="layui-layer-tabnow"/>
    <w:basedOn w:val="14"/>
    <w:qFormat/>
    <w:uiPriority w:val="0"/>
    <w:rPr>
      <w:bdr w:val="single" w:color="CCCCCC" w:sz="6" w:space="0"/>
      <w:shd w:val="clear" w:fill="FFFFFF"/>
    </w:rPr>
  </w:style>
  <w:style w:type="character" w:customStyle="1" w:styleId="33">
    <w:name w:val="cdropright"/>
    <w:basedOn w:val="14"/>
    <w:qFormat/>
    <w:uiPriority w:val="0"/>
  </w:style>
  <w:style w:type="character" w:customStyle="1" w:styleId="34">
    <w:name w:val="ico1651"/>
    <w:basedOn w:val="14"/>
    <w:qFormat/>
    <w:uiPriority w:val="0"/>
  </w:style>
  <w:style w:type="character" w:customStyle="1" w:styleId="35">
    <w:name w:val="ico1652"/>
    <w:basedOn w:val="14"/>
    <w:qFormat/>
    <w:uiPriority w:val="0"/>
  </w:style>
  <w:style w:type="character" w:customStyle="1" w:styleId="36">
    <w:name w:val="associateddata"/>
    <w:basedOn w:val="14"/>
    <w:qFormat/>
    <w:uiPriority w:val="0"/>
    <w:rPr>
      <w:shd w:val="clear" w:fill="50A6F9"/>
    </w:rPr>
  </w:style>
  <w:style w:type="character" w:customStyle="1" w:styleId="37">
    <w:name w:val="cdropleft"/>
    <w:basedOn w:val="14"/>
    <w:qFormat/>
    <w:uiPriority w:val="0"/>
  </w:style>
  <w:style w:type="character" w:customStyle="1" w:styleId="38">
    <w:name w:val="active7"/>
    <w:basedOn w:val="14"/>
    <w:qFormat/>
    <w:uiPriority w:val="0"/>
    <w:rPr>
      <w:shd w:val="clear" w:fill="EC3535"/>
    </w:rPr>
  </w:style>
  <w:style w:type="character" w:customStyle="1" w:styleId="39">
    <w:name w:val="active8"/>
    <w:basedOn w:val="14"/>
    <w:qFormat/>
    <w:uiPriority w:val="0"/>
    <w:rPr>
      <w:color w:val="00FF00"/>
      <w:shd w:val="clear" w:fill="111111"/>
    </w:rPr>
  </w:style>
  <w:style w:type="character" w:customStyle="1" w:styleId="40">
    <w:name w:val="icontext2"/>
    <w:basedOn w:val="14"/>
    <w:qFormat/>
    <w:uiPriority w:val="0"/>
  </w:style>
  <w:style w:type="character" w:customStyle="1" w:styleId="41">
    <w:name w:val="tmpztreemove_arrow"/>
    <w:basedOn w:val="14"/>
    <w:qFormat/>
    <w:uiPriority w:val="0"/>
  </w:style>
  <w:style w:type="character" w:customStyle="1" w:styleId="42">
    <w:name w:val="icontext1"/>
    <w:basedOn w:val="14"/>
    <w:qFormat/>
    <w:uiPriority w:val="0"/>
  </w:style>
  <w:style w:type="character" w:customStyle="1" w:styleId="43">
    <w:name w:val="icontext11"/>
    <w:basedOn w:val="14"/>
    <w:qFormat/>
    <w:uiPriority w:val="0"/>
  </w:style>
  <w:style w:type="character" w:customStyle="1" w:styleId="44">
    <w:name w:val="icontext12"/>
    <w:basedOn w:val="14"/>
    <w:qFormat/>
    <w:uiPriority w:val="0"/>
  </w:style>
  <w:style w:type="character" w:customStyle="1" w:styleId="45">
    <w:name w:val="w32"/>
    <w:basedOn w:val="14"/>
    <w:qFormat/>
    <w:uiPriority w:val="0"/>
  </w:style>
  <w:style w:type="character" w:customStyle="1" w:styleId="46">
    <w:name w:val="first-child"/>
    <w:basedOn w:val="14"/>
    <w:qFormat/>
    <w:uiPriority w:val="0"/>
  </w:style>
  <w:style w:type="character" w:customStyle="1" w:styleId="47">
    <w:name w:val="ico1654"/>
    <w:basedOn w:val="14"/>
    <w:qFormat/>
    <w:uiPriority w:val="0"/>
  </w:style>
  <w:style w:type="character" w:customStyle="1" w:styleId="48">
    <w:name w:val="active"/>
    <w:basedOn w:val="14"/>
    <w:qFormat/>
    <w:uiPriority w:val="0"/>
    <w:rPr>
      <w:color w:val="00FF00"/>
      <w:shd w:val="clear" w:fill="111111"/>
    </w:rPr>
  </w:style>
  <w:style w:type="character" w:customStyle="1" w:styleId="49">
    <w:name w:val="active1"/>
    <w:basedOn w:val="14"/>
    <w:qFormat/>
    <w:uiPriority w:val="0"/>
    <w:rPr>
      <w:shd w:val="clear" w:fill="EC3535"/>
    </w:rPr>
  </w:style>
  <w:style w:type="character" w:customStyle="1" w:styleId="50">
    <w:name w:val="hilite6"/>
    <w:basedOn w:val="14"/>
    <w:qFormat/>
    <w:uiPriority w:val="0"/>
    <w:rPr>
      <w:color w:val="FFFFFF"/>
      <w:shd w:val="clear" w:fill="666666"/>
    </w:rPr>
  </w:style>
  <w:style w:type="paragraph" w:customStyle="1" w:styleId="51">
    <w:name w:val="Table Paragraph"/>
    <w:basedOn w:val="1"/>
    <w:qFormat/>
    <w:uiPriority w:val="1"/>
    <w:rPr>
      <w:rFonts w:ascii="宋体" w:hAnsi="宋体" w:eastAsia="宋体" w:cs="宋体"/>
    </w:rPr>
  </w:style>
  <w:style w:type="paragraph" w:customStyle="1" w:styleId="52">
    <w:name w:val="List Paragraph"/>
    <w:basedOn w:val="1"/>
    <w:qFormat/>
    <w:uiPriority w:val="1"/>
    <w:pPr>
      <w:spacing w:before="134"/>
      <w:ind w:left="1196" w:hanging="720"/>
    </w:pPr>
    <w:rPr>
      <w:rFonts w:ascii="宋体" w:hAnsi="宋体" w:eastAsia="宋体"/>
      <w:sz w:val="20"/>
    </w:rPr>
  </w:style>
  <w:style w:type="character" w:customStyle="1" w:styleId="53">
    <w:name w:val="font11"/>
    <w:basedOn w:val="14"/>
    <w:qFormat/>
    <w:uiPriority w:val="0"/>
    <w:rPr>
      <w:rFonts w:hint="eastAsia" w:ascii="宋体" w:hAnsi="宋体" w:eastAsia="宋体" w:cs="宋体"/>
      <w:color w:val="000000"/>
      <w:sz w:val="21"/>
      <w:szCs w:val="21"/>
      <w:u w:val="none"/>
    </w:rPr>
  </w:style>
  <w:style w:type="paragraph" w:customStyle="1" w:styleId="54">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2420</Words>
  <Characters>2811</Characters>
  <Lines>18</Lines>
  <Paragraphs>5</Paragraphs>
  <TotalTime>1</TotalTime>
  <ScaleCrop>false</ScaleCrop>
  <LinksUpToDate>false</LinksUpToDate>
  <CharactersWithSpaces>2892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2026-04-02T02:17:08Z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21B961AAF8F84C2990D7CB3AF1CCF143_13</vt:lpwstr>
  </property>
  <property fmtid="{D5CDD505-2E9C-101B-9397-08002B2CF9AE}" pid="4" name="KSOTemplateDocerSaveRecord">
    <vt:lpwstr>eyJoZGlkIjoiMDcyMmFjNmZjM2U5ODcyZjQ5NTE0NjNjMjU2OTE5OTIiLCJ1c2VySWQiOiI4NDYxOTIwMTUifQ==</vt:lpwstr>
  </property>
</Properties>
</file>