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FA0B" w14:textId="77777777" w:rsidR="004643A5" w:rsidRPr="004643A5" w:rsidRDefault="004643A5" w:rsidP="004643A5">
      <w:pPr>
        <w:spacing w:line="360" w:lineRule="auto"/>
        <w:jc w:val="center"/>
        <w:outlineLvl w:val="0"/>
        <w:rPr>
          <w:rFonts w:ascii="宋体" w:eastAsia="宋体" w:hAnsi="宋体" w:cs="Times New Roman"/>
          <w:b/>
          <w:sz w:val="36"/>
          <w:szCs w:val="36"/>
          <w14:ligatures w14:val="none"/>
        </w:rPr>
      </w:pPr>
      <w:bookmarkStart w:id="0" w:name="_Toc196915805"/>
      <w:bookmarkStart w:id="1" w:name="_Hlk223681126"/>
      <w:r w:rsidRPr="004643A5">
        <w:rPr>
          <w:rFonts w:ascii="宋体" w:eastAsia="宋体" w:hAnsi="宋体" w:cs="Times New Roman"/>
          <w:b/>
          <w:sz w:val="36"/>
          <w:szCs w:val="36"/>
          <w14:ligatures w14:val="none"/>
        </w:rPr>
        <w:t xml:space="preserve">第五章   </w:t>
      </w:r>
      <w:bookmarkStart w:id="2" w:name="OLE_LINK81"/>
      <w:r w:rsidRPr="004643A5">
        <w:rPr>
          <w:rFonts w:ascii="宋体" w:eastAsia="宋体" w:hAnsi="宋体" w:cs="Times New Roman"/>
          <w:b/>
          <w:sz w:val="36"/>
          <w:szCs w:val="36"/>
          <w14:ligatures w14:val="none"/>
        </w:rPr>
        <w:t>采购需求</w:t>
      </w:r>
      <w:bookmarkEnd w:id="0"/>
    </w:p>
    <w:p w14:paraId="795F3522" w14:textId="77777777" w:rsidR="004643A5" w:rsidRPr="004643A5" w:rsidRDefault="004643A5" w:rsidP="004643A5">
      <w:pPr>
        <w:spacing w:line="360" w:lineRule="auto"/>
        <w:jc w:val="center"/>
        <w:outlineLvl w:val="0"/>
        <w:rPr>
          <w:rFonts w:ascii="宋体" w:eastAsia="宋体" w:hAnsi="宋体" w:cs="Times New Roman"/>
          <w:b/>
          <w:sz w:val="36"/>
          <w:szCs w:val="36"/>
          <w14:ligatures w14:val="none"/>
        </w:rPr>
      </w:pPr>
      <w:r w:rsidRPr="004643A5">
        <w:rPr>
          <w:rFonts w:ascii="宋体" w:eastAsia="宋体" w:hAnsi="宋体" w:cs="微软雅黑"/>
          <w:sz w:val="24"/>
          <w14:ligatures w14:val="none"/>
        </w:rPr>
        <w:t>（如本章内容与招标文件其它章节内容有冲突，应以本部分内容为准。）</w:t>
      </w:r>
    </w:p>
    <w:p w14:paraId="548661F2" w14:textId="77777777" w:rsidR="004643A5" w:rsidRPr="004643A5" w:rsidRDefault="004643A5" w:rsidP="004643A5">
      <w:pPr>
        <w:numPr>
          <w:ilvl w:val="0"/>
          <w:numId w:val="1"/>
        </w:numPr>
        <w:spacing w:beforeLines="50" w:before="156" w:afterLines="50" w:after="156" w:line="360" w:lineRule="auto"/>
        <w:ind w:left="499" w:firstLineChars="200" w:firstLine="482"/>
        <w:contextualSpacing/>
        <w:jc w:val="both"/>
        <w:outlineLvl w:val="0"/>
        <w:rPr>
          <w:rFonts w:ascii="Times New Roman" w:eastAsia="宋体" w:hAnsi="Times New Roman" w:cs="Times New Roman"/>
          <w:b/>
          <w:sz w:val="24"/>
          <w14:ligatures w14:val="none"/>
        </w:rPr>
      </w:pPr>
      <w:bookmarkStart w:id="3" w:name="OLE_LINK3"/>
      <w:r w:rsidRPr="004643A5">
        <w:rPr>
          <w:rFonts w:ascii="Times New Roman" w:eastAsia="宋体" w:hAnsi="Times New Roman" w:cs="Times New Roman"/>
          <w:b/>
          <w:sz w:val="24"/>
          <w14:ligatures w14:val="none"/>
        </w:rPr>
        <w:t>技术要求</w:t>
      </w:r>
    </w:p>
    <w:tbl>
      <w:tblPr>
        <w:tblStyle w:val="TableNormal"/>
        <w:tblW w:w="827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1058"/>
        <w:gridCol w:w="5377"/>
        <w:gridCol w:w="660"/>
        <w:gridCol w:w="662"/>
      </w:tblGrid>
      <w:tr w:rsidR="004643A5" w:rsidRPr="004643A5" w14:paraId="65F57B51" w14:textId="77777777" w:rsidTr="00A96A92">
        <w:trPr>
          <w:trHeight w:val="439"/>
        </w:trPr>
        <w:tc>
          <w:tcPr>
            <w:tcW w:w="521" w:type="dxa"/>
          </w:tcPr>
          <w:p w14:paraId="42685FD9" w14:textId="77777777" w:rsidR="004643A5" w:rsidRPr="004643A5" w:rsidRDefault="004643A5" w:rsidP="004643A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proofErr w:type="spellStart"/>
            <w:r w:rsidRPr="004643A5">
              <w:rPr>
                <w:rFonts w:ascii="宋体" w:hAnsi="宋体" w:cs="宋体"/>
                <w:b/>
                <w:snapToGrid w:val="0"/>
                <w:color w:val="000000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058" w:type="dxa"/>
          </w:tcPr>
          <w:p w14:paraId="3931E6FE" w14:textId="77777777" w:rsidR="004643A5" w:rsidRPr="004643A5" w:rsidRDefault="004643A5" w:rsidP="004643A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proofErr w:type="spellStart"/>
            <w:r w:rsidRPr="004643A5">
              <w:rPr>
                <w:rFonts w:ascii="宋体" w:hAnsi="宋体" w:cs="宋体"/>
                <w:b/>
                <w:snapToGrid w:val="0"/>
                <w:color w:val="000000"/>
                <w:sz w:val="21"/>
                <w:szCs w:val="21"/>
              </w:rPr>
              <w:t>货物名称</w:t>
            </w:r>
            <w:proofErr w:type="spellEnd"/>
          </w:p>
        </w:tc>
        <w:tc>
          <w:tcPr>
            <w:tcW w:w="5377" w:type="dxa"/>
          </w:tcPr>
          <w:p w14:paraId="4A776BF9" w14:textId="77777777" w:rsidR="004643A5" w:rsidRPr="004643A5" w:rsidRDefault="004643A5" w:rsidP="004643A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proofErr w:type="spellStart"/>
            <w:r w:rsidRPr="004643A5">
              <w:rPr>
                <w:rFonts w:ascii="宋体" w:hAnsi="宋体" w:cs="宋体"/>
                <w:b/>
                <w:snapToGrid w:val="0"/>
                <w:color w:val="000000"/>
                <w:sz w:val="21"/>
                <w:szCs w:val="21"/>
              </w:rPr>
              <w:t>技术参数</w:t>
            </w:r>
            <w:proofErr w:type="spellEnd"/>
          </w:p>
        </w:tc>
        <w:tc>
          <w:tcPr>
            <w:tcW w:w="660" w:type="dxa"/>
          </w:tcPr>
          <w:p w14:paraId="62761728" w14:textId="77777777" w:rsidR="004643A5" w:rsidRPr="004643A5" w:rsidRDefault="004643A5" w:rsidP="004643A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proofErr w:type="spellStart"/>
            <w:r w:rsidRPr="004643A5">
              <w:rPr>
                <w:rFonts w:ascii="宋体" w:hAnsi="宋体" w:cs="宋体"/>
                <w:b/>
                <w:snapToGrid w:val="0"/>
                <w:color w:val="000000"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662" w:type="dxa"/>
          </w:tcPr>
          <w:p w14:paraId="6763425B" w14:textId="77777777" w:rsidR="004643A5" w:rsidRPr="004643A5" w:rsidRDefault="004643A5" w:rsidP="004643A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proofErr w:type="spellStart"/>
            <w:r w:rsidRPr="004643A5">
              <w:rPr>
                <w:rFonts w:ascii="宋体" w:hAnsi="宋体" w:cs="宋体"/>
                <w:b/>
                <w:snapToGrid w:val="0"/>
                <w:color w:val="000000"/>
                <w:sz w:val="21"/>
                <w:szCs w:val="21"/>
              </w:rPr>
              <w:t>数量</w:t>
            </w:r>
            <w:proofErr w:type="spellEnd"/>
          </w:p>
        </w:tc>
      </w:tr>
      <w:tr w:rsidR="004643A5" w:rsidRPr="004643A5" w14:paraId="399FDCED" w14:textId="77777777" w:rsidTr="00A96A92">
        <w:trPr>
          <w:trHeight w:val="933"/>
        </w:trPr>
        <w:tc>
          <w:tcPr>
            <w:tcW w:w="521" w:type="dxa"/>
            <w:vAlign w:val="center"/>
          </w:tcPr>
          <w:p w14:paraId="1588BF99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1</w:t>
            </w:r>
          </w:p>
        </w:tc>
        <w:tc>
          <w:tcPr>
            <w:tcW w:w="1058" w:type="dxa"/>
            <w:vAlign w:val="center"/>
          </w:tcPr>
          <w:p w14:paraId="3A2B1D02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proofErr w:type="spellStart"/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核心交换机</w:t>
            </w:r>
            <w:proofErr w:type="spellEnd"/>
          </w:p>
        </w:tc>
        <w:tc>
          <w:tcPr>
            <w:tcW w:w="5377" w:type="dxa"/>
          </w:tcPr>
          <w:p w14:paraId="2304BA0F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1、交换容量≥1900Tbps，包转发率≥460000Mpps</w:t>
            </w:r>
          </w:p>
          <w:p w14:paraId="07628D3F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2、设备采用信元交换架构，须提供权威第三方测试报告并加盖厂商公章</w:t>
            </w:r>
          </w:p>
          <w:p w14:paraId="6AD15B69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3、支持CPU、LSW（转发芯片）均为国产自研芯片，须提供权威第三方报告证明并加盖厂商公章</w:t>
            </w:r>
          </w:p>
          <w:p w14:paraId="7CACCDD1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4、支持每槽位转发能力≥4.8Tbps（双向），须提供权威第三方测试报告并加盖厂商公章</w:t>
            </w:r>
          </w:p>
          <w:p w14:paraId="0C60C2BD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5、支持VxLAN功能，支持BGP EVPN，支持分布式 Anycast 网关，须提供权威第三方报告证明并加盖厂商公章</w:t>
            </w:r>
          </w:p>
          <w:p w14:paraId="771B9137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6、支持硬件BFD/OAM，稳定均匀发包检测，故障倒换时间≤50ms</w:t>
            </w:r>
          </w:p>
          <w:p w14:paraId="779EF2E6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7、支持真实业务流的实时检测技术，实现对IP网络的精确丢包监控和快速故障定界能力</w:t>
            </w:r>
          </w:p>
          <w:p w14:paraId="27D94E94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 xml:space="preserve">8、支持静态路由、RIP、RIPng、OSPF、OSPFv3、BGP、BGP4+、ISIS、ISISv6 </w:t>
            </w:r>
          </w:p>
          <w:p w14:paraId="56A84254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9、支持 Telemetry 技术，实时采集设备数据并上送至网络分析组件平台，通过智能故障识别算法对网络数据进行分析，精准展现网络实时状态，及时定界故障以及故障发生原因，精准保障用户体验</w:t>
            </w:r>
          </w:p>
          <w:p w14:paraId="1005840F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10、主控引擎≥2，独立交换网板≥4，业务板槽位≥8，万兆光口≥96个，千兆光口≥48个，千兆电口≥48个，3000W交流电源≥4个</w:t>
            </w:r>
          </w:p>
        </w:tc>
        <w:tc>
          <w:tcPr>
            <w:tcW w:w="660" w:type="dxa"/>
            <w:vAlign w:val="center"/>
          </w:tcPr>
          <w:p w14:paraId="3EA7EA5F" w14:textId="77777777" w:rsidR="004643A5" w:rsidRPr="004643A5" w:rsidRDefault="004643A5" w:rsidP="004643A5">
            <w:pPr>
              <w:spacing w:line="292" w:lineRule="auto"/>
              <w:jc w:val="center"/>
              <w:rPr>
                <w:rFonts w:ascii="宋体" w:hAnsi="宋体" w:cs="宋体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Cs w:val="21"/>
              </w:rPr>
              <w:t>台</w:t>
            </w:r>
          </w:p>
        </w:tc>
        <w:tc>
          <w:tcPr>
            <w:tcW w:w="662" w:type="dxa"/>
            <w:vAlign w:val="center"/>
          </w:tcPr>
          <w:p w14:paraId="4AD71DD2" w14:textId="77777777" w:rsidR="004643A5" w:rsidRPr="004643A5" w:rsidRDefault="004643A5" w:rsidP="004643A5">
            <w:pPr>
              <w:spacing w:line="292" w:lineRule="auto"/>
              <w:jc w:val="center"/>
              <w:rPr>
                <w:rFonts w:ascii="宋体" w:hAnsi="宋体" w:cs="宋体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</w:tr>
      <w:tr w:rsidR="004643A5" w:rsidRPr="004643A5" w14:paraId="78965E21" w14:textId="77777777" w:rsidTr="00A96A92">
        <w:trPr>
          <w:trHeight w:val="416"/>
        </w:trPr>
        <w:tc>
          <w:tcPr>
            <w:tcW w:w="521" w:type="dxa"/>
            <w:vAlign w:val="center"/>
          </w:tcPr>
          <w:p w14:paraId="44EB4F8E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2</w:t>
            </w:r>
          </w:p>
        </w:tc>
        <w:tc>
          <w:tcPr>
            <w:tcW w:w="1058" w:type="dxa"/>
            <w:vAlign w:val="center"/>
          </w:tcPr>
          <w:p w14:paraId="1257E42A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24口交换机</w:t>
            </w:r>
          </w:p>
        </w:tc>
        <w:tc>
          <w:tcPr>
            <w:tcW w:w="5377" w:type="dxa"/>
          </w:tcPr>
          <w:p w14:paraId="50D8D01C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1、交换容量≥4.8Tbps，包转发率≥1600Mpps</w:t>
            </w:r>
          </w:p>
          <w:p w14:paraId="28B4AC7F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2、支持设备国产自研CPU,提供第三方机构测试报告截图并加盖厂商公章</w:t>
            </w:r>
          </w:p>
          <w:p w14:paraId="364A5450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3、支持可插拔风扇模块≥4个</w:t>
            </w:r>
          </w:p>
          <w:p w14:paraId="5C91422C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</w:rPr>
              <w:t xml:space="preserve">4、支持VxLAN功能，支持BGP </w:t>
            </w:r>
            <w:proofErr w:type="spellStart"/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</w:rPr>
              <w:t>EVPN，支持分布式</w:t>
            </w:r>
            <w:proofErr w:type="spellEnd"/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</w:rPr>
              <w:t xml:space="preserve"> Anycast </w:t>
            </w:r>
            <w:proofErr w:type="spellStart"/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</w:rPr>
              <w:t>网关；支持控制器基于WEB界面进行VxLAN</w:t>
            </w:r>
            <w:proofErr w:type="spellEnd"/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</w:rPr>
              <w:t>Fabric配置并下发给交换机，提供第三方测试报告并加盖厂商公章</w:t>
            </w:r>
            <w:proofErr w:type="spellEnd"/>
          </w:p>
          <w:p w14:paraId="4BA48C44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5、支持静态路由、RIP V1/2、OSPF、IS-IS、BGP、RIPng、OSPFv3、BGP4+、ISISv6</w:t>
            </w:r>
          </w:p>
          <w:p w14:paraId="02A5F755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6、设备具备ID指示灯，方便运维人员后台远程点亮后在现场快速找到该设备，提供设备示意图并体现该按钮位置证明截图并加盖厂商公章</w:t>
            </w:r>
          </w:p>
          <w:p w14:paraId="340E1733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 xml:space="preserve">7、万兆光口≥24个，40G光口≥6，交流电源≥2 </w:t>
            </w:r>
          </w:p>
        </w:tc>
        <w:tc>
          <w:tcPr>
            <w:tcW w:w="660" w:type="dxa"/>
            <w:vAlign w:val="center"/>
          </w:tcPr>
          <w:p w14:paraId="1B9CD686" w14:textId="77777777" w:rsidR="004643A5" w:rsidRPr="004643A5" w:rsidRDefault="004643A5" w:rsidP="004643A5">
            <w:pPr>
              <w:spacing w:line="292" w:lineRule="auto"/>
              <w:jc w:val="center"/>
              <w:rPr>
                <w:rFonts w:ascii="宋体" w:hAnsi="宋体" w:cs="宋体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Cs w:val="21"/>
              </w:rPr>
              <w:t>个</w:t>
            </w:r>
          </w:p>
        </w:tc>
        <w:tc>
          <w:tcPr>
            <w:tcW w:w="662" w:type="dxa"/>
            <w:vAlign w:val="center"/>
          </w:tcPr>
          <w:p w14:paraId="6ADE98BC" w14:textId="77777777" w:rsidR="004643A5" w:rsidRPr="004643A5" w:rsidRDefault="004643A5" w:rsidP="004643A5">
            <w:pPr>
              <w:spacing w:line="292" w:lineRule="auto"/>
              <w:jc w:val="center"/>
              <w:rPr>
                <w:rFonts w:ascii="宋体" w:hAnsi="宋体" w:cs="宋体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Cs w:val="21"/>
              </w:rPr>
              <w:t>3</w:t>
            </w:r>
          </w:p>
        </w:tc>
      </w:tr>
      <w:tr w:rsidR="004643A5" w:rsidRPr="004643A5" w14:paraId="143468CD" w14:textId="77777777" w:rsidTr="00A96A92">
        <w:trPr>
          <w:trHeight w:val="550"/>
        </w:trPr>
        <w:tc>
          <w:tcPr>
            <w:tcW w:w="521" w:type="dxa"/>
            <w:vAlign w:val="center"/>
          </w:tcPr>
          <w:p w14:paraId="3BA5FF51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lastRenderedPageBreak/>
              <w:t>3</w:t>
            </w:r>
          </w:p>
        </w:tc>
        <w:tc>
          <w:tcPr>
            <w:tcW w:w="1058" w:type="dxa"/>
            <w:vAlign w:val="center"/>
          </w:tcPr>
          <w:p w14:paraId="6A408C7B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proofErr w:type="spellStart"/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光转电模块</w:t>
            </w:r>
            <w:proofErr w:type="spellEnd"/>
          </w:p>
        </w:tc>
        <w:tc>
          <w:tcPr>
            <w:tcW w:w="5377" w:type="dxa"/>
            <w:vAlign w:val="center"/>
          </w:tcPr>
          <w:p w14:paraId="495A4484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1、电模块-SFP-GE-电接口模块(100m,RJ45)</w:t>
            </w:r>
          </w:p>
        </w:tc>
        <w:tc>
          <w:tcPr>
            <w:tcW w:w="660" w:type="dxa"/>
            <w:vAlign w:val="center"/>
          </w:tcPr>
          <w:p w14:paraId="27036322" w14:textId="77777777" w:rsidR="004643A5" w:rsidRPr="004643A5" w:rsidRDefault="004643A5" w:rsidP="004643A5">
            <w:pPr>
              <w:spacing w:line="292" w:lineRule="auto"/>
              <w:jc w:val="center"/>
              <w:rPr>
                <w:rFonts w:ascii="宋体" w:hAnsi="宋体" w:cs="宋体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Cs w:val="21"/>
              </w:rPr>
              <w:t>个</w:t>
            </w:r>
          </w:p>
        </w:tc>
        <w:tc>
          <w:tcPr>
            <w:tcW w:w="662" w:type="dxa"/>
            <w:vAlign w:val="center"/>
          </w:tcPr>
          <w:p w14:paraId="47FEC766" w14:textId="77777777" w:rsidR="004643A5" w:rsidRPr="004643A5" w:rsidRDefault="004643A5" w:rsidP="004643A5">
            <w:pPr>
              <w:spacing w:line="292" w:lineRule="auto"/>
              <w:jc w:val="center"/>
              <w:rPr>
                <w:rFonts w:ascii="宋体" w:hAnsi="宋体" w:cs="宋体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Cs w:val="21"/>
              </w:rPr>
              <w:t>20</w:t>
            </w:r>
          </w:p>
        </w:tc>
      </w:tr>
      <w:tr w:rsidR="004643A5" w:rsidRPr="004643A5" w14:paraId="20B1C91C" w14:textId="77777777" w:rsidTr="00A96A92">
        <w:trPr>
          <w:trHeight w:val="544"/>
        </w:trPr>
        <w:tc>
          <w:tcPr>
            <w:tcW w:w="521" w:type="dxa"/>
            <w:vAlign w:val="center"/>
          </w:tcPr>
          <w:p w14:paraId="39A544A8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4</w:t>
            </w:r>
          </w:p>
        </w:tc>
        <w:tc>
          <w:tcPr>
            <w:tcW w:w="1058" w:type="dxa"/>
            <w:vAlign w:val="center"/>
          </w:tcPr>
          <w:p w14:paraId="1447C61D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10G多模模块</w:t>
            </w:r>
          </w:p>
        </w:tc>
        <w:tc>
          <w:tcPr>
            <w:tcW w:w="5377" w:type="dxa"/>
            <w:vAlign w:val="center"/>
          </w:tcPr>
          <w:p w14:paraId="2087FB49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</w:rPr>
              <w:t>1、光模块-SFP+-10G-多模模块(850nm,0.3</w:t>
            </w:r>
            <w:proofErr w:type="gramStart"/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</w:rPr>
              <w:t>km,LC</w:t>
            </w:r>
            <w:proofErr w:type="gramEnd"/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</w:rPr>
              <w:t>)</w:t>
            </w:r>
          </w:p>
        </w:tc>
        <w:tc>
          <w:tcPr>
            <w:tcW w:w="660" w:type="dxa"/>
            <w:vAlign w:val="center"/>
          </w:tcPr>
          <w:p w14:paraId="1BBFF491" w14:textId="77777777" w:rsidR="004643A5" w:rsidRPr="004643A5" w:rsidRDefault="004643A5" w:rsidP="004643A5">
            <w:pPr>
              <w:spacing w:line="292" w:lineRule="auto"/>
              <w:jc w:val="center"/>
              <w:rPr>
                <w:rFonts w:ascii="宋体" w:hAnsi="宋体" w:cs="宋体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Cs w:val="21"/>
              </w:rPr>
              <w:t>个</w:t>
            </w:r>
          </w:p>
        </w:tc>
        <w:tc>
          <w:tcPr>
            <w:tcW w:w="662" w:type="dxa"/>
            <w:vAlign w:val="center"/>
          </w:tcPr>
          <w:p w14:paraId="2E16185F" w14:textId="77777777" w:rsidR="004643A5" w:rsidRPr="004643A5" w:rsidRDefault="004643A5" w:rsidP="004643A5">
            <w:pPr>
              <w:spacing w:line="292" w:lineRule="auto"/>
              <w:jc w:val="center"/>
              <w:rPr>
                <w:rFonts w:ascii="宋体" w:hAnsi="宋体" w:cs="宋体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Cs w:val="21"/>
              </w:rPr>
              <w:t>28</w:t>
            </w:r>
          </w:p>
        </w:tc>
      </w:tr>
      <w:tr w:rsidR="004643A5" w:rsidRPr="004643A5" w14:paraId="19EEC43A" w14:textId="77777777" w:rsidTr="00A96A92">
        <w:trPr>
          <w:trHeight w:val="395"/>
        </w:trPr>
        <w:tc>
          <w:tcPr>
            <w:tcW w:w="521" w:type="dxa"/>
            <w:vAlign w:val="center"/>
          </w:tcPr>
          <w:p w14:paraId="5F7CED6B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5</w:t>
            </w:r>
          </w:p>
        </w:tc>
        <w:tc>
          <w:tcPr>
            <w:tcW w:w="1058" w:type="dxa"/>
            <w:vAlign w:val="center"/>
          </w:tcPr>
          <w:p w14:paraId="56AD0F31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10G单模模块</w:t>
            </w:r>
          </w:p>
        </w:tc>
        <w:tc>
          <w:tcPr>
            <w:tcW w:w="5377" w:type="dxa"/>
            <w:vAlign w:val="center"/>
          </w:tcPr>
          <w:p w14:paraId="482CA52A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</w:rPr>
              <w:t>1、光模块-SFP+-10G-单模模块(1310nm,10</w:t>
            </w:r>
            <w:proofErr w:type="gramStart"/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</w:rPr>
              <w:t>km,LC</w:t>
            </w:r>
            <w:proofErr w:type="gramEnd"/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</w:rPr>
              <w:t>)</w:t>
            </w:r>
          </w:p>
        </w:tc>
        <w:tc>
          <w:tcPr>
            <w:tcW w:w="660" w:type="dxa"/>
            <w:vAlign w:val="center"/>
          </w:tcPr>
          <w:p w14:paraId="73C91858" w14:textId="77777777" w:rsidR="004643A5" w:rsidRPr="004643A5" w:rsidRDefault="004643A5" w:rsidP="004643A5">
            <w:pPr>
              <w:spacing w:line="292" w:lineRule="auto"/>
              <w:jc w:val="center"/>
              <w:rPr>
                <w:rFonts w:ascii="宋体" w:hAnsi="宋体" w:cs="宋体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Cs w:val="21"/>
              </w:rPr>
              <w:t>个</w:t>
            </w:r>
          </w:p>
        </w:tc>
        <w:tc>
          <w:tcPr>
            <w:tcW w:w="662" w:type="dxa"/>
            <w:vAlign w:val="center"/>
          </w:tcPr>
          <w:p w14:paraId="04B7CAE1" w14:textId="77777777" w:rsidR="004643A5" w:rsidRPr="004643A5" w:rsidRDefault="004643A5" w:rsidP="004643A5">
            <w:pPr>
              <w:spacing w:line="292" w:lineRule="auto"/>
              <w:jc w:val="center"/>
              <w:rPr>
                <w:rFonts w:ascii="宋体" w:hAnsi="宋体" w:cs="宋体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Cs w:val="21"/>
              </w:rPr>
              <w:t>28</w:t>
            </w:r>
          </w:p>
        </w:tc>
      </w:tr>
      <w:tr w:rsidR="004643A5" w:rsidRPr="004643A5" w14:paraId="2EE88B76" w14:textId="77777777" w:rsidTr="00A96A92">
        <w:trPr>
          <w:trHeight w:val="933"/>
        </w:trPr>
        <w:tc>
          <w:tcPr>
            <w:tcW w:w="521" w:type="dxa"/>
          </w:tcPr>
          <w:p w14:paraId="77EA982B" w14:textId="77777777" w:rsidR="004643A5" w:rsidRPr="004643A5" w:rsidRDefault="004643A5" w:rsidP="004643A5">
            <w:pPr>
              <w:spacing w:line="326" w:lineRule="auto"/>
              <w:rPr>
                <w:rFonts w:ascii="宋体" w:hAnsi="宋体" w:cs="宋体"/>
                <w:szCs w:val="21"/>
              </w:rPr>
            </w:pPr>
          </w:p>
          <w:p w14:paraId="7DDCA52D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9" w:line="182" w:lineRule="auto"/>
              <w:ind w:left="33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  <w:p w14:paraId="14B99D6C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9" w:line="182" w:lineRule="auto"/>
              <w:ind w:left="33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  <w:p w14:paraId="2FD8E545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9" w:line="182" w:lineRule="auto"/>
              <w:ind w:left="33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  <w:p w14:paraId="2EE041EA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9" w:line="182" w:lineRule="auto"/>
              <w:ind w:left="33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  <w:p w14:paraId="6C4D6A2C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9" w:line="182" w:lineRule="auto"/>
              <w:ind w:left="33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  <w:p w14:paraId="70EF14B7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9" w:line="182" w:lineRule="auto"/>
              <w:ind w:left="33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  <w:p w14:paraId="1EFA9EB4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9" w:line="182" w:lineRule="auto"/>
              <w:ind w:firstLineChars="100" w:firstLine="21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58" w:type="dxa"/>
          </w:tcPr>
          <w:p w14:paraId="0FA71A5D" w14:textId="77777777" w:rsidR="004643A5" w:rsidRPr="004643A5" w:rsidRDefault="004643A5" w:rsidP="004643A5">
            <w:pPr>
              <w:spacing w:line="247" w:lineRule="auto"/>
              <w:rPr>
                <w:rFonts w:ascii="宋体" w:hAnsi="宋体" w:cs="宋体"/>
                <w:szCs w:val="21"/>
                <w:lang w:eastAsia="zh-CN"/>
              </w:rPr>
            </w:pPr>
          </w:p>
          <w:p w14:paraId="18AB1364" w14:textId="77777777" w:rsidR="004643A5" w:rsidRPr="004643A5" w:rsidRDefault="004643A5" w:rsidP="004643A5">
            <w:pPr>
              <w:spacing w:line="248" w:lineRule="auto"/>
              <w:rPr>
                <w:rFonts w:ascii="宋体" w:hAnsi="宋体" w:cs="宋体"/>
                <w:szCs w:val="21"/>
                <w:lang w:eastAsia="zh-CN"/>
              </w:rPr>
            </w:pPr>
          </w:p>
          <w:p w14:paraId="7613A03E" w14:textId="77777777" w:rsidR="004643A5" w:rsidRPr="004643A5" w:rsidRDefault="004643A5" w:rsidP="004643A5">
            <w:pPr>
              <w:spacing w:line="248" w:lineRule="auto"/>
              <w:rPr>
                <w:rFonts w:ascii="宋体" w:hAnsi="宋体" w:cs="宋体"/>
                <w:szCs w:val="21"/>
                <w:lang w:eastAsia="zh-CN"/>
              </w:rPr>
            </w:pPr>
          </w:p>
          <w:p w14:paraId="69F75E36" w14:textId="77777777" w:rsidR="004643A5" w:rsidRPr="004643A5" w:rsidRDefault="004643A5" w:rsidP="004643A5">
            <w:pPr>
              <w:spacing w:line="248" w:lineRule="auto"/>
              <w:rPr>
                <w:rFonts w:ascii="宋体" w:hAnsi="宋体" w:cs="宋体"/>
                <w:szCs w:val="21"/>
                <w:lang w:eastAsia="zh-CN"/>
              </w:rPr>
            </w:pPr>
          </w:p>
          <w:p w14:paraId="51E628D7" w14:textId="77777777" w:rsidR="004643A5" w:rsidRPr="004643A5" w:rsidRDefault="004643A5" w:rsidP="004643A5">
            <w:pPr>
              <w:spacing w:line="248" w:lineRule="auto"/>
              <w:rPr>
                <w:rFonts w:ascii="宋体" w:hAnsi="宋体" w:cs="宋体"/>
                <w:szCs w:val="21"/>
                <w:lang w:eastAsia="zh-CN"/>
              </w:rPr>
            </w:pPr>
          </w:p>
          <w:p w14:paraId="05B9972D" w14:textId="77777777" w:rsidR="004643A5" w:rsidRPr="004643A5" w:rsidRDefault="004643A5" w:rsidP="004643A5">
            <w:pPr>
              <w:spacing w:line="248" w:lineRule="auto"/>
              <w:rPr>
                <w:rFonts w:ascii="宋体" w:hAnsi="宋体" w:cs="宋体"/>
                <w:szCs w:val="21"/>
                <w:lang w:eastAsia="zh-CN"/>
              </w:rPr>
            </w:pPr>
          </w:p>
          <w:p w14:paraId="3BE94F5F" w14:textId="77777777" w:rsidR="004643A5" w:rsidRPr="004643A5" w:rsidRDefault="004643A5" w:rsidP="004643A5">
            <w:pPr>
              <w:spacing w:line="248" w:lineRule="auto"/>
              <w:rPr>
                <w:rFonts w:ascii="宋体" w:hAnsi="宋体" w:cs="宋体"/>
                <w:szCs w:val="21"/>
                <w:lang w:eastAsia="zh-CN"/>
              </w:rPr>
            </w:pPr>
          </w:p>
          <w:p w14:paraId="0096C7EE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▲</w:t>
            </w:r>
            <w:bookmarkStart w:id="4" w:name="OLE_LINK11"/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出口防火墙系统</w:t>
            </w:r>
            <w:bookmarkEnd w:id="4"/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（核心产品）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8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377" w:type="dxa"/>
          </w:tcPr>
          <w:p w14:paraId="3380B5D3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1、网络层吞吐量≥80G，并发连接≥1800 万，每 秒新建连接数≥90万。</w:t>
            </w:r>
          </w:p>
          <w:p w14:paraId="6BCC3A9D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43" w:line="229" w:lineRule="auto"/>
              <w:ind w:left="108" w:right="366" w:firstLine="2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2、≥2U 机箱，冗余电源，≥1 个 Console 口、≥1个MGT接口，支持液晶屏。≥4T硬盘。≥16个千兆电口，≥16个千兆光口，≥12个万兆光口，≥4个扩展插槽。含三年硬件维保服务。</w:t>
            </w:r>
          </w:p>
          <w:p w14:paraId="14F19203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40" w:line="260" w:lineRule="auto"/>
              <w:ind w:left="107" w:right="133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3、3年全功能模块升级订阅服务包（含应用识别库、URL分类特征库、病毒防护特征库、入侵防御特征库升级服务及威胁情报订阅服务）。</w:t>
            </w:r>
          </w:p>
          <w:p w14:paraId="127B276D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40" w:line="260" w:lineRule="auto"/>
              <w:ind w:left="107" w:right="133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4、支持 MTU≥9000byte 的巨型帧 Jumbo Frame。</w:t>
            </w:r>
          </w:p>
          <w:p w14:paraId="19A44C21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40" w:line="260" w:lineRule="auto"/>
              <w:ind w:left="107" w:right="133"/>
              <w:textAlignment w:val="baseline"/>
              <w:rPr>
                <w:rFonts w:ascii="Arial" w:eastAsia="Arial" w:hAnsi="Arial" w:cs="Arial"/>
                <w:snapToGrid w:val="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5、支持基于策略的路由负载，支持根据应用和 服务进行智能选路，支持源地址目的地址哈希、 源地址哈希、轮询、时延负载、备份、随机、流量均衡、源地址轮询、目的地址哈希、最优链路带宽负载、最优链路带宽备份、跳数负载等不少于 12 种路由负载均衡方式。支持基于IPv4或IPv6 的TCP、HTTP、DNS、ICMP、Radius 方式的链路探测联动，同时TCP与HTTP可使用自定义目标端口进行测试。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（提供功能截图并加盖厂商公章）</w:t>
            </w:r>
          </w:p>
          <w:p w14:paraId="4F09450F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2" w:line="256" w:lineRule="auto"/>
              <w:ind w:left="108" w:right="208" w:firstLine="5"/>
              <w:jc w:val="both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6、支持 4in6 隧道过渡技术，至少包含 DS-Lite 协议中的 b4 和 aftr 能力，以及支持从 DHCPv6  服务器或手动方式获取 AFTR 参数。</w:t>
            </w:r>
          </w:p>
          <w:p w14:paraId="31AB3DB2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4" w:line="260" w:lineRule="auto"/>
              <w:ind w:left="108" w:right="15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7、支持共享上网检测功能，支持共享接入检测  和共享接入管控功能，可以通过设置管控地址和 例外地址优化管控功能，同时支持阻断或告警动 作。</w:t>
            </w:r>
          </w:p>
          <w:p w14:paraId="116AA910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48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8、支持对网元进行健康检查，健康检查至少包括链路健康检查和回环探测（提供功能截图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）</w:t>
            </w:r>
          </w:p>
          <w:p w14:paraId="43E484A8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2" w:line="220" w:lineRule="auto"/>
              <w:ind w:left="107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9、支持灵活的服务链编排功能（服务量管理），支持串接链和旁路链，支持网元组的方向和目的位置设置。（提供功能截图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）</w:t>
            </w:r>
          </w:p>
          <w:p w14:paraId="30C20390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3" w:line="247" w:lineRule="auto"/>
              <w:ind w:left="107" w:right="25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10、支持灵活的细粒度引流策略，可基于源安 全域、目的安全域、源用户、源地址、目的地址、服务、VLAN、服务链、流量方向（内网到外网/外网到内网）的引流策略，并详细记录日志。（提供功能截图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）</w:t>
            </w:r>
          </w:p>
          <w:p w14:paraId="1E0F7FAF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3" w:line="220" w:lineRule="auto"/>
              <w:ind w:left="107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11、支持对编排的流量（服务链）进行监控，以图形化的形式展示出服务链中的流量大小（提供功能截图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）</w:t>
            </w:r>
          </w:p>
          <w:p w14:paraId="53A22448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3" w:line="221" w:lineRule="auto"/>
              <w:ind w:left="107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12、 能够对HTTP/FTP/POP3/SMTP/IMAP/SMB/IPTUX 七种协议 进行病毒查杀；本地病毒库规模大于2500 万，支持样本留存。（提供功能截图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）</w:t>
            </w:r>
          </w:p>
          <w:p w14:paraId="0E56B17B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4" w:line="256" w:lineRule="auto"/>
              <w:ind w:left="109" w:right="156" w:firstLine="13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lastRenderedPageBreak/>
              <w:t>13、支持漏洞防护功能，同时将漏洞防护特征库 分类，至少包括缓冲区溢出、跨站脚本、拒绝服务、恶意扫描、 SQL注入、 WEB攻击等六种分类；漏洞防护支持日志、阻断、放行、重置等执 行动作,可批量设置针对某一分类或全部攻击签  名的执行动作；支持基于FTP、HTTP、IMAP、OTHER_APP、POP3、SMB、SMTP 等应用协议的漏洞 防护。</w:t>
            </w:r>
          </w:p>
          <w:p w14:paraId="2EE36E90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2" w:line="256" w:lineRule="auto"/>
              <w:ind w:left="108" w:right="156" w:firstLine="15"/>
              <w:jc w:val="both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14、支持业务接口下 Netflow 功能，能够通过  Netflow 实现对网络进行监控，可支持 Netflow 数据外发。</w:t>
            </w:r>
          </w:p>
          <w:p w14:paraId="66154A99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15、具备 IPv6 Enabled Logo 认证，提供证书复印件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。</w:t>
            </w:r>
          </w:p>
          <w:p w14:paraId="59DBC9F0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16、所投产品制造商具备DSMM数据安全能力成熟度认证证书，提供证书复印件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0" w:type="dxa"/>
          </w:tcPr>
          <w:p w14:paraId="5FDEEDC7" w14:textId="77777777" w:rsidR="004643A5" w:rsidRPr="004643A5" w:rsidRDefault="004643A5" w:rsidP="004643A5">
            <w:pPr>
              <w:spacing w:line="292" w:lineRule="auto"/>
              <w:rPr>
                <w:rFonts w:ascii="宋体" w:hAnsi="宋体" w:cs="宋体"/>
                <w:szCs w:val="21"/>
                <w:lang w:eastAsia="zh-CN"/>
              </w:rPr>
            </w:pPr>
          </w:p>
          <w:p w14:paraId="0654D339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2" w:lineRule="auto"/>
              <w:ind w:left="319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662" w:type="dxa"/>
          </w:tcPr>
          <w:p w14:paraId="7F37E2B5" w14:textId="77777777" w:rsidR="004643A5" w:rsidRPr="004643A5" w:rsidRDefault="004643A5" w:rsidP="004643A5">
            <w:pPr>
              <w:spacing w:line="326" w:lineRule="auto"/>
              <w:jc w:val="center"/>
              <w:rPr>
                <w:rFonts w:ascii="宋体" w:hAnsi="宋体" w:cs="宋体"/>
                <w:szCs w:val="21"/>
              </w:rPr>
            </w:pPr>
          </w:p>
          <w:p w14:paraId="1E013204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9" w:line="18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  <w:t>1</w:t>
            </w:r>
          </w:p>
        </w:tc>
      </w:tr>
      <w:tr w:rsidR="004643A5" w:rsidRPr="004643A5" w14:paraId="3505A1E7" w14:textId="77777777" w:rsidTr="00A96A92">
        <w:trPr>
          <w:trHeight w:val="1550"/>
        </w:trPr>
        <w:tc>
          <w:tcPr>
            <w:tcW w:w="521" w:type="dxa"/>
          </w:tcPr>
          <w:p w14:paraId="2A3AF6B3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7</w:t>
            </w:r>
          </w:p>
        </w:tc>
        <w:tc>
          <w:tcPr>
            <w:tcW w:w="1058" w:type="dxa"/>
          </w:tcPr>
          <w:p w14:paraId="3316F9C9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proofErr w:type="spellStart"/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上网行为管理</w:t>
            </w:r>
            <w:proofErr w:type="spellEnd"/>
          </w:p>
        </w:tc>
        <w:tc>
          <w:tcPr>
            <w:tcW w:w="5377" w:type="dxa"/>
          </w:tcPr>
          <w:p w14:paraId="137955CF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4"/>
                <w:sz w:val="21"/>
                <w:szCs w:val="21"/>
                <w:lang w:eastAsia="zh-CN"/>
              </w:rPr>
              <w:t>1、≥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5G带宽网络环境使用；最大并发连接数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4"/>
                <w:sz w:val="21"/>
                <w:szCs w:val="21"/>
                <w:lang w:eastAsia="zh-CN"/>
              </w:rPr>
              <w:t>≥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600万，最大新建连接数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4"/>
                <w:sz w:val="21"/>
                <w:szCs w:val="21"/>
                <w:lang w:eastAsia="zh-CN"/>
              </w:rPr>
              <w:t>≥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18万/秒；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4"/>
                <w:sz w:val="21"/>
                <w:szCs w:val="21"/>
                <w:lang w:eastAsia="zh-CN"/>
              </w:rPr>
              <w:t>≥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2U硬件，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4"/>
                <w:sz w:val="21"/>
                <w:szCs w:val="21"/>
                <w:lang w:eastAsia="zh-CN"/>
              </w:rPr>
              <w:t>≥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1个管理口和1个HA口，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4"/>
                <w:sz w:val="21"/>
                <w:szCs w:val="21"/>
                <w:lang w:eastAsia="zh-CN"/>
              </w:rPr>
              <w:t>≥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4个千兆电口,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4"/>
                <w:sz w:val="21"/>
                <w:szCs w:val="21"/>
                <w:lang w:eastAsia="zh-CN"/>
              </w:rPr>
              <w:t xml:space="preserve"> ≥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4个千兆光口,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4"/>
                <w:sz w:val="21"/>
                <w:szCs w:val="21"/>
                <w:lang w:eastAsia="zh-CN"/>
              </w:rPr>
              <w:t xml:space="preserve"> ≥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4个万兆口,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4"/>
                <w:sz w:val="21"/>
                <w:szCs w:val="21"/>
                <w:lang w:eastAsia="zh-CN"/>
              </w:rPr>
              <w:t xml:space="preserve"> ≥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1个扩展槽,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4"/>
                <w:sz w:val="21"/>
                <w:szCs w:val="21"/>
                <w:lang w:eastAsia="zh-CN"/>
              </w:rPr>
              <w:t xml:space="preserve"> ≥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1T硬盘，交流冗余电源。</w:t>
            </w:r>
          </w:p>
          <w:p w14:paraId="30DDAC1C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2、含三年硬件质保服务和三年软件升级服务。</w:t>
            </w:r>
          </w:p>
          <w:p w14:paraId="432073B5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3、设备可直路串联在一条或多条原有网络线路上，进行行为分析、审计和控制。不改变网络拓扑，路由表项。</w:t>
            </w:r>
          </w:p>
          <w:p w14:paraId="4F03AFCF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4、管理员可根据设定的网页浏览场景，设置不同的自定义阻塞页面。（提供功能截图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）</w:t>
            </w:r>
          </w:p>
          <w:p w14:paraId="5B7C75DC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5、能够实时提供产品CPU、内存、磁盘使用率、网口状态、授权状态、系统情况等信息。</w:t>
            </w:r>
          </w:p>
          <w:p w14:paraId="50C254B5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6、系统具备≥2.8亿条网站/URL/网页数据。（提供功能截图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）</w:t>
            </w:r>
          </w:p>
          <w:p w14:paraId="4A389126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7、能够实时提供在线用户趋势、设备流速趋势、用户流量排名、应用流量排名、用户实时流量和应用实时流量等信息。</w:t>
            </w:r>
          </w:p>
          <w:p w14:paraId="77254022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8、可监控到设备运行的天数，确保设备中间无重启，无宕机。</w:t>
            </w:r>
          </w:p>
          <w:p w14:paraId="6B1A56AE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9、应用协议库包含的应用数量不低于15000种，其中大模型应用数量不低于3000；支持按照客户业务场景自定义标签加入应用管控；（提供功能截图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）</w:t>
            </w:r>
          </w:p>
          <w:p w14:paraId="6C7C34A3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10、可以根据应用协议库限制每个人的应用使用时长。</w:t>
            </w:r>
          </w:p>
          <w:p w14:paraId="73FC52EA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11、支持针对用户的上网时长/次数限额策略，策略只和用户有关，与应用和流量无关。</w:t>
            </w:r>
          </w:p>
          <w:p w14:paraId="3205C508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12、对网站的发帖正文关键字进行管理，一条策略可同时实现控制、记录、告警、便于维护管理。</w:t>
            </w:r>
          </w:p>
          <w:p w14:paraId="22649EA6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13、可审计、控制Oracle, MySql, SqlServer, PostgreSQL 等数据库的访问与操作，包括添加、删除、修改、查询等。（提供功能截图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）</w:t>
            </w:r>
          </w:p>
          <w:p w14:paraId="0926F883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51" w:line="247" w:lineRule="auto"/>
              <w:ind w:left="107" w:right="103" w:firstLine="16"/>
              <w:textAlignment w:val="baseline"/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14、所投产品制造商具备DSMM数据安全能力成熟度认证证书，提供证书复印件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0" w:type="dxa"/>
          </w:tcPr>
          <w:p w14:paraId="37186187" w14:textId="77777777" w:rsidR="004643A5" w:rsidRPr="004643A5" w:rsidRDefault="004643A5" w:rsidP="004643A5">
            <w:pPr>
              <w:spacing w:line="292" w:lineRule="auto"/>
              <w:rPr>
                <w:rFonts w:ascii="宋体" w:hAnsi="宋体" w:cs="宋体"/>
                <w:szCs w:val="21"/>
                <w:lang w:eastAsia="zh-CN"/>
              </w:rPr>
            </w:pPr>
          </w:p>
          <w:p w14:paraId="3D624AC4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2" w:lineRule="auto"/>
              <w:ind w:left="319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662" w:type="dxa"/>
          </w:tcPr>
          <w:p w14:paraId="7EDB090E" w14:textId="77777777" w:rsidR="004643A5" w:rsidRPr="004643A5" w:rsidRDefault="004643A5" w:rsidP="004643A5">
            <w:pPr>
              <w:spacing w:line="326" w:lineRule="auto"/>
              <w:jc w:val="center"/>
              <w:rPr>
                <w:rFonts w:ascii="宋体" w:hAnsi="宋体" w:cs="宋体"/>
                <w:szCs w:val="21"/>
              </w:rPr>
            </w:pPr>
          </w:p>
          <w:p w14:paraId="33F765B5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9" w:line="18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  <w:t>1</w:t>
            </w:r>
          </w:p>
        </w:tc>
      </w:tr>
      <w:tr w:rsidR="004643A5" w:rsidRPr="004643A5" w14:paraId="1EF4A0A3" w14:textId="77777777" w:rsidTr="00A96A92">
        <w:trPr>
          <w:trHeight w:val="558"/>
        </w:trPr>
        <w:tc>
          <w:tcPr>
            <w:tcW w:w="521" w:type="dxa"/>
          </w:tcPr>
          <w:p w14:paraId="3420E9E5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lastRenderedPageBreak/>
              <w:t>8</w:t>
            </w:r>
          </w:p>
        </w:tc>
        <w:tc>
          <w:tcPr>
            <w:tcW w:w="1058" w:type="dxa"/>
          </w:tcPr>
          <w:p w14:paraId="6DB9BAE6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proofErr w:type="spellStart"/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综合网关</w:t>
            </w:r>
            <w:proofErr w:type="spellEnd"/>
          </w:p>
        </w:tc>
        <w:tc>
          <w:tcPr>
            <w:tcW w:w="5377" w:type="dxa"/>
          </w:tcPr>
          <w:p w14:paraId="0943F90D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1、≥2U机箱，≥2个</w:t>
            </w:r>
            <w:proofErr w:type="gramStart"/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千兆电口</w:t>
            </w:r>
            <w:proofErr w:type="gramEnd"/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，≥2个万兆口，≥1个扩展槽，冗余电源；≥256G SSD，≥4T HDD；最大理论支持并发用户数：≥500。</w:t>
            </w:r>
          </w:p>
          <w:p w14:paraId="0FB625FE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2、50个零信任并发用户授权和ID授权。</w:t>
            </w:r>
          </w:p>
          <w:p w14:paraId="59DC3293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3、支持UDP+TCP单包授权机制，UDP+TCP方式默认不开放端口，可避免业务应用的端口被扫描，进而避免利用端口对业务应用发起攻击的风险。</w:t>
            </w:r>
          </w:p>
          <w:p w14:paraId="6F8D1F2B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4、提供用户概览统计能力，包括用户总数、启用用户数、锁定用户数、禁用用户数等信息，提升管理员运维能力。（提供功能截图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）</w:t>
            </w:r>
          </w:p>
          <w:p w14:paraId="13F1B8CC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5、提供用户组管理，支持动态用户组，可按照规则进组，使得满足规则的用户自动能够进入组，并</w:t>
            </w:r>
            <w:proofErr w:type="gramStart"/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继承组</w:t>
            </w:r>
            <w:proofErr w:type="gramEnd"/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所拥有的权限、访问策略等，而不需要依次手工添加，减轻了管理的负担。（提供功能截图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）</w:t>
            </w:r>
          </w:p>
          <w:p w14:paraId="3B4B2D78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6、支持从AD、LDAP、企微、钉钉外部身份源同步到本地进行管理和维护。</w:t>
            </w:r>
          </w:p>
          <w:p w14:paraId="4E1C39BF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7、提供设备概览统计能力，包括终端总数、启用终端数、锁定终端数、禁用终端数等信息，提升管理员运维能力。（提供功能截图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）</w:t>
            </w:r>
          </w:p>
          <w:p w14:paraId="2BE03678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8、提供设备绑定概览统计能力，包括绑定总数、管理员绑定数、申请绑定数、自助绑定数等信息，提升管理员运维能力。</w:t>
            </w:r>
          </w:p>
          <w:p w14:paraId="53966A84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9、支持用户自助解绑设置，可设置是否允许用户自助解绑，以及解绑是否要求做多因子认证，进一步加强设备解绑的管控。（提供功能截图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）</w:t>
            </w:r>
          </w:p>
          <w:p w14:paraId="4C812A63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10、支持设备归属的设置规则，系统可自动为设备标记为COPE（企业签发设备）、BYOD(自带设备），并可根据设备归属用于相应访问控制策略，从而实现针对企业的、个人自带的设备实施不同程度的管控。</w:t>
            </w:r>
          </w:p>
          <w:p w14:paraId="1243E90A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11、支持PC端发起访问应用的采集，能够对应用进行标记为可信或不可信，可用</w:t>
            </w:r>
            <w:proofErr w:type="gramStart"/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于访问</w:t>
            </w:r>
            <w:proofErr w:type="gramEnd"/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控制策略，从而实现基于访问进程的细粒度控制措施。</w:t>
            </w:r>
          </w:p>
          <w:p w14:paraId="524FECA3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12、支持应用概览统计能力，包括应用总数、WEB应用数、隧道应用数等信息，提升管理员的运维能力。</w:t>
            </w:r>
          </w:p>
          <w:p w14:paraId="5F361868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13、支持设备认证，提供认证策略配置，可根据是否签发设备、导入设备、绑定设备进行设备认证。（提供功能截图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  <w:lang w:eastAsia="zh-CN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）</w:t>
            </w:r>
          </w:p>
          <w:p w14:paraId="39533CE7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0" w:lineRule="auto"/>
              <w:ind w:left="195"/>
              <w:textAlignment w:val="baseline"/>
              <w:rPr>
                <w:rFonts w:ascii="Arial" w:eastAsia="Arial" w:hAnsi="Arial" w:cs="Arial"/>
                <w:snapToGrid w:val="0"/>
                <w:color w:val="000000"/>
                <w:spacing w:val="-6"/>
                <w:sz w:val="21"/>
                <w:szCs w:val="21"/>
              </w:rPr>
            </w:pPr>
            <w:r w:rsidRPr="004643A5">
              <w:rPr>
                <w:rFonts w:ascii="宋体" w:hAnsi="宋体" w:cs="宋体"/>
                <w:b/>
                <w:bCs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#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  <w:lang w:eastAsia="zh-CN"/>
              </w:rPr>
              <w:t>14、支持用户两次登录设备发生变化、异常旅行速度设置行为属性，以实现从用户行为维度进行准入控制，缓解因用户账号被盗用、身份被仿冒的用户进入系统的安全风险。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（提供功能截图</w:t>
            </w:r>
            <w:r w:rsidRPr="004643A5">
              <w:rPr>
                <w:rFonts w:ascii="宋体" w:hAnsi="宋体" w:cs="宋体"/>
                <w:snapToGrid w:val="0"/>
                <w:spacing w:val="-2"/>
                <w:sz w:val="21"/>
                <w:szCs w:val="21"/>
              </w:rPr>
              <w:t>并加盖厂商公章</w:t>
            </w:r>
            <w:r w:rsidRPr="004643A5">
              <w:rPr>
                <w:rFonts w:ascii="宋体" w:hAnsi="宋体" w:cs="宋体"/>
                <w:snapToGrid w:val="0"/>
                <w:color w:val="000000"/>
                <w:spacing w:val="-6"/>
                <w:sz w:val="21"/>
                <w:szCs w:val="21"/>
              </w:rPr>
              <w:t>）</w:t>
            </w:r>
          </w:p>
        </w:tc>
        <w:tc>
          <w:tcPr>
            <w:tcW w:w="660" w:type="dxa"/>
          </w:tcPr>
          <w:p w14:paraId="49542BB4" w14:textId="77777777" w:rsidR="004643A5" w:rsidRPr="004643A5" w:rsidRDefault="004643A5" w:rsidP="004643A5">
            <w:pPr>
              <w:spacing w:line="292" w:lineRule="auto"/>
              <w:rPr>
                <w:rFonts w:ascii="宋体" w:hAnsi="宋体" w:cs="宋体"/>
                <w:szCs w:val="21"/>
              </w:rPr>
            </w:pPr>
          </w:p>
          <w:p w14:paraId="3D1D84AA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8" w:line="222" w:lineRule="auto"/>
              <w:ind w:left="319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662" w:type="dxa"/>
          </w:tcPr>
          <w:p w14:paraId="3077334B" w14:textId="77777777" w:rsidR="004643A5" w:rsidRPr="004643A5" w:rsidRDefault="004643A5" w:rsidP="004643A5">
            <w:pPr>
              <w:spacing w:line="326" w:lineRule="auto"/>
              <w:jc w:val="center"/>
              <w:rPr>
                <w:rFonts w:ascii="宋体" w:hAnsi="宋体" w:cs="宋体"/>
                <w:szCs w:val="21"/>
              </w:rPr>
            </w:pPr>
          </w:p>
          <w:p w14:paraId="67F78D4D" w14:textId="77777777" w:rsidR="004643A5" w:rsidRPr="004643A5" w:rsidRDefault="004643A5" w:rsidP="004643A5">
            <w:pPr>
              <w:widowControl/>
              <w:kinsoku w:val="0"/>
              <w:adjustRightInd w:val="0"/>
              <w:snapToGrid w:val="0"/>
              <w:spacing w:before="69" w:line="18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  <w:r w:rsidRPr="004643A5"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  <w:t>1</w:t>
            </w:r>
          </w:p>
        </w:tc>
      </w:tr>
    </w:tbl>
    <w:p w14:paraId="29C342A4" w14:textId="77777777" w:rsidR="004643A5" w:rsidRPr="004643A5" w:rsidRDefault="004643A5" w:rsidP="004643A5">
      <w:pPr>
        <w:numPr>
          <w:ilvl w:val="0"/>
          <w:numId w:val="1"/>
        </w:numPr>
        <w:spacing w:beforeLines="50" w:before="156" w:afterLines="50" w:after="156" w:line="360" w:lineRule="auto"/>
        <w:ind w:left="499" w:firstLineChars="200" w:firstLine="482"/>
        <w:contextualSpacing/>
        <w:jc w:val="both"/>
        <w:outlineLvl w:val="0"/>
        <w:rPr>
          <w:rFonts w:ascii="Times New Roman" w:eastAsia="宋体" w:hAnsi="Times New Roman" w:cs="Times New Roman"/>
          <w:b/>
          <w:sz w:val="24"/>
          <w14:ligatures w14:val="none"/>
        </w:rPr>
      </w:pPr>
      <w:r w:rsidRPr="004643A5">
        <w:rPr>
          <w:rFonts w:ascii="Times New Roman" w:eastAsia="宋体" w:hAnsi="Times New Roman" w:cs="Times New Roman"/>
          <w:b/>
          <w:sz w:val="24"/>
          <w14:ligatures w14:val="none"/>
        </w:rPr>
        <w:t>商务要求</w:t>
      </w:r>
    </w:p>
    <w:p w14:paraId="42E0549C" w14:textId="77777777" w:rsidR="004643A5" w:rsidRPr="004643A5" w:rsidRDefault="004643A5" w:rsidP="004643A5">
      <w:pPr>
        <w:spacing w:beforeLines="50" w:before="156" w:afterLines="50" w:after="156" w:line="360" w:lineRule="auto"/>
        <w:ind w:firstLineChars="200" w:firstLine="480"/>
        <w:contextualSpacing/>
        <w:jc w:val="both"/>
        <w:outlineLvl w:val="1"/>
        <w:rPr>
          <w:rFonts w:ascii="Times New Roman" w:eastAsia="宋体" w:hAnsi="Times New Roman" w:cs="Times New Roman"/>
          <w:bCs/>
          <w:sz w:val="24"/>
          <w14:ligatures w14:val="none"/>
        </w:rPr>
      </w:pP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 xml:space="preserve">1. </w:t>
      </w: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交付（实施）的时间（期限）和地点（范围）</w:t>
      </w:r>
    </w:p>
    <w:p w14:paraId="331AC601" w14:textId="77777777" w:rsidR="004643A5" w:rsidRPr="004643A5" w:rsidRDefault="004643A5" w:rsidP="004643A5">
      <w:pPr>
        <w:spacing w:beforeLines="50" w:before="156" w:afterLines="50" w:after="156" w:line="360" w:lineRule="auto"/>
        <w:ind w:firstLineChars="200" w:firstLine="480"/>
        <w:contextualSpacing/>
        <w:jc w:val="both"/>
        <w:rPr>
          <w:rFonts w:ascii="Times New Roman" w:eastAsia="宋体" w:hAnsi="Times New Roman" w:cs="Times New Roman"/>
          <w:bCs/>
          <w:sz w:val="24"/>
          <w14:ligatures w14:val="none"/>
        </w:rPr>
      </w:pP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交付时间：</w:t>
      </w: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2026</w:t>
      </w: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年</w:t>
      </w: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08</w:t>
      </w: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月</w:t>
      </w: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31</w:t>
      </w: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日之前，且</w:t>
      </w:r>
      <w:proofErr w:type="gramStart"/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若项目</w:t>
      </w:r>
      <w:proofErr w:type="gramEnd"/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部署实施发生变化需根据采购人指定时间交付。</w:t>
      </w:r>
    </w:p>
    <w:p w14:paraId="252AEC55" w14:textId="77777777" w:rsidR="004643A5" w:rsidRPr="004643A5" w:rsidRDefault="004643A5" w:rsidP="004643A5">
      <w:pPr>
        <w:spacing w:beforeLines="50" w:before="156" w:afterLines="50" w:after="156" w:line="360" w:lineRule="auto"/>
        <w:ind w:firstLineChars="200" w:firstLine="480"/>
        <w:contextualSpacing/>
        <w:jc w:val="both"/>
        <w:rPr>
          <w:rFonts w:ascii="Times New Roman" w:eastAsia="宋体" w:hAnsi="Times New Roman" w:cs="Times New Roman"/>
          <w:bCs/>
          <w:sz w:val="24"/>
          <w14:ligatures w14:val="none"/>
        </w:rPr>
      </w:pP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交付地点：采购人指定地点。</w:t>
      </w:r>
    </w:p>
    <w:p w14:paraId="7AB935CB" w14:textId="77777777" w:rsidR="004643A5" w:rsidRPr="004643A5" w:rsidRDefault="004643A5" w:rsidP="004643A5">
      <w:pPr>
        <w:spacing w:beforeLines="50" w:before="156" w:afterLines="50" w:after="156" w:line="360" w:lineRule="auto"/>
        <w:ind w:firstLineChars="200" w:firstLine="480"/>
        <w:contextualSpacing/>
        <w:jc w:val="both"/>
        <w:outlineLvl w:val="1"/>
        <w:rPr>
          <w:rFonts w:ascii="Times New Roman" w:eastAsia="宋体" w:hAnsi="Times New Roman" w:cs="Times New Roman"/>
          <w:bCs/>
          <w:sz w:val="24"/>
          <w14:ligatures w14:val="none"/>
        </w:rPr>
      </w:pP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 xml:space="preserve">2. </w:t>
      </w: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付款条件（进度和方式）</w:t>
      </w:r>
    </w:p>
    <w:p w14:paraId="2E51A070" w14:textId="77777777" w:rsidR="004643A5" w:rsidRPr="004643A5" w:rsidRDefault="004643A5" w:rsidP="004643A5">
      <w:pPr>
        <w:spacing w:beforeLines="50" w:before="156" w:afterLines="50" w:after="156" w:line="360" w:lineRule="auto"/>
        <w:ind w:firstLineChars="200" w:firstLine="480"/>
        <w:contextualSpacing/>
        <w:jc w:val="both"/>
        <w:rPr>
          <w:rFonts w:ascii="Times New Roman" w:eastAsia="宋体" w:hAnsi="Times New Roman" w:cs="Times New Roman"/>
          <w:bCs/>
          <w:sz w:val="24"/>
          <w14:ligatures w14:val="none"/>
        </w:rPr>
      </w:pP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lastRenderedPageBreak/>
        <w:t>支付进度与方式如下：</w:t>
      </w:r>
      <w:bookmarkStart w:id="5" w:name="OLE_LINK1"/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项目整体验收合格后，甲方向乙方一次性支付合同总价款。</w:t>
      </w:r>
    </w:p>
    <w:bookmarkEnd w:id="5"/>
    <w:p w14:paraId="0C84AD8D" w14:textId="77777777" w:rsidR="004643A5" w:rsidRPr="004643A5" w:rsidRDefault="004643A5" w:rsidP="004643A5">
      <w:pPr>
        <w:spacing w:beforeLines="50" w:before="156" w:afterLines="50" w:after="156" w:line="360" w:lineRule="auto"/>
        <w:ind w:firstLineChars="200" w:firstLine="480"/>
        <w:contextualSpacing/>
        <w:jc w:val="both"/>
        <w:rPr>
          <w:rFonts w:ascii="Times New Roman" w:eastAsia="宋体" w:hAnsi="Times New Roman" w:cs="Times New Roman"/>
          <w:bCs/>
          <w:sz w:val="24"/>
          <w14:ligatures w14:val="none"/>
        </w:rPr>
      </w:pP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 xml:space="preserve">3. </w:t>
      </w: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包装和运输：需满足国家相关行业标准，并且需在规定时间内运达采购人指定地点，保证包装完好。</w:t>
      </w:r>
    </w:p>
    <w:p w14:paraId="5902AAED" w14:textId="77777777" w:rsidR="004643A5" w:rsidRPr="004643A5" w:rsidRDefault="004643A5" w:rsidP="004643A5">
      <w:pPr>
        <w:spacing w:beforeLines="50" w:before="156" w:afterLines="50" w:after="156" w:line="360" w:lineRule="auto"/>
        <w:ind w:firstLineChars="200" w:firstLine="480"/>
        <w:contextualSpacing/>
        <w:jc w:val="both"/>
        <w:outlineLvl w:val="1"/>
        <w:rPr>
          <w:rFonts w:ascii="Times New Roman" w:eastAsia="宋体" w:hAnsi="Times New Roman" w:cs="Times New Roman"/>
          <w:bCs/>
          <w:sz w:val="24"/>
          <w14:ligatures w14:val="none"/>
        </w:rPr>
      </w:pP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 xml:space="preserve">4. </w:t>
      </w:r>
      <w:r w:rsidRPr="004643A5">
        <w:rPr>
          <w:rFonts w:ascii="Times New Roman" w:eastAsia="宋体" w:hAnsi="Times New Roman" w:cs="Times New Roman"/>
          <w:bCs/>
          <w:sz w:val="24"/>
          <w14:ligatures w14:val="none"/>
        </w:rPr>
        <w:t>验收标准</w:t>
      </w:r>
    </w:p>
    <w:p w14:paraId="5664227C" w14:textId="77777777" w:rsidR="004643A5" w:rsidRPr="004643A5" w:rsidRDefault="004643A5" w:rsidP="004643A5">
      <w:pPr>
        <w:spacing w:beforeLines="50" w:before="156" w:afterLines="50" w:after="156" w:line="360" w:lineRule="auto"/>
        <w:ind w:firstLineChars="200" w:firstLine="480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4643A5">
        <w:rPr>
          <w:rFonts w:ascii="Times New Roman" w:eastAsia="宋体" w:hAnsi="Times New Roman" w:cs="Times New Roman"/>
          <w:sz w:val="24"/>
          <w14:ligatures w14:val="none"/>
        </w:rPr>
        <w:t>按照招标文件要求完成设备采购、安装、调试和集成工作，具备初验条件后进行项目初验。初验合格后进入试运行，试运行结束后由采购人组织，按照招标文件要求以及投标文件响应情况逐项进行项目终验工作。</w:t>
      </w:r>
    </w:p>
    <w:bookmarkEnd w:id="1"/>
    <w:bookmarkEnd w:id="2"/>
    <w:bookmarkEnd w:id="3"/>
    <w:p w14:paraId="5A8BC776" w14:textId="77777777" w:rsidR="004643A5" w:rsidRPr="004643A5" w:rsidRDefault="004643A5" w:rsidP="004643A5">
      <w:pPr>
        <w:spacing w:beforeLines="50" w:before="156" w:afterLines="50" w:after="156" w:line="360" w:lineRule="auto"/>
        <w:ind w:left="979"/>
        <w:contextualSpacing/>
        <w:jc w:val="both"/>
        <w:outlineLvl w:val="0"/>
        <w:rPr>
          <w:rFonts w:ascii="宋体" w:eastAsia="宋体" w:hAnsi="宋体" w:cs="宋体"/>
          <w:sz w:val="24"/>
          <w:lang w:bidi="ar"/>
          <w14:ligatures w14:val="none"/>
        </w:rPr>
      </w:pPr>
    </w:p>
    <w:p w14:paraId="3F6FE098" w14:textId="77777777" w:rsidR="004643A5" w:rsidRPr="004643A5" w:rsidRDefault="004643A5" w:rsidP="004643A5">
      <w:pPr>
        <w:spacing w:beforeLines="50" w:before="156" w:afterLines="50" w:after="156" w:line="360" w:lineRule="auto"/>
        <w:jc w:val="both"/>
        <w:rPr>
          <w:rFonts w:ascii="宋体" w:eastAsia="宋体" w:hAnsi="宋体" w:cs="宋体"/>
          <w:sz w:val="24"/>
          <w:lang w:bidi="ar"/>
          <w14:ligatures w14:val="none"/>
        </w:rPr>
      </w:pPr>
    </w:p>
    <w:p w14:paraId="4AE49075" w14:textId="77777777" w:rsidR="003B35FC" w:rsidRPr="004643A5" w:rsidRDefault="003B35FC">
      <w:pPr>
        <w:rPr>
          <w:rFonts w:hint="eastAsia"/>
        </w:rPr>
      </w:pPr>
    </w:p>
    <w:sectPr w:rsidR="003B35FC" w:rsidRPr="00464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6499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A5"/>
    <w:rsid w:val="0012648B"/>
    <w:rsid w:val="003B35FC"/>
    <w:rsid w:val="004643A5"/>
    <w:rsid w:val="00B1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B786"/>
  <w15:chartTrackingRefBased/>
  <w15:docId w15:val="{D328E0AB-45CC-497C-89E2-22F04CEC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3A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3A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3A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3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3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3A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3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3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3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43A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nhideWhenUsed/>
    <w:qFormat/>
    <w:rsid w:val="004643A5"/>
    <w:pPr>
      <w:widowControl w:val="0"/>
      <w:autoSpaceDE w:val="0"/>
      <w:autoSpaceDN w:val="0"/>
      <w:spacing w:after="0" w:line="240" w:lineRule="auto"/>
    </w:pPr>
    <w:rPr>
      <w:rFonts w:ascii="Calibri" w:eastAsia="宋体" w:hAnsi="Calibri" w:cs="Times New Roman"/>
      <w:kern w:val="0"/>
      <w:szCs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</dc:creator>
  <cp:keywords/>
  <dc:description/>
  <cp:lastModifiedBy>刘佳</cp:lastModifiedBy>
  <cp:revision>1</cp:revision>
  <dcterms:created xsi:type="dcterms:W3CDTF">2026-05-13T01:50:00Z</dcterms:created>
  <dcterms:modified xsi:type="dcterms:W3CDTF">2026-05-13T01:50:00Z</dcterms:modified>
</cp:coreProperties>
</file>