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D59C9">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5476C1B8">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54DD80A2">
      <w:pPr>
        <w:pStyle w:val="32"/>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2026年大兴区教师进修学校信息化运行维护费采购项目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7</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1</w:t>
      </w:r>
      <w:r>
        <w:rPr>
          <w:rFonts w:hint="eastAsia" w:ascii="仿宋" w:hAnsi="仿宋" w:eastAsia="仿宋" w:cs="仿宋"/>
          <w:color w:val="auto"/>
          <w:sz w:val="24"/>
          <w:szCs w:val="28"/>
          <w:highlight w:val="none"/>
          <w:lang w:eastAsia="zh-CN"/>
        </w:rPr>
        <w:t>日上午9:30至</w:t>
      </w:r>
      <w:r>
        <w:rPr>
          <w:rFonts w:hint="eastAsia" w:ascii="仿宋" w:hAnsi="仿宋" w:eastAsia="仿宋" w:cs="仿宋"/>
          <w:color w:val="auto"/>
          <w:sz w:val="24"/>
          <w:szCs w:val="28"/>
          <w:highlight w:val="none"/>
          <w:lang w:val="en-US" w:eastAsia="zh-CN"/>
        </w:rPr>
        <w:t>7</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7</w:t>
      </w:r>
      <w:r>
        <w:rPr>
          <w:rFonts w:hint="eastAsia" w:ascii="仿宋" w:hAnsi="仿宋" w:eastAsia="仿宋" w:cs="仿宋"/>
          <w:color w:val="auto"/>
          <w:sz w:val="24"/>
          <w:szCs w:val="28"/>
          <w:highlight w:val="none"/>
          <w:lang w:eastAsia="zh-CN"/>
        </w:rPr>
        <w:t>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7月23日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7925F29D">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02"/>
      <w:bookmarkStart w:id="1" w:name="_Toc28359079"/>
      <w:bookmarkStart w:id="2" w:name="_Toc35393621"/>
      <w:bookmarkStart w:id="3" w:name="_Toc35393790"/>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499A6347">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11011526210200033345-XM001</w:t>
      </w:r>
    </w:p>
    <w:p w14:paraId="536CE12E">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2026年大兴区教师进修学校信息化运行维护费采购项目</w:t>
      </w:r>
    </w:p>
    <w:bookmarkEnd w:id="4"/>
    <w:p w14:paraId="0517C537">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490.4764</w:t>
      </w:r>
      <w:r>
        <w:rPr>
          <w:rFonts w:hint="eastAsia" w:ascii="仿宋" w:hAnsi="仿宋" w:eastAsia="仿宋" w:cs="仿宋"/>
          <w:color w:val="auto"/>
          <w:sz w:val="24"/>
          <w:szCs w:val="24"/>
          <w:u w:val="none"/>
          <w:lang w:val="en-US" w:eastAsia="zh-CN"/>
        </w:rPr>
        <w:t>万元</w:t>
      </w:r>
    </w:p>
    <w:p w14:paraId="1D604174">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52C6B0F0">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none"/>
        </w:rPr>
        <w:t>一年</w:t>
      </w:r>
    </w:p>
    <w:p w14:paraId="4277B05A">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28359003"/>
      <w:bookmarkStart w:id="7" w:name="_Toc35393791"/>
      <w:bookmarkStart w:id="8" w:name="_Toc28359080"/>
    </w:p>
    <w:p w14:paraId="0E8872FF">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1D5D7C30">
      <w:pPr>
        <w:pStyle w:val="31"/>
        <w:adjustRightInd w:val="0"/>
        <w:ind w:left="510" w:firstLine="0" w:firstLineChars="0"/>
        <w:jc w:val="left"/>
        <w:textAlignment w:val="baseline"/>
        <w:rPr>
          <w:rFonts w:hint="eastAsia" w:ascii="仿宋" w:hAnsi="仿宋" w:eastAsia="仿宋" w:cs="仿宋"/>
          <w:sz w:val="24"/>
        </w:rPr>
      </w:pPr>
      <w:bookmarkStart w:id="9" w:name="_Toc35393792"/>
      <w:bookmarkStart w:id="10" w:name="_Toc28359004"/>
      <w:bookmarkStart w:id="11" w:name="_Toc35393623"/>
      <w:bookmarkStart w:id="12" w:name="_Toc28359081"/>
      <w:r>
        <w:rPr>
          <w:rFonts w:hint="eastAsia" w:ascii="仿宋" w:hAnsi="仿宋" w:eastAsia="仿宋" w:cs="仿宋"/>
          <w:b/>
          <w:sz w:val="24"/>
        </w:rPr>
        <w:t>第一包：2026年大兴区教育网互联网接入服务项目</w:t>
      </w:r>
    </w:p>
    <w:p w14:paraId="48B1D3D2">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75DFD801">
      <w:pPr>
        <w:spacing w:line="360" w:lineRule="auto"/>
        <w:ind w:firstLine="480" w:firstLineChars="200"/>
        <w:rPr>
          <w:rFonts w:hint="eastAsia" w:ascii="仿宋" w:hAnsi="仿宋" w:eastAsia="仿宋" w:cs="仿宋"/>
          <w:sz w:val="24"/>
        </w:rPr>
      </w:pPr>
      <w:r>
        <w:rPr>
          <w:rFonts w:hint="eastAsia" w:ascii="仿宋" w:hAnsi="仿宋" w:eastAsia="仿宋" w:cs="仿宋"/>
          <w:sz w:val="24"/>
        </w:rPr>
        <w:t>2.落实政府采购政策需满足的资格要求：</w:t>
      </w:r>
    </w:p>
    <w:p w14:paraId="42C35CFE">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66243CF4">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1482F1A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采购。即：即提供的货物全部由符合政策要求的小微企业制造、服务全部由符合政策要求的小微企业承接。</w:t>
      </w:r>
    </w:p>
    <w:p w14:paraId="249CF49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4522C42">
      <w:pPr>
        <w:spacing w:line="360" w:lineRule="auto"/>
        <w:ind w:firstLine="480" w:firstLineChars="200"/>
        <w:rPr>
          <w:rFonts w:hint="eastAsia" w:ascii="仿宋" w:hAnsi="仿宋" w:eastAsia="仿宋" w:cs="仿宋"/>
          <w:color w:val="FF0000"/>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u w:val="single"/>
          <w:lang w:val="en-US" w:eastAsia="zh-CN"/>
        </w:rPr>
        <w:t xml:space="preserve">  无    </w:t>
      </w:r>
      <w:r>
        <w:rPr>
          <w:rFonts w:hint="eastAsia" w:ascii="仿宋" w:hAnsi="仿宋" w:eastAsia="仿宋" w:cs="仿宋"/>
          <w:color w:val="auto"/>
          <w:sz w:val="24"/>
        </w:rPr>
        <w:t>。</w:t>
      </w:r>
    </w:p>
    <w:p w14:paraId="3C38524A">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6737B0C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5F7D8A2D">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■否</w:t>
      </w:r>
    </w:p>
    <w:p w14:paraId="5AC6E2FD">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1A77094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3.2其他特定资格要求：</w:t>
      </w:r>
      <w:r>
        <w:rPr>
          <w:rFonts w:hint="eastAsia" w:ascii="仿宋" w:hAnsi="仿宋" w:eastAsia="仿宋" w:cs="仿宋"/>
          <w:sz w:val="24"/>
          <w:u w:val="single"/>
          <w:lang w:val="en-US" w:eastAsia="zh-CN"/>
        </w:rPr>
        <w:t>中华人民共和国增值电信业务经营许可证</w:t>
      </w:r>
      <w:r>
        <w:rPr>
          <w:rFonts w:hint="eastAsia" w:ascii="仿宋" w:hAnsi="仿宋" w:eastAsia="仿宋" w:cs="仿宋"/>
          <w:sz w:val="24"/>
        </w:rPr>
        <w:t>。</w:t>
      </w:r>
    </w:p>
    <w:p w14:paraId="0BD6BCAE">
      <w:pPr>
        <w:adjustRightInd w:val="0"/>
        <w:ind w:firstLine="482" w:firstLineChars="200"/>
        <w:jc w:val="left"/>
        <w:textAlignment w:val="baseline"/>
        <w:rPr>
          <w:rFonts w:hint="eastAsia" w:ascii="仿宋" w:hAnsi="仿宋" w:eastAsia="仿宋" w:cs="仿宋"/>
          <w:b/>
          <w:bCs/>
          <w:sz w:val="24"/>
        </w:rPr>
      </w:pPr>
      <w:r>
        <w:rPr>
          <w:rFonts w:hint="eastAsia" w:ascii="仿宋" w:hAnsi="仿宋" w:eastAsia="仿宋" w:cs="仿宋"/>
          <w:b/>
          <w:bCs/>
          <w:sz w:val="24"/>
        </w:rPr>
        <w:t>第二包：2026年大兴区教育网光纤租用服务项目</w:t>
      </w:r>
    </w:p>
    <w:p w14:paraId="55AF0A59">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1983261E">
      <w:pPr>
        <w:spacing w:line="360" w:lineRule="auto"/>
        <w:ind w:firstLine="480" w:firstLineChars="200"/>
        <w:rPr>
          <w:rFonts w:hint="eastAsia" w:ascii="仿宋" w:hAnsi="仿宋" w:eastAsia="仿宋" w:cs="仿宋"/>
          <w:sz w:val="24"/>
        </w:rPr>
      </w:pPr>
      <w:r>
        <w:rPr>
          <w:rFonts w:hint="eastAsia" w:ascii="仿宋" w:hAnsi="仿宋" w:eastAsia="仿宋" w:cs="仿宋"/>
          <w:sz w:val="24"/>
        </w:rPr>
        <w:t>2.落实政府采购政策需满足的资格要求：</w:t>
      </w:r>
    </w:p>
    <w:p w14:paraId="7105D62D">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0BD6530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28A1E66C">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采购。即：即提供的货物全部由符合政策要求的中小/小微企业制造、服务全部由符合政策要求的中小/小微企业承接。</w:t>
      </w:r>
    </w:p>
    <w:p w14:paraId="288FD0CE">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904B505">
      <w:pPr>
        <w:spacing w:line="360" w:lineRule="auto"/>
        <w:ind w:firstLine="480" w:firstLineChars="200"/>
        <w:rPr>
          <w:rFonts w:hint="eastAsia" w:ascii="仿宋" w:hAnsi="仿宋" w:eastAsia="仿宋" w:cs="仿宋"/>
          <w:color w:val="FF0000"/>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u w:val="single"/>
          <w:lang w:val="en-US" w:eastAsia="zh-CN"/>
        </w:rPr>
        <w:t xml:space="preserve">  无    </w:t>
      </w:r>
      <w:r>
        <w:rPr>
          <w:rFonts w:hint="eastAsia" w:ascii="仿宋" w:hAnsi="仿宋" w:eastAsia="仿宋" w:cs="仿宋"/>
          <w:color w:val="auto"/>
          <w:sz w:val="24"/>
        </w:rPr>
        <w:t>。</w:t>
      </w:r>
    </w:p>
    <w:p w14:paraId="26371282">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6F6A07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33CAEC05">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■否</w:t>
      </w:r>
    </w:p>
    <w:p w14:paraId="23AD143F">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5D6E7E8F">
      <w:pPr>
        <w:tabs>
          <w:tab w:val="left" w:pos="900"/>
          <w:tab w:val="left" w:pos="1134"/>
          <w:tab w:val="left" w:pos="1589"/>
          <w:tab w:val="left" w:pos="5521"/>
        </w:tabs>
        <w:snapToGrid w:val="0"/>
        <w:spacing w:line="360" w:lineRule="auto"/>
        <w:ind w:left="479" w:leftChars="228"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3.2 本项目是否接受分支机构参与投标：</w:t>
      </w:r>
      <w:r>
        <w:rPr>
          <w:rFonts w:hint="eastAsia" w:ascii="仿宋" w:hAnsi="仿宋" w:eastAsia="仿宋" w:cs="仿宋"/>
          <w:sz w:val="24"/>
        </w:rPr>
        <w:t>■</w:t>
      </w:r>
      <w:r>
        <w:rPr>
          <w:rFonts w:hint="eastAsia" w:ascii="仿宋" w:hAnsi="仿宋" w:eastAsia="仿宋" w:cs="仿宋"/>
          <w:sz w:val="24"/>
          <w:lang w:val="en-US" w:eastAsia="zh-CN"/>
        </w:rPr>
        <w:t xml:space="preserve">是   </w:t>
      </w:r>
      <w:r>
        <w:rPr>
          <w:rFonts w:hint="eastAsia" w:ascii="仿宋" w:hAnsi="仿宋" w:eastAsia="仿宋" w:cs="仿宋"/>
          <w:sz w:val="24"/>
        </w:rPr>
        <w:t>□</w:t>
      </w:r>
      <w:r>
        <w:rPr>
          <w:rFonts w:hint="eastAsia" w:ascii="仿宋" w:hAnsi="仿宋" w:eastAsia="仿宋" w:cs="仿宋"/>
          <w:sz w:val="24"/>
          <w:lang w:val="en-US" w:eastAsia="zh-CN"/>
        </w:rPr>
        <w:t>否；（仅当项目涉及银行、保险、石油石化、电力、电信等行业有特殊情况的，可以接受分支机构参与）</w:t>
      </w:r>
    </w:p>
    <w:p w14:paraId="3442B5E4">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3</w:t>
      </w:r>
      <w:r>
        <w:rPr>
          <w:rFonts w:hint="eastAsia" w:ascii="仿宋" w:hAnsi="仿宋" w:eastAsia="仿宋" w:cs="仿宋"/>
          <w:sz w:val="24"/>
        </w:rPr>
        <w:t>其他特定资格要求：</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00AA3138">
      <w:pPr>
        <w:adjustRightInd w:val="0"/>
        <w:ind w:firstLine="482" w:firstLineChars="200"/>
        <w:jc w:val="left"/>
        <w:textAlignment w:val="baseline"/>
        <w:rPr>
          <w:rFonts w:hint="eastAsia" w:ascii="仿宋" w:hAnsi="仿宋" w:eastAsia="仿宋" w:cs="仿宋"/>
          <w:sz w:val="24"/>
        </w:rPr>
      </w:pPr>
      <w:r>
        <w:rPr>
          <w:rFonts w:hint="eastAsia" w:ascii="仿宋" w:hAnsi="仿宋" w:eastAsia="仿宋" w:cs="仿宋"/>
          <w:b/>
          <w:bCs/>
          <w:sz w:val="24"/>
        </w:rPr>
        <w:t>第三包：2026年大兴区教育网运维服务项目</w:t>
      </w:r>
    </w:p>
    <w:p w14:paraId="73777707">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1AEFEB8B">
      <w:pPr>
        <w:spacing w:line="360" w:lineRule="auto"/>
        <w:ind w:firstLine="480" w:firstLineChars="200"/>
        <w:rPr>
          <w:rFonts w:hint="eastAsia" w:ascii="仿宋" w:hAnsi="仿宋" w:eastAsia="仿宋" w:cs="仿宋"/>
          <w:sz w:val="24"/>
        </w:rPr>
      </w:pPr>
      <w:r>
        <w:rPr>
          <w:rFonts w:hint="eastAsia" w:ascii="仿宋" w:hAnsi="仿宋" w:eastAsia="仿宋" w:cs="仿宋"/>
          <w:sz w:val="24"/>
        </w:rPr>
        <w:t>2.落实政府采购政策需满足的资格要求：</w:t>
      </w:r>
    </w:p>
    <w:p w14:paraId="0DF1274B">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31F25798">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1CAC147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采购。即：即提供的货物全部由符合政策要求的中小/小微企业制造、服务全部由符合政策要求的中小/小微企业承接。</w:t>
      </w:r>
    </w:p>
    <w:p w14:paraId="51D14BBD">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B8B5DEB">
      <w:pPr>
        <w:spacing w:line="360" w:lineRule="auto"/>
        <w:ind w:firstLine="480" w:firstLineChars="200"/>
        <w:rPr>
          <w:rFonts w:hint="eastAsia" w:ascii="仿宋" w:hAnsi="仿宋" w:eastAsia="仿宋" w:cs="仿宋"/>
          <w:color w:val="FF0000"/>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u w:val="single"/>
          <w:lang w:val="en-US" w:eastAsia="zh-CN"/>
        </w:rPr>
        <w:t xml:space="preserve">  无    </w:t>
      </w:r>
      <w:r>
        <w:rPr>
          <w:rFonts w:hint="eastAsia" w:ascii="仿宋" w:hAnsi="仿宋" w:eastAsia="仿宋" w:cs="仿宋"/>
          <w:color w:val="auto"/>
          <w:sz w:val="24"/>
        </w:rPr>
        <w:t>。</w:t>
      </w:r>
    </w:p>
    <w:p w14:paraId="0A03CB9D">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6AE30F46">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1190575C">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■否</w:t>
      </w:r>
    </w:p>
    <w:p w14:paraId="6D47FDE9">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5F014935">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3.2其他特定资格要求：</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1CF06A46">
      <w:pPr>
        <w:adjustRightInd w:val="0"/>
        <w:ind w:firstLine="482" w:firstLineChars="200"/>
        <w:jc w:val="left"/>
        <w:textAlignment w:val="baseline"/>
        <w:rPr>
          <w:rFonts w:hint="eastAsia" w:ascii="仿宋" w:hAnsi="仿宋" w:eastAsia="仿宋" w:cs="仿宋"/>
          <w:sz w:val="24"/>
        </w:rPr>
      </w:pPr>
      <w:r>
        <w:rPr>
          <w:rFonts w:hint="eastAsia" w:ascii="仿宋" w:hAnsi="仿宋" w:eastAsia="仿宋" w:cs="仿宋"/>
          <w:b/>
          <w:bCs/>
          <w:sz w:val="24"/>
        </w:rPr>
        <w:t>第四包：2026年大兴区教育网安全服务项目</w:t>
      </w:r>
    </w:p>
    <w:p w14:paraId="43AF3E7F">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378A356F">
      <w:pPr>
        <w:spacing w:line="360" w:lineRule="auto"/>
        <w:ind w:firstLine="480" w:firstLineChars="200"/>
        <w:rPr>
          <w:rFonts w:hint="eastAsia" w:ascii="仿宋" w:hAnsi="仿宋" w:eastAsia="仿宋" w:cs="仿宋"/>
          <w:sz w:val="24"/>
        </w:rPr>
      </w:pPr>
      <w:r>
        <w:rPr>
          <w:rFonts w:hint="eastAsia" w:ascii="仿宋" w:hAnsi="仿宋" w:eastAsia="仿宋" w:cs="仿宋"/>
          <w:sz w:val="24"/>
        </w:rPr>
        <w:t>2.落实政府采购政策需满足的资格要求：</w:t>
      </w:r>
    </w:p>
    <w:p w14:paraId="03ED6E21">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5BA0E25E">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24AE6EA4">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采购。即：即提供的货物全部由符合政策要求的小微企业制造、服务全部由符合政策要求的小微企业承接。</w:t>
      </w:r>
    </w:p>
    <w:p w14:paraId="6542361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52F6137">
      <w:pPr>
        <w:spacing w:line="360" w:lineRule="auto"/>
        <w:ind w:firstLine="480" w:firstLineChars="200"/>
        <w:rPr>
          <w:rFonts w:hint="eastAsia" w:ascii="仿宋" w:hAnsi="仿宋" w:eastAsia="仿宋" w:cs="仿宋"/>
          <w:color w:val="FF0000"/>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u w:val="single"/>
          <w:lang w:val="en-US" w:eastAsia="zh-CN"/>
        </w:rPr>
        <w:t xml:space="preserve">  无    </w:t>
      </w:r>
      <w:r>
        <w:rPr>
          <w:rFonts w:hint="eastAsia" w:ascii="仿宋" w:hAnsi="仿宋" w:eastAsia="仿宋" w:cs="仿宋"/>
          <w:color w:val="auto"/>
          <w:sz w:val="24"/>
        </w:rPr>
        <w:t>。</w:t>
      </w:r>
    </w:p>
    <w:p w14:paraId="3419AC1A">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6889C615">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167A6678">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■否</w:t>
      </w:r>
    </w:p>
    <w:p w14:paraId="4988076E">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073AB0C4">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5" w:firstLineChars="173"/>
        <w:textAlignment w:val="auto"/>
        <w:rPr>
          <w:rFonts w:hint="eastAsia" w:ascii="仿宋" w:hAnsi="仿宋" w:eastAsia="仿宋" w:cs="Times New Roman"/>
          <w:color w:val="auto"/>
          <w:sz w:val="24"/>
          <w:szCs w:val="28"/>
          <w:lang w:val="en-US" w:eastAsia="zh-CN"/>
        </w:rPr>
      </w:pPr>
      <w:r>
        <w:rPr>
          <w:rFonts w:hint="eastAsia" w:ascii="仿宋" w:hAnsi="仿宋" w:eastAsia="仿宋" w:cs="仿宋"/>
          <w:sz w:val="24"/>
        </w:rPr>
        <w:t>3.2其他特定资格要求：</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7530A577">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487D4689">
      <w:pPr>
        <w:pStyle w:val="11"/>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2026年7月1日</w:t>
      </w:r>
      <w:r>
        <w:rPr>
          <w:rFonts w:hint="eastAsia" w:ascii="仿宋_GB2312" w:hAnsi="仿宋_GB2312" w:eastAsia="仿宋_GB2312" w:cs="仿宋_GB2312"/>
          <w:color w:val="auto"/>
          <w:w w:val="95"/>
          <w:sz w:val="24"/>
          <w:szCs w:val="24"/>
          <w:highlight w:val="none"/>
          <w:shd w:val="clear"/>
          <w:lang w:val="en-US" w:eastAsia="zh-CN"/>
        </w:rPr>
        <w:t>上午9:30至7月7日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44E92D42">
      <w:pPr>
        <w:pStyle w:val="11"/>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1DA30987">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F40836D">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61A0D9A9">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793"/>
      <w:bookmarkStart w:id="16" w:name="_Toc35393624"/>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6EEA47B0">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7</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23</w:t>
      </w:r>
      <w:r>
        <w:rPr>
          <w:rFonts w:hint="eastAsia" w:ascii="仿宋" w:hAnsi="仿宋" w:eastAsia="仿宋" w:cs="仿宋"/>
          <w:color w:val="auto"/>
          <w:sz w:val="24"/>
          <w:szCs w:val="28"/>
          <w:highlight w:val="none"/>
          <w:lang w:eastAsia="zh-CN"/>
        </w:rPr>
        <w:t>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01C45F39">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7月23日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25EBAC12">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385D05AD">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625"/>
      <w:bookmarkStart w:id="18" w:name="_Toc28359084"/>
      <w:bookmarkStart w:id="19" w:name="_Toc28359007"/>
      <w:bookmarkStart w:id="20" w:name="_Toc35393794"/>
      <w:r>
        <w:rPr>
          <w:rFonts w:hint="eastAsia" w:ascii="仿宋" w:hAnsi="仿宋" w:eastAsia="仿宋" w:cs="Times New Roman"/>
          <w:b w:val="0"/>
          <w:bCs w:val="0"/>
          <w:color w:val="auto"/>
          <w:sz w:val="24"/>
          <w:szCs w:val="28"/>
        </w:rPr>
        <w:t>五、公告期限</w:t>
      </w:r>
      <w:bookmarkEnd w:id="17"/>
      <w:bookmarkEnd w:id="18"/>
      <w:bookmarkEnd w:id="19"/>
      <w:bookmarkEnd w:id="20"/>
    </w:p>
    <w:p w14:paraId="6BAB3D5D">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050C035D">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795"/>
      <w:bookmarkStart w:id="22" w:name="_Toc35393626"/>
      <w:r>
        <w:rPr>
          <w:rFonts w:hint="eastAsia" w:ascii="黑体" w:hAnsi="黑体" w:eastAsia="仿宋" w:cs="宋体"/>
          <w:b w:val="0"/>
          <w:color w:val="auto"/>
          <w:sz w:val="24"/>
          <w:szCs w:val="28"/>
        </w:rPr>
        <w:t>六、其他补充事宜</w:t>
      </w:r>
      <w:bookmarkEnd w:id="21"/>
      <w:bookmarkEnd w:id="22"/>
    </w:p>
    <w:p w14:paraId="1E0E0AA0">
      <w:pPr>
        <w:pStyle w:val="11"/>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767C0C4C">
      <w:pPr>
        <w:pStyle w:val="11"/>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2F6A4B42">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3F3D4504">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492E0CF0">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308F73AB">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08AC688F">
      <w:pPr>
        <w:pStyle w:val="11"/>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46092776">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6FB863A9">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28AE5F1C">
      <w:pPr>
        <w:pStyle w:val="11"/>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0E069CC5">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5BE307CC">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10706A70">
      <w:pPr>
        <w:pStyle w:val="11"/>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63BE48ED">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0C1BFF1B">
      <w:pPr>
        <w:pStyle w:val="11"/>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68E94F54">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023AC148">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1FEE0FC3">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4491B3D8">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5A474FF8">
      <w:pPr>
        <w:pStyle w:val="11"/>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35863FF9">
      <w:pPr>
        <w:pStyle w:val="11"/>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4F83E422">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7月23日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6BA295FD">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35393796"/>
      <w:bookmarkStart w:id="24" w:name="_Toc28359008"/>
      <w:bookmarkStart w:id="25" w:name="_Toc28359085"/>
      <w:bookmarkStart w:id="26" w:name="_Toc35393627"/>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7490EE4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77DCBD4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北京市大兴区教师进修学校</w:t>
      </w:r>
    </w:p>
    <w:p w14:paraId="26AEF0D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地址：北京市大兴区兴华大街三段四号</w:t>
      </w:r>
    </w:p>
    <w:p w14:paraId="56C5FA23">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联系人：王老师</w:t>
      </w:r>
    </w:p>
    <w:p w14:paraId="3F5DF75E">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010-81281010-8008</w:t>
      </w:r>
    </w:p>
    <w:p w14:paraId="5B8C24D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4A5B5274">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4073407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3A455B3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1DFE358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020B25C1">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项目联系人：赵老师</w:t>
      </w:r>
      <w:r>
        <w:rPr>
          <w:rFonts w:hint="eastAsia" w:ascii="仿宋_GB2312" w:hAnsi="仿宋_GB2312" w:eastAsia="仿宋_GB2312" w:cs="仿宋_GB2312"/>
          <w:color w:val="auto"/>
          <w:kern w:val="2"/>
          <w:sz w:val="24"/>
          <w:szCs w:val="24"/>
          <w:lang w:val="en-US" w:eastAsia="zh-CN" w:bidi="ar-SA"/>
        </w:rPr>
        <w:tab/>
      </w:r>
    </w:p>
    <w:p w14:paraId="056433EC">
      <w:pPr>
        <w:pStyle w:val="18"/>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电话：010-69231333转206</w:t>
      </w:r>
    </w:p>
    <w:p w14:paraId="6501F0C1">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7B63F308">
      <w:pPr>
        <w:widowControl/>
        <w:ind w:firstLine="4320" w:firstLineChars="1800"/>
        <w:jc w:val="left"/>
        <w:rPr>
          <w:rFonts w:ascii="仿宋" w:hAnsi="仿宋" w:eastAsia="仿宋"/>
          <w:color w:val="auto"/>
          <w:sz w:val="24"/>
          <w:szCs w:val="28"/>
        </w:rPr>
      </w:pPr>
    </w:p>
    <w:p w14:paraId="53178994">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2816DC5D">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6年6月30日</w:t>
      </w:r>
    </w:p>
    <w:p w14:paraId="5FD7FA3A">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221201AD">
      <w:pPr>
        <w:jc w:val="center"/>
        <w:rPr>
          <w:rFonts w:ascii="黑体" w:hAnsi="宋体" w:eastAsia="黑体" w:cs="宋体"/>
          <w:kern w:val="0"/>
          <w:sz w:val="36"/>
          <w:szCs w:val="36"/>
        </w:rPr>
      </w:pPr>
      <w:r>
        <w:rPr>
          <w:rFonts w:hint="eastAsia" w:ascii="黑体" w:hAnsi="宋体" w:eastAsia="黑体" w:cs="宋体"/>
          <w:kern w:val="0"/>
          <w:sz w:val="36"/>
          <w:szCs w:val="36"/>
        </w:rPr>
        <w:t>采购需求</w:t>
      </w:r>
    </w:p>
    <w:p w14:paraId="7E56A419">
      <w:pPr>
        <w:pStyle w:val="31"/>
        <w:numPr>
          <w:ilvl w:val="0"/>
          <w:numId w:val="3"/>
        </w:numPr>
        <w:adjustRightInd w:val="0"/>
        <w:spacing w:line="360" w:lineRule="atLeast"/>
        <w:ind w:firstLineChars="0"/>
        <w:jc w:val="left"/>
        <w:textAlignment w:val="baseline"/>
        <w:rPr>
          <w:b/>
          <w:sz w:val="24"/>
        </w:rPr>
      </w:pPr>
      <w:r>
        <w:rPr>
          <w:rFonts w:hint="eastAsia"/>
          <w:b/>
          <w:sz w:val="24"/>
        </w:rPr>
        <w:t>采购清单</w:t>
      </w:r>
    </w:p>
    <w:p w14:paraId="79FF8A9D">
      <w:pPr>
        <w:pStyle w:val="31"/>
        <w:adjustRightInd w:val="0"/>
        <w:ind w:left="510" w:firstLine="0" w:firstLineChars="0"/>
        <w:jc w:val="left"/>
        <w:textAlignment w:val="baseline"/>
        <w:rPr>
          <w:rFonts w:ascii="宋体" w:hAnsi="宋体"/>
          <w:b/>
          <w:sz w:val="24"/>
        </w:rPr>
      </w:pPr>
    </w:p>
    <w:p w14:paraId="17654025">
      <w:pPr>
        <w:pStyle w:val="31"/>
        <w:adjustRightInd w:val="0"/>
        <w:ind w:left="510" w:firstLine="0" w:firstLineChars="0"/>
        <w:jc w:val="left"/>
        <w:textAlignment w:val="baseline"/>
        <w:rPr>
          <w:rFonts w:ascii="宋体" w:hAnsi="宋体"/>
          <w:b/>
          <w:sz w:val="24"/>
        </w:rPr>
      </w:pPr>
      <w:r>
        <w:rPr>
          <w:rFonts w:hint="eastAsia" w:ascii="宋体" w:hAnsi="宋体"/>
          <w:b/>
          <w:sz w:val="24"/>
        </w:rPr>
        <w:t>第一包：2026年大兴区教育网互联网接入服务项目</w:t>
      </w:r>
    </w:p>
    <w:tbl>
      <w:tblPr>
        <w:tblStyle w:val="24"/>
        <w:tblW w:w="793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77"/>
        <w:gridCol w:w="1066"/>
        <w:gridCol w:w="993"/>
        <w:gridCol w:w="2693"/>
      </w:tblGrid>
      <w:tr w14:paraId="310F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CE23C5B">
            <w:pPr>
              <w:jc w:val="center"/>
              <w:rPr>
                <w:rFonts w:ascii="宋体" w:hAnsi="宋体"/>
                <w:b/>
                <w:sz w:val="24"/>
              </w:rPr>
            </w:pPr>
            <w:r>
              <w:rPr>
                <w:rFonts w:hint="eastAsia" w:ascii="宋体" w:hAnsi="宋体"/>
                <w:b/>
                <w:sz w:val="24"/>
              </w:rPr>
              <w:t>序号</w:t>
            </w:r>
          </w:p>
        </w:tc>
        <w:tc>
          <w:tcPr>
            <w:tcW w:w="2477" w:type="dxa"/>
            <w:vAlign w:val="center"/>
          </w:tcPr>
          <w:p w14:paraId="6E3250D6">
            <w:pPr>
              <w:jc w:val="center"/>
              <w:rPr>
                <w:rFonts w:ascii="宋体" w:hAnsi="宋体"/>
                <w:b/>
                <w:sz w:val="24"/>
              </w:rPr>
            </w:pPr>
            <w:r>
              <w:rPr>
                <w:rFonts w:hint="eastAsia" w:ascii="宋体" w:hAnsi="宋体"/>
                <w:b/>
                <w:sz w:val="24"/>
              </w:rPr>
              <w:t>货物或服务名称</w:t>
            </w:r>
          </w:p>
        </w:tc>
        <w:tc>
          <w:tcPr>
            <w:tcW w:w="1066" w:type="dxa"/>
            <w:vAlign w:val="center"/>
          </w:tcPr>
          <w:p w14:paraId="1B542385">
            <w:pPr>
              <w:jc w:val="center"/>
              <w:rPr>
                <w:rFonts w:ascii="宋体" w:hAnsi="宋体"/>
                <w:b/>
                <w:sz w:val="24"/>
              </w:rPr>
            </w:pPr>
            <w:r>
              <w:rPr>
                <w:rFonts w:hint="eastAsia" w:ascii="宋体" w:hAnsi="宋体"/>
                <w:b/>
                <w:sz w:val="24"/>
              </w:rPr>
              <w:t>数量</w:t>
            </w:r>
          </w:p>
        </w:tc>
        <w:tc>
          <w:tcPr>
            <w:tcW w:w="993" w:type="dxa"/>
            <w:vAlign w:val="center"/>
          </w:tcPr>
          <w:p w14:paraId="05E36FE0">
            <w:pPr>
              <w:jc w:val="center"/>
              <w:rPr>
                <w:rFonts w:ascii="宋体" w:hAnsi="宋体"/>
                <w:b/>
                <w:sz w:val="24"/>
              </w:rPr>
            </w:pPr>
            <w:r>
              <w:rPr>
                <w:rFonts w:hint="eastAsia" w:ascii="宋体" w:hAnsi="宋体"/>
                <w:b/>
                <w:sz w:val="24"/>
              </w:rPr>
              <w:t>单位</w:t>
            </w:r>
          </w:p>
        </w:tc>
        <w:tc>
          <w:tcPr>
            <w:tcW w:w="2693" w:type="dxa"/>
            <w:vAlign w:val="center"/>
          </w:tcPr>
          <w:p w14:paraId="01478D97">
            <w:pPr>
              <w:jc w:val="center"/>
              <w:rPr>
                <w:rFonts w:ascii="宋体" w:hAnsi="宋体"/>
                <w:b/>
                <w:sz w:val="24"/>
              </w:rPr>
            </w:pPr>
            <w:r>
              <w:rPr>
                <w:rFonts w:hint="eastAsia" w:ascii="宋体" w:hAnsi="宋体"/>
                <w:b/>
                <w:sz w:val="24"/>
              </w:rPr>
              <w:t>基本要求</w:t>
            </w:r>
          </w:p>
        </w:tc>
      </w:tr>
      <w:tr w14:paraId="735F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C1E0E05">
            <w:pPr>
              <w:jc w:val="center"/>
              <w:rPr>
                <w:rFonts w:ascii="宋体" w:hAnsi="宋体"/>
                <w:sz w:val="24"/>
              </w:rPr>
            </w:pPr>
            <w:r>
              <w:rPr>
                <w:rFonts w:hint="eastAsia" w:ascii="宋体" w:hAnsi="宋体"/>
                <w:sz w:val="24"/>
              </w:rPr>
              <w:t>1</w:t>
            </w:r>
          </w:p>
        </w:tc>
        <w:tc>
          <w:tcPr>
            <w:tcW w:w="2477" w:type="dxa"/>
          </w:tcPr>
          <w:p w14:paraId="680CA294">
            <w:pPr>
              <w:rPr>
                <w:rFonts w:ascii="宋体" w:hAnsi="宋体"/>
                <w:sz w:val="24"/>
              </w:rPr>
            </w:pPr>
            <w:r>
              <w:rPr>
                <w:rFonts w:ascii="宋体" w:hAnsi="宋体"/>
                <w:sz w:val="24"/>
              </w:rPr>
              <w:t>2</w:t>
            </w:r>
            <w:r>
              <w:rPr>
                <w:rFonts w:hint="eastAsia" w:ascii="宋体" w:hAnsi="宋体"/>
                <w:sz w:val="24"/>
              </w:rPr>
              <w:t>026年大兴区教师进修学校信息化运行维护费采购项目 第一包：2026年大兴区教育网互联网接入服务</w:t>
            </w:r>
          </w:p>
        </w:tc>
        <w:tc>
          <w:tcPr>
            <w:tcW w:w="1066" w:type="dxa"/>
          </w:tcPr>
          <w:p w14:paraId="47C5F84F">
            <w:pPr>
              <w:jc w:val="center"/>
              <w:rPr>
                <w:rFonts w:ascii="宋体" w:hAnsi="宋体"/>
                <w:sz w:val="24"/>
              </w:rPr>
            </w:pPr>
            <w:r>
              <w:rPr>
                <w:rFonts w:ascii="宋体" w:hAnsi="宋体"/>
                <w:sz w:val="24"/>
              </w:rPr>
              <w:t>12</w:t>
            </w:r>
          </w:p>
        </w:tc>
        <w:tc>
          <w:tcPr>
            <w:tcW w:w="993" w:type="dxa"/>
          </w:tcPr>
          <w:p w14:paraId="10D3C1CC">
            <w:pPr>
              <w:jc w:val="center"/>
              <w:rPr>
                <w:rFonts w:ascii="宋体" w:hAnsi="宋体"/>
                <w:sz w:val="24"/>
              </w:rPr>
            </w:pPr>
            <w:r>
              <w:rPr>
                <w:rFonts w:ascii="宋体" w:hAnsi="宋体"/>
                <w:sz w:val="24"/>
              </w:rPr>
              <w:t>Gbps</w:t>
            </w:r>
          </w:p>
        </w:tc>
        <w:tc>
          <w:tcPr>
            <w:tcW w:w="2693" w:type="dxa"/>
          </w:tcPr>
          <w:p w14:paraId="26BE7372">
            <w:pPr>
              <w:rPr>
                <w:rFonts w:ascii="宋体" w:hAnsi="宋体"/>
                <w:sz w:val="24"/>
              </w:rPr>
            </w:pPr>
            <w:r>
              <w:rPr>
                <w:rFonts w:hint="eastAsia" w:ascii="宋体" w:hAnsi="宋体"/>
                <w:sz w:val="24"/>
              </w:rPr>
              <w:t>保证大兴区教育网互联网出口带宽≥12Gbps，遇到特殊需求，带宽可突发至20Gbps。</w:t>
            </w:r>
          </w:p>
        </w:tc>
      </w:tr>
    </w:tbl>
    <w:p w14:paraId="4DA720F3">
      <w:pPr>
        <w:adjustRightInd w:val="0"/>
        <w:ind w:firstLine="480" w:firstLineChars="200"/>
        <w:jc w:val="left"/>
        <w:textAlignment w:val="baseline"/>
        <w:rPr>
          <w:rFonts w:ascii="宋体" w:hAnsi="宋体"/>
          <w:bCs/>
          <w:sz w:val="24"/>
        </w:rPr>
      </w:pPr>
      <w:r>
        <w:rPr>
          <w:rFonts w:hint="eastAsia" w:ascii="宋体" w:hAnsi="宋体"/>
          <w:bCs/>
          <w:sz w:val="24"/>
        </w:rPr>
        <w:t>项目预算金额：</w:t>
      </w:r>
      <w:r>
        <w:rPr>
          <w:rFonts w:ascii="宋体" w:hAnsi="宋体"/>
          <w:bCs/>
          <w:sz w:val="24"/>
        </w:rPr>
        <w:t>199</w:t>
      </w:r>
      <w:r>
        <w:rPr>
          <w:rFonts w:hint="eastAsia" w:ascii="宋体" w:hAnsi="宋体"/>
          <w:bCs/>
          <w:sz w:val="24"/>
        </w:rPr>
        <w:t>.</w:t>
      </w:r>
      <w:r>
        <w:rPr>
          <w:rFonts w:ascii="宋体" w:hAnsi="宋体"/>
          <w:bCs/>
          <w:sz w:val="24"/>
        </w:rPr>
        <w:t>9992</w:t>
      </w:r>
      <w:r>
        <w:rPr>
          <w:rFonts w:hint="eastAsia" w:ascii="宋体" w:hAnsi="宋体"/>
          <w:bCs/>
          <w:sz w:val="24"/>
        </w:rPr>
        <w:t>万元</w:t>
      </w:r>
    </w:p>
    <w:p w14:paraId="0A613497">
      <w:pPr>
        <w:adjustRightInd w:val="0"/>
        <w:ind w:firstLine="480" w:firstLineChars="200"/>
        <w:jc w:val="left"/>
        <w:textAlignment w:val="baseline"/>
        <w:rPr>
          <w:rFonts w:ascii="宋体" w:hAnsi="宋体"/>
          <w:bCs/>
          <w:sz w:val="24"/>
        </w:rPr>
      </w:pPr>
      <w:r>
        <w:rPr>
          <w:rFonts w:hint="eastAsia" w:ascii="宋体" w:hAnsi="宋体"/>
          <w:bCs/>
          <w:sz w:val="24"/>
        </w:rPr>
        <w:t>合同履行期限：一年</w:t>
      </w:r>
    </w:p>
    <w:p w14:paraId="6D63245E">
      <w:pPr>
        <w:adjustRightInd w:val="0"/>
        <w:ind w:firstLine="480" w:firstLineChars="200"/>
        <w:jc w:val="left"/>
        <w:textAlignment w:val="baseline"/>
        <w:rPr>
          <w:rFonts w:ascii="宋体" w:hAnsi="宋体"/>
          <w:bCs/>
          <w:sz w:val="24"/>
        </w:rPr>
      </w:pPr>
    </w:p>
    <w:p w14:paraId="56CC43D7">
      <w:pPr>
        <w:adjustRightInd w:val="0"/>
        <w:ind w:firstLine="482" w:firstLineChars="200"/>
        <w:jc w:val="left"/>
        <w:textAlignment w:val="baseline"/>
        <w:rPr>
          <w:rFonts w:ascii="宋体" w:hAnsi="宋体"/>
          <w:b/>
          <w:bCs/>
          <w:sz w:val="24"/>
        </w:rPr>
      </w:pPr>
      <w:r>
        <w:rPr>
          <w:rFonts w:hint="eastAsia" w:ascii="宋体" w:hAnsi="宋体"/>
          <w:b/>
          <w:bCs/>
          <w:sz w:val="24"/>
        </w:rPr>
        <w:t>第二包：2026年大兴区教育网光纤租用服务项目</w:t>
      </w:r>
    </w:p>
    <w:tbl>
      <w:tblPr>
        <w:tblStyle w:val="24"/>
        <w:tblW w:w="4654"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57"/>
        <w:gridCol w:w="709"/>
        <w:gridCol w:w="711"/>
        <w:gridCol w:w="4246"/>
      </w:tblGrid>
      <w:tr w14:paraId="5811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47" w:type="pct"/>
            <w:vAlign w:val="center"/>
          </w:tcPr>
          <w:p w14:paraId="4A1AFC39">
            <w:pPr>
              <w:jc w:val="center"/>
              <w:rPr>
                <w:rFonts w:ascii="宋体" w:hAnsi="宋体"/>
                <w:b/>
                <w:sz w:val="24"/>
              </w:rPr>
            </w:pPr>
            <w:r>
              <w:rPr>
                <w:rFonts w:hint="eastAsia" w:ascii="宋体" w:hAnsi="宋体"/>
                <w:b/>
                <w:sz w:val="24"/>
              </w:rPr>
              <w:t>序号</w:t>
            </w:r>
          </w:p>
        </w:tc>
        <w:tc>
          <w:tcPr>
            <w:tcW w:w="981" w:type="pct"/>
            <w:vAlign w:val="center"/>
          </w:tcPr>
          <w:p w14:paraId="084AFB57">
            <w:pPr>
              <w:jc w:val="center"/>
              <w:rPr>
                <w:rFonts w:ascii="宋体" w:hAnsi="宋体"/>
                <w:b/>
                <w:sz w:val="24"/>
              </w:rPr>
            </w:pPr>
            <w:r>
              <w:rPr>
                <w:rFonts w:hint="eastAsia" w:ascii="宋体" w:hAnsi="宋体"/>
                <w:b/>
                <w:sz w:val="24"/>
              </w:rPr>
              <w:t>货物或服务名称</w:t>
            </w:r>
          </w:p>
        </w:tc>
        <w:tc>
          <w:tcPr>
            <w:tcW w:w="447" w:type="pct"/>
            <w:vAlign w:val="center"/>
          </w:tcPr>
          <w:p w14:paraId="3F98E9E9">
            <w:pPr>
              <w:jc w:val="center"/>
              <w:rPr>
                <w:rFonts w:ascii="宋体" w:hAnsi="宋体"/>
                <w:b/>
                <w:sz w:val="24"/>
              </w:rPr>
            </w:pPr>
            <w:r>
              <w:rPr>
                <w:rFonts w:hint="eastAsia" w:ascii="宋体" w:hAnsi="宋体"/>
                <w:b/>
                <w:sz w:val="24"/>
              </w:rPr>
              <w:t>数量</w:t>
            </w:r>
          </w:p>
        </w:tc>
        <w:tc>
          <w:tcPr>
            <w:tcW w:w="448" w:type="pct"/>
            <w:vAlign w:val="center"/>
          </w:tcPr>
          <w:p w14:paraId="6852570D">
            <w:pPr>
              <w:jc w:val="center"/>
              <w:rPr>
                <w:rFonts w:ascii="宋体" w:hAnsi="宋体"/>
                <w:b/>
                <w:sz w:val="24"/>
              </w:rPr>
            </w:pPr>
            <w:r>
              <w:rPr>
                <w:rFonts w:hint="eastAsia" w:ascii="宋体" w:hAnsi="宋体"/>
                <w:b/>
                <w:sz w:val="24"/>
              </w:rPr>
              <w:t>单位</w:t>
            </w:r>
          </w:p>
        </w:tc>
        <w:tc>
          <w:tcPr>
            <w:tcW w:w="2676" w:type="pct"/>
            <w:vAlign w:val="center"/>
          </w:tcPr>
          <w:p w14:paraId="3E442A21">
            <w:pPr>
              <w:jc w:val="center"/>
              <w:rPr>
                <w:rFonts w:ascii="宋体" w:hAnsi="宋体"/>
                <w:b/>
                <w:sz w:val="24"/>
              </w:rPr>
            </w:pPr>
            <w:r>
              <w:rPr>
                <w:rFonts w:hint="eastAsia" w:ascii="宋体" w:hAnsi="宋体"/>
                <w:b/>
                <w:sz w:val="24"/>
              </w:rPr>
              <w:t>基本要求</w:t>
            </w:r>
          </w:p>
        </w:tc>
      </w:tr>
      <w:tr w14:paraId="7AD9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47" w:type="pct"/>
            <w:vAlign w:val="center"/>
          </w:tcPr>
          <w:p w14:paraId="22FE5C29">
            <w:pPr>
              <w:jc w:val="center"/>
              <w:rPr>
                <w:rFonts w:ascii="宋体" w:hAnsi="宋体"/>
                <w:sz w:val="24"/>
              </w:rPr>
            </w:pPr>
            <w:r>
              <w:rPr>
                <w:rFonts w:hint="eastAsia" w:ascii="宋体" w:hAnsi="宋体"/>
                <w:sz w:val="24"/>
              </w:rPr>
              <w:t>1</w:t>
            </w:r>
          </w:p>
        </w:tc>
        <w:tc>
          <w:tcPr>
            <w:tcW w:w="981" w:type="pct"/>
            <w:vAlign w:val="center"/>
          </w:tcPr>
          <w:p w14:paraId="132261D2">
            <w:pPr>
              <w:jc w:val="left"/>
              <w:rPr>
                <w:rFonts w:ascii="宋体" w:hAnsi="宋体"/>
                <w:sz w:val="24"/>
              </w:rPr>
            </w:pPr>
            <w:r>
              <w:rPr>
                <w:rFonts w:hint="eastAsia" w:ascii="宋体" w:hAnsi="宋体"/>
                <w:sz w:val="24"/>
              </w:rPr>
              <w:t>2026年大兴区教师进修学校信息化运行维护费采购项目 第二包：2026年大兴区教育网光纤租用服务</w:t>
            </w:r>
          </w:p>
        </w:tc>
        <w:tc>
          <w:tcPr>
            <w:tcW w:w="447" w:type="pct"/>
            <w:vAlign w:val="center"/>
          </w:tcPr>
          <w:p w14:paraId="290F6F5C">
            <w:pPr>
              <w:jc w:val="center"/>
              <w:rPr>
                <w:rFonts w:ascii="宋体" w:hAnsi="宋体"/>
                <w:sz w:val="24"/>
              </w:rPr>
            </w:pPr>
            <w:r>
              <w:rPr>
                <w:rFonts w:hint="eastAsia" w:ascii="宋体" w:hAnsi="宋体"/>
                <w:sz w:val="24"/>
              </w:rPr>
              <w:t>272</w:t>
            </w:r>
          </w:p>
        </w:tc>
        <w:tc>
          <w:tcPr>
            <w:tcW w:w="448" w:type="pct"/>
            <w:vAlign w:val="center"/>
          </w:tcPr>
          <w:p w14:paraId="502FED7E">
            <w:pPr>
              <w:jc w:val="center"/>
              <w:rPr>
                <w:rFonts w:ascii="宋体" w:hAnsi="宋体"/>
                <w:sz w:val="24"/>
              </w:rPr>
            </w:pPr>
            <w:r>
              <w:rPr>
                <w:rFonts w:hint="eastAsia" w:ascii="宋体" w:hAnsi="宋体"/>
                <w:sz w:val="24"/>
              </w:rPr>
              <w:t>条</w:t>
            </w:r>
          </w:p>
        </w:tc>
        <w:tc>
          <w:tcPr>
            <w:tcW w:w="2676" w:type="pct"/>
            <w:vAlign w:val="center"/>
          </w:tcPr>
          <w:p w14:paraId="591AF945">
            <w:pPr>
              <w:jc w:val="left"/>
              <w:rPr>
                <w:rFonts w:ascii="宋体" w:hAnsi="宋体"/>
                <w:sz w:val="24"/>
              </w:rPr>
            </w:pPr>
            <w:r>
              <w:rPr>
                <w:rFonts w:hint="eastAsia" w:ascii="宋体" w:hAnsi="宋体"/>
                <w:sz w:val="24"/>
              </w:rPr>
              <w:t>在光纤租用服务期限内，对所提供的光纤接入线路进行维护保障，保障所提供的所有光纤链路运行稳定、高效，满足教育网络数据传输需求，保障服务内容：（1）服务范围内所建设的光纤链路需满足线路建设的国家质量标准；（2）线路质量需满足所有光纤链路运行稳定、满足网络数据传输及平稳运行；（3）线路出现故障，需在故障响应修复时间服务范围内完成修复。</w:t>
            </w:r>
          </w:p>
        </w:tc>
      </w:tr>
    </w:tbl>
    <w:p w14:paraId="7DBF24AE">
      <w:pPr>
        <w:adjustRightInd w:val="0"/>
        <w:ind w:firstLine="480" w:firstLineChars="200"/>
        <w:jc w:val="left"/>
        <w:textAlignment w:val="baseline"/>
        <w:rPr>
          <w:rFonts w:ascii="宋体" w:hAnsi="宋体"/>
          <w:bCs/>
          <w:sz w:val="24"/>
        </w:rPr>
      </w:pPr>
      <w:r>
        <w:rPr>
          <w:rFonts w:hint="eastAsia" w:ascii="宋体" w:hAnsi="宋体"/>
          <w:bCs/>
          <w:sz w:val="24"/>
        </w:rPr>
        <w:t>项目预算金额：</w:t>
      </w:r>
      <w:r>
        <w:rPr>
          <w:rFonts w:ascii="宋体" w:hAnsi="宋体"/>
          <w:bCs/>
          <w:sz w:val="24"/>
        </w:rPr>
        <w:t>103.36</w:t>
      </w:r>
      <w:r>
        <w:rPr>
          <w:rFonts w:hint="eastAsia" w:ascii="宋体" w:hAnsi="宋体"/>
          <w:bCs/>
          <w:sz w:val="24"/>
        </w:rPr>
        <w:t>万元</w:t>
      </w:r>
    </w:p>
    <w:p w14:paraId="6B8EB4B6">
      <w:pPr>
        <w:adjustRightInd w:val="0"/>
        <w:ind w:firstLine="480" w:firstLineChars="200"/>
        <w:jc w:val="left"/>
        <w:textAlignment w:val="baseline"/>
        <w:rPr>
          <w:rFonts w:ascii="宋体" w:hAnsi="宋体"/>
          <w:bCs/>
          <w:sz w:val="24"/>
        </w:rPr>
      </w:pPr>
      <w:r>
        <w:rPr>
          <w:rFonts w:hint="eastAsia" w:ascii="宋体" w:hAnsi="宋体"/>
          <w:bCs/>
          <w:sz w:val="24"/>
        </w:rPr>
        <w:t>合同履行期限：一年</w:t>
      </w:r>
    </w:p>
    <w:p w14:paraId="0C642139">
      <w:pPr>
        <w:adjustRightInd w:val="0"/>
        <w:ind w:firstLine="482" w:firstLineChars="200"/>
        <w:jc w:val="left"/>
        <w:textAlignment w:val="baseline"/>
        <w:rPr>
          <w:rFonts w:ascii="宋体" w:hAnsi="宋体"/>
          <w:b/>
          <w:bCs/>
          <w:sz w:val="24"/>
        </w:rPr>
      </w:pPr>
    </w:p>
    <w:p w14:paraId="7B484007">
      <w:pPr>
        <w:adjustRightInd w:val="0"/>
        <w:ind w:firstLine="482" w:firstLineChars="200"/>
        <w:jc w:val="left"/>
        <w:textAlignment w:val="baseline"/>
        <w:rPr>
          <w:rFonts w:ascii="宋体" w:hAnsi="宋体"/>
          <w:b/>
          <w:bCs/>
          <w:sz w:val="24"/>
        </w:rPr>
      </w:pPr>
      <w:r>
        <w:rPr>
          <w:rFonts w:hint="eastAsia" w:ascii="宋体" w:hAnsi="宋体"/>
          <w:b/>
          <w:bCs/>
          <w:sz w:val="24"/>
        </w:rPr>
        <w:t>第三包：2026年大兴区教育网运维服务项目</w:t>
      </w:r>
    </w:p>
    <w:tbl>
      <w:tblPr>
        <w:tblStyle w:val="24"/>
        <w:tblpPr w:leftFromText="180" w:rightFromText="180" w:vertAnchor="text" w:horzAnchor="page" w:tblpX="2032"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56"/>
        <w:gridCol w:w="5103"/>
        <w:gridCol w:w="992"/>
        <w:gridCol w:w="992"/>
      </w:tblGrid>
      <w:tr w14:paraId="6FCA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856" w:type="dxa"/>
            <w:shd w:val="clear" w:color="auto" w:fill="FFFFFF"/>
            <w:tcMar>
              <w:top w:w="150" w:type="dxa"/>
              <w:left w:w="0" w:type="dxa"/>
              <w:bottom w:w="150" w:type="dxa"/>
              <w:right w:w="240" w:type="dxa"/>
            </w:tcMar>
            <w:vAlign w:val="center"/>
          </w:tcPr>
          <w:p w14:paraId="6DF489D6">
            <w:pPr>
              <w:widowControl/>
              <w:jc w:val="center"/>
              <w:rPr>
                <w:rFonts w:ascii="宋体" w:hAnsi="宋体" w:cs="宋体"/>
                <w:b/>
                <w:bCs/>
                <w:sz w:val="24"/>
              </w:rPr>
            </w:pPr>
            <w:r>
              <w:rPr>
                <w:rFonts w:hint="eastAsia" w:ascii="宋体" w:hAnsi="宋体" w:cs="宋体"/>
                <w:b/>
                <w:bCs/>
                <w:kern w:val="0"/>
                <w:sz w:val="24"/>
                <w:lang w:bidi="ar"/>
              </w:rPr>
              <w:t>序号</w:t>
            </w:r>
          </w:p>
        </w:tc>
        <w:tc>
          <w:tcPr>
            <w:tcW w:w="5103" w:type="dxa"/>
            <w:shd w:val="clear" w:color="auto" w:fill="FFFFFF"/>
            <w:tcMar>
              <w:top w:w="150" w:type="dxa"/>
              <w:left w:w="240" w:type="dxa"/>
              <w:bottom w:w="150" w:type="dxa"/>
              <w:right w:w="240" w:type="dxa"/>
            </w:tcMar>
            <w:vAlign w:val="center"/>
          </w:tcPr>
          <w:p w14:paraId="5958B839">
            <w:pPr>
              <w:widowControl/>
              <w:jc w:val="center"/>
              <w:rPr>
                <w:rFonts w:ascii="宋体" w:hAnsi="宋体" w:cs="宋体"/>
                <w:b/>
                <w:bCs/>
                <w:sz w:val="24"/>
              </w:rPr>
            </w:pPr>
            <w:r>
              <w:rPr>
                <w:rFonts w:hint="eastAsia" w:ascii="宋体" w:hAnsi="宋体" w:cs="宋体"/>
                <w:b/>
                <w:bCs/>
                <w:kern w:val="0"/>
                <w:sz w:val="24"/>
                <w:lang w:bidi="ar"/>
              </w:rPr>
              <w:t>货物或服务名称</w:t>
            </w:r>
          </w:p>
        </w:tc>
        <w:tc>
          <w:tcPr>
            <w:tcW w:w="992" w:type="dxa"/>
            <w:shd w:val="clear" w:color="auto" w:fill="FFFFFF"/>
            <w:tcMar>
              <w:top w:w="150" w:type="dxa"/>
              <w:left w:w="240" w:type="dxa"/>
              <w:bottom w:w="150" w:type="dxa"/>
              <w:right w:w="240" w:type="dxa"/>
            </w:tcMar>
            <w:vAlign w:val="center"/>
          </w:tcPr>
          <w:p w14:paraId="3BA048AF">
            <w:pPr>
              <w:widowControl/>
              <w:jc w:val="left"/>
              <w:rPr>
                <w:rFonts w:ascii="宋体" w:hAnsi="宋体" w:cs="宋体"/>
                <w:b/>
                <w:bCs/>
                <w:sz w:val="24"/>
              </w:rPr>
            </w:pPr>
            <w:r>
              <w:rPr>
                <w:rFonts w:hint="eastAsia" w:ascii="宋体" w:hAnsi="宋体" w:cs="宋体"/>
                <w:b/>
                <w:bCs/>
                <w:kern w:val="0"/>
                <w:sz w:val="24"/>
                <w:lang w:bidi="ar"/>
              </w:rPr>
              <w:t>数量</w:t>
            </w:r>
          </w:p>
        </w:tc>
        <w:tc>
          <w:tcPr>
            <w:tcW w:w="992" w:type="dxa"/>
            <w:shd w:val="clear" w:color="auto" w:fill="FFFFFF"/>
            <w:tcMar>
              <w:top w:w="150" w:type="dxa"/>
              <w:left w:w="240" w:type="dxa"/>
              <w:bottom w:w="150" w:type="dxa"/>
              <w:right w:w="240" w:type="dxa"/>
            </w:tcMar>
            <w:vAlign w:val="center"/>
          </w:tcPr>
          <w:p w14:paraId="3D4A8B2F">
            <w:pPr>
              <w:widowControl/>
              <w:jc w:val="center"/>
              <w:rPr>
                <w:rFonts w:ascii="宋体" w:hAnsi="宋体" w:cs="宋体"/>
                <w:b/>
                <w:bCs/>
                <w:sz w:val="24"/>
              </w:rPr>
            </w:pPr>
            <w:r>
              <w:rPr>
                <w:rFonts w:hint="eastAsia" w:ascii="宋体" w:hAnsi="宋体" w:cs="宋体"/>
                <w:b/>
                <w:bCs/>
                <w:kern w:val="0"/>
                <w:sz w:val="24"/>
                <w:lang w:bidi="ar"/>
              </w:rPr>
              <w:t>单位</w:t>
            </w:r>
          </w:p>
        </w:tc>
      </w:tr>
      <w:tr w14:paraId="23E7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6" w:type="dxa"/>
            <w:shd w:val="clear" w:color="auto" w:fill="FFFFFF"/>
            <w:tcMar>
              <w:top w:w="150" w:type="dxa"/>
              <w:left w:w="0" w:type="dxa"/>
              <w:bottom w:w="150" w:type="dxa"/>
              <w:right w:w="240" w:type="dxa"/>
            </w:tcMar>
            <w:vAlign w:val="center"/>
          </w:tcPr>
          <w:p w14:paraId="41092975">
            <w:pPr>
              <w:widowControl/>
              <w:jc w:val="center"/>
              <w:rPr>
                <w:rFonts w:ascii="宋体" w:hAnsi="宋体" w:cs="宋体"/>
                <w:sz w:val="24"/>
              </w:rPr>
            </w:pPr>
            <w:r>
              <w:rPr>
                <w:rFonts w:hint="eastAsia" w:ascii="宋体" w:hAnsi="宋体" w:cs="宋体"/>
                <w:kern w:val="0"/>
                <w:sz w:val="24"/>
                <w:lang w:bidi="ar"/>
              </w:rPr>
              <w:t>1</w:t>
            </w:r>
          </w:p>
        </w:tc>
        <w:tc>
          <w:tcPr>
            <w:tcW w:w="5103" w:type="dxa"/>
            <w:shd w:val="clear" w:color="auto" w:fill="FFFFFF"/>
            <w:tcMar>
              <w:top w:w="150" w:type="dxa"/>
              <w:left w:w="240" w:type="dxa"/>
              <w:bottom w:w="150" w:type="dxa"/>
              <w:right w:w="240" w:type="dxa"/>
            </w:tcMar>
            <w:vAlign w:val="center"/>
          </w:tcPr>
          <w:p w14:paraId="17884AF1">
            <w:pPr>
              <w:widowControl/>
              <w:jc w:val="left"/>
              <w:rPr>
                <w:rFonts w:ascii="宋体" w:hAnsi="宋体" w:cs="宋体"/>
                <w:sz w:val="24"/>
              </w:rPr>
            </w:pPr>
            <w:r>
              <w:rPr>
                <w:rFonts w:hint="eastAsia" w:ascii="宋体" w:hAnsi="宋体" w:cs="宋体"/>
                <w:bCs/>
                <w:sz w:val="24"/>
              </w:rPr>
              <w:t>2026年大兴区教师进修学校信息化运行维护费采购项目 第三包：2026年大兴区教育网运维服务</w:t>
            </w:r>
          </w:p>
        </w:tc>
        <w:tc>
          <w:tcPr>
            <w:tcW w:w="992" w:type="dxa"/>
            <w:shd w:val="clear" w:color="auto" w:fill="FFFFFF"/>
            <w:tcMar>
              <w:top w:w="150" w:type="dxa"/>
              <w:left w:w="240" w:type="dxa"/>
              <w:bottom w:w="150" w:type="dxa"/>
              <w:right w:w="240" w:type="dxa"/>
            </w:tcMar>
            <w:vAlign w:val="center"/>
          </w:tcPr>
          <w:p w14:paraId="62AFC66E">
            <w:pPr>
              <w:widowControl/>
              <w:jc w:val="center"/>
              <w:rPr>
                <w:rFonts w:ascii="宋体" w:hAnsi="宋体" w:cs="宋体"/>
                <w:sz w:val="24"/>
              </w:rPr>
            </w:pPr>
            <w:r>
              <w:rPr>
                <w:rFonts w:hint="eastAsia" w:ascii="宋体" w:hAnsi="宋体" w:cs="宋体"/>
                <w:kern w:val="0"/>
                <w:sz w:val="24"/>
                <w:lang w:bidi="ar"/>
              </w:rPr>
              <w:t>1</w:t>
            </w:r>
          </w:p>
        </w:tc>
        <w:tc>
          <w:tcPr>
            <w:tcW w:w="992" w:type="dxa"/>
            <w:shd w:val="clear" w:color="auto" w:fill="FFFFFF"/>
            <w:tcMar>
              <w:top w:w="150" w:type="dxa"/>
              <w:left w:w="240" w:type="dxa"/>
              <w:bottom w:w="150" w:type="dxa"/>
              <w:right w:w="240" w:type="dxa"/>
            </w:tcMar>
            <w:vAlign w:val="center"/>
          </w:tcPr>
          <w:p w14:paraId="40735741">
            <w:pPr>
              <w:widowControl/>
              <w:jc w:val="left"/>
              <w:rPr>
                <w:rFonts w:ascii="宋体" w:hAnsi="宋体" w:cs="宋体"/>
                <w:sz w:val="24"/>
              </w:rPr>
            </w:pPr>
            <w:r>
              <w:rPr>
                <w:rFonts w:hint="eastAsia" w:ascii="宋体" w:hAnsi="宋体" w:cs="宋体"/>
                <w:kern w:val="0"/>
                <w:sz w:val="24"/>
                <w:lang w:bidi="ar"/>
              </w:rPr>
              <w:t>项</w:t>
            </w:r>
          </w:p>
        </w:tc>
      </w:tr>
    </w:tbl>
    <w:p w14:paraId="231602BE">
      <w:pPr>
        <w:adjustRightInd w:val="0"/>
        <w:ind w:firstLine="480" w:firstLineChars="200"/>
        <w:jc w:val="left"/>
        <w:textAlignment w:val="baseline"/>
        <w:rPr>
          <w:rFonts w:ascii="宋体" w:hAnsi="宋体"/>
          <w:bCs/>
          <w:sz w:val="24"/>
        </w:rPr>
      </w:pPr>
      <w:r>
        <w:rPr>
          <w:rFonts w:hint="eastAsia" w:ascii="宋体" w:hAnsi="宋体"/>
          <w:bCs/>
          <w:sz w:val="24"/>
        </w:rPr>
        <w:t>项目预算金额：</w:t>
      </w:r>
      <w:r>
        <w:rPr>
          <w:rFonts w:ascii="宋体" w:hAnsi="宋体"/>
          <w:bCs/>
          <w:sz w:val="24"/>
        </w:rPr>
        <w:t>91.6172</w:t>
      </w:r>
      <w:r>
        <w:rPr>
          <w:rFonts w:hint="eastAsia" w:ascii="宋体" w:hAnsi="宋体"/>
          <w:bCs/>
          <w:sz w:val="24"/>
        </w:rPr>
        <w:t>万元</w:t>
      </w:r>
    </w:p>
    <w:p w14:paraId="171A5745">
      <w:pPr>
        <w:adjustRightInd w:val="0"/>
        <w:ind w:firstLine="480" w:firstLineChars="200"/>
        <w:jc w:val="left"/>
        <w:textAlignment w:val="baseline"/>
        <w:rPr>
          <w:rFonts w:ascii="宋体" w:hAnsi="宋体"/>
          <w:bCs/>
          <w:sz w:val="24"/>
        </w:rPr>
      </w:pPr>
      <w:r>
        <w:rPr>
          <w:rFonts w:hint="eastAsia" w:ascii="宋体" w:hAnsi="宋体"/>
          <w:bCs/>
          <w:sz w:val="24"/>
        </w:rPr>
        <w:t>合同履行期限：一年</w:t>
      </w:r>
    </w:p>
    <w:p w14:paraId="56D07FB0">
      <w:pPr>
        <w:adjustRightInd w:val="0"/>
        <w:ind w:firstLine="480" w:firstLineChars="200"/>
        <w:jc w:val="left"/>
        <w:textAlignment w:val="baseline"/>
        <w:rPr>
          <w:rFonts w:ascii="宋体" w:hAnsi="宋体"/>
          <w:bCs/>
          <w:sz w:val="24"/>
        </w:rPr>
      </w:pPr>
    </w:p>
    <w:p w14:paraId="38C1F1BC">
      <w:pPr>
        <w:adjustRightInd w:val="0"/>
        <w:ind w:firstLine="482" w:firstLineChars="200"/>
        <w:jc w:val="left"/>
        <w:textAlignment w:val="baseline"/>
        <w:rPr>
          <w:rFonts w:ascii="宋体" w:hAnsi="宋体"/>
          <w:b/>
          <w:bCs/>
          <w:sz w:val="24"/>
        </w:rPr>
      </w:pPr>
      <w:r>
        <w:rPr>
          <w:rFonts w:hint="eastAsia" w:ascii="宋体" w:hAnsi="宋体"/>
          <w:b/>
          <w:bCs/>
          <w:sz w:val="24"/>
        </w:rPr>
        <w:t>第四包：2026年大兴区教育网安全服务项目</w:t>
      </w:r>
    </w:p>
    <w:tbl>
      <w:tblPr>
        <w:tblStyle w:val="24"/>
        <w:tblW w:w="8063" w:type="dxa"/>
        <w:jc w:val="center"/>
        <w:tblLayout w:type="autofit"/>
        <w:tblCellMar>
          <w:top w:w="0" w:type="dxa"/>
          <w:left w:w="108" w:type="dxa"/>
          <w:bottom w:w="0" w:type="dxa"/>
          <w:right w:w="108" w:type="dxa"/>
        </w:tblCellMar>
      </w:tblPr>
      <w:tblGrid>
        <w:gridCol w:w="1014"/>
        <w:gridCol w:w="4958"/>
        <w:gridCol w:w="992"/>
        <w:gridCol w:w="1099"/>
      </w:tblGrid>
      <w:tr w14:paraId="26FE3FA0">
        <w:tblPrEx>
          <w:tblCellMar>
            <w:top w:w="0" w:type="dxa"/>
            <w:left w:w="108" w:type="dxa"/>
            <w:bottom w:w="0" w:type="dxa"/>
            <w:right w:w="108" w:type="dxa"/>
          </w:tblCellMar>
        </w:tblPrEx>
        <w:trPr>
          <w:trHeight w:val="300"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3A5AE">
            <w:pPr>
              <w:widowControl/>
              <w:jc w:val="center"/>
              <w:textAlignment w:val="bottom"/>
              <w:rPr>
                <w:rFonts w:ascii="宋体" w:hAnsi="宋体" w:cs="宋体"/>
                <w:b/>
                <w:sz w:val="24"/>
              </w:rPr>
            </w:pPr>
            <w:r>
              <w:rPr>
                <w:rFonts w:hint="eastAsia" w:ascii="宋体" w:hAnsi="宋体" w:cs="宋体"/>
                <w:b/>
                <w:kern w:val="0"/>
                <w:sz w:val="24"/>
                <w:lang w:bidi="ar"/>
              </w:rPr>
              <w:t>序号</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7FDBF">
            <w:pPr>
              <w:widowControl/>
              <w:jc w:val="center"/>
              <w:textAlignment w:val="bottom"/>
              <w:rPr>
                <w:rFonts w:ascii="宋体" w:hAnsi="宋体" w:cs="宋体"/>
                <w:b/>
                <w:sz w:val="24"/>
              </w:rPr>
            </w:pPr>
            <w:r>
              <w:rPr>
                <w:rFonts w:hint="eastAsia" w:ascii="宋体" w:hAnsi="宋体" w:cs="宋体"/>
                <w:b/>
                <w:kern w:val="0"/>
                <w:sz w:val="24"/>
                <w:lang w:bidi="ar"/>
              </w:rPr>
              <w:t>货物或服务名称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3B0">
            <w:pPr>
              <w:widowControl/>
              <w:jc w:val="center"/>
              <w:textAlignment w:val="center"/>
              <w:rPr>
                <w:rFonts w:ascii="宋体" w:hAnsi="宋体" w:cs="宋体"/>
                <w:b/>
                <w:sz w:val="24"/>
              </w:rPr>
            </w:pPr>
            <w:r>
              <w:rPr>
                <w:rFonts w:hint="eastAsia" w:ascii="宋体" w:hAnsi="宋体" w:cs="宋体"/>
                <w:b/>
                <w:kern w:val="0"/>
                <w:sz w:val="24"/>
                <w:lang w:bidi="ar"/>
              </w:rPr>
              <w:t>数量</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75D6">
            <w:pPr>
              <w:widowControl/>
              <w:jc w:val="center"/>
              <w:textAlignment w:val="center"/>
              <w:rPr>
                <w:rFonts w:ascii="宋体" w:hAnsi="宋体" w:cs="宋体"/>
                <w:b/>
                <w:sz w:val="24"/>
              </w:rPr>
            </w:pPr>
            <w:r>
              <w:rPr>
                <w:rFonts w:hint="eastAsia" w:ascii="宋体" w:hAnsi="宋体" w:cs="宋体"/>
                <w:b/>
                <w:kern w:val="0"/>
                <w:sz w:val="24"/>
                <w:lang w:bidi="ar"/>
              </w:rPr>
              <w:t>单位</w:t>
            </w:r>
          </w:p>
        </w:tc>
      </w:tr>
      <w:tr w14:paraId="44AF8F61">
        <w:tblPrEx>
          <w:tblCellMar>
            <w:top w:w="0" w:type="dxa"/>
            <w:left w:w="108" w:type="dxa"/>
            <w:bottom w:w="0" w:type="dxa"/>
            <w:right w:w="108" w:type="dxa"/>
          </w:tblCellMar>
        </w:tblPrEx>
        <w:trPr>
          <w:trHeight w:val="260"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AF66">
            <w:pPr>
              <w:widowControl/>
              <w:jc w:val="center"/>
              <w:textAlignment w:val="center"/>
              <w:rPr>
                <w:rFonts w:ascii="宋体" w:hAnsi="宋体" w:cs="宋体"/>
                <w:sz w:val="24"/>
              </w:rPr>
            </w:pPr>
            <w:r>
              <w:rPr>
                <w:rFonts w:hint="eastAsia" w:ascii="宋体" w:hAnsi="宋体" w:cs="宋体"/>
                <w:kern w:val="0"/>
                <w:sz w:val="24"/>
                <w:lang w:bidi="ar"/>
              </w:rPr>
              <w:t>1</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A077">
            <w:pPr>
              <w:widowControl/>
              <w:jc w:val="center"/>
              <w:textAlignment w:val="center"/>
              <w:rPr>
                <w:rFonts w:ascii="宋体" w:hAnsi="宋体" w:cs="宋体"/>
                <w:sz w:val="24"/>
              </w:rPr>
            </w:pPr>
            <w:r>
              <w:rPr>
                <w:rFonts w:hint="eastAsia" w:ascii="宋体" w:hAnsi="宋体" w:cs="宋体"/>
                <w:kern w:val="0"/>
                <w:sz w:val="24"/>
                <w:lang w:bidi="ar"/>
              </w:rPr>
              <w:t>大兴区教育网安全态势感知服务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C8DB">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38F3">
            <w:pPr>
              <w:widowControl/>
              <w:jc w:val="center"/>
              <w:textAlignment w:val="center"/>
              <w:rPr>
                <w:rFonts w:ascii="宋体" w:hAnsi="宋体" w:cs="宋体"/>
                <w:kern w:val="0"/>
                <w:sz w:val="24"/>
                <w:lang w:bidi="ar"/>
              </w:rPr>
            </w:pPr>
            <w:r>
              <w:rPr>
                <w:rFonts w:hint="eastAsia" w:ascii="宋体" w:hAnsi="宋体" w:cs="宋体"/>
                <w:kern w:val="0"/>
                <w:sz w:val="24"/>
                <w:lang w:bidi="ar"/>
              </w:rPr>
              <w:t>项</w:t>
            </w:r>
          </w:p>
        </w:tc>
      </w:tr>
      <w:tr w14:paraId="111116B0">
        <w:tblPrEx>
          <w:tblCellMar>
            <w:top w:w="0" w:type="dxa"/>
            <w:left w:w="108" w:type="dxa"/>
            <w:bottom w:w="0" w:type="dxa"/>
            <w:right w:w="108" w:type="dxa"/>
          </w:tblCellMar>
        </w:tblPrEx>
        <w:trPr>
          <w:trHeight w:val="280"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528F">
            <w:pPr>
              <w:widowControl/>
              <w:jc w:val="center"/>
              <w:textAlignment w:val="center"/>
              <w:rPr>
                <w:rFonts w:ascii="宋体" w:hAnsi="宋体" w:cs="宋体"/>
                <w:sz w:val="24"/>
              </w:rPr>
            </w:pPr>
            <w:r>
              <w:rPr>
                <w:rFonts w:hint="eastAsia" w:ascii="宋体" w:hAnsi="宋体" w:cs="宋体"/>
                <w:kern w:val="0"/>
                <w:sz w:val="24"/>
                <w:lang w:bidi="ar"/>
              </w:rPr>
              <w:t>2</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F504">
            <w:pPr>
              <w:widowControl/>
              <w:jc w:val="center"/>
              <w:textAlignment w:val="center"/>
              <w:rPr>
                <w:rFonts w:ascii="宋体" w:hAnsi="宋体" w:cs="宋体"/>
                <w:sz w:val="24"/>
              </w:rPr>
            </w:pPr>
            <w:r>
              <w:rPr>
                <w:rFonts w:hint="eastAsia" w:ascii="宋体" w:hAnsi="宋体" w:cs="宋体"/>
                <w:kern w:val="0"/>
                <w:sz w:val="24"/>
                <w:lang w:bidi="ar"/>
              </w:rPr>
              <w:t>安全监控漏洞扫描服务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75B7">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D076">
            <w:pPr>
              <w:widowControl/>
              <w:jc w:val="center"/>
              <w:textAlignment w:val="center"/>
              <w:rPr>
                <w:rFonts w:ascii="宋体" w:hAnsi="宋体" w:cs="宋体"/>
                <w:kern w:val="0"/>
                <w:sz w:val="24"/>
                <w:lang w:bidi="ar"/>
              </w:rPr>
            </w:pPr>
            <w:r>
              <w:rPr>
                <w:rFonts w:hint="eastAsia" w:ascii="宋体" w:hAnsi="宋体" w:cs="宋体"/>
                <w:kern w:val="0"/>
                <w:sz w:val="24"/>
                <w:lang w:bidi="ar"/>
              </w:rPr>
              <w:t>项</w:t>
            </w:r>
          </w:p>
        </w:tc>
      </w:tr>
      <w:tr w14:paraId="5591B219">
        <w:tblPrEx>
          <w:tblCellMar>
            <w:top w:w="0" w:type="dxa"/>
            <w:left w:w="108" w:type="dxa"/>
            <w:bottom w:w="0" w:type="dxa"/>
            <w:right w:w="108" w:type="dxa"/>
          </w:tblCellMar>
        </w:tblPrEx>
        <w:trPr>
          <w:trHeight w:val="280"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0CEB">
            <w:pPr>
              <w:widowControl/>
              <w:jc w:val="center"/>
              <w:textAlignment w:val="center"/>
              <w:rPr>
                <w:rFonts w:ascii="宋体" w:hAnsi="宋体" w:cs="宋体"/>
                <w:sz w:val="24"/>
              </w:rPr>
            </w:pPr>
            <w:r>
              <w:rPr>
                <w:rFonts w:hint="eastAsia" w:ascii="宋体" w:hAnsi="宋体" w:cs="宋体"/>
                <w:kern w:val="0"/>
                <w:sz w:val="24"/>
                <w:lang w:bidi="ar"/>
              </w:rPr>
              <w:t>3</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68F1">
            <w:pPr>
              <w:widowControl/>
              <w:jc w:val="center"/>
              <w:textAlignment w:val="center"/>
              <w:rPr>
                <w:rFonts w:ascii="宋体" w:hAnsi="宋体" w:cs="宋体"/>
                <w:sz w:val="24"/>
              </w:rPr>
            </w:pPr>
            <w:r>
              <w:rPr>
                <w:rFonts w:hint="eastAsia" w:ascii="宋体" w:hAnsi="宋体" w:cs="宋体"/>
                <w:kern w:val="0"/>
                <w:sz w:val="24"/>
                <w:lang w:bidi="ar"/>
              </w:rPr>
              <w:t>服务器安全防护服务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A9AA">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9682">
            <w:pPr>
              <w:widowControl/>
              <w:jc w:val="center"/>
              <w:textAlignment w:val="center"/>
              <w:rPr>
                <w:rFonts w:ascii="宋体" w:hAnsi="宋体" w:cs="宋体"/>
                <w:kern w:val="0"/>
                <w:sz w:val="24"/>
                <w:lang w:bidi="ar"/>
              </w:rPr>
            </w:pPr>
            <w:r>
              <w:rPr>
                <w:rFonts w:hint="eastAsia" w:ascii="宋体" w:hAnsi="宋体" w:cs="宋体"/>
                <w:kern w:val="0"/>
                <w:sz w:val="24"/>
                <w:lang w:bidi="ar"/>
              </w:rPr>
              <w:t>项</w:t>
            </w:r>
          </w:p>
        </w:tc>
      </w:tr>
      <w:tr w14:paraId="0327D8EA">
        <w:tblPrEx>
          <w:tblCellMar>
            <w:top w:w="0" w:type="dxa"/>
            <w:left w:w="108" w:type="dxa"/>
            <w:bottom w:w="0" w:type="dxa"/>
            <w:right w:w="108" w:type="dxa"/>
          </w:tblCellMar>
        </w:tblPrEx>
        <w:trPr>
          <w:trHeight w:val="280"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3DC0">
            <w:pPr>
              <w:widowControl/>
              <w:jc w:val="center"/>
              <w:textAlignment w:val="center"/>
              <w:rPr>
                <w:rFonts w:ascii="宋体" w:hAnsi="宋体" w:cs="宋体"/>
                <w:sz w:val="24"/>
              </w:rPr>
            </w:pPr>
            <w:r>
              <w:rPr>
                <w:rFonts w:hint="eastAsia" w:ascii="宋体" w:hAnsi="宋体" w:cs="宋体"/>
                <w:kern w:val="0"/>
                <w:sz w:val="24"/>
                <w:lang w:bidi="ar"/>
              </w:rPr>
              <w:t>4</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D254">
            <w:pPr>
              <w:widowControl/>
              <w:jc w:val="center"/>
              <w:textAlignment w:val="center"/>
              <w:rPr>
                <w:rFonts w:ascii="宋体" w:hAnsi="宋体" w:cs="宋体"/>
                <w:sz w:val="24"/>
              </w:rPr>
            </w:pPr>
            <w:r>
              <w:rPr>
                <w:rFonts w:hint="eastAsia" w:ascii="宋体" w:hAnsi="宋体" w:cs="宋体"/>
                <w:kern w:val="0"/>
                <w:sz w:val="24"/>
                <w:lang w:bidi="ar"/>
              </w:rPr>
              <w:t>上网行为管理服务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C9B8">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4C38">
            <w:pPr>
              <w:widowControl/>
              <w:jc w:val="center"/>
              <w:textAlignment w:val="center"/>
              <w:rPr>
                <w:rFonts w:ascii="宋体" w:hAnsi="宋体" w:cs="宋体"/>
                <w:kern w:val="0"/>
                <w:sz w:val="24"/>
                <w:lang w:bidi="ar"/>
              </w:rPr>
            </w:pPr>
            <w:r>
              <w:rPr>
                <w:rFonts w:hint="eastAsia" w:ascii="宋体" w:hAnsi="宋体" w:cs="宋体"/>
                <w:kern w:val="0"/>
                <w:sz w:val="24"/>
                <w:lang w:bidi="ar"/>
              </w:rPr>
              <w:t>项</w:t>
            </w:r>
          </w:p>
        </w:tc>
      </w:tr>
      <w:tr w14:paraId="3814018B">
        <w:tblPrEx>
          <w:tblCellMar>
            <w:top w:w="0" w:type="dxa"/>
            <w:left w:w="108" w:type="dxa"/>
            <w:bottom w:w="0" w:type="dxa"/>
            <w:right w:w="108" w:type="dxa"/>
          </w:tblCellMar>
        </w:tblPrEx>
        <w:trPr>
          <w:trHeight w:val="280"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30F2">
            <w:pPr>
              <w:widowControl/>
              <w:jc w:val="center"/>
              <w:textAlignment w:val="center"/>
              <w:rPr>
                <w:rFonts w:ascii="宋体" w:hAnsi="宋体" w:cs="宋体"/>
                <w:sz w:val="24"/>
              </w:rPr>
            </w:pPr>
            <w:r>
              <w:rPr>
                <w:rFonts w:hint="eastAsia" w:ascii="宋体" w:hAnsi="宋体" w:cs="宋体"/>
                <w:kern w:val="0"/>
                <w:sz w:val="24"/>
                <w:lang w:bidi="ar"/>
              </w:rPr>
              <w:t>5</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86A4">
            <w:pPr>
              <w:widowControl/>
              <w:jc w:val="center"/>
              <w:textAlignment w:val="center"/>
              <w:rPr>
                <w:rFonts w:ascii="宋体" w:hAnsi="宋体" w:cs="宋体"/>
                <w:sz w:val="24"/>
              </w:rPr>
            </w:pPr>
            <w:r>
              <w:rPr>
                <w:rFonts w:hint="eastAsia" w:ascii="宋体" w:hAnsi="宋体" w:cs="宋体"/>
                <w:kern w:val="0"/>
                <w:sz w:val="24"/>
                <w:lang w:bidi="ar"/>
              </w:rPr>
              <w:t>日志审计服务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FA13">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8319">
            <w:pPr>
              <w:widowControl/>
              <w:jc w:val="center"/>
              <w:textAlignment w:val="center"/>
              <w:rPr>
                <w:rFonts w:ascii="宋体" w:hAnsi="宋体" w:cs="宋体"/>
                <w:kern w:val="0"/>
                <w:sz w:val="24"/>
                <w:lang w:bidi="ar"/>
              </w:rPr>
            </w:pPr>
            <w:r>
              <w:rPr>
                <w:rFonts w:hint="eastAsia" w:ascii="宋体" w:hAnsi="宋体" w:cs="宋体"/>
                <w:kern w:val="0"/>
                <w:sz w:val="24"/>
                <w:lang w:bidi="ar"/>
              </w:rPr>
              <w:t>项</w:t>
            </w:r>
          </w:p>
        </w:tc>
      </w:tr>
      <w:tr w14:paraId="66F18F0D">
        <w:tblPrEx>
          <w:tblCellMar>
            <w:top w:w="0" w:type="dxa"/>
            <w:left w:w="108" w:type="dxa"/>
            <w:bottom w:w="0" w:type="dxa"/>
            <w:right w:w="108" w:type="dxa"/>
          </w:tblCellMar>
        </w:tblPrEx>
        <w:trPr>
          <w:trHeight w:val="280"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F275">
            <w:pPr>
              <w:widowControl/>
              <w:jc w:val="center"/>
              <w:textAlignment w:val="center"/>
              <w:rPr>
                <w:rFonts w:ascii="宋体" w:hAnsi="宋体" w:cs="宋体"/>
                <w:sz w:val="24"/>
              </w:rPr>
            </w:pPr>
            <w:r>
              <w:rPr>
                <w:rFonts w:hint="eastAsia" w:ascii="宋体" w:hAnsi="宋体" w:cs="宋体"/>
                <w:kern w:val="0"/>
                <w:sz w:val="24"/>
                <w:lang w:bidi="ar"/>
              </w:rPr>
              <w:t>6</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5ED9">
            <w:pPr>
              <w:widowControl/>
              <w:jc w:val="center"/>
              <w:textAlignment w:val="center"/>
              <w:rPr>
                <w:rFonts w:ascii="宋体" w:hAnsi="宋体" w:cs="宋体"/>
                <w:sz w:val="24"/>
              </w:rPr>
            </w:pPr>
            <w:r>
              <w:rPr>
                <w:rFonts w:hint="eastAsia" w:ascii="宋体" w:hAnsi="宋体" w:cs="宋体"/>
                <w:kern w:val="0"/>
                <w:sz w:val="24"/>
                <w:lang w:bidi="ar"/>
              </w:rPr>
              <w:t>数据安全服务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9DD9">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0C8">
            <w:pPr>
              <w:widowControl/>
              <w:jc w:val="center"/>
              <w:textAlignment w:val="center"/>
              <w:rPr>
                <w:rFonts w:ascii="宋体" w:hAnsi="宋体" w:cs="宋体"/>
                <w:kern w:val="0"/>
                <w:sz w:val="24"/>
                <w:lang w:bidi="ar"/>
              </w:rPr>
            </w:pPr>
            <w:r>
              <w:rPr>
                <w:rFonts w:hint="eastAsia" w:ascii="宋体" w:hAnsi="宋体" w:cs="宋体"/>
                <w:kern w:val="0"/>
                <w:sz w:val="24"/>
                <w:lang w:bidi="ar"/>
              </w:rPr>
              <w:t>项</w:t>
            </w:r>
          </w:p>
        </w:tc>
      </w:tr>
      <w:tr w14:paraId="7693F0D5">
        <w:tblPrEx>
          <w:tblCellMar>
            <w:top w:w="0" w:type="dxa"/>
            <w:left w:w="108" w:type="dxa"/>
            <w:bottom w:w="0" w:type="dxa"/>
            <w:right w:w="108" w:type="dxa"/>
          </w:tblCellMar>
        </w:tblPrEx>
        <w:trPr>
          <w:trHeight w:val="280"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E0FA">
            <w:pPr>
              <w:widowControl/>
              <w:jc w:val="center"/>
              <w:textAlignment w:val="center"/>
              <w:rPr>
                <w:rFonts w:ascii="宋体" w:hAnsi="宋体" w:cs="宋体"/>
                <w:sz w:val="24"/>
              </w:rPr>
            </w:pPr>
            <w:r>
              <w:rPr>
                <w:rFonts w:hint="eastAsia" w:ascii="宋体" w:hAnsi="宋体" w:cs="宋体"/>
                <w:kern w:val="0"/>
                <w:sz w:val="24"/>
                <w:lang w:bidi="ar"/>
              </w:rPr>
              <w:t>7</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CF4F">
            <w:pPr>
              <w:widowControl/>
              <w:jc w:val="center"/>
              <w:textAlignment w:val="center"/>
              <w:rPr>
                <w:rFonts w:ascii="宋体" w:hAnsi="宋体" w:cs="宋体"/>
                <w:sz w:val="24"/>
              </w:rPr>
            </w:pPr>
            <w:r>
              <w:rPr>
                <w:rFonts w:hint="eastAsia" w:ascii="宋体" w:hAnsi="宋体" w:cs="宋体"/>
                <w:kern w:val="0"/>
                <w:sz w:val="24"/>
                <w:lang w:bidi="ar"/>
              </w:rPr>
              <w:t>安全运营服务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C02D">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33DA">
            <w:pPr>
              <w:widowControl/>
              <w:jc w:val="center"/>
              <w:textAlignment w:val="center"/>
              <w:rPr>
                <w:rFonts w:ascii="宋体" w:hAnsi="宋体" w:cs="宋体"/>
                <w:kern w:val="0"/>
                <w:sz w:val="24"/>
                <w:lang w:bidi="ar"/>
              </w:rPr>
            </w:pPr>
            <w:r>
              <w:rPr>
                <w:rFonts w:hint="eastAsia" w:ascii="宋体" w:hAnsi="宋体" w:cs="宋体"/>
                <w:kern w:val="0"/>
                <w:sz w:val="24"/>
                <w:lang w:bidi="ar"/>
              </w:rPr>
              <w:t>项</w:t>
            </w:r>
          </w:p>
        </w:tc>
      </w:tr>
    </w:tbl>
    <w:p w14:paraId="1C251C56">
      <w:pPr>
        <w:adjustRightInd w:val="0"/>
        <w:ind w:firstLine="480" w:firstLineChars="200"/>
        <w:jc w:val="left"/>
        <w:textAlignment w:val="baseline"/>
        <w:rPr>
          <w:rFonts w:ascii="宋体" w:hAnsi="宋体"/>
          <w:bCs/>
          <w:sz w:val="24"/>
        </w:rPr>
      </w:pPr>
      <w:r>
        <w:rPr>
          <w:rFonts w:hint="eastAsia" w:ascii="宋体" w:hAnsi="宋体"/>
          <w:bCs/>
          <w:sz w:val="24"/>
        </w:rPr>
        <w:t>项目预算金额：</w:t>
      </w:r>
      <w:r>
        <w:rPr>
          <w:rFonts w:ascii="宋体" w:hAnsi="宋体"/>
          <w:bCs/>
          <w:sz w:val="24"/>
        </w:rPr>
        <w:t>95.5</w:t>
      </w:r>
      <w:r>
        <w:rPr>
          <w:rFonts w:hint="eastAsia" w:ascii="宋体" w:hAnsi="宋体"/>
          <w:bCs/>
          <w:sz w:val="24"/>
        </w:rPr>
        <w:t>万元</w:t>
      </w:r>
    </w:p>
    <w:p w14:paraId="53C00F82">
      <w:pPr>
        <w:adjustRightInd w:val="0"/>
        <w:ind w:firstLine="480" w:firstLineChars="200"/>
        <w:jc w:val="left"/>
        <w:textAlignment w:val="baseline"/>
        <w:rPr>
          <w:rFonts w:ascii="宋体" w:hAnsi="宋体"/>
          <w:bCs/>
          <w:sz w:val="24"/>
        </w:rPr>
      </w:pPr>
      <w:r>
        <w:rPr>
          <w:rFonts w:hint="eastAsia" w:ascii="宋体" w:hAnsi="宋体"/>
          <w:bCs/>
          <w:sz w:val="24"/>
        </w:rPr>
        <w:t>合同履行期限：一年</w:t>
      </w:r>
    </w:p>
    <w:p w14:paraId="286B3C85">
      <w:pPr>
        <w:adjustRightInd w:val="0"/>
        <w:ind w:firstLine="480" w:firstLineChars="200"/>
        <w:jc w:val="left"/>
        <w:textAlignment w:val="baseline"/>
        <w:rPr>
          <w:rFonts w:ascii="宋体" w:hAnsi="宋体"/>
          <w:bCs/>
          <w:sz w:val="24"/>
        </w:rPr>
      </w:pPr>
    </w:p>
    <w:p w14:paraId="0182F1D9">
      <w:pPr>
        <w:adjustRightInd w:val="0"/>
        <w:ind w:firstLine="482" w:firstLineChars="200"/>
        <w:jc w:val="left"/>
        <w:textAlignment w:val="baseline"/>
        <w:rPr>
          <w:rFonts w:ascii="宋体" w:hAnsi="宋体"/>
          <w:b/>
          <w:bCs/>
          <w:sz w:val="24"/>
        </w:rPr>
      </w:pPr>
      <w:r>
        <w:rPr>
          <w:rFonts w:hint="eastAsia" w:ascii="宋体" w:hAnsi="宋体"/>
          <w:b/>
          <w:bCs/>
          <w:sz w:val="24"/>
        </w:rPr>
        <w:t>四包项目预算总金额：</w:t>
      </w:r>
      <w:r>
        <w:rPr>
          <w:rFonts w:ascii="宋体" w:hAnsi="宋体"/>
          <w:b/>
          <w:bCs/>
          <w:sz w:val="24"/>
        </w:rPr>
        <w:t>490.4764</w:t>
      </w:r>
      <w:r>
        <w:rPr>
          <w:rFonts w:hint="eastAsia" w:ascii="宋体" w:hAnsi="宋体"/>
          <w:b/>
          <w:bCs/>
          <w:sz w:val="24"/>
        </w:rPr>
        <w:t>万元</w:t>
      </w:r>
    </w:p>
    <w:p w14:paraId="7D024569">
      <w:pPr>
        <w:adjustRightInd w:val="0"/>
        <w:ind w:firstLine="480" w:firstLineChars="200"/>
        <w:jc w:val="left"/>
        <w:textAlignment w:val="baseline"/>
        <w:rPr>
          <w:bCs/>
          <w:sz w:val="24"/>
        </w:rPr>
      </w:pPr>
    </w:p>
    <w:p w14:paraId="62EAE54E">
      <w:pPr>
        <w:pStyle w:val="31"/>
        <w:numPr>
          <w:ilvl w:val="0"/>
          <w:numId w:val="3"/>
        </w:numPr>
        <w:adjustRightInd w:val="0"/>
        <w:spacing w:line="360" w:lineRule="atLeast"/>
        <w:ind w:firstLineChars="0"/>
        <w:jc w:val="left"/>
        <w:textAlignment w:val="baseline"/>
        <w:rPr>
          <w:b/>
          <w:sz w:val="24"/>
        </w:rPr>
      </w:pPr>
      <w:r>
        <w:rPr>
          <w:rFonts w:hint="eastAsia"/>
          <w:b/>
          <w:sz w:val="24"/>
        </w:rPr>
        <w:t>项目背景或简况</w:t>
      </w:r>
    </w:p>
    <w:p w14:paraId="20111CE6">
      <w:pPr>
        <w:adjustRightInd w:val="0"/>
        <w:ind w:left="420" w:leftChars="200" w:firstLine="420"/>
        <w:jc w:val="left"/>
        <w:textAlignment w:val="baseline"/>
        <w:rPr>
          <w:rFonts w:ascii="宋体" w:hAnsi="宋体"/>
          <w:b/>
          <w:sz w:val="24"/>
        </w:rPr>
      </w:pPr>
    </w:p>
    <w:p w14:paraId="3E21DA3E">
      <w:pPr>
        <w:adjustRightInd w:val="0"/>
        <w:ind w:left="420" w:leftChars="200" w:firstLine="420"/>
        <w:jc w:val="left"/>
        <w:textAlignment w:val="baseline"/>
        <w:rPr>
          <w:rFonts w:ascii="宋体" w:hAnsi="宋体"/>
          <w:b/>
          <w:sz w:val="24"/>
        </w:rPr>
      </w:pPr>
      <w:r>
        <w:rPr>
          <w:rFonts w:hint="eastAsia" w:ascii="宋体" w:hAnsi="宋体"/>
          <w:b/>
          <w:sz w:val="24"/>
        </w:rPr>
        <w:t>第一包：2026年大兴区教育网互联网接入服务项目背景</w:t>
      </w:r>
    </w:p>
    <w:p w14:paraId="5692A058">
      <w:pPr>
        <w:adjustRightInd w:val="0"/>
        <w:ind w:left="420" w:leftChars="200" w:firstLine="420"/>
        <w:jc w:val="left"/>
        <w:textAlignment w:val="baseline"/>
        <w:rPr>
          <w:rFonts w:ascii="宋体" w:hAnsi="宋体"/>
          <w:sz w:val="24"/>
        </w:rPr>
      </w:pPr>
      <w:r>
        <w:rPr>
          <w:rFonts w:hint="eastAsia" w:ascii="宋体" w:hAnsi="宋体"/>
          <w:sz w:val="24"/>
        </w:rPr>
        <w:t>为保证大兴区教育网各单位对互联网的顺畅访问、互联网发布信息的网络服务需求，以及北京市考务专网的备用链路服务需求，需要采购相应的互联网网络带宽与考务专网备用链路服务，其中互联网出口带宽服务，保障大兴区教育单位对互联网的顺畅访问；北京市考务专网备用链路服务，保障大兴区中高考考点校考试数据安全、可靠的与北京市考试院实时传输、对接。</w:t>
      </w:r>
    </w:p>
    <w:p w14:paraId="7F6CB7AF">
      <w:pPr>
        <w:adjustRightInd w:val="0"/>
        <w:ind w:left="420" w:leftChars="200" w:firstLine="420"/>
        <w:jc w:val="left"/>
        <w:textAlignment w:val="baseline"/>
        <w:rPr>
          <w:rFonts w:ascii="宋体" w:hAnsi="宋体"/>
          <w:b/>
          <w:sz w:val="24"/>
        </w:rPr>
      </w:pPr>
      <w:r>
        <w:rPr>
          <w:rFonts w:hint="eastAsia" w:ascii="宋体" w:hAnsi="宋体"/>
          <w:b/>
          <w:sz w:val="24"/>
        </w:rPr>
        <w:t>第二包：2026年大兴区教育网光纤租用服务项目背景</w:t>
      </w:r>
    </w:p>
    <w:p w14:paraId="6D4488A9">
      <w:pPr>
        <w:adjustRightInd w:val="0"/>
        <w:ind w:left="420" w:leftChars="200" w:firstLine="420"/>
        <w:jc w:val="left"/>
        <w:textAlignment w:val="baseline"/>
        <w:rPr>
          <w:rFonts w:ascii="宋体" w:hAnsi="宋体"/>
          <w:sz w:val="24"/>
        </w:rPr>
      </w:pPr>
      <w:r>
        <w:rPr>
          <w:rFonts w:hint="eastAsia" w:ascii="宋体" w:hAnsi="宋体"/>
          <w:sz w:val="24"/>
        </w:rPr>
        <w:t>大兴区教育网现有中学、小学、幼儿园、职业学校、成人学校、无学生单位等各类型接入单位272所，各接入单位均通过裸光纤的方式上联到大兴区教育城域骨干网的接入节点。目前大兴区教育城域网骨干网节点之间为万兆光纤、冗余线路互联，千兆光纤到学校（部分学校因学校规模较大及业务量较多，采用万兆到学校，以用户需求为准）。本项目需要供应商光纤租用服务范围内所有光纤链路运行稳定、满足网络数据传输及平稳运行。</w:t>
      </w:r>
    </w:p>
    <w:p w14:paraId="40A941DD">
      <w:pPr>
        <w:adjustRightInd w:val="0"/>
        <w:ind w:left="420" w:leftChars="200" w:firstLine="420"/>
        <w:jc w:val="left"/>
        <w:textAlignment w:val="baseline"/>
        <w:rPr>
          <w:rFonts w:ascii="宋体" w:hAnsi="宋体"/>
          <w:b/>
          <w:sz w:val="24"/>
        </w:rPr>
      </w:pPr>
      <w:r>
        <w:rPr>
          <w:rFonts w:hint="eastAsia" w:ascii="宋体" w:hAnsi="宋体"/>
          <w:b/>
          <w:sz w:val="24"/>
        </w:rPr>
        <w:t>第三包：2026年大兴区教育网运维服务项目背景</w:t>
      </w:r>
    </w:p>
    <w:p w14:paraId="5F7E5AF2">
      <w:pPr>
        <w:adjustRightInd w:val="0"/>
        <w:ind w:left="420" w:leftChars="200" w:firstLine="420"/>
        <w:jc w:val="left"/>
        <w:textAlignment w:val="baseline"/>
        <w:rPr>
          <w:rFonts w:ascii="宋体" w:hAnsi="宋体"/>
          <w:sz w:val="24"/>
        </w:rPr>
      </w:pPr>
      <w:r>
        <w:rPr>
          <w:rFonts w:hint="eastAsia" w:ascii="宋体" w:hAnsi="宋体"/>
          <w:sz w:val="24"/>
        </w:rPr>
        <w:t>大兴区教育数据中心始建于2011年，在2011至2015年期间逐步购置68台物理服务器、2套存储设备、1套虚拟化管理平台、网络设备61台组建成教育数据中心，为全区各教育单位提供了集中统一的基础环境，为各级各类业务系统提供基础网络、服务器、存储等硬件支撑服务。由于大兴区教育数据中心的基础环境、网络、服务器、存储和虚拟化平台都是在2011年至2015年间购置的，硬件设备均已过保，有的已到报废年限（最低使用年限8年可报废），也陆续出现了一些硬件故障，如硬盘、电源、存储卡损坏等，极大影响了各业务系统的稳定运行和数据安全。开展运维服务项目，提高网络和数据中心管理水平，确保大兴区教育网及数据中心稳定运行。</w:t>
      </w:r>
    </w:p>
    <w:p w14:paraId="6D2EF2B7">
      <w:pPr>
        <w:adjustRightInd w:val="0"/>
        <w:ind w:left="420" w:leftChars="200" w:firstLine="420"/>
        <w:jc w:val="left"/>
        <w:textAlignment w:val="baseline"/>
        <w:rPr>
          <w:rFonts w:ascii="宋体" w:hAnsi="宋体"/>
          <w:b/>
          <w:sz w:val="24"/>
        </w:rPr>
      </w:pPr>
      <w:r>
        <w:rPr>
          <w:rFonts w:hint="eastAsia" w:ascii="宋体" w:hAnsi="宋体"/>
          <w:b/>
          <w:sz w:val="24"/>
        </w:rPr>
        <w:t>第四包：2026年大兴区教育网安全服务项目背景</w:t>
      </w:r>
    </w:p>
    <w:p w14:paraId="6FB47C76">
      <w:pPr>
        <w:adjustRightInd w:val="0"/>
        <w:ind w:left="420" w:leftChars="200" w:firstLine="420"/>
        <w:jc w:val="left"/>
        <w:textAlignment w:val="baseline"/>
        <w:rPr>
          <w:rFonts w:ascii="宋体" w:hAnsi="宋体"/>
          <w:sz w:val="24"/>
        </w:rPr>
      </w:pPr>
      <w:r>
        <w:rPr>
          <w:rFonts w:hint="eastAsia" w:ascii="宋体" w:hAnsi="宋体"/>
          <w:sz w:val="24"/>
        </w:rPr>
        <w:t>随着大兴区教育网信息化深入建设，在给学校教学办公等提供全面信息化支持的同时，所面临的信息安全管理挑战也更加严峻，特别是《网络安全法》和《数据安全法》实施以来，教育行业面临的信息安全合规和监管压力极大增强。在国家新型网络空间安全形势和背景下，基于大兴区教育网现有信息安全管理现状及信息化建设情况，按照公安部、教育局等部门的要求,开展网络及信息安全整体保障服务项目，提高大兴区教育系统网络安全和数据安全管理水平，确保大兴区教育信息化业务的安全稳定运行。</w:t>
      </w:r>
    </w:p>
    <w:p w14:paraId="4F654CEA">
      <w:pPr>
        <w:adjustRightInd w:val="0"/>
        <w:ind w:left="420" w:leftChars="200" w:firstLine="420"/>
        <w:jc w:val="left"/>
        <w:textAlignment w:val="baseline"/>
        <w:rPr>
          <w:rFonts w:ascii="宋体" w:hAnsi="宋体"/>
          <w:sz w:val="24"/>
        </w:rPr>
      </w:pPr>
    </w:p>
    <w:p w14:paraId="686BBCD2">
      <w:pPr>
        <w:adjustRightInd w:val="0"/>
        <w:spacing w:line="360" w:lineRule="atLeast"/>
        <w:jc w:val="left"/>
        <w:textAlignment w:val="baseline"/>
        <w:rPr>
          <w:rFonts w:ascii="宋体" w:hAnsi="宋体"/>
          <w:b/>
          <w:sz w:val="24"/>
        </w:rPr>
      </w:pPr>
      <w:r>
        <w:rPr>
          <w:rFonts w:hint="eastAsia" w:ascii="宋体" w:hAnsi="宋体"/>
          <w:b/>
          <w:sz w:val="24"/>
        </w:rPr>
        <w:t>三、技术参数要求（技术指标包括性能、规格、材质等，但不能指定品牌）、服务要求</w:t>
      </w:r>
    </w:p>
    <w:p w14:paraId="3694A4D4">
      <w:pPr>
        <w:adjustRightInd w:val="0"/>
        <w:spacing w:line="360" w:lineRule="atLeast"/>
        <w:ind w:left="420" w:leftChars="200"/>
        <w:jc w:val="left"/>
        <w:textAlignment w:val="baseline"/>
        <w:rPr>
          <w:b/>
          <w:sz w:val="24"/>
        </w:rPr>
      </w:pPr>
    </w:p>
    <w:p w14:paraId="134C8328">
      <w:pPr>
        <w:adjustRightInd w:val="0"/>
        <w:spacing w:line="360" w:lineRule="atLeast"/>
        <w:ind w:left="420" w:leftChars="200"/>
        <w:jc w:val="left"/>
        <w:textAlignment w:val="baseline"/>
        <w:rPr>
          <w:b/>
          <w:sz w:val="24"/>
        </w:rPr>
      </w:pPr>
      <w:r>
        <w:rPr>
          <w:rFonts w:hint="eastAsia"/>
          <w:b/>
          <w:sz w:val="24"/>
        </w:rPr>
        <w:t>第一包：2026年大兴区教育网互联网接入服务项目技术服务要求</w:t>
      </w:r>
    </w:p>
    <w:p w14:paraId="18C87AFF">
      <w:pPr>
        <w:adjustRightInd w:val="0"/>
        <w:spacing w:line="360" w:lineRule="atLeast"/>
        <w:ind w:left="420" w:leftChars="200"/>
        <w:jc w:val="left"/>
        <w:textAlignment w:val="baseline"/>
        <w:rPr>
          <w:sz w:val="24"/>
        </w:rPr>
      </w:pPr>
      <w:r>
        <w:rPr>
          <w:rFonts w:hint="eastAsia"/>
          <w:sz w:val="24"/>
        </w:rPr>
        <w:t>1.</w:t>
      </w:r>
      <w:r>
        <w:rPr>
          <w:rFonts w:hint="eastAsia"/>
          <w:sz w:val="24"/>
        </w:rPr>
        <w:tab/>
      </w:r>
      <w:r>
        <w:rPr>
          <w:rFonts w:hint="eastAsia"/>
          <w:sz w:val="24"/>
        </w:rPr>
        <w:t>保证大兴区教育网互联网出口带宽≥12Gbps，遇到特殊需求，带宽可突发至20Gbps。</w:t>
      </w:r>
    </w:p>
    <w:p w14:paraId="5E233C69">
      <w:pPr>
        <w:adjustRightInd w:val="0"/>
        <w:spacing w:line="360" w:lineRule="atLeast"/>
        <w:ind w:left="420" w:leftChars="200"/>
        <w:jc w:val="left"/>
        <w:textAlignment w:val="baseline"/>
        <w:rPr>
          <w:sz w:val="24"/>
        </w:rPr>
      </w:pPr>
      <w:r>
        <w:rPr>
          <w:rFonts w:hint="eastAsia"/>
          <w:sz w:val="24"/>
        </w:rPr>
        <w:t>2.</w:t>
      </w:r>
      <w:r>
        <w:rPr>
          <w:rFonts w:hint="eastAsia"/>
          <w:sz w:val="24"/>
        </w:rPr>
        <w:tab/>
      </w:r>
      <w:r>
        <w:rPr>
          <w:rFonts w:hint="eastAsia"/>
          <w:sz w:val="24"/>
        </w:rPr>
        <w:t>保证互联网出口网络全年平均可用性不低于99.95%，延迟和抖动不高于20ms。</w:t>
      </w:r>
    </w:p>
    <w:p w14:paraId="08D175B2">
      <w:pPr>
        <w:adjustRightInd w:val="0"/>
        <w:spacing w:line="360" w:lineRule="atLeast"/>
        <w:ind w:left="420" w:leftChars="200"/>
        <w:jc w:val="left"/>
        <w:textAlignment w:val="baseline"/>
        <w:rPr>
          <w:sz w:val="24"/>
        </w:rPr>
      </w:pPr>
      <w:r>
        <w:rPr>
          <w:rFonts w:hint="eastAsia"/>
          <w:sz w:val="24"/>
        </w:rPr>
        <w:t>3.</w:t>
      </w:r>
      <w:r>
        <w:rPr>
          <w:rFonts w:hint="eastAsia"/>
          <w:sz w:val="24"/>
        </w:rPr>
        <w:tab/>
      </w:r>
      <w:r>
        <w:rPr>
          <w:rFonts w:hint="eastAsia"/>
          <w:sz w:val="24"/>
        </w:rPr>
        <w:t>保证出口骨干节点的丢包率不高于0.5%。</w:t>
      </w:r>
    </w:p>
    <w:p w14:paraId="669CD034">
      <w:pPr>
        <w:adjustRightInd w:val="0"/>
        <w:spacing w:line="360" w:lineRule="atLeast"/>
        <w:ind w:left="420" w:leftChars="200"/>
        <w:jc w:val="left"/>
        <w:textAlignment w:val="baseline"/>
        <w:rPr>
          <w:sz w:val="24"/>
        </w:rPr>
      </w:pPr>
      <w:r>
        <w:rPr>
          <w:rFonts w:hint="eastAsia"/>
          <w:sz w:val="24"/>
        </w:rPr>
        <w:t>4.</w:t>
      </w:r>
      <w:r>
        <w:rPr>
          <w:rFonts w:hint="eastAsia"/>
          <w:sz w:val="24"/>
        </w:rPr>
        <w:tab/>
      </w:r>
      <w:r>
        <w:rPr>
          <w:rFonts w:hint="eastAsia"/>
          <w:sz w:val="24"/>
        </w:rPr>
        <w:t>需提供互联网出口带宽流量满足不限时不限速的流量突发。</w:t>
      </w:r>
    </w:p>
    <w:p w14:paraId="28EC50FB">
      <w:pPr>
        <w:adjustRightInd w:val="0"/>
        <w:spacing w:line="360" w:lineRule="atLeast"/>
        <w:ind w:left="420" w:leftChars="200"/>
        <w:jc w:val="left"/>
        <w:textAlignment w:val="baseline"/>
        <w:rPr>
          <w:sz w:val="24"/>
        </w:rPr>
      </w:pPr>
      <w:r>
        <w:rPr>
          <w:rFonts w:hint="eastAsia"/>
          <w:sz w:val="24"/>
        </w:rPr>
        <w:t>5.</w:t>
      </w:r>
      <w:r>
        <w:rPr>
          <w:rFonts w:hint="eastAsia"/>
          <w:sz w:val="24"/>
        </w:rPr>
        <w:tab/>
      </w:r>
      <w:r>
        <w:rPr>
          <w:rFonts w:hint="eastAsia"/>
          <w:sz w:val="24"/>
        </w:rPr>
        <w:t>链路接入要求：提供不同物理路由三链路接入运营商。</w:t>
      </w:r>
    </w:p>
    <w:p w14:paraId="73D959EF">
      <w:pPr>
        <w:adjustRightInd w:val="0"/>
        <w:spacing w:line="360" w:lineRule="atLeast"/>
        <w:ind w:left="420" w:leftChars="200"/>
        <w:jc w:val="left"/>
        <w:textAlignment w:val="baseline"/>
        <w:rPr>
          <w:sz w:val="24"/>
        </w:rPr>
      </w:pPr>
      <w:r>
        <w:rPr>
          <w:rFonts w:hint="eastAsia"/>
          <w:sz w:val="24"/>
        </w:rPr>
        <w:t>6.</w:t>
      </w:r>
      <w:r>
        <w:rPr>
          <w:rFonts w:hint="eastAsia"/>
        </w:rPr>
        <w:t xml:space="preserve"> </w:t>
      </w:r>
      <w:r>
        <w:rPr>
          <w:sz w:val="24"/>
        </w:rPr>
        <w:t xml:space="preserve"> </w:t>
      </w:r>
      <w:r>
        <w:rPr>
          <w:rFonts w:hint="eastAsia"/>
          <w:sz w:val="24"/>
        </w:rPr>
        <w:t>开通时间：合同签订后48小时内完成3条主备链路全部交付使用。</w:t>
      </w:r>
    </w:p>
    <w:p w14:paraId="0CEB6ADA">
      <w:pPr>
        <w:adjustRightInd w:val="0"/>
        <w:spacing w:line="360" w:lineRule="atLeast"/>
        <w:ind w:left="420" w:leftChars="200"/>
        <w:jc w:val="left"/>
        <w:textAlignment w:val="baseline"/>
        <w:rPr>
          <w:sz w:val="24"/>
        </w:rPr>
      </w:pPr>
      <w:r>
        <w:rPr>
          <w:sz w:val="24"/>
        </w:rPr>
        <w:t>7</w:t>
      </w:r>
      <w:r>
        <w:rPr>
          <w:rFonts w:hint="eastAsia"/>
          <w:sz w:val="24"/>
        </w:rPr>
        <w:t>.</w:t>
      </w:r>
      <w:r>
        <w:rPr>
          <w:rFonts w:hint="eastAsia"/>
          <w:sz w:val="24"/>
        </w:rPr>
        <w:tab/>
      </w:r>
      <w:r>
        <w:rPr>
          <w:rFonts w:hint="eastAsia"/>
          <w:sz w:val="24"/>
        </w:rPr>
        <w:t>IP地址要求：提供三线（联通、电信、移动）64C的IPV4以及 /48位IPV6的合法 IP 地址作为终端设备及服务器的 IP 地址使用。</w:t>
      </w:r>
    </w:p>
    <w:p w14:paraId="237385D8">
      <w:pPr>
        <w:adjustRightInd w:val="0"/>
        <w:spacing w:line="360" w:lineRule="atLeast"/>
        <w:ind w:left="420" w:leftChars="200"/>
        <w:jc w:val="left"/>
        <w:textAlignment w:val="baseline"/>
        <w:rPr>
          <w:sz w:val="24"/>
        </w:rPr>
      </w:pPr>
      <w:r>
        <w:rPr>
          <w:rFonts w:hint="eastAsia"/>
          <w:sz w:val="24"/>
        </w:rPr>
        <w:t>8.</w:t>
      </w:r>
      <w:r>
        <w:rPr>
          <w:sz w:val="24"/>
        </w:rPr>
        <w:t xml:space="preserve">  </w:t>
      </w:r>
      <w:r>
        <w:rPr>
          <w:rFonts w:hint="eastAsia"/>
          <w:sz w:val="24"/>
        </w:rPr>
        <w:t>对外服务迁移：因对外服务网站IP地址改变涉及到重新备案、配置变更等工作，会影响对外服务；投标人需提供对外服务迁移措施，保障对外服务的正常使用。</w:t>
      </w:r>
    </w:p>
    <w:p w14:paraId="3E6EF37A">
      <w:pPr>
        <w:adjustRightInd w:val="0"/>
        <w:spacing w:line="360" w:lineRule="atLeast"/>
        <w:ind w:left="420" w:leftChars="200"/>
        <w:jc w:val="left"/>
        <w:textAlignment w:val="baseline"/>
        <w:rPr>
          <w:sz w:val="24"/>
        </w:rPr>
      </w:pPr>
      <w:r>
        <w:rPr>
          <w:sz w:val="24"/>
        </w:rPr>
        <w:t>9</w:t>
      </w:r>
      <w:r>
        <w:rPr>
          <w:rFonts w:hint="eastAsia"/>
          <w:sz w:val="24"/>
        </w:rPr>
        <w:t>.</w:t>
      </w:r>
      <w:r>
        <w:rPr>
          <w:rFonts w:hint="eastAsia"/>
          <w:sz w:val="24"/>
        </w:rPr>
        <w:tab/>
      </w:r>
      <w:r>
        <w:rPr>
          <w:rFonts w:hint="eastAsia"/>
          <w:sz w:val="24"/>
        </w:rPr>
        <w:t>技术服务支持要求：</w:t>
      </w:r>
    </w:p>
    <w:p w14:paraId="417F77B2">
      <w:pPr>
        <w:adjustRightInd w:val="0"/>
        <w:spacing w:line="360" w:lineRule="atLeast"/>
        <w:ind w:left="420" w:leftChars="200"/>
        <w:jc w:val="left"/>
        <w:textAlignment w:val="baseline"/>
        <w:rPr>
          <w:sz w:val="24"/>
        </w:rPr>
      </w:pPr>
      <w:r>
        <w:rPr>
          <w:rFonts w:hint="eastAsia"/>
          <w:sz w:val="24"/>
        </w:rPr>
        <w:t>（1）电话服务支持：提供7×24小时技术支持服务热线，由专业技术支持人员提供技术支持服务。</w:t>
      </w:r>
    </w:p>
    <w:p w14:paraId="521FC27A">
      <w:pPr>
        <w:adjustRightInd w:val="0"/>
        <w:spacing w:line="360" w:lineRule="atLeast"/>
        <w:ind w:left="420" w:leftChars="200"/>
        <w:jc w:val="left"/>
        <w:textAlignment w:val="baseline"/>
        <w:rPr>
          <w:sz w:val="24"/>
        </w:rPr>
      </w:pPr>
      <w:r>
        <w:rPr>
          <w:rFonts w:hint="eastAsia"/>
          <w:sz w:val="24"/>
        </w:rPr>
        <w:t>（2）重大活动技术保障：对于重大重要活动（如国庆、高考、招生报名等），在活动前将进行设备、光缆等设备设施的全方面巡检。在活动期间，将配合甲方要求进行7×24小时现场职守保障。</w:t>
      </w:r>
    </w:p>
    <w:p w14:paraId="2774A1DB">
      <w:pPr>
        <w:adjustRightInd w:val="0"/>
        <w:spacing w:line="360" w:lineRule="atLeast"/>
        <w:ind w:left="420" w:leftChars="200"/>
        <w:jc w:val="left"/>
        <w:textAlignment w:val="baseline"/>
        <w:rPr>
          <w:sz w:val="24"/>
        </w:rPr>
      </w:pPr>
      <w:r>
        <w:rPr>
          <w:rFonts w:hint="eastAsia"/>
          <w:sz w:val="24"/>
        </w:rPr>
        <w:t>（3）故障处理保障：需要具有完整的故障处理标准体系，完整的故障处理流程，故障处理问责制度等相关管理要求；网络故障发生时，应在5分钟内通知甲方相关负责人，并在60分钟内给出故障判断报告，如需现场服务，应在4小时内到达现场，并及时向甲方相关负责人通告故障处理进展情况。</w:t>
      </w:r>
    </w:p>
    <w:p w14:paraId="407218BD">
      <w:pPr>
        <w:adjustRightInd w:val="0"/>
        <w:spacing w:line="360" w:lineRule="atLeast"/>
        <w:ind w:left="420" w:leftChars="200"/>
        <w:jc w:val="left"/>
        <w:textAlignment w:val="baseline"/>
        <w:rPr>
          <w:sz w:val="24"/>
        </w:rPr>
      </w:pPr>
      <w:r>
        <w:rPr>
          <w:rFonts w:hint="eastAsia"/>
          <w:sz w:val="24"/>
        </w:rPr>
        <w:t>（4）运维技术支持：在运维服务期限内，需保障网络365×24小时不间断接入，提供365×24小时网络服务保障。需具有完备的运行维护服务保障制度，保证互联网出口带宽网络的正常运行，如甲方需要，提供网络实时流量分析、通断报警监测等报表，网页方式提供天、周、月的流量图。</w:t>
      </w:r>
    </w:p>
    <w:p w14:paraId="742BDDC1">
      <w:pPr>
        <w:adjustRightInd w:val="0"/>
        <w:spacing w:line="360" w:lineRule="atLeast"/>
        <w:ind w:left="420" w:leftChars="200"/>
        <w:jc w:val="left"/>
        <w:textAlignment w:val="baseline"/>
        <w:rPr>
          <w:sz w:val="24"/>
        </w:rPr>
      </w:pPr>
      <w:r>
        <w:rPr>
          <w:sz w:val="24"/>
        </w:rPr>
        <w:t>10</w:t>
      </w:r>
      <w:r>
        <w:rPr>
          <w:rFonts w:hint="eastAsia"/>
          <w:sz w:val="24"/>
        </w:rPr>
        <w:t>.</w:t>
      </w:r>
      <w:r>
        <w:rPr>
          <w:rFonts w:hint="eastAsia"/>
          <w:sz w:val="24"/>
        </w:rPr>
        <w:tab/>
      </w:r>
      <w:r>
        <w:rPr>
          <w:rFonts w:hint="eastAsia"/>
          <w:sz w:val="24"/>
        </w:rPr>
        <w:t>优化网络平台资源访问需求：为能更好更快的访问北京市教委提供的相关教育平台资源网站，如北京市中小学学籍管理平台、北京市教育公共管理平台、北京市中小学学生卡管理与应用服务平台、北京市中小学健康信息管理系统、北京教育系统卫生与健康管理平台、义务教育入学服务平台、中小学社会大课堂管理监控平台系统、北京市初中学生综合素质平台系统等相关教育应用平台系统，需投标人提供访问以上平台资源优化的方案。</w:t>
      </w:r>
    </w:p>
    <w:p w14:paraId="51E71FCF">
      <w:pPr>
        <w:adjustRightInd w:val="0"/>
        <w:spacing w:line="360" w:lineRule="atLeast"/>
        <w:ind w:left="420" w:leftChars="200"/>
        <w:jc w:val="left"/>
        <w:textAlignment w:val="baseline"/>
        <w:rPr>
          <w:sz w:val="24"/>
        </w:rPr>
      </w:pPr>
      <w:r>
        <w:rPr>
          <w:sz w:val="24"/>
        </w:rPr>
        <w:t>11</w:t>
      </w:r>
      <w:r>
        <w:rPr>
          <w:rFonts w:hint="eastAsia"/>
          <w:sz w:val="24"/>
        </w:rPr>
        <w:t>.</w:t>
      </w:r>
      <w:r>
        <w:rPr>
          <w:rFonts w:hint="eastAsia"/>
          <w:sz w:val="24"/>
        </w:rPr>
        <w:tab/>
      </w:r>
      <w:r>
        <w:rPr>
          <w:rFonts w:hint="eastAsia"/>
          <w:sz w:val="24"/>
        </w:rPr>
        <w:t>主备切换能力: 可实现主线链路与备线链路之间的带宽动态调节，故障时自由切换时间不高于300s。</w:t>
      </w:r>
    </w:p>
    <w:p w14:paraId="2ABC3B37">
      <w:pPr>
        <w:adjustRightInd w:val="0"/>
        <w:spacing w:line="360" w:lineRule="atLeast"/>
        <w:ind w:left="420" w:leftChars="200"/>
        <w:jc w:val="left"/>
        <w:textAlignment w:val="baseline"/>
        <w:rPr>
          <w:sz w:val="24"/>
        </w:rPr>
      </w:pPr>
      <w:r>
        <w:rPr>
          <w:rFonts w:hint="eastAsia"/>
          <w:sz w:val="24"/>
        </w:rPr>
        <w:t>1</w:t>
      </w:r>
      <w:r>
        <w:rPr>
          <w:sz w:val="24"/>
        </w:rPr>
        <w:t>2</w:t>
      </w:r>
      <w:r>
        <w:rPr>
          <w:rFonts w:hint="eastAsia"/>
          <w:sz w:val="24"/>
        </w:rPr>
        <w:t>.</w:t>
      </w:r>
      <w:r>
        <w:rPr>
          <w:rFonts w:hint="eastAsia"/>
          <w:sz w:val="24"/>
        </w:rPr>
        <w:tab/>
      </w:r>
      <w:r>
        <w:rPr>
          <w:rFonts w:hint="eastAsia"/>
          <w:sz w:val="24"/>
        </w:rPr>
        <w:t>应急预案:为了应对特殊时期的网络安全需求，制定详细的应急预案，确保网络系统正常运行。</w:t>
      </w:r>
    </w:p>
    <w:p w14:paraId="12387FDB">
      <w:pPr>
        <w:adjustRightInd w:val="0"/>
        <w:spacing w:line="360" w:lineRule="atLeast"/>
        <w:ind w:left="420" w:leftChars="200"/>
        <w:jc w:val="left"/>
        <w:textAlignment w:val="baseline"/>
        <w:rPr>
          <w:sz w:val="24"/>
        </w:rPr>
      </w:pPr>
      <w:r>
        <w:rPr>
          <w:rFonts w:hint="eastAsia"/>
          <w:sz w:val="24"/>
        </w:rPr>
        <w:t>1</w:t>
      </w:r>
      <w:r>
        <w:rPr>
          <w:sz w:val="24"/>
        </w:rPr>
        <w:t>3</w:t>
      </w:r>
      <w:r>
        <w:rPr>
          <w:rFonts w:hint="eastAsia"/>
          <w:sz w:val="24"/>
        </w:rPr>
        <w:t>.</w:t>
      </w:r>
      <w:r>
        <w:rPr>
          <w:rFonts w:hint="eastAsia"/>
          <w:sz w:val="24"/>
        </w:rPr>
        <w:tab/>
      </w:r>
      <w:r>
        <w:rPr>
          <w:rFonts w:hint="eastAsia"/>
          <w:sz w:val="24"/>
        </w:rPr>
        <w:t>服务团队人员配置：</w:t>
      </w:r>
    </w:p>
    <w:p w14:paraId="1C8DA3FE">
      <w:pPr>
        <w:adjustRightInd w:val="0"/>
        <w:spacing w:line="360" w:lineRule="atLeast"/>
        <w:ind w:left="420" w:leftChars="200"/>
        <w:jc w:val="left"/>
        <w:textAlignment w:val="baseline"/>
        <w:rPr>
          <w:sz w:val="24"/>
        </w:rPr>
      </w:pPr>
      <w:r>
        <w:rPr>
          <w:rFonts w:hint="eastAsia"/>
          <w:sz w:val="24"/>
        </w:rPr>
        <w:t>(1)</w:t>
      </w:r>
      <w:r>
        <w:rPr>
          <w:rFonts w:hint="eastAsia"/>
          <w:sz w:val="24"/>
        </w:rPr>
        <w:tab/>
      </w:r>
      <w:r>
        <w:rPr>
          <w:rFonts w:hint="eastAsia"/>
          <w:sz w:val="24"/>
        </w:rPr>
        <w:t>项目负责人（数量：1人）</w:t>
      </w:r>
    </w:p>
    <w:p w14:paraId="00D8F9EE">
      <w:pPr>
        <w:adjustRightInd w:val="0"/>
        <w:spacing w:line="360" w:lineRule="atLeast"/>
        <w:ind w:left="420" w:leftChars="200"/>
        <w:jc w:val="left"/>
        <w:textAlignment w:val="baseline"/>
        <w:rPr>
          <w:sz w:val="24"/>
        </w:rPr>
      </w:pPr>
      <w:r>
        <w:rPr>
          <w:rFonts w:hint="eastAsia"/>
          <w:sz w:val="24"/>
        </w:rPr>
        <w:t>拥有5年以上互联网接入项目统筹经验，熟悉网络技术。</w:t>
      </w:r>
    </w:p>
    <w:p w14:paraId="1EF8CAD9">
      <w:pPr>
        <w:adjustRightInd w:val="0"/>
        <w:spacing w:line="360" w:lineRule="atLeast"/>
        <w:ind w:left="420" w:leftChars="200"/>
        <w:jc w:val="left"/>
        <w:textAlignment w:val="baseline"/>
        <w:rPr>
          <w:sz w:val="24"/>
        </w:rPr>
      </w:pPr>
      <w:r>
        <w:rPr>
          <w:rFonts w:hint="eastAsia"/>
          <w:sz w:val="24"/>
        </w:rPr>
        <w:t>具备较强的沟通协调能力，能高效管理项目团队并与客户对接。</w:t>
      </w:r>
    </w:p>
    <w:p w14:paraId="498AA0D4">
      <w:pPr>
        <w:adjustRightInd w:val="0"/>
        <w:spacing w:line="360" w:lineRule="atLeast"/>
        <w:ind w:left="420" w:leftChars="200"/>
        <w:jc w:val="left"/>
        <w:textAlignment w:val="baseline"/>
        <w:rPr>
          <w:sz w:val="24"/>
        </w:rPr>
      </w:pPr>
      <w:r>
        <w:rPr>
          <w:rFonts w:hint="eastAsia"/>
          <w:sz w:val="24"/>
        </w:rPr>
        <w:t>(2) 网络安全工程师（数量：2人）</w:t>
      </w:r>
    </w:p>
    <w:p w14:paraId="6648BA9F">
      <w:pPr>
        <w:adjustRightInd w:val="0"/>
        <w:spacing w:line="360" w:lineRule="atLeast"/>
        <w:ind w:left="420" w:leftChars="200"/>
        <w:jc w:val="left"/>
        <w:textAlignment w:val="baseline"/>
        <w:rPr>
          <w:sz w:val="24"/>
        </w:rPr>
      </w:pPr>
      <w:r>
        <w:rPr>
          <w:rFonts w:hint="eastAsia"/>
          <w:sz w:val="24"/>
        </w:rPr>
        <w:t>拥有5年以上互联网行业工作经验，熟悉网络技术。</w:t>
      </w:r>
    </w:p>
    <w:p w14:paraId="0F2C4094">
      <w:pPr>
        <w:adjustRightInd w:val="0"/>
        <w:spacing w:line="360" w:lineRule="atLeast"/>
        <w:ind w:left="420" w:leftChars="200"/>
        <w:jc w:val="left"/>
        <w:textAlignment w:val="baseline"/>
        <w:rPr>
          <w:sz w:val="24"/>
        </w:rPr>
      </w:pPr>
      <w:r>
        <w:rPr>
          <w:rFonts w:hint="eastAsia"/>
          <w:sz w:val="24"/>
        </w:rPr>
        <w:t>熟悉主流网络安全设备（如防火墙、入侵检测系统、VPN设备等）的配置、运维及排障。</w:t>
      </w:r>
    </w:p>
    <w:p w14:paraId="2FB626F0">
      <w:pPr>
        <w:adjustRightInd w:val="0"/>
        <w:spacing w:line="360" w:lineRule="atLeast"/>
        <w:ind w:left="420" w:leftChars="200"/>
        <w:jc w:val="left"/>
        <w:textAlignment w:val="baseline"/>
        <w:rPr>
          <w:sz w:val="24"/>
        </w:rPr>
      </w:pPr>
      <w:r>
        <w:rPr>
          <w:rFonts w:hint="eastAsia"/>
          <w:sz w:val="24"/>
        </w:rPr>
        <w:t>精通网络协议及安全技术，能够开展漏洞扫描、渗透测试及安全加固工作。</w:t>
      </w:r>
    </w:p>
    <w:p w14:paraId="7A008F5D">
      <w:pPr>
        <w:adjustRightInd w:val="0"/>
        <w:spacing w:line="360" w:lineRule="atLeast"/>
        <w:ind w:left="420" w:leftChars="200"/>
        <w:jc w:val="left"/>
        <w:textAlignment w:val="baseline"/>
        <w:rPr>
          <w:sz w:val="24"/>
        </w:rPr>
      </w:pPr>
      <w:r>
        <w:rPr>
          <w:rFonts w:hint="eastAsia"/>
          <w:sz w:val="24"/>
        </w:rPr>
        <w:t>持有CCIE、HCIE或类似认证证书。</w:t>
      </w:r>
    </w:p>
    <w:p w14:paraId="5776214C">
      <w:pPr>
        <w:adjustRightInd w:val="0"/>
        <w:spacing w:line="360" w:lineRule="atLeast"/>
        <w:ind w:left="420" w:leftChars="200"/>
        <w:jc w:val="left"/>
        <w:textAlignment w:val="baseline"/>
        <w:rPr>
          <w:sz w:val="24"/>
        </w:rPr>
      </w:pPr>
      <w:r>
        <w:rPr>
          <w:rFonts w:hint="eastAsia"/>
          <w:sz w:val="24"/>
        </w:rPr>
        <w:t>北京市考务专网备用链路服务要求：</w:t>
      </w:r>
    </w:p>
    <w:p w14:paraId="69E8343B">
      <w:pPr>
        <w:adjustRightInd w:val="0"/>
        <w:spacing w:line="360" w:lineRule="atLeast"/>
        <w:ind w:left="420" w:leftChars="200"/>
        <w:jc w:val="left"/>
        <w:textAlignment w:val="baseline"/>
        <w:rPr>
          <w:sz w:val="24"/>
        </w:rPr>
      </w:pPr>
      <w:r>
        <w:rPr>
          <w:rFonts w:hint="eastAsia"/>
          <w:sz w:val="24"/>
        </w:rPr>
        <w:t>1.</w:t>
      </w:r>
      <w:r>
        <w:rPr>
          <w:rFonts w:hint="eastAsia"/>
          <w:sz w:val="24"/>
        </w:rPr>
        <w:tab/>
      </w:r>
      <w:r>
        <w:rPr>
          <w:rFonts w:hint="eastAsia"/>
          <w:sz w:val="24"/>
        </w:rPr>
        <w:t>保障北京市考务专网备用接入链路，当主线出现中断时可自动切换至备用线路，保证中高考业务数据在北京市考务专网内传输可达北京市考试院。</w:t>
      </w:r>
    </w:p>
    <w:p w14:paraId="74D61BEB">
      <w:pPr>
        <w:adjustRightInd w:val="0"/>
        <w:spacing w:line="360" w:lineRule="atLeast"/>
        <w:ind w:left="420" w:leftChars="200"/>
        <w:jc w:val="left"/>
        <w:textAlignment w:val="baseline"/>
        <w:rPr>
          <w:sz w:val="24"/>
        </w:rPr>
      </w:pPr>
      <w:r>
        <w:rPr>
          <w:rFonts w:hint="eastAsia"/>
          <w:sz w:val="24"/>
        </w:rPr>
        <w:t>2.</w:t>
      </w:r>
      <w:r>
        <w:rPr>
          <w:rFonts w:hint="eastAsia"/>
          <w:sz w:val="24"/>
        </w:rPr>
        <w:tab/>
      </w:r>
      <w:r>
        <w:rPr>
          <w:rFonts w:hint="eastAsia"/>
          <w:sz w:val="24"/>
        </w:rPr>
        <w:t>特殊期间（中高考）网络保障需求：中标人应为该项保障工作，积极组织保障团队，制定保障方案，保障方案中应明确故障抢修时间、备品备件保障措施、人员值守计划、封网措施（中高考期间停止网络割接和升级操作）</w:t>
      </w:r>
    </w:p>
    <w:p w14:paraId="3776EE18">
      <w:pPr>
        <w:adjustRightInd w:val="0"/>
        <w:spacing w:line="360" w:lineRule="atLeast"/>
        <w:ind w:left="420" w:leftChars="200"/>
        <w:jc w:val="left"/>
        <w:textAlignment w:val="baseline"/>
        <w:rPr>
          <w:sz w:val="24"/>
        </w:rPr>
      </w:pPr>
      <w:r>
        <w:rPr>
          <w:rFonts w:hint="eastAsia"/>
          <w:sz w:val="24"/>
        </w:rPr>
        <w:t>等，确保特殊时期网络万无一失。</w:t>
      </w:r>
    </w:p>
    <w:p w14:paraId="1219CCB5">
      <w:pPr>
        <w:adjustRightInd w:val="0"/>
        <w:spacing w:line="360" w:lineRule="atLeast"/>
        <w:ind w:left="420" w:leftChars="200"/>
        <w:jc w:val="left"/>
        <w:textAlignment w:val="baseline"/>
        <w:rPr>
          <w:sz w:val="24"/>
        </w:rPr>
      </w:pPr>
      <w:r>
        <w:rPr>
          <w:rFonts w:hint="eastAsia"/>
          <w:sz w:val="24"/>
        </w:rPr>
        <w:t>其他要求：</w:t>
      </w:r>
    </w:p>
    <w:p w14:paraId="02CEF527">
      <w:pPr>
        <w:adjustRightInd w:val="0"/>
        <w:spacing w:line="360" w:lineRule="atLeast"/>
        <w:ind w:left="420" w:leftChars="200"/>
        <w:jc w:val="left"/>
        <w:textAlignment w:val="baseline"/>
        <w:rPr>
          <w:sz w:val="24"/>
        </w:rPr>
      </w:pPr>
      <w:r>
        <w:rPr>
          <w:rFonts w:hint="eastAsia"/>
          <w:sz w:val="24"/>
        </w:rPr>
        <w:t>1.</w:t>
      </w:r>
      <w:r>
        <w:rPr>
          <w:rFonts w:hint="eastAsia"/>
          <w:sz w:val="24"/>
        </w:rPr>
        <w:tab/>
      </w:r>
      <w:r>
        <w:rPr>
          <w:rFonts w:hint="eastAsia"/>
          <w:sz w:val="24"/>
        </w:rPr>
        <w:t>报价人需提供以下方案：</w:t>
      </w:r>
    </w:p>
    <w:p w14:paraId="589F91E3">
      <w:pPr>
        <w:adjustRightInd w:val="0"/>
        <w:spacing w:line="360" w:lineRule="atLeast"/>
        <w:ind w:left="420" w:leftChars="200"/>
        <w:jc w:val="left"/>
        <w:textAlignment w:val="baseline"/>
        <w:rPr>
          <w:sz w:val="24"/>
        </w:rPr>
      </w:pPr>
      <w:r>
        <w:rPr>
          <w:rFonts w:hint="eastAsia"/>
          <w:sz w:val="24"/>
        </w:rPr>
        <w:t>（1）教育互联网接入服务方案：方案内容应包含互联网带宽；技术服务支持；专线光缆接入；协议技术说明；主备线路切换说明（保证主备链路切换时间）。</w:t>
      </w:r>
    </w:p>
    <w:p w14:paraId="7CAC9E8F">
      <w:pPr>
        <w:adjustRightInd w:val="0"/>
        <w:spacing w:line="360" w:lineRule="atLeast"/>
        <w:ind w:left="420" w:leftChars="200"/>
        <w:jc w:val="left"/>
        <w:textAlignment w:val="baseline"/>
        <w:rPr>
          <w:sz w:val="24"/>
        </w:rPr>
      </w:pPr>
      <w:r>
        <w:rPr>
          <w:rFonts w:hint="eastAsia"/>
          <w:sz w:val="24"/>
        </w:rPr>
        <w:t>（2）考务专网备用链路服务方案：方案内容应包含北京市考务专网情况说明；北京市考务专网备用链路说明；考务专网主备链路切换说明；中高考网络保障工作方案。</w:t>
      </w:r>
    </w:p>
    <w:p w14:paraId="054BD6C7">
      <w:pPr>
        <w:adjustRightInd w:val="0"/>
        <w:spacing w:line="360" w:lineRule="atLeast"/>
        <w:ind w:left="420" w:leftChars="200"/>
        <w:jc w:val="left"/>
        <w:textAlignment w:val="baseline"/>
        <w:rPr>
          <w:sz w:val="24"/>
        </w:rPr>
      </w:pPr>
      <w:r>
        <w:rPr>
          <w:rFonts w:hint="eastAsia"/>
          <w:sz w:val="24"/>
        </w:rPr>
        <w:t>（3）优化网络平台资源方案：方案内容应包含整体方案设计；教育城域网专线接入数量情况；教育城域网专线接入带宽情况；</w:t>
      </w:r>
    </w:p>
    <w:p w14:paraId="497B4977">
      <w:pPr>
        <w:adjustRightInd w:val="0"/>
        <w:spacing w:line="360" w:lineRule="atLeast"/>
        <w:ind w:left="420" w:leftChars="200"/>
        <w:jc w:val="left"/>
        <w:textAlignment w:val="baseline"/>
        <w:rPr>
          <w:sz w:val="24"/>
        </w:rPr>
      </w:pPr>
      <w:r>
        <w:rPr>
          <w:rFonts w:hint="eastAsia"/>
          <w:sz w:val="24"/>
        </w:rPr>
        <w:t>（4）应急预案：方案内容应包含应急人员组织分工；应急事件等级与处理流程；应急物资保障；网络应急处理；线路资源应急处理；重点时期互联网保障应急预案；特殊时期网络应急预案。</w:t>
      </w:r>
    </w:p>
    <w:p w14:paraId="7E026D85">
      <w:pPr>
        <w:adjustRightInd w:val="0"/>
        <w:spacing w:line="360" w:lineRule="atLeast"/>
        <w:ind w:left="420" w:leftChars="200"/>
        <w:jc w:val="left"/>
        <w:textAlignment w:val="baseline"/>
        <w:rPr>
          <w:sz w:val="24"/>
        </w:rPr>
      </w:pPr>
      <w:r>
        <w:rPr>
          <w:rFonts w:hint="eastAsia"/>
          <w:sz w:val="24"/>
        </w:rPr>
        <w:t>（5）网络运维服务方案：方案内容应包含网络运维实施方案；运维技术方案；链路质量监控保障方案；链路报警；故障处理；网络优化升级。</w:t>
      </w:r>
    </w:p>
    <w:p w14:paraId="4912858A">
      <w:pPr>
        <w:adjustRightInd w:val="0"/>
        <w:spacing w:line="360" w:lineRule="atLeast"/>
        <w:ind w:left="420" w:leftChars="200"/>
        <w:jc w:val="left"/>
        <w:textAlignment w:val="baseline"/>
        <w:rPr>
          <w:rFonts w:ascii="宋体" w:hAnsi="宋体"/>
          <w:b/>
          <w:sz w:val="24"/>
        </w:rPr>
      </w:pPr>
    </w:p>
    <w:p w14:paraId="6AD0F5B3">
      <w:pPr>
        <w:adjustRightInd w:val="0"/>
        <w:spacing w:line="360" w:lineRule="atLeast"/>
        <w:ind w:left="420" w:leftChars="200"/>
        <w:jc w:val="left"/>
        <w:textAlignment w:val="baseline"/>
        <w:rPr>
          <w:rFonts w:ascii="宋体" w:hAnsi="宋体"/>
          <w:b/>
          <w:sz w:val="24"/>
        </w:rPr>
      </w:pPr>
      <w:r>
        <w:rPr>
          <w:rFonts w:hint="eastAsia" w:ascii="宋体" w:hAnsi="宋体"/>
          <w:b/>
          <w:sz w:val="24"/>
        </w:rPr>
        <w:t>第二包：2026年大兴区教育网光纤租用服务项目技术服务要求</w:t>
      </w:r>
    </w:p>
    <w:p w14:paraId="7A0EBA81">
      <w:pPr>
        <w:ind w:firstLine="420"/>
        <w:contextualSpacing/>
        <w:rPr>
          <w:rFonts w:ascii="宋体" w:hAnsi="宋体"/>
          <w:sz w:val="24"/>
        </w:rPr>
      </w:pPr>
      <w:r>
        <w:rPr>
          <w:rFonts w:hint="eastAsia" w:ascii="宋体" w:hAnsi="宋体"/>
          <w:sz w:val="24"/>
        </w:rPr>
        <w:t>本次光纤租用服务的服务期限为一年，依照合同约定日期确定开始及结束日期。供应商需在202</w:t>
      </w:r>
      <w:r>
        <w:rPr>
          <w:rFonts w:ascii="宋体" w:hAnsi="宋体"/>
          <w:sz w:val="24"/>
        </w:rPr>
        <w:t>6</w:t>
      </w:r>
      <w:r>
        <w:rPr>
          <w:rFonts w:hint="eastAsia" w:ascii="宋体" w:hAnsi="宋体"/>
          <w:sz w:val="24"/>
        </w:rPr>
        <w:t>年8月31日前，完成大兴区教育网现有中学、小学、幼儿园、职业学校、成人学校、无学生单位等各类型接入单位27</w:t>
      </w:r>
      <w:r>
        <w:rPr>
          <w:rFonts w:ascii="宋体" w:hAnsi="宋体"/>
          <w:sz w:val="24"/>
        </w:rPr>
        <w:t>2</w:t>
      </w:r>
      <w:r>
        <w:rPr>
          <w:rFonts w:hint="eastAsia" w:ascii="宋体" w:hAnsi="宋体"/>
          <w:sz w:val="24"/>
        </w:rPr>
        <w:t>所的光纤链路的建设，保障服务期限内所有光纤链路运行稳定、满足网络数据传输及平稳运行。</w:t>
      </w:r>
    </w:p>
    <w:p w14:paraId="2215D563">
      <w:pPr>
        <w:numPr>
          <w:ilvl w:val="0"/>
          <w:numId w:val="4"/>
        </w:numPr>
        <w:contextualSpacing/>
        <w:rPr>
          <w:rFonts w:ascii="宋体" w:hAnsi="宋体"/>
          <w:sz w:val="24"/>
        </w:rPr>
      </w:pPr>
      <w:r>
        <w:rPr>
          <w:rFonts w:ascii="宋体" w:hAnsi="宋体"/>
          <w:sz w:val="24"/>
        </w:rPr>
        <w:t>基本要求</w:t>
      </w:r>
    </w:p>
    <w:p w14:paraId="3AA7F2FC">
      <w:pPr>
        <w:ind w:firstLine="480" w:firstLineChars="200"/>
        <w:contextualSpacing/>
        <w:rPr>
          <w:rFonts w:ascii="宋体" w:hAnsi="宋体"/>
          <w:sz w:val="24"/>
        </w:rPr>
      </w:pPr>
      <w:r>
        <w:rPr>
          <w:rFonts w:hint="eastAsia" w:ascii="宋体" w:hAnsi="宋体"/>
          <w:sz w:val="24"/>
        </w:rPr>
        <w:t>1</w:t>
      </w:r>
      <w:r>
        <w:rPr>
          <w:rFonts w:ascii="宋体" w:hAnsi="宋体"/>
          <w:sz w:val="24"/>
        </w:rPr>
        <w:t xml:space="preserve">.1 </w:t>
      </w:r>
      <w:r>
        <w:rPr>
          <w:rFonts w:hint="eastAsia" w:ascii="宋体" w:hAnsi="宋体"/>
          <w:sz w:val="24"/>
        </w:rPr>
        <w:t>在光纤租用服务期限内，对所提供的光纤接入线路进行维护保障，保障所提供的所有光纤链路运行稳定、高效，满足教育网络数据传输需求，保障服务内容：（1）服务范围内所建设的光纤链路需满足线路建设的国家质量标准；（2）线路质量需满足所有光纤链路运行稳定、满足网络数据传输及平稳运行；（3）线路出现故障，需在故障响应修复时间服务范围内完成修复。</w:t>
      </w:r>
    </w:p>
    <w:p w14:paraId="582173FA">
      <w:pPr>
        <w:pStyle w:val="23"/>
        <w:ind w:left="0" w:leftChars="0" w:firstLineChars="0"/>
        <w:rPr>
          <w:rFonts w:ascii="宋体" w:hAnsi="宋体"/>
          <w:sz w:val="24"/>
        </w:rPr>
      </w:pPr>
      <w:r>
        <w:rPr>
          <w:rFonts w:hint="eastAsia" w:ascii="宋体" w:hAnsi="宋体"/>
          <w:sz w:val="24"/>
        </w:rPr>
        <w:t>1.2 需执行的国家相关标准、行业标准、地方标准或者其他标准、规范GB/T 51380-2019《宽带光纤接入工程技术标准》、GB/T 15972 系列《光纤总规范》、YD/T979-1998《光纤带技术要求和试验方法》等相关标准。</w:t>
      </w:r>
    </w:p>
    <w:p w14:paraId="166B3423">
      <w:pPr>
        <w:rPr>
          <w:rFonts w:ascii="宋体" w:hAnsi="宋体"/>
          <w:bCs/>
          <w:sz w:val="24"/>
        </w:rPr>
      </w:pPr>
      <w:r>
        <w:rPr>
          <w:rFonts w:hint="eastAsia" w:ascii="宋体" w:hAnsi="宋体"/>
          <w:sz w:val="24"/>
        </w:rPr>
        <w:t>2.</w:t>
      </w:r>
      <w:r>
        <w:rPr>
          <w:rFonts w:hint="eastAsia" w:ascii="宋体" w:hAnsi="宋体"/>
          <w:bCs/>
          <w:sz w:val="24"/>
        </w:rPr>
        <w:t>为落实政府采购政策需满足的要求</w:t>
      </w:r>
    </w:p>
    <w:p w14:paraId="29BBCEED">
      <w:pPr>
        <w:ind w:firstLine="480" w:firstLineChars="200"/>
        <w:rPr>
          <w:rFonts w:ascii="宋体" w:hAnsi="宋体"/>
          <w:bCs/>
          <w:sz w:val="24"/>
        </w:rPr>
      </w:pPr>
      <w:r>
        <w:rPr>
          <w:rFonts w:hint="eastAsia" w:ascii="宋体" w:hAnsi="宋体"/>
          <w:bCs/>
          <w:sz w:val="24"/>
        </w:rPr>
        <w:t>（1）《关于调整优化节能产品、环境标志产品政府采购执行机制的通知》(财库(2019)9 号)；</w:t>
      </w:r>
    </w:p>
    <w:p w14:paraId="24FE1405">
      <w:pPr>
        <w:ind w:firstLine="480" w:firstLineChars="200"/>
        <w:rPr>
          <w:rFonts w:ascii="宋体" w:hAnsi="宋体"/>
          <w:bCs/>
          <w:sz w:val="24"/>
        </w:rPr>
      </w:pPr>
      <w:r>
        <w:rPr>
          <w:rFonts w:hint="eastAsia" w:ascii="宋体" w:hAnsi="宋体"/>
          <w:bCs/>
          <w:sz w:val="24"/>
        </w:rPr>
        <w:t>（2）《中华人民共和国中小企业促进法》；</w:t>
      </w:r>
    </w:p>
    <w:p w14:paraId="4252C6F4">
      <w:pPr>
        <w:ind w:firstLine="480" w:firstLineChars="200"/>
        <w:rPr>
          <w:rFonts w:ascii="宋体" w:hAnsi="宋体"/>
          <w:bCs/>
          <w:sz w:val="24"/>
        </w:rPr>
      </w:pPr>
      <w:r>
        <w:rPr>
          <w:rFonts w:hint="eastAsia" w:ascii="宋体" w:hAnsi="宋体"/>
          <w:bCs/>
          <w:sz w:val="24"/>
        </w:rPr>
        <w:t>（3）《政府采购促进中小企业发展管理办法》（财库[2020]46 号）；</w:t>
      </w:r>
    </w:p>
    <w:p w14:paraId="7CA74EE3">
      <w:pPr>
        <w:ind w:firstLine="480" w:firstLineChars="200"/>
        <w:rPr>
          <w:rFonts w:ascii="宋体" w:hAnsi="宋体"/>
          <w:bCs/>
          <w:sz w:val="24"/>
        </w:rPr>
      </w:pPr>
      <w:r>
        <w:rPr>
          <w:rFonts w:hint="eastAsia" w:ascii="宋体" w:hAnsi="宋体"/>
          <w:bCs/>
          <w:sz w:val="24"/>
        </w:rPr>
        <w:t>（4）《关于进一步加大政府采购支持中小企业力度的 通知》(财库 (2022.19 号)；</w:t>
      </w:r>
    </w:p>
    <w:p w14:paraId="398A48E9">
      <w:pPr>
        <w:ind w:firstLine="480" w:firstLineChars="200"/>
        <w:rPr>
          <w:rFonts w:ascii="宋体" w:hAnsi="宋体"/>
          <w:bCs/>
          <w:sz w:val="24"/>
        </w:rPr>
      </w:pPr>
      <w:r>
        <w:rPr>
          <w:rFonts w:hint="eastAsia" w:ascii="宋体" w:hAnsi="宋体"/>
          <w:bCs/>
          <w:sz w:val="24"/>
        </w:rPr>
        <w:t>（5）《财政部、司法部关于政府采购支持监狱企业发展有关问题的通知》（财库[2014]68 号）；</w:t>
      </w:r>
    </w:p>
    <w:p w14:paraId="091BE299">
      <w:pPr>
        <w:ind w:firstLine="480" w:firstLineChars="200"/>
        <w:rPr>
          <w:rFonts w:ascii="宋体" w:hAnsi="宋体"/>
          <w:bCs/>
          <w:sz w:val="24"/>
        </w:rPr>
      </w:pPr>
      <w:r>
        <w:rPr>
          <w:rFonts w:hint="eastAsia" w:ascii="宋体" w:hAnsi="宋体"/>
          <w:bCs/>
          <w:sz w:val="24"/>
        </w:rPr>
        <w:t>（6）《关于促进残疾人就业政府采购政策的通知》（财库〔2017〕141 号）；</w:t>
      </w:r>
    </w:p>
    <w:p w14:paraId="0DD0B3CB">
      <w:pPr>
        <w:ind w:firstLine="480" w:firstLineChars="200"/>
        <w:rPr>
          <w:rFonts w:ascii="宋体" w:hAnsi="宋体"/>
          <w:bCs/>
          <w:sz w:val="24"/>
        </w:rPr>
      </w:pPr>
      <w:r>
        <w:rPr>
          <w:rFonts w:hint="eastAsia" w:ascii="宋体" w:hAnsi="宋体"/>
          <w:bCs/>
          <w:sz w:val="24"/>
        </w:rPr>
        <w:t>（7）《财政部关于在政府采购活动中查询及使用信用记录有关问题的通知》（财库[2016]125 号）；</w:t>
      </w:r>
    </w:p>
    <w:p w14:paraId="1A8E2CAB">
      <w:pPr>
        <w:ind w:firstLine="480" w:firstLineChars="200"/>
        <w:rPr>
          <w:rFonts w:ascii="宋体" w:hAnsi="宋体"/>
          <w:bCs/>
          <w:sz w:val="24"/>
        </w:rPr>
      </w:pPr>
      <w:r>
        <w:rPr>
          <w:rFonts w:hint="eastAsia" w:ascii="宋体" w:hAnsi="宋体"/>
          <w:bCs/>
          <w:sz w:val="24"/>
        </w:rPr>
        <w:t>（8）政府采购其他相关政策。</w:t>
      </w:r>
    </w:p>
    <w:p w14:paraId="5B545F41">
      <w:pPr>
        <w:pStyle w:val="23"/>
        <w:ind w:left="0" w:leftChars="0" w:firstLine="0" w:firstLineChars="0"/>
        <w:rPr>
          <w:rFonts w:ascii="宋体" w:hAnsi="宋体"/>
          <w:sz w:val="24"/>
        </w:rPr>
      </w:pPr>
      <w:r>
        <w:rPr>
          <w:rFonts w:ascii="宋体" w:hAnsi="宋体"/>
          <w:sz w:val="24"/>
        </w:rPr>
        <w:t>3</w:t>
      </w:r>
      <w:r>
        <w:rPr>
          <w:rFonts w:hint="eastAsia" w:ascii="宋体" w:hAnsi="宋体"/>
          <w:sz w:val="24"/>
        </w:rPr>
        <w:t>.</w:t>
      </w:r>
      <w:r>
        <w:rPr>
          <w:rFonts w:ascii="宋体" w:hAnsi="宋体"/>
          <w:sz w:val="24"/>
        </w:rPr>
        <w:t>项目实施方案、项目理解、团队技术能力、安全培训方案、售后服务方案要求</w:t>
      </w:r>
    </w:p>
    <w:p w14:paraId="4ED73739">
      <w:pPr>
        <w:pStyle w:val="23"/>
        <w:ind w:left="0" w:leftChars="0" w:firstLine="0" w:firstLineChars="0"/>
        <w:rPr>
          <w:rFonts w:ascii="宋体" w:hAnsi="宋体"/>
          <w:sz w:val="24"/>
        </w:rPr>
      </w:pPr>
      <w:r>
        <w:rPr>
          <w:rFonts w:hint="eastAsia" w:ascii="宋体" w:hAnsi="宋体"/>
          <w:sz w:val="24"/>
        </w:rPr>
        <w:t>3.1</w:t>
      </w:r>
      <w:r>
        <w:rPr>
          <w:rFonts w:ascii="宋体" w:hAnsi="宋体"/>
          <w:sz w:val="24"/>
        </w:rPr>
        <w:t>项目实施方案</w:t>
      </w:r>
    </w:p>
    <w:p w14:paraId="316E7427">
      <w:pPr>
        <w:pStyle w:val="23"/>
        <w:ind w:left="0" w:leftChars="0" w:firstLine="480"/>
        <w:rPr>
          <w:rFonts w:ascii="宋体" w:hAnsi="宋体"/>
          <w:sz w:val="24"/>
        </w:rPr>
      </w:pPr>
      <w:r>
        <w:rPr>
          <w:rFonts w:ascii="宋体" w:hAnsi="宋体"/>
          <w:sz w:val="24"/>
        </w:rPr>
        <w:t>供应商须编制完整、细化、可落地的项目实施方案，结合本项目 272 所</w:t>
      </w:r>
      <w:r>
        <w:rPr>
          <w:rFonts w:hint="eastAsia" w:ascii="宋体" w:hAnsi="宋体"/>
          <w:sz w:val="24"/>
        </w:rPr>
        <w:t>接入</w:t>
      </w:r>
      <w:r>
        <w:rPr>
          <w:rFonts w:ascii="宋体" w:hAnsi="宋体"/>
          <w:sz w:val="24"/>
        </w:rPr>
        <w:t>单位光纤</w:t>
      </w:r>
      <w:r>
        <w:rPr>
          <w:rFonts w:hint="eastAsia" w:ascii="宋体" w:hAnsi="宋体"/>
          <w:sz w:val="24"/>
        </w:rPr>
        <w:t>包括但不限于</w:t>
      </w:r>
      <w:r>
        <w:rPr>
          <w:rFonts w:ascii="宋体" w:hAnsi="宋体"/>
          <w:sz w:val="24"/>
        </w:rPr>
        <w:t>链路</w:t>
      </w:r>
      <w:r>
        <w:rPr>
          <w:rFonts w:hint="eastAsia" w:ascii="宋体" w:hAnsi="宋体"/>
          <w:sz w:val="24"/>
        </w:rPr>
        <w:t>安装</w:t>
      </w:r>
      <w:r>
        <w:rPr>
          <w:rFonts w:ascii="宋体" w:hAnsi="宋体"/>
          <w:sz w:val="24"/>
        </w:rPr>
        <w:t>、</w:t>
      </w:r>
      <w:r>
        <w:rPr>
          <w:rFonts w:hint="eastAsia" w:ascii="宋体" w:hAnsi="宋体"/>
          <w:sz w:val="24"/>
        </w:rPr>
        <w:t>管理</w:t>
      </w:r>
      <w:r>
        <w:rPr>
          <w:rFonts w:ascii="宋体" w:hAnsi="宋体"/>
          <w:sz w:val="24"/>
        </w:rPr>
        <w:t>、</w:t>
      </w:r>
      <w:r>
        <w:rPr>
          <w:rFonts w:hint="eastAsia" w:ascii="宋体" w:hAnsi="宋体"/>
          <w:sz w:val="24"/>
        </w:rPr>
        <w:t>维护</w:t>
      </w:r>
      <w:r>
        <w:rPr>
          <w:rFonts w:ascii="宋体" w:hAnsi="宋体"/>
          <w:sz w:val="24"/>
        </w:rPr>
        <w:t>全流程进行撰写，整体方案需符合国家及行业光纤建设标准，明确全流程工作内容、实施逻辑、管控措施、交付标准。</w:t>
      </w:r>
    </w:p>
    <w:p w14:paraId="756ACBF7">
      <w:pPr>
        <w:pStyle w:val="23"/>
        <w:ind w:left="0" w:leftChars="0" w:firstLine="480"/>
        <w:rPr>
          <w:rFonts w:ascii="宋体" w:hAnsi="宋体"/>
          <w:sz w:val="24"/>
        </w:rPr>
      </w:pPr>
      <w:r>
        <w:rPr>
          <w:rFonts w:ascii="宋体" w:hAnsi="宋体"/>
          <w:sz w:val="24"/>
        </w:rPr>
        <w:t>一、总体服务要求</w:t>
      </w:r>
    </w:p>
    <w:p w14:paraId="1D1FADBB">
      <w:pPr>
        <w:pStyle w:val="23"/>
        <w:ind w:left="0" w:leftChars="0" w:firstLine="480"/>
        <w:rPr>
          <w:rFonts w:ascii="宋体" w:hAnsi="宋体"/>
          <w:sz w:val="24"/>
        </w:rPr>
      </w:pPr>
      <w:r>
        <w:rPr>
          <w:rFonts w:ascii="宋体" w:hAnsi="宋体"/>
          <w:sz w:val="24"/>
        </w:rPr>
        <w:t>1. 供应商需具备成熟的全业务通信服务能力、充足的本地通信资源及专业技术运维团队，全程为本项目提供一站式、端到端的专属服务，主动配合采购人完成项目建设、调试、验收及常态化运维工作，保障教育专网稳定、安全、高效运行。</w:t>
      </w:r>
    </w:p>
    <w:p w14:paraId="6358A118">
      <w:pPr>
        <w:pStyle w:val="23"/>
        <w:ind w:left="0" w:leftChars="0" w:firstLine="480"/>
        <w:rPr>
          <w:rFonts w:ascii="宋体" w:hAnsi="宋体"/>
          <w:sz w:val="24"/>
        </w:rPr>
      </w:pPr>
      <w:r>
        <w:rPr>
          <w:rFonts w:ascii="宋体" w:hAnsi="宋体"/>
          <w:sz w:val="24"/>
        </w:rPr>
        <w:t>2. 项目</w:t>
      </w:r>
      <w:r>
        <w:rPr>
          <w:rFonts w:hint="eastAsia" w:ascii="宋体" w:hAnsi="宋体"/>
          <w:sz w:val="24"/>
        </w:rPr>
        <w:t>需</w:t>
      </w:r>
      <w:r>
        <w:rPr>
          <w:rFonts w:ascii="宋体" w:hAnsi="宋体"/>
          <w:sz w:val="24"/>
        </w:rPr>
        <w:t>采用纯物理传输模式，实现专网专用、与其他网络物理隔离，无任何数据处理服务，用户终端设备部署于采购人指定机房，由采购人独立管理，供应商需全程保障该隔离机制稳定有效。</w:t>
      </w:r>
    </w:p>
    <w:p w14:paraId="5A28FE78">
      <w:pPr>
        <w:pStyle w:val="23"/>
        <w:ind w:left="0" w:leftChars="0" w:firstLine="480"/>
        <w:rPr>
          <w:rFonts w:ascii="宋体" w:hAnsi="宋体"/>
          <w:sz w:val="24"/>
        </w:rPr>
      </w:pPr>
      <w:r>
        <w:rPr>
          <w:rFonts w:ascii="宋体" w:hAnsi="宋体"/>
          <w:sz w:val="24"/>
        </w:rPr>
        <w:t>3. 供应商需承担项目整体集成与协调责任，负责项目全程技术设计、施工实施、调试测试、技术支持、售后保障等全部工作，严格按照采购文件及合同要求，按期、按质完成教育专网组网链路开通及交付工作。</w:t>
      </w:r>
    </w:p>
    <w:p w14:paraId="71B718E2">
      <w:pPr>
        <w:pStyle w:val="23"/>
        <w:ind w:left="0" w:leftChars="0" w:firstLine="480"/>
        <w:rPr>
          <w:rFonts w:ascii="宋体" w:hAnsi="宋体"/>
          <w:sz w:val="24"/>
        </w:rPr>
      </w:pPr>
      <w:r>
        <w:rPr>
          <w:rFonts w:ascii="宋体" w:hAnsi="宋体"/>
          <w:sz w:val="24"/>
        </w:rPr>
        <w:t>二、项目实施及进度保障要求</w:t>
      </w:r>
    </w:p>
    <w:p w14:paraId="18428765">
      <w:pPr>
        <w:pStyle w:val="23"/>
        <w:ind w:left="0" w:leftChars="0" w:firstLine="480"/>
        <w:rPr>
          <w:rFonts w:ascii="宋体" w:hAnsi="宋体"/>
          <w:sz w:val="24"/>
        </w:rPr>
      </w:pPr>
      <w:r>
        <w:rPr>
          <w:rFonts w:ascii="宋体" w:hAnsi="宋体"/>
          <w:sz w:val="24"/>
        </w:rPr>
        <w:t>（一）实施周期要求</w:t>
      </w:r>
    </w:p>
    <w:p w14:paraId="4B50F9BE">
      <w:pPr>
        <w:pStyle w:val="23"/>
        <w:ind w:left="0" w:leftChars="0" w:firstLine="480"/>
        <w:rPr>
          <w:rFonts w:ascii="宋体" w:hAnsi="宋体"/>
          <w:sz w:val="24"/>
        </w:rPr>
      </w:pPr>
      <w:r>
        <w:rPr>
          <w:rFonts w:hint="eastAsia" w:ascii="宋体" w:hAnsi="宋体"/>
          <w:sz w:val="24"/>
        </w:rPr>
        <w:t>供应商需在2026年8月31日前</w:t>
      </w:r>
      <w:r>
        <w:rPr>
          <w:rFonts w:ascii="宋体" w:hAnsi="宋体"/>
          <w:sz w:val="24"/>
        </w:rPr>
        <w:t>，完成所有接入单位的光纤接入、线路施工、设备调试工作，确保所有链路达到正式运行标准，完成全网开通交付。</w:t>
      </w:r>
    </w:p>
    <w:p w14:paraId="7C89D5DF">
      <w:pPr>
        <w:pStyle w:val="23"/>
        <w:ind w:left="0" w:leftChars="0" w:firstLine="480"/>
        <w:rPr>
          <w:rFonts w:ascii="宋体" w:hAnsi="宋体"/>
          <w:sz w:val="24"/>
        </w:rPr>
      </w:pPr>
      <w:r>
        <w:rPr>
          <w:rFonts w:ascii="宋体" w:hAnsi="宋体"/>
          <w:sz w:val="24"/>
        </w:rPr>
        <w:t>（二）实施流程管控要求</w:t>
      </w:r>
    </w:p>
    <w:p w14:paraId="4EDEC2C6">
      <w:pPr>
        <w:pStyle w:val="23"/>
        <w:ind w:left="0" w:leftChars="0" w:firstLine="480"/>
        <w:rPr>
          <w:rFonts w:ascii="宋体" w:hAnsi="宋体"/>
          <w:sz w:val="24"/>
        </w:rPr>
      </w:pPr>
      <w:r>
        <w:rPr>
          <w:rFonts w:ascii="宋体" w:hAnsi="宋体"/>
          <w:sz w:val="24"/>
        </w:rPr>
        <w:t>1. 供应商需建立标准化项目实施流程，严格执行现场勘测、资料收集、路由障碍物迁移与交越方案编制、工程协调、光缆施工、光纤调测、初验、试运行、终验全流程管控，全程留存施工及测试资料。</w:t>
      </w:r>
    </w:p>
    <w:p w14:paraId="52E2FC05">
      <w:pPr>
        <w:pStyle w:val="23"/>
        <w:ind w:left="0" w:leftChars="0" w:firstLine="480"/>
        <w:rPr>
          <w:rFonts w:ascii="宋体" w:hAnsi="宋体"/>
          <w:sz w:val="24"/>
        </w:rPr>
      </w:pPr>
      <w:r>
        <w:rPr>
          <w:rFonts w:ascii="宋体" w:hAnsi="宋体"/>
          <w:sz w:val="24"/>
        </w:rPr>
        <w:t>2. 施工完成后需完成单链路光信号传输测试、全程链路指标测试，通过光纤折射测量等专业手段，确保光纤传输参数达标，试运行无故障后方可完成最终验收交付。运行期间若出现通信中断、链路故障等问题，供应商须立即整改修复，并在故障恢复后3个工作日内提交故障分析报告。</w:t>
      </w:r>
    </w:p>
    <w:p w14:paraId="68EB40B4">
      <w:pPr>
        <w:pStyle w:val="23"/>
        <w:ind w:left="0" w:leftChars="0" w:firstLine="480"/>
        <w:rPr>
          <w:rFonts w:ascii="宋体" w:hAnsi="宋体"/>
          <w:sz w:val="24"/>
        </w:rPr>
      </w:pPr>
      <w:r>
        <w:rPr>
          <w:rFonts w:ascii="宋体" w:hAnsi="宋体"/>
          <w:sz w:val="24"/>
        </w:rPr>
        <w:t>（三）进度管理要求</w:t>
      </w:r>
    </w:p>
    <w:p w14:paraId="241E2105">
      <w:pPr>
        <w:pStyle w:val="23"/>
        <w:ind w:left="0" w:leftChars="0" w:firstLine="480"/>
        <w:rPr>
          <w:rFonts w:ascii="宋体" w:hAnsi="宋体"/>
          <w:sz w:val="24"/>
        </w:rPr>
      </w:pPr>
      <w:r>
        <w:rPr>
          <w:rFonts w:ascii="宋体" w:hAnsi="宋体"/>
          <w:sz w:val="24"/>
        </w:rPr>
        <w:t>1. 供应商需制定详细项目进度计划，明确资源核查、施工建设、光纤测试、全网交付等关键节点，建立项目进度动态调整机制。</w:t>
      </w:r>
    </w:p>
    <w:p w14:paraId="32E57850">
      <w:pPr>
        <w:pStyle w:val="23"/>
        <w:ind w:left="0" w:leftChars="0" w:firstLine="480"/>
        <w:rPr>
          <w:rFonts w:ascii="宋体" w:hAnsi="宋体"/>
          <w:sz w:val="24"/>
        </w:rPr>
      </w:pPr>
      <w:r>
        <w:rPr>
          <w:rFonts w:ascii="宋体" w:hAnsi="宋体"/>
          <w:sz w:val="24"/>
        </w:rPr>
        <w:t>2. 项目实施期间，供应商需及时响应采购人质询，全程公开项目实施动态。</w:t>
      </w:r>
    </w:p>
    <w:p w14:paraId="28455115">
      <w:pPr>
        <w:pStyle w:val="23"/>
        <w:ind w:left="0" w:leftChars="0" w:firstLine="480"/>
        <w:rPr>
          <w:rFonts w:ascii="宋体" w:hAnsi="宋体"/>
          <w:sz w:val="24"/>
        </w:rPr>
      </w:pPr>
      <w:r>
        <w:rPr>
          <w:rFonts w:ascii="宋体" w:hAnsi="宋体"/>
          <w:sz w:val="24"/>
        </w:rPr>
        <w:t>三、项目团队及人员服务要求</w:t>
      </w:r>
    </w:p>
    <w:p w14:paraId="06445911">
      <w:pPr>
        <w:pStyle w:val="23"/>
        <w:ind w:left="0" w:leftChars="0" w:firstLine="480"/>
        <w:rPr>
          <w:rFonts w:ascii="宋体" w:hAnsi="宋体"/>
          <w:sz w:val="24"/>
        </w:rPr>
      </w:pPr>
      <w:r>
        <w:rPr>
          <w:rFonts w:ascii="宋体" w:hAnsi="宋体"/>
          <w:sz w:val="24"/>
        </w:rPr>
        <w:t>1. 供应商须为本项目组建专属固定项目团队，采用强矩阵组织架构，配备持证且具备多年从业经验的项目经理、技术负责人、开通测试经理、维护经理</w:t>
      </w:r>
      <w:r>
        <w:rPr>
          <w:rFonts w:hint="eastAsia" w:ascii="宋体" w:hAnsi="宋体"/>
          <w:sz w:val="24"/>
        </w:rPr>
        <w:t>等</w:t>
      </w:r>
      <w:r>
        <w:rPr>
          <w:rFonts w:ascii="宋体" w:hAnsi="宋体"/>
          <w:sz w:val="24"/>
        </w:rPr>
        <w:t>，团队岗位配置齐全、分工明确、互为备份。</w:t>
      </w:r>
    </w:p>
    <w:p w14:paraId="07198AC4">
      <w:pPr>
        <w:pStyle w:val="23"/>
        <w:ind w:left="0" w:leftChars="0" w:firstLine="480"/>
        <w:rPr>
          <w:rFonts w:ascii="宋体" w:hAnsi="宋体"/>
          <w:sz w:val="24"/>
        </w:rPr>
      </w:pPr>
      <w:r>
        <w:rPr>
          <w:rFonts w:ascii="宋体" w:hAnsi="宋体"/>
          <w:sz w:val="24"/>
        </w:rPr>
        <w:t>2. 项目实施全程项目经理固定不变，不得随意更换，全权负责项目统筹协调、进度管控、问题处置，可调动供应商全部资源保障项目落地。</w:t>
      </w:r>
    </w:p>
    <w:p w14:paraId="79ED2D68">
      <w:pPr>
        <w:pStyle w:val="23"/>
        <w:ind w:left="0" w:leftChars="0" w:firstLine="480"/>
        <w:rPr>
          <w:rFonts w:ascii="宋体" w:hAnsi="宋体"/>
          <w:sz w:val="24"/>
        </w:rPr>
      </w:pPr>
      <w:r>
        <w:rPr>
          <w:rFonts w:ascii="宋体" w:hAnsi="宋体"/>
          <w:sz w:val="24"/>
        </w:rPr>
        <w:t>3. .</w:t>
      </w:r>
      <w:r>
        <w:rPr>
          <w:rFonts w:hint="eastAsia" w:ascii="宋体" w:hAnsi="宋体"/>
          <w:sz w:val="24"/>
        </w:rPr>
        <w:t xml:space="preserve"> </w:t>
      </w:r>
      <w:r>
        <w:rPr>
          <w:rFonts w:ascii="宋体" w:hAnsi="宋体"/>
          <w:sz w:val="24"/>
        </w:rPr>
        <w:t>团队人员需全程配合采购人工作，负责现场技术答疑、施工对接、人员培训、问题协调，严格遵守采购人单位规章制度，高效完成各项配合工作。</w:t>
      </w:r>
    </w:p>
    <w:p w14:paraId="1AF3F56E">
      <w:pPr>
        <w:pStyle w:val="23"/>
        <w:ind w:left="0" w:leftChars="0" w:firstLine="480"/>
        <w:rPr>
          <w:rFonts w:ascii="宋体" w:hAnsi="宋体"/>
          <w:sz w:val="24"/>
        </w:rPr>
      </w:pPr>
      <w:r>
        <w:rPr>
          <w:rFonts w:ascii="宋体" w:hAnsi="宋体"/>
          <w:sz w:val="24"/>
        </w:rPr>
        <w:t>四、常态化运维巡查服务要求</w:t>
      </w:r>
    </w:p>
    <w:p w14:paraId="1C1B402D">
      <w:pPr>
        <w:pStyle w:val="23"/>
        <w:ind w:left="0" w:leftChars="0" w:firstLine="480"/>
        <w:rPr>
          <w:rFonts w:ascii="宋体" w:hAnsi="宋体"/>
          <w:sz w:val="24"/>
        </w:rPr>
      </w:pPr>
      <w:r>
        <w:rPr>
          <w:rFonts w:ascii="宋体" w:hAnsi="宋体"/>
          <w:sz w:val="24"/>
        </w:rPr>
        <w:t>（一）7×24小时值守服务</w:t>
      </w:r>
    </w:p>
    <w:p w14:paraId="5C79AF33">
      <w:pPr>
        <w:pStyle w:val="23"/>
        <w:ind w:left="0" w:leftChars="0" w:firstLine="480"/>
        <w:rPr>
          <w:rFonts w:ascii="宋体" w:hAnsi="宋体"/>
          <w:sz w:val="24"/>
        </w:rPr>
      </w:pPr>
      <w:r>
        <w:rPr>
          <w:rFonts w:ascii="宋体" w:hAnsi="宋体"/>
          <w:sz w:val="24"/>
        </w:rPr>
        <w:t>供应商须开通专属服务热线，提供7×24小时全天候故障受理、咨询服务，实行“就近申告、首问负责”服务原则，建立故障处理绿色通道，保障服务热线畅通无占线。</w:t>
      </w:r>
    </w:p>
    <w:p w14:paraId="434321DA">
      <w:pPr>
        <w:pStyle w:val="23"/>
        <w:ind w:left="0" w:leftChars="0" w:firstLine="480"/>
        <w:rPr>
          <w:rFonts w:ascii="宋体" w:hAnsi="宋体"/>
          <w:sz w:val="24"/>
        </w:rPr>
      </w:pPr>
      <w:r>
        <w:rPr>
          <w:rFonts w:ascii="宋体" w:hAnsi="宋体"/>
          <w:sz w:val="24"/>
        </w:rPr>
        <w:t>（二）定期巡检服务</w:t>
      </w:r>
    </w:p>
    <w:p w14:paraId="0176785F">
      <w:pPr>
        <w:pStyle w:val="23"/>
        <w:ind w:left="0" w:leftChars="0" w:firstLine="480"/>
        <w:rPr>
          <w:rFonts w:ascii="宋体" w:hAnsi="宋体"/>
          <w:sz w:val="24"/>
        </w:rPr>
      </w:pPr>
      <w:r>
        <w:rPr>
          <w:rFonts w:ascii="宋体" w:hAnsi="宋体"/>
          <w:sz w:val="24"/>
        </w:rPr>
        <w:t>1. 组建专属运维巡检队伍，配备光时域反射仪、光纤熔接机、光功率计等全套专业运维工具及应急车辆、设备，覆盖项目全部光纤链路、传输光缆、光交接箱、机房局所等全部设施。</w:t>
      </w:r>
    </w:p>
    <w:p w14:paraId="38F495A0">
      <w:pPr>
        <w:pStyle w:val="23"/>
        <w:ind w:left="0" w:leftChars="0" w:firstLine="480"/>
        <w:rPr>
          <w:rFonts w:ascii="宋体" w:hAnsi="宋体"/>
          <w:sz w:val="24"/>
        </w:rPr>
      </w:pPr>
      <w:r>
        <w:rPr>
          <w:rFonts w:ascii="宋体" w:hAnsi="宋体"/>
          <w:sz w:val="24"/>
        </w:rPr>
        <w:t>2. 落实常态化巡检工作，每月对全部备用光纤开展100%全程衰耗抽测，确保链路指标达标。</w:t>
      </w:r>
    </w:p>
    <w:p w14:paraId="1A1CEF0C">
      <w:pPr>
        <w:pStyle w:val="23"/>
        <w:ind w:left="0" w:leftChars="0" w:firstLine="480"/>
        <w:rPr>
          <w:rFonts w:ascii="宋体" w:hAnsi="宋体"/>
          <w:sz w:val="24"/>
        </w:rPr>
      </w:pPr>
      <w:r>
        <w:rPr>
          <w:rFonts w:ascii="宋体" w:hAnsi="宋体"/>
          <w:sz w:val="24"/>
        </w:rPr>
        <w:t>3. 专人负责机房、交接箱的设备进出、开关管控及物理安全防护，实时排查路政施工、自然灾害等外部因素导致的光缆隐患，发现问题立即修复、备案并上报采购人，全程做好巡检日志、隐患整改记录留存归档。</w:t>
      </w:r>
    </w:p>
    <w:p w14:paraId="630B6F15">
      <w:pPr>
        <w:pStyle w:val="23"/>
        <w:ind w:left="0" w:leftChars="0" w:firstLine="480"/>
        <w:rPr>
          <w:rFonts w:ascii="宋体" w:hAnsi="宋体"/>
          <w:sz w:val="24"/>
        </w:rPr>
      </w:pPr>
      <w:r>
        <w:rPr>
          <w:rFonts w:ascii="宋体" w:hAnsi="宋体"/>
          <w:sz w:val="24"/>
        </w:rPr>
        <w:t>（三）日常线路维护服务</w:t>
      </w:r>
    </w:p>
    <w:p w14:paraId="48B15CA8">
      <w:pPr>
        <w:pStyle w:val="23"/>
        <w:ind w:left="0" w:leftChars="0" w:firstLine="480"/>
        <w:rPr>
          <w:rFonts w:ascii="宋体" w:hAnsi="宋体"/>
          <w:sz w:val="24"/>
        </w:rPr>
      </w:pPr>
      <w:r>
        <w:rPr>
          <w:rFonts w:ascii="宋体" w:hAnsi="宋体"/>
          <w:sz w:val="24"/>
        </w:rPr>
        <w:t>1. 建立专人负责制，细化运维人员岗位职责，规范线路巡检、测试、抢修、资料整理全流程工作标准。</w:t>
      </w:r>
    </w:p>
    <w:p w14:paraId="573C85AD">
      <w:pPr>
        <w:pStyle w:val="23"/>
        <w:ind w:left="0" w:leftChars="0" w:firstLine="480"/>
        <w:rPr>
          <w:rFonts w:ascii="宋体" w:hAnsi="宋体"/>
          <w:sz w:val="24"/>
        </w:rPr>
      </w:pPr>
      <w:r>
        <w:rPr>
          <w:rFonts w:ascii="宋体" w:hAnsi="宋体"/>
          <w:sz w:val="24"/>
        </w:rPr>
        <w:t>2. 免费提供链路迁移改造、机房跳线调整等配套技术支持，针对采购人网络优化、线路调整需求及时响应处置。</w:t>
      </w:r>
    </w:p>
    <w:p w14:paraId="47E12639">
      <w:pPr>
        <w:pStyle w:val="23"/>
        <w:ind w:left="0" w:leftChars="0" w:firstLine="480"/>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定期排查运行隐患、制定优化方案、明确后续运维工作计划。</w:t>
      </w:r>
    </w:p>
    <w:p w14:paraId="23843386">
      <w:pPr>
        <w:pStyle w:val="23"/>
        <w:ind w:left="0" w:leftChars="0" w:firstLine="480"/>
        <w:rPr>
          <w:rFonts w:ascii="宋体" w:hAnsi="宋体"/>
          <w:sz w:val="24"/>
        </w:rPr>
      </w:pPr>
      <w:r>
        <w:rPr>
          <w:rFonts w:ascii="宋体" w:hAnsi="宋体"/>
          <w:sz w:val="24"/>
        </w:rPr>
        <w:t>五、故障响应及处置服务要求</w:t>
      </w:r>
    </w:p>
    <w:p w14:paraId="21B954DA">
      <w:pPr>
        <w:pStyle w:val="23"/>
        <w:ind w:left="0" w:leftChars="0" w:firstLine="480"/>
        <w:rPr>
          <w:rFonts w:ascii="宋体" w:hAnsi="宋体"/>
          <w:sz w:val="24"/>
        </w:rPr>
      </w:pPr>
      <w:r>
        <w:rPr>
          <w:rFonts w:ascii="宋体" w:hAnsi="宋体"/>
          <w:sz w:val="24"/>
        </w:rPr>
        <w:t>1. 故障响应时限：接到采购人故障申告后，</w:t>
      </w:r>
      <w:r>
        <w:rPr>
          <w:rFonts w:hint="eastAsia" w:ascii="宋体" w:hAnsi="宋体"/>
          <w:sz w:val="24"/>
        </w:rPr>
        <w:t>1小时</w:t>
      </w:r>
      <w:r>
        <w:rPr>
          <w:rFonts w:ascii="宋体" w:hAnsi="宋体"/>
          <w:sz w:val="24"/>
        </w:rPr>
        <w:t>完成响应对接，远程优先排查处置故障。</w:t>
      </w:r>
    </w:p>
    <w:p w14:paraId="5DF8F95F">
      <w:pPr>
        <w:pStyle w:val="23"/>
        <w:ind w:left="0" w:leftChars="0" w:firstLine="480"/>
        <w:rPr>
          <w:rFonts w:ascii="宋体" w:hAnsi="宋体"/>
          <w:sz w:val="24"/>
        </w:rPr>
      </w:pPr>
      <w:r>
        <w:rPr>
          <w:rFonts w:ascii="宋体" w:hAnsi="宋体"/>
          <w:sz w:val="24"/>
        </w:rPr>
        <w:t>2. 故障修复时限：一般故障</w:t>
      </w:r>
      <w:r>
        <w:rPr>
          <w:rFonts w:hint="eastAsia" w:ascii="宋体" w:hAnsi="宋体"/>
          <w:sz w:val="24"/>
        </w:rPr>
        <w:t>4</w:t>
      </w:r>
      <w:r>
        <w:rPr>
          <w:rFonts w:ascii="宋体" w:hAnsi="宋体"/>
          <w:sz w:val="24"/>
        </w:rPr>
        <w:t>小时内完成修复，重大故障第一时间启动应急预案，调动全网资源加急处置，最大限度缩短故障时长、降低业务影响。</w:t>
      </w:r>
    </w:p>
    <w:p w14:paraId="3383AAF9">
      <w:pPr>
        <w:pStyle w:val="23"/>
        <w:ind w:left="0" w:leftChars="0" w:firstLine="480"/>
        <w:rPr>
          <w:rFonts w:ascii="宋体" w:hAnsi="宋体"/>
          <w:sz w:val="24"/>
        </w:rPr>
      </w:pPr>
      <w:r>
        <w:rPr>
          <w:rFonts w:ascii="宋体" w:hAnsi="宋体"/>
          <w:sz w:val="24"/>
        </w:rPr>
        <w:t>3. 故障闭环管理：所有故障处置完成后，可根据采购人要求出具专项故障报告，详细说明故障原因、处置过程、整改措施及预防方案，形成受理、排查、修复、复盘的完整闭环。</w:t>
      </w:r>
    </w:p>
    <w:p w14:paraId="5D42D6CA">
      <w:pPr>
        <w:pStyle w:val="23"/>
        <w:ind w:left="0" w:leftChars="0" w:firstLine="480"/>
        <w:rPr>
          <w:rFonts w:ascii="宋体" w:hAnsi="宋体"/>
          <w:sz w:val="24"/>
        </w:rPr>
      </w:pPr>
      <w:r>
        <w:rPr>
          <w:rFonts w:ascii="宋体" w:hAnsi="宋体"/>
          <w:sz w:val="24"/>
        </w:rPr>
        <w:t>六、应急保障要求</w:t>
      </w:r>
    </w:p>
    <w:p w14:paraId="6836F665">
      <w:pPr>
        <w:pStyle w:val="23"/>
        <w:ind w:left="0" w:leftChars="0" w:firstLine="480"/>
        <w:rPr>
          <w:rFonts w:ascii="宋体" w:hAnsi="宋体"/>
          <w:sz w:val="24"/>
        </w:rPr>
      </w:pPr>
      <w:r>
        <w:rPr>
          <w:rFonts w:ascii="宋体" w:hAnsi="宋体"/>
          <w:sz w:val="24"/>
        </w:rPr>
        <w:t>1. 供应商须将本项目列为重点应急保障项目，建立专属重保机制，针对重大活动、重要数据传输时段，提供主动预警式监控保障服务。</w:t>
      </w:r>
    </w:p>
    <w:p w14:paraId="1F9779ED">
      <w:pPr>
        <w:pStyle w:val="23"/>
        <w:ind w:left="0" w:leftChars="0" w:firstLine="480"/>
        <w:rPr>
          <w:rFonts w:ascii="宋体" w:hAnsi="宋体"/>
          <w:sz w:val="24"/>
        </w:rPr>
      </w:pPr>
      <w:r>
        <w:rPr>
          <w:rFonts w:ascii="宋体" w:hAnsi="宋体"/>
          <w:sz w:val="24"/>
        </w:rPr>
        <w:t>2. 赋予重保业务优先处置权限，优先调配人员、车辆、设备资源处理重保电路故障，大幅缩短故障响应及恢复时间，保障特殊时段网络零故障、零中断。</w:t>
      </w:r>
    </w:p>
    <w:p w14:paraId="112D4EE5">
      <w:pPr>
        <w:pStyle w:val="23"/>
        <w:ind w:left="0" w:leftChars="0" w:firstLine="480"/>
        <w:rPr>
          <w:rFonts w:ascii="宋体" w:hAnsi="宋体"/>
          <w:sz w:val="24"/>
        </w:rPr>
      </w:pPr>
      <w:r>
        <w:rPr>
          <w:rFonts w:hint="eastAsia" w:ascii="宋体" w:hAnsi="宋体"/>
          <w:sz w:val="24"/>
        </w:rPr>
        <w:t>3</w:t>
      </w:r>
      <w:r>
        <w:rPr>
          <w:rFonts w:ascii="宋体" w:hAnsi="宋体"/>
          <w:sz w:val="24"/>
        </w:rPr>
        <w:t>. 配备专业应急通信队伍及充足应急设备，完善突发事件应急预案，定期开展应急演练，可快速处置各类突发网络、安全、施工事故，有效降低项目运行风险。</w:t>
      </w:r>
    </w:p>
    <w:p w14:paraId="123859D9">
      <w:pPr>
        <w:pStyle w:val="23"/>
        <w:ind w:left="0" w:leftChars="0" w:firstLine="480"/>
        <w:rPr>
          <w:rFonts w:ascii="宋体" w:hAnsi="宋体"/>
          <w:sz w:val="24"/>
        </w:rPr>
      </w:pPr>
      <w:r>
        <w:rPr>
          <w:rFonts w:ascii="宋体" w:hAnsi="宋体"/>
          <w:sz w:val="24"/>
        </w:rPr>
        <w:t>七、安全管理要求</w:t>
      </w:r>
    </w:p>
    <w:p w14:paraId="16DB8538">
      <w:pPr>
        <w:pStyle w:val="23"/>
        <w:ind w:left="0" w:leftChars="0" w:firstLine="480"/>
        <w:rPr>
          <w:rFonts w:ascii="宋体" w:hAnsi="宋体"/>
          <w:sz w:val="24"/>
        </w:rPr>
      </w:pPr>
      <w:r>
        <w:rPr>
          <w:rFonts w:ascii="宋体" w:hAnsi="宋体"/>
          <w:sz w:val="24"/>
        </w:rPr>
        <w:t>1. 严格遵循《安全生产法》《建筑法》《建设工程安全生产管理条例》等国家法律法规及行业规范，建立健全项目施工、运维全流程安全管理制度，落实安全责任制。</w:t>
      </w:r>
    </w:p>
    <w:p w14:paraId="7E926F56">
      <w:pPr>
        <w:pStyle w:val="23"/>
        <w:ind w:left="0" w:leftChars="0" w:firstLine="48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 xml:space="preserve"> </w:t>
      </w:r>
      <w:r>
        <w:rPr>
          <w:rFonts w:ascii="宋体" w:hAnsi="宋体"/>
          <w:sz w:val="24"/>
        </w:rPr>
        <w:t>严格施工现场管控，落实防火、防盗、防漏电、防破坏等安全措施，规范施工流程，杜绝违规作业；建立突发事件报告机制，重大安全事件1小时内上报，无迟报、漏报、瞒报情况。</w:t>
      </w:r>
    </w:p>
    <w:p w14:paraId="52C626B5">
      <w:pPr>
        <w:pStyle w:val="23"/>
        <w:ind w:left="0" w:leftChars="0" w:firstLine="480"/>
        <w:rPr>
          <w:rFonts w:ascii="宋体" w:hAnsi="宋体"/>
          <w:sz w:val="24"/>
        </w:rPr>
      </w:pPr>
      <w:r>
        <w:rPr>
          <w:rFonts w:ascii="宋体" w:hAnsi="宋体"/>
          <w:sz w:val="24"/>
        </w:rPr>
        <w:t>八、沟通对接及资料管理要求</w:t>
      </w:r>
    </w:p>
    <w:p w14:paraId="16C7E052">
      <w:pPr>
        <w:pStyle w:val="23"/>
        <w:ind w:left="0" w:leftChars="0" w:firstLine="480"/>
        <w:rPr>
          <w:rFonts w:ascii="宋体" w:hAnsi="宋体"/>
          <w:sz w:val="24"/>
        </w:rPr>
      </w:pPr>
      <w:r>
        <w:rPr>
          <w:rFonts w:ascii="宋体" w:hAnsi="宋体"/>
          <w:sz w:val="24"/>
        </w:rPr>
        <w:t>1. 建立多层级沟通机制，设置高层对接、项目专项对接、日常业务对接接口，通过项目例会、周报月报、线上沟通、现场对接等多种方式，保障供需双方沟通高效顺畅。</w:t>
      </w:r>
    </w:p>
    <w:p w14:paraId="0CF57937">
      <w:pPr>
        <w:pStyle w:val="23"/>
        <w:ind w:left="0" w:leftChars="0" w:firstLine="480"/>
        <w:rPr>
          <w:rFonts w:ascii="宋体" w:hAnsi="宋体"/>
          <w:sz w:val="24"/>
        </w:rPr>
      </w:pPr>
      <w:r>
        <w:rPr>
          <w:rFonts w:ascii="宋体" w:hAnsi="宋体"/>
          <w:sz w:val="24"/>
        </w:rPr>
        <w:t>2. 项目实施、运维全程建立完整的技术档案、施工档案、巡检档案、故障处置档案、重保档案，对组网链路、设备、端口、电路进行专属标识，确保资料完整、准确、可追溯。</w:t>
      </w:r>
    </w:p>
    <w:p w14:paraId="4037FB23">
      <w:pPr>
        <w:pStyle w:val="23"/>
        <w:ind w:left="0" w:leftChars="0" w:firstLine="480"/>
        <w:rPr>
          <w:rFonts w:ascii="宋体" w:hAnsi="宋体"/>
          <w:sz w:val="24"/>
        </w:rPr>
      </w:pPr>
      <w:r>
        <w:rPr>
          <w:rFonts w:ascii="宋体" w:hAnsi="宋体"/>
          <w:sz w:val="24"/>
        </w:rPr>
        <w:t>3. 项目交付时需完整提交开通测试报告、验收报告、施工资料、运维手册等全套交付文档，服务期内按需向采购人提供各类运维、故障、重保总结资料。</w:t>
      </w:r>
    </w:p>
    <w:p w14:paraId="3EAA447B">
      <w:pPr>
        <w:pStyle w:val="23"/>
        <w:ind w:left="0" w:leftChars="0" w:firstLine="480"/>
        <w:rPr>
          <w:rFonts w:ascii="宋体" w:hAnsi="宋体"/>
          <w:sz w:val="24"/>
        </w:rPr>
      </w:pPr>
      <w:r>
        <w:rPr>
          <w:rFonts w:ascii="宋体" w:hAnsi="宋体"/>
          <w:sz w:val="24"/>
        </w:rPr>
        <w:t>4. 主动配合采购人开展项目验收、联调、培训工作，提供常态化技术咨询服务，及时响应采购人各类技术需求。</w:t>
      </w:r>
    </w:p>
    <w:p w14:paraId="25120990">
      <w:pPr>
        <w:pStyle w:val="23"/>
        <w:ind w:left="0" w:leftChars="0" w:firstLine="480"/>
        <w:rPr>
          <w:rFonts w:ascii="宋体" w:hAnsi="宋体"/>
          <w:sz w:val="24"/>
        </w:rPr>
      </w:pPr>
      <w:r>
        <w:rPr>
          <w:rFonts w:ascii="宋体" w:hAnsi="宋体"/>
          <w:sz w:val="24"/>
        </w:rPr>
        <w:t>九、网络性能保障要求</w:t>
      </w:r>
    </w:p>
    <w:p w14:paraId="40059BD9">
      <w:pPr>
        <w:pStyle w:val="23"/>
        <w:ind w:left="0" w:leftChars="0" w:firstLine="480"/>
        <w:rPr>
          <w:rFonts w:ascii="宋体" w:hAnsi="宋体"/>
          <w:sz w:val="24"/>
        </w:rPr>
      </w:pPr>
      <w:r>
        <w:rPr>
          <w:rFonts w:ascii="宋体" w:hAnsi="宋体"/>
          <w:sz w:val="24"/>
        </w:rPr>
        <w:t>1. 供应商需为项目提供冗余链路保护，具备抗多组光缆同时故障能力，保障网络传输安全稳定。</w:t>
      </w:r>
    </w:p>
    <w:p w14:paraId="3238B910">
      <w:pPr>
        <w:pStyle w:val="23"/>
        <w:ind w:left="0" w:leftChars="0" w:firstLine="480"/>
        <w:rPr>
          <w:rFonts w:ascii="宋体" w:hAnsi="宋体"/>
          <w:sz w:val="24"/>
        </w:rPr>
      </w:pPr>
      <w:r>
        <w:rPr>
          <w:rFonts w:ascii="宋体" w:hAnsi="宋体"/>
          <w:sz w:val="24"/>
        </w:rPr>
        <w:t>2. 所有链路采用双芯传输架构，收发数据分离，保障带宽使用灵活、网络安全性高，可适配各类教育专网业务拓展需求。</w:t>
      </w:r>
    </w:p>
    <w:p w14:paraId="45205D80">
      <w:pPr>
        <w:pStyle w:val="23"/>
        <w:ind w:left="0" w:leftChars="0" w:firstLine="480"/>
        <w:rPr>
          <w:rFonts w:ascii="宋体" w:hAnsi="宋体"/>
          <w:sz w:val="24"/>
        </w:rPr>
      </w:pPr>
      <w:r>
        <w:rPr>
          <w:rFonts w:ascii="宋体" w:hAnsi="宋体"/>
          <w:sz w:val="24"/>
        </w:rPr>
        <w:t>十、服务承诺要求</w:t>
      </w:r>
    </w:p>
    <w:p w14:paraId="05AFC44E">
      <w:pPr>
        <w:pStyle w:val="23"/>
        <w:ind w:left="0" w:leftChars="0" w:firstLine="480"/>
        <w:rPr>
          <w:rFonts w:ascii="宋体" w:hAnsi="宋体"/>
          <w:sz w:val="24"/>
        </w:rPr>
      </w:pPr>
      <w:r>
        <w:rPr>
          <w:rFonts w:ascii="宋体" w:hAnsi="宋体"/>
          <w:sz w:val="24"/>
        </w:rPr>
        <w:t>1. 供应商承诺全面履行本采购需求所有服务条款，严格把控项目施工质量、进度、安全，确保项目按期高质量交付。</w:t>
      </w:r>
    </w:p>
    <w:p w14:paraId="430A9EC8">
      <w:pPr>
        <w:pStyle w:val="23"/>
        <w:ind w:left="0" w:leftChars="0" w:firstLine="480"/>
        <w:rPr>
          <w:rFonts w:ascii="宋体" w:hAnsi="宋体"/>
          <w:sz w:val="24"/>
        </w:rPr>
      </w:pPr>
      <w:r>
        <w:rPr>
          <w:rFonts w:ascii="宋体" w:hAnsi="宋体"/>
          <w:sz w:val="24"/>
        </w:rPr>
        <w:t>2. 服务期内全程保障链路稳定运行，所有施工、运维工作符合国家及行业标准，出现质量、故障问题无条件整改修复，承担全部相关责任及费用。</w:t>
      </w:r>
    </w:p>
    <w:p w14:paraId="097A2C36">
      <w:pPr>
        <w:pStyle w:val="23"/>
        <w:ind w:left="0" w:leftChars="0" w:firstLine="480"/>
        <w:rPr>
          <w:rFonts w:ascii="宋体" w:hAnsi="宋体"/>
          <w:sz w:val="24"/>
        </w:rPr>
      </w:pPr>
      <w:r>
        <w:rPr>
          <w:rFonts w:ascii="宋体" w:hAnsi="宋体"/>
          <w:sz w:val="24"/>
        </w:rPr>
        <w:t>3. 全程提供一站式专属服务，主动优化服务流程、提升服务质量，全力配合采购人各项工作，保障教育专网长期平稳可靠运行。</w:t>
      </w:r>
    </w:p>
    <w:p w14:paraId="2EFEC705">
      <w:pPr>
        <w:pStyle w:val="23"/>
        <w:ind w:left="0" w:leftChars="0" w:firstLine="0" w:firstLineChars="0"/>
        <w:rPr>
          <w:rFonts w:ascii="宋体" w:hAnsi="宋体"/>
          <w:sz w:val="24"/>
        </w:rPr>
      </w:pPr>
      <w:r>
        <w:rPr>
          <w:rFonts w:hint="eastAsia" w:ascii="宋体" w:hAnsi="宋体"/>
          <w:sz w:val="24"/>
        </w:rPr>
        <w:t xml:space="preserve">3.2 </w:t>
      </w:r>
      <w:r>
        <w:rPr>
          <w:rFonts w:ascii="宋体" w:hAnsi="宋体"/>
          <w:sz w:val="24"/>
        </w:rPr>
        <w:t>项目理解</w:t>
      </w:r>
    </w:p>
    <w:p w14:paraId="7F25D584">
      <w:pPr>
        <w:pStyle w:val="23"/>
        <w:ind w:left="0" w:leftChars="0" w:firstLine="480"/>
        <w:rPr>
          <w:rFonts w:ascii="宋体" w:hAnsi="宋体"/>
          <w:sz w:val="24"/>
        </w:rPr>
      </w:pPr>
      <w:r>
        <w:rPr>
          <w:rFonts w:hint="eastAsia" w:ascii="宋体" w:hAnsi="宋体"/>
          <w:sz w:val="24"/>
        </w:rPr>
        <w:t>项目理解分析：</w:t>
      </w:r>
      <w:r>
        <w:rPr>
          <w:rFonts w:ascii="宋体" w:hAnsi="宋体"/>
          <w:sz w:val="24"/>
        </w:rPr>
        <w:t>针对本项目的项目背景、政策依据、达到的效果、解决痛点等内容进行描述。同时对项目的建设思路、遵循的标准、服务原则进行描述。</w:t>
      </w:r>
    </w:p>
    <w:p w14:paraId="697D2CD3">
      <w:pPr>
        <w:pStyle w:val="23"/>
        <w:ind w:left="0" w:leftChars="0" w:firstLine="480"/>
        <w:rPr>
          <w:rFonts w:ascii="宋体" w:hAnsi="宋体"/>
          <w:sz w:val="24"/>
        </w:rPr>
      </w:pPr>
      <w:r>
        <w:rPr>
          <w:rFonts w:ascii="宋体" w:hAnsi="宋体"/>
          <w:sz w:val="24"/>
        </w:rPr>
        <w:t>项目重点与难点分析</w:t>
      </w:r>
      <w:r>
        <w:rPr>
          <w:rFonts w:hint="eastAsia" w:ascii="宋体" w:hAnsi="宋体"/>
          <w:sz w:val="24"/>
        </w:rPr>
        <w:t>：全面、精准匹配本项目采购需求，所有服务内容、实施标准、成果输出须严格对标招标文件及采购方业务实际，无偏差、无缺漏。遵守本项目既定服务周期、实施工期要求，科学规划各工作环节，保障项目全程有序推进，不得影响采购方正常业务开展。建立标准化、规范化服务体系，全程保障项目实施及后续服务质量稳定，确保项目成果合规达标、运维服务长效可控。</w:t>
      </w:r>
    </w:p>
    <w:p w14:paraId="022D8EDF">
      <w:pPr>
        <w:pStyle w:val="23"/>
        <w:ind w:left="0" w:leftChars="0" w:firstLine="480"/>
        <w:rPr>
          <w:rFonts w:ascii="宋体" w:hAnsi="宋体"/>
          <w:sz w:val="24"/>
        </w:rPr>
      </w:pPr>
      <w:r>
        <w:rPr>
          <w:rFonts w:hint="eastAsia" w:ascii="宋体" w:hAnsi="宋体"/>
          <w:sz w:val="24"/>
        </w:rPr>
        <w:t>项目工作思路：围绕本项目统筹规划、规范实施、全程管控、长效保障的总体工作原则，制定科学、合理、可行的整体工作思路，全程标准化、规范化落实项目各项工作。</w:t>
      </w:r>
    </w:p>
    <w:p w14:paraId="28CEA9ED">
      <w:pPr>
        <w:pStyle w:val="23"/>
        <w:ind w:left="0" w:leftChars="0" w:firstLine="480"/>
        <w:rPr>
          <w:rFonts w:ascii="宋体" w:hAnsi="宋体"/>
          <w:sz w:val="24"/>
        </w:rPr>
      </w:pPr>
      <w:r>
        <w:rPr>
          <w:rFonts w:hint="eastAsia" w:ascii="宋体" w:hAnsi="宋体"/>
          <w:sz w:val="24"/>
        </w:rPr>
        <w:t>项目保障方案：针对本项目提供的光纤线路制定专业的服务保障方案。</w:t>
      </w:r>
    </w:p>
    <w:p w14:paraId="1B59A352">
      <w:pPr>
        <w:pStyle w:val="23"/>
        <w:ind w:left="0" w:leftChars="0" w:firstLine="0" w:firstLineChars="0"/>
        <w:rPr>
          <w:rFonts w:ascii="宋体" w:hAnsi="宋体"/>
          <w:sz w:val="24"/>
        </w:rPr>
      </w:pPr>
      <w:r>
        <w:rPr>
          <w:rFonts w:hint="eastAsia" w:ascii="宋体" w:hAnsi="宋体"/>
          <w:sz w:val="24"/>
        </w:rPr>
        <w:t>3.3 进度计划方案</w:t>
      </w:r>
    </w:p>
    <w:p w14:paraId="58DB5070">
      <w:pPr>
        <w:pStyle w:val="23"/>
        <w:ind w:left="0" w:leftChars="0" w:firstLine="480"/>
        <w:rPr>
          <w:rFonts w:ascii="宋体" w:hAnsi="宋体"/>
          <w:sz w:val="24"/>
        </w:rPr>
      </w:pPr>
      <w:r>
        <w:rPr>
          <w:rFonts w:ascii="宋体" w:hAnsi="宋体"/>
          <w:sz w:val="24"/>
        </w:rPr>
        <w:t>针对大兴区教育网光纤租用服务采购项目，要求中标供应商提交完整、可落地、可管控的《项目实施进度计划方案》，方案须包含</w:t>
      </w:r>
      <w:r>
        <w:rPr>
          <w:rFonts w:hint="eastAsia" w:ascii="宋体" w:hAnsi="宋体"/>
          <w:sz w:val="24"/>
        </w:rPr>
        <w:t>：</w:t>
      </w:r>
      <w:r>
        <w:rPr>
          <w:rFonts w:ascii="宋体" w:hAnsi="宋体"/>
          <w:sz w:val="24"/>
        </w:rPr>
        <w:t>时间安排、服务流程、人员配合、沟通机制、实施进度</w:t>
      </w:r>
      <w:r>
        <w:rPr>
          <w:rFonts w:hint="eastAsia" w:ascii="宋体" w:hAnsi="宋体"/>
          <w:sz w:val="24"/>
        </w:rPr>
        <w:t>。详细说明</w:t>
      </w:r>
      <w:r>
        <w:rPr>
          <w:rFonts w:ascii="宋体" w:hAnsi="宋体"/>
          <w:sz w:val="24"/>
        </w:rPr>
        <w:t>项目</w:t>
      </w:r>
      <w:r>
        <w:rPr>
          <w:rFonts w:hint="eastAsia" w:ascii="宋体" w:hAnsi="宋体"/>
          <w:sz w:val="24"/>
        </w:rPr>
        <w:t>实施</w:t>
      </w:r>
      <w:r>
        <w:rPr>
          <w:rFonts w:ascii="宋体" w:hAnsi="宋体"/>
          <w:sz w:val="24"/>
        </w:rPr>
        <w:t>全周期工作</w:t>
      </w:r>
      <w:r>
        <w:rPr>
          <w:rFonts w:hint="eastAsia" w:ascii="宋体" w:hAnsi="宋体"/>
          <w:sz w:val="24"/>
        </w:rPr>
        <w:t>流程</w:t>
      </w:r>
      <w:r>
        <w:rPr>
          <w:rFonts w:ascii="宋体" w:hAnsi="宋体"/>
          <w:sz w:val="24"/>
        </w:rPr>
        <w:t>，</w:t>
      </w:r>
      <w:r>
        <w:rPr>
          <w:rFonts w:hint="eastAsia" w:ascii="宋体" w:hAnsi="宋体"/>
          <w:sz w:val="24"/>
        </w:rPr>
        <w:t>明确各环节计划方案，</w:t>
      </w:r>
      <w:r>
        <w:rPr>
          <w:rFonts w:ascii="宋体" w:hAnsi="宋体"/>
          <w:sz w:val="24"/>
        </w:rPr>
        <w:t>实现进度可控、节点清晰、责任到人、沟通顺畅，保障本项目按期保质闭环交付。</w:t>
      </w:r>
    </w:p>
    <w:p w14:paraId="70A9B5BF">
      <w:pPr>
        <w:pStyle w:val="23"/>
        <w:ind w:left="0" w:leftChars="0" w:firstLine="0" w:firstLineChars="0"/>
        <w:rPr>
          <w:rFonts w:ascii="宋体" w:hAnsi="宋体"/>
          <w:sz w:val="24"/>
        </w:rPr>
      </w:pPr>
      <w:r>
        <w:rPr>
          <w:rFonts w:hint="eastAsia" w:ascii="宋体" w:hAnsi="宋体"/>
          <w:sz w:val="24"/>
        </w:rPr>
        <w:t xml:space="preserve">3.4 </w:t>
      </w:r>
      <w:r>
        <w:rPr>
          <w:rFonts w:ascii="宋体" w:hAnsi="宋体"/>
          <w:sz w:val="24"/>
        </w:rPr>
        <w:t>团队技术能力</w:t>
      </w:r>
    </w:p>
    <w:p w14:paraId="39AE5128">
      <w:pPr>
        <w:pStyle w:val="23"/>
        <w:ind w:left="0" w:leftChars="0" w:firstLine="480"/>
        <w:rPr>
          <w:rFonts w:ascii="宋体" w:hAnsi="宋体"/>
          <w:sz w:val="24"/>
        </w:rPr>
      </w:pPr>
      <w:r>
        <w:rPr>
          <w:rFonts w:ascii="宋体" w:hAnsi="宋体"/>
          <w:sz w:val="24"/>
        </w:rPr>
        <w:t>项目</w:t>
      </w:r>
      <w:r>
        <w:rPr>
          <w:rFonts w:hint="eastAsia" w:ascii="宋体" w:hAnsi="宋体"/>
          <w:sz w:val="24"/>
        </w:rPr>
        <w:t>人员</w:t>
      </w:r>
      <w:r>
        <w:rPr>
          <w:rFonts w:ascii="宋体" w:hAnsi="宋体"/>
          <w:sz w:val="24"/>
        </w:rPr>
        <w:t>组织架构与人员配置</w:t>
      </w:r>
      <w:r>
        <w:rPr>
          <w:rFonts w:hint="eastAsia" w:ascii="宋体" w:hAnsi="宋体"/>
          <w:sz w:val="24"/>
        </w:rPr>
        <w:t>：</w:t>
      </w:r>
      <w:r>
        <w:rPr>
          <w:rFonts w:ascii="宋体" w:hAnsi="宋体"/>
          <w:sz w:val="24"/>
        </w:rPr>
        <w:t>绘制完整项目组织架构图，明确层级关系、岗位职责、管辖范围，针对本项目设立专属固定服务团队。</w:t>
      </w:r>
    </w:p>
    <w:p w14:paraId="6F6C2D3E">
      <w:pPr>
        <w:pStyle w:val="23"/>
        <w:ind w:left="0" w:leftChars="0" w:firstLine="480"/>
        <w:rPr>
          <w:rFonts w:ascii="宋体" w:hAnsi="宋体"/>
          <w:sz w:val="24"/>
        </w:rPr>
      </w:pPr>
      <w:r>
        <w:rPr>
          <w:rFonts w:ascii="宋体" w:hAnsi="宋体"/>
          <w:sz w:val="24"/>
        </w:rPr>
        <w:t>明确岗位设置及人员数量，至少包含：项目经理、技术负责人、</w:t>
      </w:r>
      <w:r>
        <w:rPr>
          <w:rFonts w:hint="eastAsia" w:ascii="宋体" w:hAnsi="宋体"/>
          <w:sz w:val="24"/>
        </w:rPr>
        <w:t>开通测试经理、维护经理等</w:t>
      </w:r>
      <w:r>
        <w:rPr>
          <w:rFonts w:ascii="宋体" w:hAnsi="宋体"/>
          <w:sz w:val="24"/>
        </w:rPr>
        <w:t>。</w:t>
      </w:r>
      <w:r>
        <w:rPr>
          <w:rFonts w:hint="eastAsia" w:ascii="宋体" w:hAnsi="宋体"/>
          <w:sz w:val="24"/>
        </w:rPr>
        <w:t>项目相关人员</w:t>
      </w:r>
      <w:r>
        <w:rPr>
          <w:rFonts w:ascii="宋体" w:hAnsi="宋体"/>
          <w:sz w:val="24"/>
        </w:rPr>
        <w:t>须具备同类项目经验、相关认证或专业能力</w:t>
      </w:r>
      <w:r>
        <w:rPr>
          <w:rFonts w:hint="eastAsia" w:ascii="宋体" w:hAnsi="宋体"/>
          <w:sz w:val="24"/>
        </w:rPr>
        <w:t>，具体要求如下：</w:t>
      </w:r>
    </w:p>
    <w:p w14:paraId="241088D4">
      <w:pPr>
        <w:pStyle w:val="23"/>
        <w:ind w:left="0" w:leftChars="0" w:firstLine="480"/>
        <w:rPr>
          <w:rFonts w:ascii="宋体" w:hAnsi="宋体"/>
          <w:sz w:val="24"/>
        </w:rPr>
      </w:pPr>
      <w:r>
        <w:rPr>
          <w:rFonts w:ascii="宋体" w:hAnsi="宋体"/>
          <w:sz w:val="24"/>
        </w:rPr>
        <w:t>项目经理：具备多年从业经验</w:t>
      </w:r>
      <w:r>
        <w:rPr>
          <w:rFonts w:hint="eastAsia" w:ascii="宋体" w:hAnsi="宋体"/>
          <w:sz w:val="24"/>
        </w:rPr>
        <w:t>，负责</w:t>
      </w:r>
      <w:r>
        <w:rPr>
          <w:rFonts w:ascii="宋体" w:hAnsi="宋体"/>
          <w:sz w:val="24"/>
        </w:rPr>
        <w:t>工程实行全过程的组织、协调和管理</w:t>
      </w:r>
      <w:r>
        <w:rPr>
          <w:rFonts w:hint="eastAsia" w:ascii="宋体" w:hAnsi="宋体"/>
          <w:sz w:val="24"/>
        </w:rPr>
        <w:t>，</w:t>
      </w:r>
      <w:r>
        <w:rPr>
          <w:rFonts w:ascii="宋体" w:hAnsi="宋体"/>
          <w:sz w:val="24"/>
        </w:rPr>
        <w:t>熟悉施工规范、线路巡检、故障处置，持有通信相关</w:t>
      </w:r>
      <w:r>
        <w:rPr>
          <w:rFonts w:hint="eastAsia" w:ascii="宋体" w:hAnsi="宋体"/>
          <w:sz w:val="24"/>
        </w:rPr>
        <w:t>专业</w:t>
      </w:r>
      <w:r>
        <w:rPr>
          <w:rFonts w:ascii="宋体" w:hAnsi="宋体"/>
          <w:sz w:val="24"/>
        </w:rPr>
        <w:t>证书。</w:t>
      </w:r>
    </w:p>
    <w:p w14:paraId="295DF6AC">
      <w:pPr>
        <w:pStyle w:val="23"/>
        <w:ind w:left="0" w:leftChars="0" w:firstLine="480"/>
        <w:rPr>
          <w:rFonts w:ascii="宋体" w:hAnsi="宋体"/>
          <w:sz w:val="24"/>
        </w:rPr>
      </w:pPr>
      <w:r>
        <w:rPr>
          <w:rFonts w:ascii="宋体" w:hAnsi="宋体"/>
          <w:sz w:val="24"/>
        </w:rPr>
        <w:t>技术负责人：具备多年从业经验</w:t>
      </w:r>
      <w:r>
        <w:rPr>
          <w:rFonts w:hint="eastAsia" w:ascii="宋体" w:hAnsi="宋体"/>
          <w:sz w:val="24"/>
        </w:rPr>
        <w:t>，负编制施工组织设计与施工方案，</w:t>
      </w:r>
      <w:r>
        <w:rPr>
          <w:rFonts w:ascii="宋体" w:hAnsi="宋体"/>
          <w:sz w:val="24"/>
        </w:rPr>
        <w:t>持有通信相关</w:t>
      </w:r>
      <w:r>
        <w:rPr>
          <w:rFonts w:hint="eastAsia" w:ascii="宋体" w:hAnsi="宋体"/>
          <w:sz w:val="24"/>
        </w:rPr>
        <w:t>专</w:t>
      </w:r>
      <w:r>
        <w:rPr>
          <w:rFonts w:ascii="宋体" w:hAnsi="宋体"/>
          <w:sz w:val="24"/>
        </w:rPr>
        <w:t>业证书。</w:t>
      </w:r>
    </w:p>
    <w:p w14:paraId="14CCED2B">
      <w:pPr>
        <w:pStyle w:val="23"/>
        <w:ind w:left="0" w:leftChars="0" w:firstLine="480"/>
        <w:rPr>
          <w:rFonts w:ascii="宋体" w:hAnsi="宋体"/>
          <w:sz w:val="24"/>
        </w:rPr>
      </w:pPr>
      <w:r>
        <w:rPr>
          <w:rFonts w:hint="eastAsia" w:ascii="宋体" w:hAnsi="宋体"/>
          <w:sz w:val="24"/>
        </w:rPr>
        <w:t>开通测试经理</w:t>
      </w:r>
      <w:r>
        <w:rPr>
          <w:rFonts w:ascii="宋体" w:hAnsi="宋体"/>
          <w:sz w:val="24"/>
        </w:rPr>
        <w:t>：具备</w:t>
      </w:r>
      <w:r>
        <w:rPr>
          <w:rFonts w:hint="eastAsia" w:ascii="宋体" w:hAnsi="宋体"/>
          <w:sz w:val="24"/>
        </w:rPr>
        <w:t>多年从业经验，负责</w:t>
      </w:r>
      <w:r>
        <w:rPr>
          <w:rFonts w:ascii="宋体" w:hAnsi="宋体"/>
          <w:sz w:val="24"/>
        </w:rPr>
        <w:t>制定施工过程中的安全保护方案，</w:t>
      </w:r>
      <w:r>
        <w:rPr>
          <w:rFonts w:hint="eastAsia" w:ascii="宋体" w:hAnsi="宋体"/>
          <w:sz w:val="24"/>
        </w:rPr>
        <w:t>落实施工质量标准，</w:t>
      </w:r>
      <w:r>
        <w:rPr>
          <w:rFonts w:ascii="宋体" w:hAnsi="宋体"/>
          <w:sz w:val="24"/>
        </w:rPr>
        <w:t>精通光纤熔接、链路测试、光模块调试、线路排障，熟悉本项目全部技术指标与行业标准</w:t>
      </w:r>
      <w:r>
        <w:rPr>
          <w:rFonts w:hint="eastAsia" w:ascii="宋体" w:hAnsi="宋体"/>
          <w:sz w:val="24"/>
        </w:rPr>
        <w:t>，</w:t>
      </w:r>
      <w:r>
        <w:rPr>
          <w:rFonts w:ascii="宋体" w:hAnsi="宋体"/>
          <w:sz w:val="24"/>
        </w:rPr>
        <w:t>持有通信相关</w:t>
      </w:r>
      <w:r>
        <w:rPr>
          <w:rFonts w:hint="eastAsia" w:ascii="宋体" w:hAnsi="宋体"/>
          <w:sz w:val="24"/>
        </w:rPr>
        <w:t>专</w:t>
      </w:r>
      <w:r>
        <w:rPr>
          <w:rFonts w:ascii="宋体" w:hAnsi="宋体"/>
          <w:sz w:val="24"/>
        </w:rPr>
        <w:t>业证书。</w:t>
      </w:r>
    </w:p>
    <w:p w14:paraId="14B34571">
      <w:pPr>
        <w:pStyle w:val="23"/>
        <w:ind w:left="0" w:leftChars="0" w:firstLine="480"/>
        <w:rPr>
          <w:rFonts w:ascii="宋体" w:hAnsi="宋体"/>
          <w:sz w:val="24"/>
        </w:rPr>
      </w:pPr>
      <w:r>
        <w:rPr>
          <w:rFonts w:hint="eastAsia" w:ascii="宋体" w:hAnsi="宋体"/>
          <w:sz w:val="24"/>
        </w:rPr>
        <w:t>维护经理</w:t>
      </w:r>
      <w:r>
        <w:rPr>
          <w:rFonts w:ascii="宋体" w:hAnsi="宋体"/>
          <w:sz w:val="24"/>
        </w:rPr>
        <w:t>：</w:t>
      </w:r>
      <w:r>
        <w:rPr>
          <w:rFonts w:hint="eastAsia" w:ascii="宋体" w:hAnsi="宋体"/>
          <w:sz w:val="24"/>
        </w:rPr>
        <w:t>具备</w:t>
      </w:r>
      <w:r>
        <w:rPr>
          <w:rFonts w:ascii="宋体" w:hAnsi="宋体"/>
          <w:sz w:val="24"/>
        </w:rPr>
        <w:t>多年从业经验</w:t>
      </w:r>
      <w:r>
        <w:rPr>
          <w:rFonts w:hint="eastAsia" w:ascii="宋体" w:hAnsi="宋体"/>
          <w:sz w:val="24"/>
        </w:rPr>
        <w:t>，负责</w:t>
      </w:r>
      <w:r>
        <w:rPr>
          <w:rFonts w:ascii="宋体" w:hAnsi="宋体"/>
          <w:sz w:val="24"/>
        </w:rPr>
        <w:t>处理光缆断裂、光模块故障、链路衰减、端口异常等常见问题</w:t>
      </w:r>
      <w:r>
        <w:rPr>
          <w:rFonts w:hint="eastAsia" w:ascii="宋体" w:hAnsi="宋体"/>
          <w:sz w:val="24"/>
        </w:rPr>
        <w:t>，</w:t>
      </w:r>
      <w:r>
        <w:rPr>
          <w:rFonts w:ascii="宋体" w:hAnsi="宋体"/>
          <w:sz w:val="24"/>
        </w:rPr>
        <w:t>持有通信相关</w:t>
      </w:r>
      <w:r>
        <w:rPr>
          <w:rFonts w:hint="eastAsia" w:ascii="宋体" w:hAnsi="宋体"/>
          <w:sz w:val="24"/>
        </w:rPr>
        <w:t>专</w:t>
      </w:r>
      <w:r>
        <w:rPr>
          <w:rFonts w:ascii="宋体" w:hAnsi="宋体"/>
          <w:sz w:val="24"/>
        </w:rPr>
        <w:t>业证书。</w:t>
      </w:r>
    </w:p>
    <w:p w14:paraId="3C7BCA15">
      <w:pPr>
        <w:pStyle w:val="23"/>
        <w:ind w:left="0" w:leftChars="0" w:firstLine="0" w:firstLineChars="0"/>
        <w:rPr>
          <w:rFonts w:ascii="宋体" w:hAnsi="宋体"/>
          <w:sz w:val="24"/>
        </w:rPr>
      </w:pPr>
      <w:r>
        <w:rPr>
          <w:rFonts w:hint="eastAsia" w:ascii="宋体" w:hAnsi="宋体"/>
          <w:sz w:val="24"/>
        </w:rPr>
        <w:t>3.5 安全培训方案</w:t>
      </w:r>
    </w:p>
    <w:p w14:paraId="74044CC9">
      <w:pPr>
        <w:pStyle w:val="23"/>
        <w:ind w:left="0" w:leftChars="0" w:firstLine="480"/>
        <w:rPr>
          <w:rFonts w:ascii="宋体" w:hAnsi="宋体"/>
          <w:sz w:val="24"/>
        </w:rPr>
      </w:pPr>
      <w:r>
        <w:rPr>
          <w:rFonts w:ascii="宋体" w:hAnsi="宋体"/>
          <w:sz w:val="24"/>
        </w:rPr>
        <w:t>供应商须依托成熟完善的培训体系，针对大兴区教育网光纤提供系统性的技术知识提供</w:t>
      </w:r>
      <w:r>
        <w:rPr>
          <w:rFonts w:hint="eastAsia" w:ascii="宋体" w:hAnsi="宋体"/>
          <w:sz w:val="24"/>
        </w:rPr>
        <w:t>制定专业化、</w:t>
      </w:r>
      <w:r>
        <w:rPr>
          <w:rFonts w:ascii="宋体" w:hAnsi="宋体"/>
          <w:sz w:val="24"/>
        </w:rPr>
        <w:t>分层化、定制化的技术及业务培训，</w:t>
      </w:r>
      <w:r>
        <w:rPr>
          <w:rFonts w:hint="eastAsia" w:ascii="宋体" w:hAnsi="宋体"/>
          <w:sz w:val="24"/>
        </w:rPr>
        <w:t>方案需包含培训方式</w:t>
      </w:r>
      <w:r>
        <w:rPr>
          <w:rFonts w:ascii="宋体" w:hAnsi="宋体"/>
          <w:sz w:val="24"/>
        </w:rPr>
        <w:t>、</w:t>
      </w:r>
      <w:r>
        <w:rPr>
          <w:rFonts w:hint="eastAsia" w:ascii="宋体" w:hAnsi="宋体"/>
          <w:sz w:val="24"/>
        </w:rPr>
        <w:t>培训计划、培训内容。</w:t>
      </w:r>
      <w:r>
        <w:rPr>
          <w:rFonts w:ascii="宋体" w:hAnsi="宋体"/>
          <w:sz w:val="24"/>
        </w:rPr>
        <w:t>并针对常见故障和操作失误等情况，为网络维护技术人员提供常见技术支持，以保证用户的操作人员能独立解决一般性的故障。全面保障各级管理人员、业务人员、技术维护人员熟练掌握本项目光纤链路、光传输设备、机房配套设施的操作、运维及故障处置能力，确保大兴区教育网长期稳定、安全、高效运行。</w:t>
      </w:r>
    </w:p>
    <w:p w14:paraId="6402ADF5">
      <w:pPr>
        <w:pStyle w:val="23"/>
        <w:ind w:left="0" w:leftChars="0" w:firstLine="0" w:firstLineChars="0"/>
        <w:rPr>
          <w:rFonts w:ascii="宋体" w:hAnsi="宋体"/>
          <w:sz w:val="24"/>
        </w:rPr>
      </w:pPr>
      <w:r>
        <w:rPr>
          <w:rFonts w:hint="eastAsia" w:ascii="宋体" w:hAnsi="宋体"/>
          <w:sz w:val="24"/>
        </w:rPr>
        <w:t xml:space="preserve">3.6 </w:t>
      </w:r>
      <w:r>
        <w:rPr>
          <w:rFonts w:ascii="宋体" w:hAnsi="宋体"/>
          <w:sz w:val="24"/>
        </w:rPr>
        <w:t>售后服务方案</w:t>
      </w:r>
    </w:p>
    <w:p w14:paraId="55D8826B">
      <w:pPr>
        <w:pStyle w:val="23"/>
        <w:ind w:left="0" w:leftChars="0" w:firstLine="480"/>
        <w:rPr>
          <w:rFonts w:ascii="宋体" w:hAnsi="宋体"/>
          <w:sz w:val="24"/>
        </w:rPr>
      </w:pPr>
      <w:r>
        <w:rPr>
          <w:rFonts w:ascii="宋体" w:hAnsi="宋体"/>
          <w:sz w:val="24"/>
        </w:rPr>
        <w:t>为保障项目教育专网稳定、安全、高效运行，规范中标供应商售后服务标准、流程及应急保障能力，现明确本项目售后服务整体采购要求，中标供应商须全面响应、严格落实本方案所有服务条款，建立完善、闭环、可监督的售后服务体系，全程为项目提供高品质、专业化、全天候的运维保障服务，接受采购单位及社会监督。</w:t>
      </w:r>
    </w:p>
    <w:p w14:paraId="6E102AB8">
      <w:pPr>
        <w:pStyle w:val="23"/>
        <w:ind w:left="0" w:leftChars="0" w:firstLine="480"/>
        <w:rPr>
          <w:rFonts w:ascii="宋体" w:hAnsi="宋体"/>
          <w:sz w:val="24"/>
        </w:rPr>
      </w:pPr>
      <w:r>
        <w:rPr>
          <w:rFonts w:hint="eastAsia" w:ascii="宋体" w:hAnsi="宋体"/>
          <w:sz w:val="24"/>
        </w:rPr>
        <w:t>一、</w:t>
      </w:r>
      <w:r>
        <w:rPr>
          <w:rFonts w:ascii="宋体" w:hAnsi="宋体"/>
          <w:sz w:val="24"/>
        </w:rPr>
        <w:t>整体服务体系要求</w:t>
      </w:r>
      <w:r>
        <w:rPr>
          <w:rFonts w:hint="eastAsia" w:ascii="宋体" w:hAnsi="宋体"/>
          <w:sz w:val="24"/>
        </w:rPr>
        <w:t>：</w:t>
      </w:r>
    </w:p>
    <w:p w14:paraId="7D43CB9A">
      <w:pPr>
        <w:pStyle w:val="23"/>
        <w:ind w:left="0" w:leftChars="0" w:firstLine="480"/>
        <w:rPr>
          <w:rFonts w:ascii="宋体" w:hAnsi="宋体"/>
          <w:sz w:val="24"/>
        </w:rPr>
      </w:pPr>
      <w:r>
        <w:rPr>
          <w:rFonts w:ascii="宋体" w:hAnsi="宋体"/>
          <w:sz w:val="24"/>
        </w:rPr>
        <w:t>1. 中标供应商须建立健全专业化、标准化的售后服务及运维管理体系，制定完善的运维规章制度与作业流程。</w:t>
      </w:r>
    </w:p>
    <w:p w14:paraId="2CE6CF67">
      <w:pPr>
        <w:pStyle w:val="23"/>
        <w:ind w:left="0" w:leftChars="0" w:firstLine="480"/>
        <w:rPr>
          <w:rFonts w:ascii="宋体" w:hAnsi="宋体"/>
          <w:sz w:val="24"/>
        </w:rPr>
      </w:pPr>
      <w:r>
        <w:rPr>
          <w:rFonts w:ascii="宋体" w:hAnsi="宋体"/>
          <w:sz w:val="24"/>
        </w:rPr>
        <w:t>2. 建立应急服务通道，涵盖业务受理、安装开通、</w:t>
      </w:r>
      <w:r>
        <w:rPr>
          <w:rFonts w:hint="eastAsia" w:ascii="宋体" w:hAnsi="宋体"/>
          <w:sz w:val="24"/>
        </w:rPr>
        <w:t>故障</w:t>
      </w:r>
      <w:r>
        <w:rPr>
          <w:rFonts w:ascii="宋体" w:hAnsi="宋体"/>
          <w:sz w:val="24"/>
        </w:rPr>
        <w:t>申告、全程技术服务</w:t>
      </w:r>
      <w:r>
        <w:rPr>
          <w:rFonts w:hint="eastAsia" w:ascii="宋体" w:hAnsi="宋体"/>
          <w:sz w:val="24"/>
        </w:rPr>
        <w:t>等</w:t>
      </w:r>
      <w:r>
        <w:rPr>
          <w:rFonts w:ascii="宋体" w:hAnsi="宋体"/>
          <w:sz w:val="24"/>
        </w:rPr>
        <w:t>服务维度，依托完整的快速响应组织架构，高效调度网络资源，实现服务全链条闭环管理。</w:t>
      </w:r>
    </w:p>
    <w:p w14:paraId="2DAF7105">
      <w:pPr>
        <w:pStyle w:val="23"/>
        <w:ind w:left="0" w:leftChars="0" w:firstLine="480"/>
        <w:rPr>
          <w:rFonts w:ascii="宋体" w:hAnsi="宋体"/>
          <w:sz w:val="24"/>
        </w:rPr>
      </w:pPr>
      <w:r>
        <w:rPr>
          <w:rFonts w:ascii="宋体" w:hAnsi="宋体"/>
          <w:sz w:val="24"/>
        </w:rPr>
        <w:t>3. 组建专属本项目的专项运维保障团队，配备经验丰富、训练有素的专业技术及运维人员，专职负责本项目教育专网的运维保障工作。</w:t>
      </w:r>
    </w:p>
    <w:p w14:paraId="3E8F950C">
      <w:pPr>
        <w:pStyle w:val="23"/>
        <w:ind w:left="0" w:leftChars="0" w:firstLine="480"/>
        <w:rPr>
          <w:rFonts w:ascii="宋体" w:hAnsi="宋体"/>
          <w:sz w:val="24"/>
        </w:rPr>
      </w:pPr>
      <w:r>
        <w:rPr>
          <w:rFonts w:hint="eastAsia" w:ascii="宋体" w:hAnsi="宋体"/>
          <w:sz w:val="24"/>
        </w:rPr>
        <w:t>二、</w:t>
      </w:r>
      <w:r>
        <w:rPr>
          <w:rFonts w:ascii="宋体" w:hAnsi="宋体"/>
          <w:sz w:val="24"/>
        </w:rPr>
        <w:t>基础服务保障承诺</w:t>
      </w:r>
      <w:r>
        <w:rPr>
          <w:rFonts w:hint="eastAsia" w:ascii="宋体" w:hAnsi="宋体"/>
          <w:sz w:val="24"/>
        </w:rPr>
        <w:t>：</w:t>
      </w:r>
    </w:p>
    <w:p w14:paraId="2555CB19">
      <w:pPr>
        <w:pStyle w:val="23"/>
        <w:ind w:left="0" w:leftChars="0" w:firstLine="480"/>
        <w:rPr>
          <w:rFonts w:ascii="宋体" w:hAnsi="宋体"/>
          <w:sz w:val="24"/>
        </w:rPr>
      </w:pPr>
      <w:r>
        <w:rPr>
          <w:rFonts w:ascii="宋体" w:hAnsi="宋体"/>
          <w:sz w:val="24"/>
        </w:rPr>
        <w:t>1. 保障教育专网安全、稳定、高效持续运行。</w:t>
      </w:r>
    </w:p>
    <w:p w14:paraId="675D3A79">
      <w:pPr>
        <w:pStyle w:val="23"/>
        <w:ind w:left="0" w:leftChars="0" w:firstLine="48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供应商需在2026年8月31日前</w:t>
      </w:r>
      <w:r>
        <w:rPr>
          <w:rFonts w:ascii="宋体" w:hAnsi="宋体"/>
          <w:sz w:val="24"/>
        </w:rPr>
        <w:t>，须完成本项目全部接入单位光纤链路的接入与集成调试工作，确保链路正常投用。</w:t>
      </w:r>
    </w:p>
    <w:p w14:paraId="7E991D3A">
      <w:pPr>
        <w:pStyle w:val="23"/>
        <w:ind w:left="0" w:leftChars="0" w:firstLine="480"/>
        <w:rPr>
          <w:rFonts w:ascii="宋体" w:hAnsi="宋体"/>
          <w:sz w:val="24"/>
        </w:rPr>
      </w:pPr>
      <w:r>
        <w:rPr>
          <w:rFonts w:hint="eastAsia" w:ascii="宋体" w:hAnsi="宋体"/>
          <w:sz w:val="24"/>
        </w:rPr>
        <w:t>3</w:t>
      </w:r>
      <w:r>
        <w:rPr>
          <w:rFonts w:ascii="宋体" w:hAnsi="宋体"/>
          <w:sz w:val="24"/>
        </w:rPr>
        <w:t>. 免费提供全周期技术培训服务，包含项目前期对接培训、设备开通操作培训、后期运维实操培训等，保障采购单位人员熟练掌握相关使用及基础运维技能。</w:t>
      </w:r>
    </w:p>
    <w:p w14:paraId="53034224">
      <w:pPr>
        <w:pStyle w:val="23"/>
        <w:ind w:left="0" w:leftChars="0" w:firstLine="480"/>
        <w:rPr>
          <w:rFonts w:ascii="宋体" w:hAnsi="宋体"/>
          <w:sz w:val="24"/>
        </w:rPr>
      </w:pPr>
      <w:r>
        <w:rPr>
          <w:rFonts w:ascii="宋体" w:hAnsi="宋体"/>
          <w:sz w:val="24"/>
        </w:rPr>
        <w:t>三、7×24小时故障处置服务要求</w:t>
      </w:r>
    </w:p>
    <w:p w14:paraId="3F0D3386">
      <w:pPr>
        <w:pStyle w:val="23"/>
        <w:ind w:left="0" w:leftChars="0" w:firstLine="480"/>
        <w:rPr>
          <w:rFonts w:ascii="宋体" w:hAnsi="宋体"/>
          <w:sz w:val="24"/>
        </w:rPr>
      </w:pPr>
      <w:r>
        <w:rPr>
          <w:rFonts w:ascii="宋体" w:hAnsi="宋体"/>
          <w:sz w:val="24"/>
        </w:rPr>
        <w:t>1.</w:t>
      </w:r>
      <w:r>
        <w:rPr>
          <w:rFonts w:hint="eastAsia" w:ascii="宋体" w:hAnsi="宋体"/>
          <w:sz w:val="24"/>
        </w:rPr>
        <w:t>提供</w:t>
      </w:r>
      <w:r>
        <w:rPr>
          <w:rFonts w:ascii="宋体" w:hAnsi="宋体"/>
          <w:sz w:val="24"/>
        </w:rPr>
        <w:t>7×24小时不间断故障申告服务热线，实现全年无休单点故障受理、咨询对接，保障热线畅通不占线。</w:t>
      </w:r>
    </w:p>
    <w:p w14:paraId="787E6A5A">
      <w:pPr>
        <w:pStyle w:val="23"/>
        <w:ind w:left="0" w:leftChars="0" w:firstLine="480"/>
        <w:rPr>
          <w:rFonts w:ascii="宋体" w:hAnsi="宋体"/>
          <w:sz w:val="24"/>
        </w:rPr>
      </w:pPr>
      <w:r>
        <w:rPr>
          <w:rFonts w:ascii="宋体" w:hAnsi="宋体"/>
          <w:sz w:val="24"/>
        </w:rPr>
        <w:t>2. 故障响应时限：接到采购单位故障申告后，</w:t>
      </w:r>
      <w:r>
        <w:rPr>
          <w:rFonts w:hint="eastAsia" w:ascii="宋体" w:hAnsi="宋体"/>
          <w:sz w:val="24"/>
        </w:rPr>
        <w:t>1小时</w:t>
      </w:r>
      <w:r>
        <w:rPr>
          <w:rFonts w:ascii="宋体" w:hAnsi="宋体"/>
          <w:sz w:val="24"/>
        </w:rPr>
        <w:t>内完成响应并反馈对接。</w:t>
      </w:r>
    </w:p>
    <w:p w14:paraId="24C2F443">
      <w:pPr>
        <w:pStyle w:val="23"/>
        <w:ind w:left="0" w:leftChars="0" w:firstLine="480"/>
        <w:rPr>
          <w:rFonts w:ascii="宋体" w:hAnsi="宋体"/>
          <w:sz w:val="24"/>
        </w:rPr>
      </w:pPr>
      <w:r>
        <w:rPr>
          <w:rFonts w:ascii="宋体" w:hAnsi="宋体"/>
          <w:sz w:val="24"/>
        </w:rPr>
        <w:t>3. 故障修复时限：一般网络及链路故障，</w:t>
      </w:r>
      <w:r>
        <w:rPr>
          <w:rFonts w:hint="eastAsia" w:ascii="宋体" w:hAnsi="宋体"/>
          <w:sz w:val="24"/>
        </w:rPr>
        <w:t>4</w:t>
      </w:r>
      <w:r>
        <w:rPr>
          <w:rFonts w:ascii="宋体" w:hAnsi="宋体"/>
          <w:sz w:val="24"/>
        </w:rPr>
        <w:t>小时内完成故障排查与修复、恢复电路正常运行。</w:t>
      </w:r>
    </w:p>
    <w:p w14:paraId="662161AA">
      <w:pPr>
        <w:pStyle w:val="23"/>
        <w:ind w:left="0" w:leftChars="0" w:firstLine="480"/>
        <w:rPr>
          <w:rFonts w:ascii="宋体" w:hAnsi="宋体"/>
          <w:sz w:val="24"/>
        </w:rPr>
      </w:pPr>
      <w:r>
        <w:rPr>
          <w:rFonts w:ascii="宋体" w:hAnsi="宋体"/>
          <w:sz w:val="24"/>
        </w:rPr>
        <w:t>四、日常运维与运行支持服务要求</w:t>
      </w:r>
    </w:p>
    <w:p w14:paraId="29ACA0DC">
      <w:pPr>
        <w:pStyle w:val="23"/>
        <w:ind w:left="0" w:leftChars="0" w:firstLine="480"/>
        <w:rPr>
          <w:rFonts w:ascii="宋体" w:hAnsi="宋体"/>
          <w:sz w:val="24"/>
        </w:rPr>
      </w:pPr>
      <w:r>
        <w:rPr>
          <w:rFonts w:ascii="宋体" w:hAnsi="宋体"/>
          <w:sz w:val="24"/>
        </w:rPr>
        <w:t>1. 对本项目所有电路、设备、光纤链路进行专属标记，建立精准、完备的光纤链路资料、网络运行档案、路由接入资料，完整归档并同步提交采购单位留存。</w:t>
      </w:r>
    </w:p>
    <w:p w14:paraId="5EA3D330">
      <w:pPr>
        <w:pStyle w:val="23"/>
        <w:ind w:left="0" w:leftChars="0" w:firstLine="480"/>
        <w:rPr>
          <w:rFonts w:ascii="宋体" w:hAnsi="宋体"/>
          <w:sz w:val="24"/>
        </w:rPr>
      </w:pPr>
      <w:r>
        <w:rPr>
          <w:rFonts w:ascii="宋体" w:hAnsi="宋体"/>
          <w:sz w:val="24"/>
        </w:rPr>
        <w:t>2. 建立常态化联络台账，定期更新采购单位对接人、供应商客户经理、技术运维人员联系方式，保障日常沟通、应急对接畅通。</w:t>
      </w:r>
    </w:p>
    <w:p w14:paraId="4DE9CC47">
      <w:pPr>
        <w:pStyle w:val="23"/>
        <w:ind w:left="0" w:leftChars="0" w:firstLine="480"/>
        <w:rPr>
          <w:rFonts w:ascii="宋体" w:hAnsi="宋体"/>
          <w:sz w:val="24"/>
        </w:rPr>
      </w:pPr>
      <w:r>
        <w:rPr>
          <w:rFonts w:hint="eastAsia" w:ascii="宋体" w:hAnsi="宋体"/>
          <w:sz w:val="24"/>
        </w:rPr>
        <w:t>3</w:t>
      </w:r>
      <w:r>
        <w:rPr>
          <w:rFonts w:ascii="宋体" w:hAnsi="宋体"/>
          <w:sz w:val="24"/>
        </w:rPr>
        <w:t>. 定期开展现场设备、链路巡检维护工作，对机房设备、光缆、ODF架等关键设施进行标识梳理、隐患排查、状态核验，做好备份链路检测确认。</w:t>
      </w:r>
    </w:p>
    <w:p w14:paraId="1D4E9297">
      <w:pPr>
        <w:pStyle w:val="23"/>
        <w:ind w:left="0" w:leftChars="0" w:firstLine="480"/>
        <w:rPr>
          <w:rFonts w:ascii="宋体" w:hAnsi="宋体"/>
          <w:sz w:val="24"/>
        </w:rPr>
      </w:pPr>
      <w:r>
        <w:rPr>
          <w:rFonts w:hint="eastAsia" w:ascii="宋体" w:hAnsi="宋体"/>
          <w:sz w:val="24"/>
        </w:rPr>
        <w:t>4</w:t>
      </w:r>
      <w:r>
        <w:rPr>
          <w:rFonts w:ascii="宋体" w:hAnsi="宋体"/>
          <w:sz w:val="24"/>
        </w:rPr>
        <w:t>. 按需提供现场专属技术支撑服务，配合采购单位完成网络调试、优化、检测等相关工作。</w:t>
      </w:r>
    </w:p>
    <w:p w14:paraId="6A5A79AE">
      <w:pPr>
        <w:pStyle w:val="23"/>
        <w:ind w:left="0" w:leftChars="0" w:firstLine="480"/>
        <w:rPr>
          <w:rFonts w:ascii="宋体" w:hAnsi="宋体"/>
          <w:sz w:val="24"/>
        </w:rPr>
      </w:pPr>
      <w:r>
        <w:rPr>
          <w:rFonts w:hint="eastAsia" w:ascii="宋体" w:hAnsi="宋体"/>
          <w:sz w:val="24"/>
        </w:rPr>
        <w:t>五、</w:t>
      </w:r>
      <w:r>
        <w:rPr>
          <w:rFonts w:ascii="宋体" w:hAnsi="宋体"/>
          <w:sz w:val="24"/>
        </w:rPr>
        <w:t>定期设备维护</w:t>
      </w:r>
    </w:p>
    <w:p w14:paraId="2BFAE559">
      <w:pPr>
        <w:pStyle w:val="23"/>
        <w:ind w:left="0" w:leftChars="0" w:firstLine="480"/>
        <w:rPr>
          <w:rFonts w:ascii="宋体" w:hAnsi="宋体"/>
          <w:sz w:val="24"/>
        </w:rPr>
      </w:pPr>
      <w:r>
        <w:rPr>
          <w:rFonts w:ascii="宋体" w:hAnsi="宋体"/>
          <w:sz w:val="24"/>
        </w:rPr>
        <w:t>制定常态化设备维护作业计划，定期安排技术人员上门对项目通信设施、光纤链路、配套设备进行全面检修、保养、调试，及时排查设备老化、链路损耗、运行异常等问题，保障设备长期安全稳定运行。</w:t>
      </w:r>
    </w:p>
    <w:p w14:paraId="533D58B4">
      <w:pPr>
        <w:pStyle w:val="23"/>
        <w:ind w:left="0" w:leftChars="0" w:firstLine="480"/>
        <w:rPr>
          <w:rFonts w:ascii="宋体" w:hAnsi="宋体"/>
          <w:sz w:val="24"/>
        </w:rPr>
      </w:pPr>
      <w:r>
        <w:rPr>
          <w:rFonts w:hint="eastAsia" w:ascii="宋体" w:hAnsi="宋体"/>
          <w:sz w:val="24"/>
        </w:rPr>
        <w:t>六、</w:t>
      </w:r>
      <w:r>
        <w:rPr>
          <w:rFonts w:ascii="宋体" w:hAnsi="宋体"/>
          <w:sz w:val="24"/>
        </w:rPr>
        <w:t>重要通信保障服务</w:t>
      </w:r>
    </w:p>
    <w:p w14:paraId="7380D544">
      <w:pPr>
        <w:pStyle w:val="23"/>
        <w:ind w:left="0" w:leftChars="0" w:firstLine="480"/>
        <w:rPr>
          <w:rFonts w:ascii="宋体" w:hAnsi="宋体"/>
          <w:sz w:val="24"/>
        </w:rPr>
      </w:pPr>
      <w:r>
        <w:rPr>
          <w:rFonts w:ascii="宋体" w:hAnsi="宋体"/>
          <w:sz w:val="24"/>
        </w:rPr>
        <w:t>针对采购单位重大数据传输、重点工作开展、重大活动保障等场景，可根据采购单位需求提供专项重要通信保障服务，提前做好链路检测、隐患排查、资源预留，全程保障通信稳定。</w:t>
      </w:r>
    </w:p>
    <w:p w14:paraId="308296C7">
      <w:pPr>
        <w:pStyle w:val="23"/>
        <w:ind w:left="0" w:leftChars="0" w:firstLine="480"/>
        <w:rPr>
          <w:rFonts w:ascii="宋体" w:hAnsi="宋体"/>
          <w:sz w:val="24"/>
        </w:rPr>
      </w:pPr>
      <w:r>
        <w:rPr>
          <w:rFonts w:hint="eastAsia" w:ascii="宋体" w:hAnsi="宋体"/>
          <w:sz w:val="24"/>
        </w:rPr>
        <w:t>七</w:t>
      </w:r>
      <w:r>
        <w:rPr>
          <w:rFonts w:ascii="宋体" w:hAnsi="宋体"/>
          <w:sz w:val="24"/>
        </w:rPr>
        <w:t>、应急预案与应急处置服务要求</w:t>
      </w:r>
    </w:p>
    <w:p w14:paraId="1CDF1A8D">
      <w:pPr>
        <w:pStyle w:val="23"/>
        <w:ind w:left="0" w:leftChars="0" w:firstLine="480"/>
        <w:rPr>
          <w:rFonts w:ascii="宋体" w:hAnsi="宋体"/>
          <w:sz w:val="24"/>
        </w:rPr>
      </w:pPr>
      <w:r>
        <w:rPr>
          <w:rFonts w:ascii="宋体" w:hAnsi="宋体"/>
          <w:sz w:val="24"/>
        </w:rPr>
        <w:t>1. 建立业务应急响应体系，实行项目经理负责制，明确应急处置第一责任人，实现突发故障、突发事件快速调度、全员联动、高效处置。</w:t>
      </w:r>
    </w:p>
    <w:p w14:paraId="360A46ED">
      <w:pPr>
        <w:pStyle w:val="23"/>
        <w:ind w:left="0" w:leftChars="0" w:firstLine="480"/>
        <w:rPr>
          <w:rFonts w:ascii="宋体" w:hAnsi="宋体"/>
          <w:sz w:val="24"/>
        </w:rPr>
      </w:pPr>
      <w:r>
        <w:rPr>
          <w:rFonts w:ascii="宋体" w:hAnsi="宋体"/>
          <w:sz w:val="24"/>
        </w:rPr>
        <w:t>2. 建立7×24小时</w:t>
      </w:r>
      <w:r>
        <w:rPr>
          <w:rFonts w:hint="eastAsia" w:ascii="宋体" w:hAnsi="宋体"/>
          <w:sz w:val="24"/>
        </w:rPr>
        <w:t>应急响应</w:t>
      </w:r>
      <w:r>
        <w:rPr>
          <w:rFonts w:ascii="宋体" w:hAnsi="宋体"/>
          <w:sz w:val="24"/>
        </w:rPr>
        <w:t>制度，完善应急联络机制，明确各级应急联系人，确保紧急情况下专人对接、全程响应。</w:t>
      </w:r>
    </w:p>
    <w:p w14:paraId="434FB250">
      <w:pPr>
        <w:pStyle w:val="23"/>
        <w:ind w:left="0" w:leftChars="0" w:firstLine="480"/>
        <w:rPr>
          <w:rFonts w:ascii="宋体" w:hAnsi="宋体"/>
          <w:sz w:val="24"/>
        </w:rPr>
      </w:pPr>
      <w:r>
        <w:rPr>
          <w:rFonts w:ascii="宋体" w:hAnsi="宋体"/>
          <w:sz w:val="24"/>
        </w:rPr>
        <w:t xml:space="preserve">3. </w:t>
      </w:r>
      <w:r>
        <w:rPr>
          <w:rFonts w:hint="eastAsia" w:ascii="宋体" w:hAnsi="宋体"/>
          <w:sz w:val="24"/>
        </w:rPr>
        <w:t>为</w:t>
      </w:r>
      <w:r>
        <w:rPr>
          <w:rFonts w:ascii="宋体" w:hAnsi="宋体"/>
          <w:sz w:val="24"/>
        </w:rPr>
        <w:t>本项目专属运维场地设立备件存储区域，配齐抢修工具、检测仪表、应急车辆等物资，保障应急抢修资源充足、随时待命。</w:t>
      </w:r>
    </w:p>
    <w:p w14:paraId="63787416">
      <w:pPr>
        <w:pStyle w:val="23"/>
        <w:ind w:left="0" w:leftChars="0" w:firstLine="480"/>
        <w:rPr>
          <w:rFonts w:ascii="宋体" w:hAnsi="宋体"/>
          <w:sz w:val="24"/>
        </w:rPr>
      </w:pPr>
      <w:r>
        <w:rPr>
          <w:rFonts w:ascii="宋体" w:hAnsi="宋体"/>
          <w:sz w:val="24"/>
        </w:rPr>
        <w:t>4. 针对不可抗力、设备故障、节点瘫痪、重大活动保障等各类突发场景，制定专项应急预案，定期开展应急演练、隐患排查、预案优化工作。</w:t>
      </w:r>
    </w:p>
    <w:p w14:paraId="1F0A65B5">
      <w:pPr>
        <w:pStyle w:val="23"/>
        <w:ind w:left="0" w:leftChars="0" w:firstLine="480"/>
        <w:rPr>
          <w:rFonts w:ascii="宋体" w:hAnsi="宋体"/>
          <w:sz w:val="24"/>
        </w:rPr>
      </w:pPr>
      <w:r>
        <w:rPr>
          <w:rFonts w:hint="eastAsia" w:ascii="宋体" w:hAnsi="宋体"/>
          <w:sz w:val="24"/>
        </w:rPr>
        <w:t>八</w:t>
      </w:r>
      <w:r>
        <w:rPr>
          <w:rFonts w:ascii="宋体" w:hAnsi="宋体"/>
          <w:sz w:val="24"/>
        </w:rPr>
        <w:t>、服务考核与资料交付要求</w:t>
      </w:r>
    </w:p>
    <w:p w14:paraId="6CEC91F0">
      <w:pPr>
        <w:pStyle w:val="23"/>
        <w:ind w:left="0" w:leftChars="0" w:firstLine="480"/>
        <w:rPr>
          <w:rFonts w:ascii="宋体" w:hAnsi="宋体"/>
          <w:sz w:val="24"/>
        </w:rPr>
      </w:pPr>
      <w:r>
        <w:rPr>
          <w:rFonts w:ascii="宋体" w:hAnsi="宋体"/>
          <w:sz w:val="24"/>
        </w:rPr>
        <w:t>1. 中标供应商须保障本项目电路开通及时率、故障恢复及时率均达到99%以上。</w:t>
      </w:r>
    </w:p>
    <w:p w14:paraId="4AA7A570">
      <w:pPr>
        <w:pStyle w:val="23"/>
        <w:ind w:left="0" w:leftChars="0" w:firstLine="480"/>
        <w:rPr>
          <w:rFonts w:ascii="宋体" w:hAnsi="宋体"/>
          <w:sz w:val="24"/>
        </w:rPr>
      </w:pPr>
      <w:r>
        <w:rPr>
          <w:rFonts w:ascii="宋体" w:hAnsi="宋体"/>
          <w:sz w:val="24"/>
        </w:rPr>
        <w:t>2. 所有故障处置、运维巡检、割接变更、应急保障、演练培训等工作资料须完整归档，形成运维总结报告，按需提交采购单位核验。</w:t>
      </w:r>
    </w:p>
    <w:p w14:paraId="1C82A044">
      <w:pPr>
        <w:pStyle w:val="23"/>
        <w:ind w:left="0" w:leftChars="0" w:firstLine="480"/>
        <w:rPr>
          <w:rFonts w:ascii="宋体" w:hAnsi="宋体"/>
          <w:sz w:val="24"/>
        </w:rPr>
      </w:pPr>
      <w:r>
        <w:rPr>
          <w:rFonts w:ascii="宋体" w:hAnsi="宋体"/>
          <w:sz w:val="24"/>
        </w:rPr>
        <w:t>3. 主动接受采购单位的日常监督，针对服务过程中出现的问题、隐患、短板，无条件限期整改，持续优化服务质量。</w:t>
      </w:r>
    </w:p>
    <w:p w14:paraId="5A4B1DBA">
      <w:pPr>
        <w:pStyle w:val="23"/>
        <w:ind w:left="0" w:leftChars="0" w:firstLine="480"/>
        <w:rPr>
          <w:rFonts w:ascii="宋体" w:hAnsi="宋体"/>
          <w:sz w:val="24"/>
        </w:rPr>
      </w:pPr>
      <w:r>
        <w:rPr>
          <w:rFonts w:ascii="宋体" w:hAnsi="宋体"/>
          <w:sz w:val="24"/>
        </w:rPr>
        <w:t>4. 建立服务复盘优化机制，定期总结故障处置经验，优化运维流程与应急预案，通过常态化培训、演练提升团队服务能力，持续降低网络故障发生率。</w:t>
      </w:r>
    </w:p>
    <w:p w14:paraId="0EC05E49">
      <w:pPr>
        <w:pStyle w:val="23"/>
        <w:ind w:left="0" w:leftChars="0" w:firstLine="480"/>
        <w:rPr>
          <w:rFonts w:ascii="宋体" w:hAnsi="宋体"/>
          <w:sz w:val="24"/>
        </w:rPr>
      </w:pPr>
    </w:p>
    <w:p w14:paraId="04EDD7B6">
      <w:pPr>
        <w:contextualSpacing/>
        <w:rPr>
          <w:rFonts w:ascii="宋体" w:hAnsi="宋体"/>
          <w:sz w:val="24"/>
        </w:rPr>
      </w:pPr>
      <w:r>
        <w:rPr>
          <w:rFonts w:hint="eastAsia" w:ascii="宋体" w:hAnsi="宋体"/>
          <w:sz w:val="24"/>
        </w:rPr>
        <w:t>4</w:t>
      </w:r>
      <w:r>
        <w:rPr>
          <w:rFonts w:ascii="宋体" w:hAnsi="宋体"/>
          <w:sz w:val="24"/>
        </w:rPr>
        <w:t>. 服务内容及要求/货物技术要求</w:t>
      </w:r>
    </w:p>
    <w:tbl>
      <w:tblPr>
        <w:tblStyle w:val="24"/>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8"/>
        <w:gridCol w:w="1014"/>
        <w:gridCol w:w="1667"/>
        <w:gridCol w:w="4886"/>
      </w:tblGrid>
      <w:tr w14:paraId="5943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337915A5">
            <w:pPr>
              <w:widowControl/>
              <w:autoSpaceDE w:val="0"/>
              <w:autoSpaceDN w:val="0"/>
              <w:adjustRightInd w:val="0"/>
              <w:snapToGrid w:val="0"/>
              <w:spacing w:line="360" w:lineRule="auto"/>
              <w:jc w:val="center"/>
              <w:rPr>
                <w:rFonts w:ascii="宋体" w:hAnsi="宋体" w:cs="宋体"/>
                <w:b/>
                <w:sz w:val="24"/>
              </w:rPr>
            </w:pPr>
            <w:r>
              <w:rPr>
                <w:rFonts w:hint="eastAsia" w:ascii="宋体" w:hAnsi="宋体" w:cs="宋体"/>
                <w:b/>
                <w:kern w:val="0"/>
                <w:sz w:val="24"/>
              </w:rPr>
              <w:t>序号</w:t>
            </w:r>
          </w:p>
        </w:tc>
        <w:tc>
          <w:tcPr>
            <w:tcW w:w="987" w:type="dxa"/>
            <w:shd w:val="clear" w:color="auto" w:fill="FFFFFF"/>
            <w:vAlign w:val="center"/>
          </w:tcPr>
          <w:p w14:paraId="47401B14">
            <w:pPr>
              <w:widowControl/>
              <w:autoSpaceDE w:val="0"/>
              <w:autoSpaceDN w:val="0"/>
              <w:adjustRightInd w:val="0"/>
              <w:snapToGrid w:val="0"/>
              <w:spacing w:line="360" w:lineRule="auto"/>
              <w:jc w:val="center"/>
              <w:rPr>
                <w:rFonts w:ascii="宋体" w:hAnsi="宋体" w:cs="宋体"/>
                <w:b/>
                <w:sz w:val="24"/>
              </w:rPr>
            </w:pPr>
            <w:r>
              <w:rPr>
                <w:rFonts w:hint="eastAsia" w:ascii="宋体" w:hAnsi="宋体" w:cs="宋体"/>
                <w:b/>
                <w:kern w:val="0"/>
                <w:sz w:val="24"/>
              </w:rPr>
              <w:t>重要性</w:t>
            </w:r>
          </w:p>
        </w:tc>
        <w:tc>
          <w:tcPr>
            <w:tcW w:w="1623" w:type="dxa"/>
            <w:shd w:val="clear" w:color="auto" w:fill="FFFFFF"/>
            <w:vAlign w:val="center"/>
          </w:tcPr>
          <w:p w14:paraId="015BBAB1">
            <w:pPr>
              <w:widowControl/>
              <w:autoSpaceDE w:val="0"/>
              <w:autoSpaceDN w:val="0"/>
              <w:adjustRightInd w:val="0"/>
              <w:snapToGrid w:val="0"/>
              <w:spacing w:line="360" w:lineRule="auto"/>
              <w:jc w:val="center"/>
              <w:rPr>
                <w:rFonts w:ascii="宋体" w:hAnsi="宋体" w:cs="宋体"/>
                <w:b/>
                <w:sz w:val="24"/>
              </w:rPr>
            </w:pPr>
            <w:r>
              <w:rPr>
                <w:rFonts w:hint="eastAsia" w:ascii="宋体" w:hAnsi="宋体" w:cs="宋体"/>
                <w:b/>
                <w:kern w:val="0"/>
                <w:sz w:val="24"/>
              </w:rPr>
              <w:t>指标项</w:t>
            </w:r>
          </w:p>
        </w:tc>
        <w:tc>
          <w:tcPr>
            <w:tcW w:w="4756" w:type="dxa"/>
            <w:shd w:val="clear" w:color="auto" w:fill="FFFFFF"/>
            <w:vAlign w:val="center"/>
          </w:tcPr>
          <w:p w14:paraId="3715C569">
            <w:pPr>
              <w:widowControl/>
              <w:autoSpaceDE w:val="0"/>
              <w:autoSpaceDN w:val="0"/>
              <w:adjustRightInd w:val="0"/>
              <w:snapToGrid w:val="0"/>
              <w:spacing w:line="360" w:lineRule="auto"/>
              <w:jc w:val="center"/>
              <w:rPr>
                <w:rFonts w:ascii="宋体" w:hAnsi="宋体" w:cs="宋体"/>
                <w:b/>
                <w:sz w:val="24"/>
              </w:rPr>
            </w:pPr>
            <w:r>
              <w:rPr>
                <w:rFonts w:hint="eastAsia" w:ascii="宋体" w:hAnsi="宋体" w:cs="宋体"/>
                <w:b/>
                <w:kern w:val="0"/>
                <w:sz w:val="24"/>
              </w:rPr>
              <w:t>指标要求</w:t>
            </w:r>
          </w:p>
        </w:tc>
      </w:tr>
      <w:tr w14:paraId="4D25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7C7B59E0">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1</w:t>
            </w:r>
          </w:p>
        </w:tc>
        <w:tc>
          <w:tcPr>
            <w:tcW w:w="987" w:type="dxa"/>
            <w:shd w:val="clear" w:color="auto" w:fill="FFFFFF"/>
            <w:vAlign w:val="center"/>
          </w:tcPr>
          <w:p w14:paraId="2333D978">
            <w:pPr>
              <w:widowControl/>
              <w:autoSpaceDE w:val="0"/>
              <w:autoSpaceDN w:val="0"/>
              <w:adjustRightInd w:val="0"/>
              <w:snapToGrid w:val="0"/>
              <w:spacing w:line="360" w:lineRule="auto"/>
              <w:jc w:val="center"/>
              <w:rPr>
                <w:rFonts w:ascii="宋体" w:hAnsi="宋体" w:cs="宋体"/>
                <w:b/>
                <w:sz w:val="24"/>
              </w:rPr>
            </w:pPr>
            <w:r>
              <w:rPr>
                <w:rFonts w:hint="eastAsia" w:ascii="宋体" w:hAnsi="宋体" w:cs="宋体"/>
                <w:b/>
                <w:kern w:val="0"/>
                <w:sz w:val="24"/>
              </w:rPr>
              <w:t>#</w:t>
            </w:r>
          </w:p>
        </w:tc>
        <w:tc>
          <w:tcPr>
            <w:tcW w:w="1623" w:type="dxa"/>
            <w:vMerge w:val="restart"/>
            <w:shd w:val="clear" w:color="auto" w:fill="FFFFFF"/>
            <w:vAlign w:val="center"/>
          </w:tcPr>
          <w:p w14:paraId="172A8413">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链路要求</w:t>
            </w:r>
          </w:p>
        </w:tc>
        <w:tc>
          <w:tcPr>
            <w:tcW w:w="4756" w:type="dxa"/>
            <w:shd w:val="clear" w:color="auto" w:fill="FFFFFF"/>
            <w:vAlign w:val="center"/>
          </w:tcPr>
          <w:p w14:paraId="55197836">
            <w:pPr>
              <w:widowControl/>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本项目为教育专网，供应商仅提供光纤物理通道，不提供数据处理等服务，本项目专网专用与其他网络物理隔离，接入端用户设备应布放于用户指定机房，由用户独立管理。</w:t>
            </w:r>
          </w:p>
        </w:tc>
      </w:tr>
      <w:tr w14:paraId="4A2E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3405DFF4">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2</w:t>
            </w:r>
          </w:p>
        </w:tc>
        <w:tc>
          <w:tcPr>
            <w:tcW w:w="987" w:type="dxa"/>
            <w:shd w:val="clear" w:color="auto" w:fill="FFFFFF"/>
            <w:vAlign w:val="center"/>
          </w:tcPr>
          <w:p w14:paraId="606D5F64">
            <w:pPr>
              <w:widowControl/>
              <w:autoSpaceDE w:val="0"/>
              <w:autoSpaceDN w:val="0"/>
              <w:adjustRightInd w:val="0"/>
              <w:snapToGrid w:val="0"/>
              <w:spacing w:line="360" w:lineRule="auto"/>
              <w:jc w:val="center"/>
              <w:rPr>
                <w:rFonts w:ascii="宋体" w:hAnsi="宋体" w:cs="宋体"/>
                <w:b/>
                <w:kern w:val="0"/>
                <w:sz w:val="24"/>
              </w:rPr>
            </w:pPr>
            <w:r>
              <w:rPr>
                <w:rFonts w:hint="eastAsia" w:ascii="宋体" w:hAnsi="宋体" w:cs="宋体"/>
                <w:b/>
                <w:kern w:val="0"/>
                <w:sz w:val="24"/>
              </w:rPr>
              <w:t>#</w:t>
            </w:r>
          </w:p>
        </w:tc>
        <w:tc>
          <w:tcPr>
            <w:tcW w:w="1623" w:type="dxa"/>
            <w:vMerge w:val="continue"/>
            <w:shd w:val="clear" w:color="auto" w:fill="FFFFFF"/>
            <w:vAlign w:val="center"/>
          </w:tcPr>
          <w:p w14:paraId="5EF171AB">
            <w:pPr>
              <w:widowControl/>
              <w:autoSpaceDE w:val="0"/>
              <w:autoSpaceDN w:val="0"/>
              <w:adjustRightInd w:val="0"/>
              <w:snapToGrid w:val="0"/>
              <w:spacing w:line="360" w:lineRule="auto"/>
              <w:jc w:val="center"/>
              <w:rPr>
                <w:rFonts w:ascii="宋体" w:hAnsi="宋体" w:cs="宋体"/>
                <w:bCs/>
                <w:sz w:val="24"/>
              </w:rPr>
            </w:pPr>
          </w:p>
        </w:tc>
        <w:tc>
          <w:tcPr>
            <w:tcW w:w="4756" w:type="dxa"/>
            <w:shd w:val="clear" w:color="auto" w:fill="FFFFFF"/>
            <w:vAlign w:val="center"/>
          </w:tcPr>
          <w:p w14:paraId="6FA28E00">
            <w:pPr>
              <w:widowControl/>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提供到大兴区教育网各接入单位的光纤链路。光纤为双芯接入，收发数据使用不同光芯。</w:t>
            </w:r>
          </w:p>
        </w:tc>
      </w:tr>
      <w:tr w14:paraId="5456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777903BE">
            <w:pPr>
              <w:widowControl/>
              <w:autoSpaceDE w:val="0"/>
              <w:autoSpaceDN w:val="0"/>
              <w:adjustRightInd w:val="0"/>
              <w:snapToGrid w:val="0"/>
              <w:spacing w:line="360" w:lineRule="auto"/>
              <w:jc w:val="center"/>
              <w:rPr>
                <w:rFonts w:ascii="宋体" w:hAnsi="宋体" w:cs="宋体"/>
                <w:bCs/>
                <w:kern w:val="0"/>
                <w:sz w:val="24"/>
              </w:rPr>
            </w:pPr>
            <w:r>
              <w:rPr>
                <w:rFonts w:hint="eastAsia" w:ascii="宋体" w:hAnsi="宋体" w:cs="宋体"/>
                <w:bCs/>
                <w:kern w:val="0"/>
                <w:sz w:val="24"/>
              </w:rPr>
              <w:t>3</w:t>
            </w:r>
          </w:p>
        </w:tc>
        <w:tc>
          <w:tcPr>
            <w:tcW w:w="987" w:type="dxa"/>
            <w:shd w:val="clear" w:color="auto" w:fill="FFFFFF"/>
            <w:vAlign w:val="center"/>
          </w:tcPr>
          <w:p w14:paraId="78918176">
            <w:pPr>
              <w:widowControl/>
              <w:autoSpaceDE w:val="0"/>
              <w:autoSpaceDN w:val="0"/>
              <w:adjustRightInd w:val="0"/>
              <w:snapToGrid w:val="0"/>
              <w:spacing w:line="360" w:lineRule="auto"/>
              <w:jc w:val="center"/>
              <w:rPr>
                <w:rFonts w:ascii="宋体" w:hAnsi="宋体" w:cs="宋体"/>
                <w:b/>
                <w:kern w:val="0"/>
                <w:sz w:val="24"/>
              </w:rPr>
            </w:pPr>
          </w:p>
        </w:tc>
        <w:tc>
          <w:tcPr>
            <w:tcW w:w="1623" w:type="dxa"/>
            <w:vMerge w:val="continue"/>
            <w:shd w:val="clear" w:color="auto" w:fill="FFFFFF"/>
            <w:vAlign w:val="center"/>
          </w:tcPr>
          <w:p w14:paraId="01208C60">
            <w:pPr>
              <w:widowControl/>
              <w:autoSpaceDE w:val="0"/>
              <w:autoSpaceDN w:val="0"/>
              <w:adjustRightInd w:val="0"/>
              <w:snapToGrid w:val="0"/>
              <w:spacing w:line="360" w:lineRule="auto"/>
              <w:jc w:val="center"/>
              <w:rPr>
                <w:rFonts w:ascii="宋体" w:hAnsi="宋体" w:cs="宋体"/>
                <w:bCs/>
                <w:sz w:val="24"/>
              </w:rPr>
            </w:pPr>
          </w:p>
        </w:tc>
        <w:tc>
          <w:tcPr>
            <w:tcW w:w="4756" w:type="dxa"/>
            <w:shd w:val="clear" w:color="auto" w:fill="FFFFFF"/>
            <w:vAlign w:val="center"/>
          </w:tcPr>
          <w:p w14:paraId="58B5DFC4">
            <w:pPr>
              <w:widowControl/>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提供的线路接口光模块和线路必须具有高可靠性、高稳定性，保证接入两端设备之间的正常数据通信，组网结构必须满足大容量实时数据传输要求。</w:t>
            </w:r>
          </w:p>
        </w:tc>
      </w:tr>
      <w:tr w14:paraId="0549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0F8BBE1F">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4</w:t>
            </w:r>
          </w:p>
        </w:tc>
        <w:tc>
          <w:tcPr>
            <w:tcW w:w="987" w:type="dxa"/>
            <w:shd w:val="clear" w:color="auto" w:fill="FFFFFF"/>
            <w:vAlign w:val="center"/>
          </w:tcPr>
          <w:p w14:paraId="7F096148">
            <w:pPr>
              <w:widowControl/>
              <w:autoSpaceDE w:val="0"/>
              <w:autoSpaceDN w:val="0"/>
              <w:adjustRightInd w:val="0"/>
              <w:snapToGrid w:val="0"/>
              <w:spacing w:line="360" w:lineRule="auto"/>
              <w:jc w:val="center"/>
              <w:rPr>
                <w:rFonts w:ascii="宋体" w:hAnsi="宋体" w:cs="宋体"/>
                <w:b/>
                <w:kern w:val="0"/>
                <w:sz w:val="24"/>
              </w:rPr>
            </w:pPr>
            <w:r>
              <w:rPr>
                <w:rFonts w:hint="eastAsia" w:ascii="宋体" w:hAnsi="宋体" w:cs="宋体"/>
                <w:b/>
                <w:kern w:val="0"/>
                <w:sz w:val="24"/>
              </w:rPr>
              <w:t>#</w:t>
            </w:r>
          </w:p>
        </w:tc>
        <w:tc>
          <w:tcPr>
            <w:tcW w:w="1623" w:type="dxa"/>
            <w:vMerge w:val="continue"/>
            <w:shd w:val="clear" w:color="auto" w:fill="FFFFFF"/>
            <w:vAlign w:val="center"/>
          </w:tcPr>
          <w:p w14:paraId="25E605F0">
            <w:pPr>
              <w:autoSpaceDE w:val="0"/>
              <w:autoSpaceDN w:val="0"/>
              <w:adjustRightInd w:val="0"/>
              <w:snapToGrid w:val="0"/>
              <w:spacing w:line="360" w:lineRule="auto"/>
              <w:jc w:val="center"/>
              <w:rPr>
                <w:rFonts w:ascii="宋体" w:hAnsi="宋体" w:cs="宋体"/>
                <w:bCs/>
                <w:sz w:val="24"/>
              </w:rPr>
            </w:pPr>
          </w:p>
        </w:tc>
        <w:tc>
          <w:tcPr>
            <w:tcW w:w="4756" w:type="dxa"/>
            <w:shd w:val="clear" w:color="auto" w:fill="FFFFFF"/>
            <w:vAlign w:val="center"/>
          </w:tcPr>
          <w:p w14:paraId="047E888E">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供应商应负责教育专网链路安装、调测，提供接入地址两端接口链路的光模块设备及链路开通所必须的光缆资源，不再额外收取费用。线路平滑接入，由供应商投资建设的缆线、管道、设备等通信网络资源产权归中标供应商所有。</w:t>
            </w:r>
          </w:p>
        </w:tc>
      </w:tr>
      <w:tr w14:paraId="49EA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6B954C8B">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5</w:t>
            </w:r>
          </w:p>
        </w:tc>
        <w:tc>
          <w:tcPr>
            <w:tcW w:w="987" w:type="dxa"/>
            <w:shd w:val="clear" w:color="auto" w:fill="FFFFFF"/>
            <w:vAlign w:val="center"/>
          </w:tcPr>
          <w:p w14:paraId="59A658CC">
            <w:pPr>
              <w:widowControl/>
              <w:autoSpaceDE w:val="0"/>
              <w:autoSpaceDN w:val="0"/>
              <w:adjustRightInd w:val="0"/>
              <w:snapToGrid w:val="0"/>
              <w:spacing w:line="360" w:lineRule="auto"/>
              <w:jc w:val="center"/>
              <w:rPr>
                <w:rFonts w:ascii="宋体" w:hAnsi="宋体" w:cs="宋体"/>
                <w:b/>
                <w:sz w:val="24"/>
              </w:rPr>
            </w:pPr>
            <w:r>
              <w:rPr>
                <w:rFonts w:hint="eastAsia" w:ascii="宋体" w:hAnsi="宋体" w:cs="宋体"/>
                <w:b/>
                <w:kern w:val="0"/>
                <w:sz w:val="24"/>
              </w:rPr>
              <w:t>#</w:t>
            </w:r>
          </w:p>
        </w:tc>
        <w:tc>
          <w:tcPr>
            <w:tcW w:w="1623" w:type="dxa"/>
            <w:shd w:val="clear" w:color="auto" w:fill="FFFFFF"/>
            <w:vAlign w:val="center"/>
          </w:tcPr>
          <w:p w14:paraId="5DA95DF4">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服务要求</w:t>
            </w:r>
          </w:p>
        </w:tc>
        <w:tc>
          <w:tcPr>
            <w:tcW w:w="4756" w:type="dxa"/>
            <w:shd w:val="clear" w:color="auto" w:fill="FFFFFF"/>
            <w:vAlign w:val="center"/>
          </w:tcPr>
          <w:p w14:paraId="45863D4C">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免费提供接入地址两端接口光模块，光模块型号为单模、双芯、千兆光模块。如接入单位出口设备端口为万兆，也需提供对应可用的单模、双芯、万兆光模块。</w:t>
            </w:r>
          </w:p>
        </w:tc>
      </w:tr>
      <w:tr w14:paraId="3E4D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3E01F720">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6</w:t>
            </w:r>
          </w:p>
        </w:tc>
        <w:tc>
          <w:tcPr>
            <w:tcW w:w="987" w:type="dxa"/>
            <w:shd w:val="clear" w:color="auto" w:fill="FFFFFF"/>
            <w:vAlign w:val="center"/>
          </w:tcPr>
          <w:p w14:paraId="6C725F90">
            <w:pPr>
              <w:widowControl/>
              <w:autoSpaceDE w:val="0"/>
              <w:autoSpaceDN w:val="0"/>
              <w:adjustRightInd w:val="0"/>
              <w:snapToGrid w:val="0"/>
              <w:spacing w:line="360" w:lineRule="auto"/>
              <w:jc w:val="center"/>
              <w:rPr>
                <w:rFonts w:ascii="宋体" w:hAnsi="宋体" w:cs="宋体"/>
                <w:b/>
                <w:sz w:val="24"/>
              </w:rPr>
            </w:pPr>
          </w:p>
        </w:tc>
        <w:tc>
          <w:tcPr>
            <w:tcW w:w="1623" w:type="dxa"/>
            <w:shd w:val="clear" w:color="auto" w:fill="FFFFFF"/>
            <w:vAlign w:val="center"/>
          </w:tcPr>
          <w:p w14:paraId="7AC90873">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线路维护档案</w:t>
            </w:r>
          </w:p>
        </w:tc>
        <w:tc>
          <w:tcPr>
            <w:tcW w:w="4756" w:type="dxa"/>
            <w:shd w:val="clear" w:color="auto" w:fill="FFFFFF"/>
            <w:vAlign w:val="center"/>
          </w:tcPr>
          <w:p w14:paraId="0D562EC6">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供应商应承诺签订合同后建立用户维护资料：对于客户电路、设备进行特殊标记，以保证相关维护资料的准确性，建立详细、完备的线路资料档案和网络运维档案。</w:t>
            </w:r>
          </w:p>
        </w:tc>
      </w:tr>
      <w:tr w14:paraId="2FF1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2DEA8C13">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7</w:t>
            </w:r>
          </w:p>
        </w:tc>
        <w:tc>
          <w:tcPr>
            <w:tcW w:w="987" w:type="dxa"/>
            <w:shd w:val="clear" w:color="auto" w:fill="FFFFFF"/>
            <w:vAlign w:val="center"/>
          </w:tcPr>
          <w:p w14:paraId="1A0C8E98">
            <w:pPr>
              <w:widowControl/>
              <w:autoSpaceDE w:val="0"/>
              <w:autoSpaceDN w:val="0"/>
              <w:adjustRightInd w:val="0"/>
              <w:snapToGrid w:val="0"/>
              <w:spacing w:line="360" w:lineRule="auto"/>
              <w:jc w:val="center"/>
              <w:rPr>
                <w:rFonts w:ascii="宋体" w:hAnsi="宋体" w:cs="宋体"/>
                <w:b/>
                <w:kern w:val="0"/>
                <w:sz w:val="24"/>
              </w:rPr>
            </w:pPr>
            <w:r>
              <w:rPr>
                <w:rFonts w:hint="eastAsia" w:ascii="宋体" w:hAnsi="宋体" w:cs="宋体"/>
                <w:b/>
                <w:kern w:val="0"/>
                <w:sz w:val="24"/>
              </w:rPr>
              <w:t>#</w:t>
            </w:r>
          </w:p>
        </w:tc>
        <w:tc>
          <w:tcPr>
            <w:tcW w:w="1623" w:type="dxa"/>
            <w:shd w:val="clear" w:color="auto" w:fill="FFFFFF"/>
            <w:vAlign w:val="center"/>
          </w:tcPr>
          <w:p w14:paraId="6EC720F4">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无故障运行时间</w:t>
            </w:r>
          </w:p>
        </w:tc>
        <w:tc>
          <w:tcPr>
            <w:tcW w:w="4756" w:type="dxa"/>
            <w:shd w:val="clear" w:color="auto" w:fill="FFFFFF"/>
            <w:vAlign w:val="center"/>
          </w:tcPr>
          <w:p w14:paraId="68481245">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供应商承诺无故障运行时间≥99.9%，提供说明文件，并加盖公章。</w:t>
            </w:r>
          </w:p>
        </w:tc>
      </w:tr>
      <w:tr w14:paraId="1061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6B847AF2">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8</w:t>
            </w:r>
          </w:p>
        </w:tc>
        <w:tc>
          <w:tcPr>
            <w:tcW w:w="987" w:type="dxa"/>
            <w:shd w:val="clear" w:color="auto" w:fill="FFFFFF"/>
            <w:vAlign w:val="center"/>
          </w:tcPr>
          <w:p w14:paraId="546D86FB">
            <w:pPr>
              <w:widowControl/>
              <w:autoSpaceDE w:val="0"/>
              <w:autoSpaceDN w:val="0"/>
              <w:adjustRightInd w:val="0"/>
              <w:snapToGrid w:val="0"/>
              <w:spacing w:line="360" w:lineRule="auto"/>
              <w:jc w:val="center"/>
              <w:rPr>
                <w:rFonts w:ascii="宋体" w:hAnsi="宋体" w:cs="宋体"/>
                <w:b/>
                <w:kern w:val="0"/>
                <w:sz w:val="24"/>
              </w:rPr>
            </w:pPr>
            <w:r>
              <w:rPr>
                <w:rFonts w:hint="eastAsia" w:ascii="宋体" w:hAnsi="宋体" w:cs="宋体"/>
                <w:b/>
                <w:kern w:val="0"/>
                <w:sz w:val="24"/>
              </w:rPr>
              <w:t>#</w:t>
            </w:r>
          </w:p>
        </w:tc>
        <w:tc>
          <w:tcPr>
            <w:tcW w:w="1623" w:type="dxa"/>
            <w:shd w:val="clear" w:color="auto" w:fill="FFFFFF"/>
            <w:vAlign w:val="center"/>
          </w:tcPr>
          <w:p w14:paraId="08E028C6">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故障排除机制</w:t>
            </w:r>
          </w:p>
        </w:tc>
        <w:tc>
          <w:tcPr>
            <w:tcW w:w="4756" w:type="dxa"/>
            <w:shd w:val="clear" w:color="auto" w:fill="FFFFFF"/>
            <w:vAlign w:val="center"/>
          </w:tcPr>
          <w:p w14:paraId="1A88E263">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在专线出现故障时1小时内响应且在4小时内能够排除故障，提供说明文件，并加盖公章。</w:t>
            </w:r>
          </w:p>
        </w:tc>
      </w:tr>
      <w:tr w14:paraId="61CF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10544EDC">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9</w:t>
            </w:r>
          </w:p>
        </w:tc>
        <w:tc>
          <w:tcPr>
            <w:tcW w:w="987" w:type="dxa"/>
            <w:shd w:val="clear" w:color="auto" w:fill="FFFFFF"/>
            <w:vAlign w:val="center"/>
          </w:tcPr>
          <w:p w14:paraId="0D62030D">
            <w:pPr>
              <w:widowControl/>
              <w:autoSpaceDE w:val="0"/>
              <w:autoSpaceDN w:val="0"/>
              <w:adjustRightInd w:val="0"/>
              <w:snapToGrid w:val="0"/>
              <w:spacing w:line="360" w:lineRule="auto"/>
              <w:jc w:val="center"/>
              <w:rPr>
                <w:rFonts w:ascii="宋体" w:hAnsi="宋体" w:cs="宋体"/>
                <w:b/>
                <w:kern w:val="0"/>
                <w:sz w:val="24"/>
              </w:rPr>
            </w:pPr>
            <w:r>
              <w:rPr>
                <w:rFonts w:hint="eastAsia" w:ascii="宋体" w:hAnsi="宋体" w:cs="宋体"/>
                <w:b/>
                <w:kern w:val="0"/>
                <w:sz w:val="24"/>
              </w:rPr>
              <w:t>#</w:t>
            </w:r>
          </w:p>
        </w:tc>
        <w:tc>
          <w:tcPr>
            <w:tcW w:w="1623" w:type="dxa"/>
            <w:shd w:val="clear" w:color="auto" w:fill="FFFFFF"/>
            <w:vAlign w:val="center"/>
          </w:tcPr>
          <w:p w14:paraId="041BB4E3">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技术保障</w:t>
            </w:r>
          </w:p>
        </w:tc>
        <w:tc>
          <w:tcPr>
            <w:tcW w:w="4756" w:type="dxa"/>
            <w:shd w:val="clear" w:color="auto" w:fill="FFFFFF"/>
            <w:vAlign w:val="center"/>
          </w:tcPr>
          <w:p w14:paraId="35F70D8E">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提供7×24小时免费专业技术保障，有专业的技术服务团队和服务热线，提供说明文件，并加盖公章。</w:t>
            </w:r>
          </w:p>
        </w:tc>
      </w:tr>
      <w:tr w14:paraId="784D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7D79FF16">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10</w:t>
            </w:r>
          </w:p>
        </w:tc>
        <w:tc>
          <w:tcPr>
            <w:tcW w:w="987" w:type="dxa"/>
            <w:shd w:val="clear" w:color="auto" w:fill="FFFFFF"/>
            <w:vAlign w:val="center"/>
          </w:tcPr>
          <w:p w14:paraId="4C3BE860">
            <w:pPr>
              <w:widowControl/>
              <w:autoSpaceDE w:val="0"/>
              <w:autoSpaceDN w:val="0"/>
              <w:adjustRightInd w:val="0"/>
              <w:snapToGrid w:val="0"/>
              <w:spacing w:line="360" w:lineRule="auto"/>
              <w:jc w:val="center"/>
              <w:rPr>
                <w:rFonts w:ascii="宋体" w:hAnsi="宋体" w:cs="宋体"/>
                <w:b/>
                <w:kern w:val="0"/>
                <w:sz w:val="24"/>
              </w:rPr>
            </w:pPr>
          </w:p>
        </w:tc>
        <w:tc>
          <w:tcPr>
            <w:tcW w:w="1623" w:type="dxa"/>
            <w:shd w:val="clear" w:color="auto" w:fill="FFFFFF"/>
            <w:vAlign w:val="center"/>
          </w:tcPr>
          <w:p w14:paraId="314E8E9B">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事件通知机制</w:t>
            </w:r>
          </w:p>
        </w:tc>
        <w:tc>
          <w:tcPr>
            <w:tcW w:w="4756" w:type="dxa"/>
            <w:shd w:val="clear" w:color="auto" w:fill="FFFFFF"/>
            <w:vAlign w:val="center"/>
          </w:tcPr>
          <w:p w14:paraId="2DC1A115">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对于事先预知的中断提前24小时通知，提供说明文件，并加盖公章。</w:t>
            </w:r>
          </w:p>
        </w:tc>
      </w:tr>
      <w:tr w14:paraId="7EF0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4E9325F0">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1</w:t>
            </w:r>
            <w:r>
              <w:rPr>
                <w:rFonts w:ascii="宋体" w:hAnsi="宋体" w:cs="宋体"/>
                <w:bCs/>
                <w:sz w:val="24"/>
              </w:rPr>
              <w:t>1</w:t>
            </w:r>
          </w:p>
        </w:tc>
        <w:tc>
          <w:tcPr>
            <w:tcW w:w="987" w:type="dxa"/>
            <w:shd w:val="clear" w:color="auto" w:fill="FFFFFF"/>
            <w:vAlign w:val="center"/>
          </w:tcPr>
          <w:p w14:paraId="7E2355CE">
            <w:pPr>
              <w:widowControl/>
              <w:autoSpaceDE w:val="0"/>
              <w:autoSpaceDN w:val="0"/>
              <w:adjustRightInd w:val="0"/>
              <w:snapToGrid w:val="0"/>
              <w:spacing w:line="360" w:lineRule="auto"/>
              <w:jc w:val="center"/>
              <w:rPr>
                <w:rFonts w:ascii="宋体" w:hAnsi="宋体" w:cs="宋体"/>
                <w:b/>
                <w:kern w:val="0"/>
                <w:sz w:val="24"/>
              </w:rPr>
            </w:pPr>
          </w:p>
        </w:tc>
        <w:tc>
          <w:tcPr>
            <w:tcW w:w="1623" w:type="dxa"/>
            <w:shd w:val="clear" w:color="auto" w:fill="FFFFFF"/>
            <w:vAlign w:val="center"/>
          </w:tcPr>
          <w:p w14:paraId="2C9FB613">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网络保障服务</w:t>
            </w:r>
          </w:p>
        </w:tc>
        <w:tc>
          <w:tcPr>
            <w:tcW w:w="4756" w:type="dxa"/>
            <w:shd w:val="clear" w:color="auto" w:fill="FFFFFF"/>
            <w:vAlign w:val="center"/>
          </w:tcPr>
          <w:p w14:paraId="0618C2A9">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为大兴区教育网的各种重要会议、活动、考试提供必要的线路保障服务及定期线路巡检，保障重要时期网络畅通。</w:t>
            </w:r>
          </w:p>
        </w:tc>
      </w:tr>
      <w:tr w14:paraId="689E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6978F49B">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1</w:t>
            </w:r>
            <w:r>
              <w:rPr>
                <w:rFonts w:ascii="宋体" w:hAnsi="宋体" w:cs="宋体"/>
                <w:bCs/>
                <w:sz w:val="24"/>
              </w:rPr>
              <w:t>2</w:t>
            </w:r>
          </w:p>
        </w:tc>
        <w:tc>
          <w:tcPr>
            <w:tcW w:w="987" w:type="dxa"/>
            <w:shd w:val="clear" w:color="auto" w:fill="FFFFFF"/>
            <w:vAlign w:val="center"/>
          </w:tcPr>
          <w:p w14:paraId="604CD944">
            <w:pPr>
              <w:widowControl/>
              <w:autoSpaceDE w:val="0"/>
              <w:autoSpaceDN w:val="0"/>
              <w:adjustRightInd w:val="0"/>
              <w:snapToGrid w:val="0"/>
              <w:spacing w:line="360" w:lineRule="auto"/>
              <w:jc w:val="center"/>
              <w:rPr>
                <w:rFonts w:ascii="宋体" w:hAnsi="宋体" w:cs="宋体"/>
                <w:b/>
                <w:kern w:val="0"/>
                <w:sz w:val="24"/>
              </w:rPr>
            </w:pPr>
          </w:p>
        </w:tc>
        <w:tc>
          <w:tcPr>
            <w:tcW w:w="1623" w:type="dxa"/>
            <w:shd w:val="clear" w:color="auto" w:fill="FFFFFF"/>
            <w:vAlign w:val="center"/>
          </w:tcPr>
          <w:p w14:paraId="7F37E250">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项目团队配备</w:t>
            </w:r>
          </w:p>
        </w:tc>
        <w:tc>
          <w:tcPr>
            <w:tcW w:w="4756" w:type="dxa"/>
            <w:shd w:val="clear" w:color="auto" w:fill="FFFFFF"/>
            <w:vAlign w:val="center"/>
          </w:tcPr>
          <w:p w14:paraId="1DF20463">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提供项目团队配备方案</w:t>
            </w:r>
          </w:p>
        </w:tc>
      </w:tr>
      <w:tr w14:paraId="31AB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3684A8B0">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1</w:t>
            </w:r>
            <w:r>
              <w:rPr>
                <w:rFonts w:ascii="宋体" w:hAnsi="宋体" w:cs="宋体"/>
                <w:bCs/>
                <w:sz w:val="24"/>
              </w:rPr>
              <w:t>3</w:t>
            </w:r>
          </w:p>
        </w:tc>
        <w:tc>
          <w:tcPr>
            <w:tcW w:w="987" w:type="dxa"/>
            <w:shd w:val="clear" w:color="auto" w:fill="FFFFFF"/>
            <w:vAlign w:val="center"/>
          </w:tcPr>
          <w:p w14:paraId="1A4846B9">
            <w:pPr>
              <w:widowControl/>
              <w:autoSpaceDE w:val="0"/>
              <w:autoSpaceDN w:val="0"/>
              <w:adjustRightInd w:val="0"/>
              <w:snapToGrid w:val="0"/>
              <w:spacing w:line="360" w:lineRule="auto"/>
              <w:jc w:val="center"/>
              <w:rPr>
                <w:rFonts w:ascii="宋体" w:hAnsi="宋体" w:cs="宋体"/>
                <w:b/>
                <w:kern w:val="0"/>
                <w:sz w:val="24"/>
              </w:rPr>
            </w:pPr>
          </w:p>
        </w:tc>
        <w:tc>
          <w:tcPr>
            <w:tcW w:w="1623" w:type="dxa"/>
            <w:shd w:val="clear" w:color="auto" w:fill="FFFFFF"/>
            <w:vAlign w:val="center"/>
          </w:tcPr>
          <w:p w14:paraId="61CDF86D">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项目思路、实施、进度计划及售后服务</w:t>
            </w:r>
          </w:p>
        </w:tc>
        <w:tc>
          <w:tcPr>
            <w:tcW w:w="4756" w:type="dxa"/>
            <w:shd w:val="clear" w:color="auto" w:fill="FFFFFF"/>
            <w:vAlign w:val="center"/>
          </w:tcPr>
          <w:p w14:paraId="35C069E8">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提供项目思路、项目实施、项目进度计划及项目售后服务方案</w:t>
            </w:r>
          </w:p>
        </w:tc>
      </w:tr>
      <w:tr w14:paraId="2C1E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FFFFFF"/>
            <w:vAlign w:val="center"/>
          </w:tcPr>
          <w:p w14:paraId="21A09985">
            <w:pPr>
              <w:widowControl/>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1</w:t>
            </w:r>
            <w:r>
              <w:rPr>
                <w:rFonts w:ascii="宋体" w:hAnsi="宋体" w:cs="宋体"/>
                <w:bCs/>
                <w:sz w:val="24"/>
              </w:rPr>
              <w:t>4</w:t>
            </w:r>
          </w:p>
        </w:tc>
        <w:tc>
          <w:tcPr>
            <w:tcW w:w="987" w:type="dxa"/>
            <w:shd w:val="clear" w:color="auto" w:fill="FFFFFF"/>
            <w:vAlign w:val="center"/>
          </w:tcPr>
          <w:p w14:paraId="292E3E10">
            <w:pPr>
              <w:widowControl/>
              <w:autoSpaceDE w:val="0"/>
              <w:autoSpaceDN w:val="0"/>
              <w:adjustRightInd w:val="0"/>
              <w:snapToGrid w:val="0"/>
              <w:spacing w:line="360" w:lineRule="auto"/>
              <w:jc w:val="center"/>
              <w:rPr>
                <w:rFonts w:ascii="宋体" w:hAnsi="宋体" w:cs="宋体"/>
                <w:b/>
                <w:kern w:val="0"/>
                <w:sz w:val="24"/>
              </w:rPr>
            </w:pPr>
          </w:p>
        </w:tc>
        <w:tc>
          <w:tcPr>
            <w:tcW w:w="1623" w:type="dxa"/>
            <w:shd w:val="clear" w:color="auto" w:fill="FFFFFF"/>
            <w:vAlign w:val="center"/>
          </w:tcPr>
          <w:p w14:paraId="6E0FAEDF">
            <w:pPr>
              <w:autoSpaceDE w:val="0"/>
              <w:autoSpaceDN w:val="0"/>
              <w:adjustRightInd w:val="0"/>
              <w:snapToGrid w:val="0"/>
              <w:spacing w:line="360" w:lineRule="auto"/>
              <w:jc w:val="center"/>
              <w:rPr>
                <w:rFonts w:ascii="宋体" w:hAnsi="宋体" w:cs="宋体"/>
                <w:bCs/>
                <w:sz w:val="24"/>
              </w:rPr>
            </w:pPr>
            <w:r>
              <w:rPr>
                <w:rFonts w:hint="eastAsia" w:ascii="宋体" w:hAnsi="宋体" w:cs="宋体"/>
                <w:bCs/>
                <w:sz w:val="24"/>
              </w:rPr>
              <w:t>应急预案</w:t>
            </w:r>
          </w:p>
        </w:tc>
        <w:tc>
          <w:tcPr>
            <w:tcW w:w="4756" w:type="dxa"/>
            <w:shd w:val="clear" w:color="auto" w:fill="FFFFFF"/>
            <w:vAlign w:val="center"/>
          </w:tcPr>
          <w:p w14:paraId="6AB490A7">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满足本项目服务需求制定相应应急预案</w:t>
            </w:r>
          </w:p>
        </w:tc>
      </w:tr>
    </w:tbl>
    <w:p w14:paraId="20F211F7">
      <w:pPr>
        <w:spacing w:line="360" w:lineRule="auto"/>
        <w:ind w:firstLine="480" w:firstLineChars="200"/>
        <w:rPr>
          <w:bCs/>
          <w:sz w:val="24"/>
        </w:rPr>
      </w:pPr>
      <w:r>
        <w:rPr>
          <w:rFonts w:hint="eastAsia"/>
          <w:bCs/>
          <w:sz w:val="24"/>
        </w:rPr>
        <w:t>指标项说明：</w:t>
      </w:r>
    </w:p>
    <w:p w14:paraId="01A7F0A6">
      <w:pPr>
        <w:spacing w:line="360" w:lineRule="auto"/>
        <w:ind w:firstLine="480" w:firstLineChars="200"/>
        <w:rPr>
          <w:bCs/>
          <w:sz w:val="24"/>
        </w:rPr>
      </w:pPr>
      <w:r>
        <w:rPr>
          <w:rFonts w:hint="eastAsia"/>
          <w:bCs/>
          <w:sz w:val="24"/>
        </w:rPr>
        <w:t>4.1 链路要求</w:t>
      </w:r>
    </w:p>
    <w:p w14:paraId="22C7C176">
      <w:pPr>
        <w:spacing w:line="360" w:lineRule="auto"/>
        <w:ind w:firstLine="480" w:firstLineChars="200"/>
        <w:rPr>
          <w:bCs/>
          <w:sz w:val="24"/>
        </w:rPr>
      </w:pPr>
      <w:r>
        <w:rPr>
          <w:rFonts w:hint="eastAsia"/>
          <w:bCs/>
          <w:sz w:val="24"/>
        </w:rPr>
        <w:t>本项目为教育网专用链路，供应商仅提供纯光纤物理传输通道，不提供数据处理、路由转发等网络服务。专网需与所有外网、公网实现物理隔离。用户端接入设备统一部署于采购人指定机房，由采购方独立管理、自主运维，保障教育内网数据安全独立。</w:t>
      </w:r>
    </w:p>
    <w:p w14:paraId="64558556">
      <w:pPr>
        <w:spacing w:line="360" w:lineRule="auto"/>
        <w:ind w:firstLine="480" w:firstLineChars="200"/>
        <w:rPr>
          <w:bCs/>
          <w:sz w:val="24"/>
        </w:rPr>
      </w:pPr>
      <w:r>
        <w:rPr>
          <w:rFonts w:hint="eastAsia"/>
          <w:bCs/>
          <w:sz w:val="24"/>
        </w:rPr>
        <w:t>供应商需为大兴区教育网各接入单位提供光纤链路，所有接入点位统一采用双芯光纤标准接入模式，严格区分收、发数据光芯，实现收发链路物理分离，保障数据传输稳定、不互相干扰，满足教育网链路独立传输要求。</w:t>
      </w:r>
    </w:p>
    <w:p w14:paraId="3FE925CC">
      <w:pPr>
        <w:spacing w:line="360" w:lineRule="auto"/>
        <w:ind w:firstLine="480" w:firstLineChars="200"/>
        <w:rPr>
          <w:bCs/>
          <w:sz w:val="24"/>
        </w:rPr>
      </w:pPr>
      <w:r>
        <w:rPr>
          <w:rFonts w:hint="eastAsia"/>
          <w:bCs/>
          <w:sz w:val="24"/>
        </w:rPr>
        <w:t>供应商</w:t>
      </w:r>
      <w:r>
        <w:rPr>
          <w:bCs/>
          <w:sz w:val="24"/>
        </w:rPr>
        <w:t>所提供的光纤</w:t>
      </w:r>
      <w:r>
        <w:rPr>
          <w:rFonts w:hint="eastAsia"/>
          <w:bCs/>
          <w:sz w:val="24"/>
        </w:rPr>
        <w:t>链路</w:t>
      </w:r>
      <w:r>
        <w:rPr>
          <w:bCs/>
          <w:sz w:val="24"/>
        </w:rPr>
        <w:t>、链路接口、配套光模块均需具备高稳定性、高可靠性</w:t>
      </w:r>
      <w:r>
        <w:rPr>
          <w:rFonts w:hint="eastAsia"/>
          <w:bCs/>
          <w:sz w:val="24"/>
        </w:rPr>
        <w:t>，满足</w:t>
      </w:r>
      <w:r>
        <w:rPr>
          <w:bCs/>
          <w:sz w:val="24"/>
        </w:rPr>
        <w:t>接入两端设备之间的正常数据通信</w:t>
      </w:r>
      <w:r>
        <w:rPr>
          <w:rFonts w:hint="eastAsia"/>
          <w:bCs/>
          <w:sz w:val="24"/>
        </w:rPr>
        <w:t>。</w:t>
      </w:r>
    </w:p>
    <w:p w14:paraId="6E5BD454">
      <w:pPr>
        <w:spacing w:line="360" w:lineRule="auto"/>
        <w:ind w:firstLine="480" w:firstLineChars="200"/>
        <w:rPr>
          <w:bCs/>
          <w:sz w:val="24"/>
        </w:rPr>
      </w:pPr>
      <w:r>
        <w:rPr>
          <w:rFonts w:hint="eastAsia"/>
          <w:bCs/>
          <w:sz w:val="24"/>
        </w:rPr>
        <w:t>供应商全权负责本项目所有教育专网各接入单位光纤</w:t>
      </w:r>
      <w:r>
        <w:rPr>
          <w:bCs/>
          <w:sz w:val="24"/>
        </w:rPr>
        <w:t>链路</w:t>
      </w:r>
      <w:r>
        <w:rPr>
          <w:rFonts w:hint="eastAsia"/>
          <w:bCs/>
          <w:sz w:val="24"/>
        </w:rPr>
        <w:t>的现场施工、链路铺设、设备安装、端口调试、开通等全部工作，</w:t>
      </w:r>
      <w:r>
        <w:rPr>
          <w:rFonts w:hint="eastAsia" w:ascii="宋体" w:hAnsi="宋体" w:cs="宋体"/>
          <w:bCs/>
          <w:sz w:val="24"/>
        </w:rPr>
        <w:t>不再额外收取费用</w:t>
      </w:r>
      <w:r>
        <w:rPr>
          <w:rFonts w:hint="eastAsia"/>
          <w:bCs/>
          <w:sz w:val="24"/>
        </w:rPr>
        <w:t>。供应商投资建设的所有缆线、管道、设备等通信网络资源产权全部归属中标供应商所有，需保障线路平滑接入、稳定投用。</w:t>
      </w:r>
    </w:p>
    <w:p w14:paraId="53ED96D2">
      <w:pPr>
        <w:spacing w:line="360" w:lineRule="auto"/>
        <w:ind w:firstLine="480" w:firstLineChars="200"/>
        <w:rPr>
          <w:bCs/>
          <w:sz w:val="24"/>
        </w:rPr>
      </w:pPr>
      <w:r>
        <w:rPr>
          <w:rFonts w:hint="eastAsia"/>
          <w:bCs/>
          <w:sz w:val="24"/>
        </w:rPr>
        <w:t>4.2 服务要求</w:t>
      </w:r>
    </w:p>
    <w:p w14:paraId="5CBFDD50">
      <w:pPr>
        <w:spacing w:line="360" w:lineRule="auto"/>
        <w:ind w:firstLine="480" w:firstLineChars="200"/>
        <w:rPr>
          <w:bCs/>
          <w:sz w:val="24"/>
        </w:rPr>
      </w:pPr>
      <w:r>
        <w:rPr>
          <w:rFonts w:hint="eastAsia"/>
          <w:bCs/>
          <w:sz w:val="24"/>
        </w:rPr>
        <w:t>供应商需免费为所有接入点位两端接口配置适配光模块，标准配置为单模、双芯千兆光模块。针对接入单位现有万兆端口设备，需免费匹配提供对应规格的单模、双芯万兆光模块，保证设备端口完美适配、链路正常连通、数据正常传输。</w:t>
      </w:r>
    </w:p>
    <w:p w14:paraId="479A3CE6">
      <w:pPr>
        <w:spacing w:line="360" w:lineRule="auto"/>
        <w:ind w:firstLine="480" w:firstLineChars="200"/>
        <w:rPr>
          <w:rFonts w:ascii="宋体" w:hAnsi="宋体" w:cs="宋体"/>
          <w:bCs/>
          <w:sz w:val="24"/>
        </w:rPr>
      </w:pPr>
      <w:r>
        <w:rPr>
          <w:rFonts w:hint="eastAsia"/>
          <w:bCs/>
          <w:sz w:val="24"/>
        </w:rPr>
        <w:t xml:space="preserve">4.3 </w:t>
      </w:r>
      <w:r>
        <w:rPr>
          <w:rFonts w:hint="eastAsia" w:ascii="宋体" w:hAnsi="宋体" w:cs="宋体"/>
          <w:bCs/>
          <w:sz w:val="24"/>
        </w:rPr>
        <w:t>线路维护档案要求</w:t>
      </w:r>
    </w:p>
    <w:p w14:paraId="031F208B">
      <w:pPr>
        <w:spacing w:line="360" w:lineRule="auto"/>
        <w:ind w:firstLine="480" w:firstLineChars="200"/>
        <w:rPr>
          <w:bCs/>
          <w:sz w:val="24"/>
        </w:rPr>
      </w:pPr>
      <w:r>
        <w:rPr>
          <w:rFonts w:hint="eastAsia"/>
          <w:bCs/>
          <w:sz w:val="24"/>
        </w:rPr>
        <w:t>供应商须应承诺建立完整、详实的项目维护资料体系。对所有接入电路、光纤链路、配套设备进行特殊标记，完整留存点位信息、故障处置记录，持续更新线路及运维档案，保障资料真实、准确、完备。</w:t>
      </w:r>
    </w:p>
    <w:p w14:paraId="5C3037EE">
      <w:pPr>
        <w:spacing w:line="360" w:lineRule="auto"/>
        <w:ind w:firstLine="480" w:firstLineChars="200"/>
        <w:rPr>
          <w:bCs/>
          <w:sz w:val="24"/>
        </w:rPr>
      </w:pPr>
      <w:r>
        <w:rPr>
          <w:rFonts w:hint="eastAsia"/>
          <w:bCs/>
          <w:sz w:val="24"/>
        </w:rPr>
        <w:t>4.4 无故障运行时间要求</w:t>
      </w:r>
    </w:p>
    <w:p w14:paraId="40DE9196">
      <w:pPr>
        <w:spacing w:line="360" w:lineRule="auto"/>
        <w:ind w:firstLine="480" w:firstLineChars="200"/>
        <w:rPr>
          <w:bCs/>
          <w:sz w:val="24"/>
        </w:rPr>
      </w:pPr>
      <w:r>
        <w:rPr>
          <w:rFonts w:hint="eastAsia"/>
          <w:bCs/>
          <w:sz w:val="24"/>
        </w:rPr>
        <w:t>供应商需保障本项目服务全周期内，教育专网光纤链路整体无故障运行时长占比</w:t>
      </w:r>
      <w:r>
        <w:rPr>
          <w:rFonts w:hint="eastAsia" w:ascii="宋体" w:hAnsi="宋体" w:cs="宋体"/>
          <w:bCs/>
          <w:sz w:val="24"/>
        </w:rPr>
        <w:t>≥</w:t>
      </w:r>
      <w:r>
        <w:rPr>
          <w:rFonts w:hint="eastAsia"/>
          <w:bCs/>
          <w:sz w:val="24"/>
        </w:rPr>
        <w:t>99.9%，须提供加盖单位公章的正式承诺说明文件，作为履约依据，保障网络长期稳定运行。</w:t>
      </w:r>
    </w:p>
    <w:p w14:paraId="3583F618">
      <w:pPr>
        <w:spacing w:line="360" w:lineRule="auto"/>
        <w:ind w:firstLine="480" w:firstLineChars="200"/>
        <w:rPr>
          <w:bCs/>
          <w:sz w:val="24"/>
        </w:rPr>
      </w:pPr>
      <w:r>
        <w:rPr>
          <w:rFonts w:hint="eastAsia"/>
          <w:bCs/>
          <w:sz w:val="24"/>
        </w:rPr>
        <w:t>4.5 故障排除机制</w:t>
      </w:r>
    </w:p>
    <w:p w14:paraId="2284BEF4">
      <w:pPr>
        <w:spacing w:line="360" w:lineRule="auto"/>
        <w:ind w:firstLine="480" w:firstLineChars="200"/>
        <w:rPr>
          <w:bCs/>
          <w:sz w:val="24"/>
        </w:rPr>
      </w:pPr>
      <w:r>
        <w:rPr>
          <w:rFonts w:hint="eastAsia"/>
          <w:bCs/>
          <w:sz w:val="24"/>
        </w:rPr>
        <w:t>项目服务期内建立高效故障排查修复机制，链路及网络出现故障时，供应商技术团队1小时内完成响应对接、故障研判，一般故障4小时内完成排查修复、恢复网络正常使用，并提供加盖公章的故障排除时效说明文件。</w:t>
      </w:r>
    </w:p>
    <w:p w14:paraId="599E4E03">
      <w:pPr>
        <w:spacing w:line="360" w:lineRule="auto"/>
        <w:ind w:firstLine="480" w:firstLineChars="200"/>
        <w:rPr>
          <w:bCs/>
          <w:sz w:val="24"/>
        </w:rPr>
      </w:pPr>
      <w:r>
        <w:rPr>
          <w:rFonts w:hint="eastAsia"/>
          <w:bCs/>
          <w:sz w:val="24"/>
        </w:rPr>
        <w:t>4.6 技术保障要求</w:t>
      </w:r>
    </w:p>
    <w:p w14:paraId="2923ABD9">
      <w:pPr>
        <w:spacing w:line="360" w:lineRule="auto"/>
        <w:ind w:firstLine="480" w:firstLineChars="200"/>
        <w:rPr>
          <w:bCs/>
          <w:sz w:val="24"/>
        </w:rPr>
      </w:pPr>
      <w:r>
        <w:rPr>
          <w:rFonts w:hint="eastAsia"/>
          <w:bCs/>
          <w:sz w:val="24"/>
        </w:rPr>
        <w:t>供应商需提供7×24小时全天候免费专业技术保障体系，设立专业服务热线，配备专业技术服务团队，全年无间断受理故障报修、技术咨询、需求对接，须提供加盖公章的技术保障说明文件。</w:t>
      </w:r>
    </w:p>
    <w:p w14:paraId="588466BE">
      <w:pPr>
        <w:spacing w:line="360" w:lineRule="auto"/>
        <w:ind w:firstLine="480" w:firstLineChars="200"/>
        <w:rPr>
          <w:bCs/>
          <w:sz w:val="24"/>
        </w:rPr>
      </w:pPr>
      <w:r>
        <w:rPr>
          <w:rFonts w:hint="eastAsia"/>
          <w:bCs/>
          <w:sz w:val="24"/>
        </w:rPr>
        <w:t>4.7 事件通知机制要求</w:t>
      </w:r>
    </w:p>
    <w:p w14:paraId="6A6668BA">
      <w:pPr>
        <w:spacing w:line="360" w:lineRule="auto"/>
        <w:ind w:firstLine="480" w:firstLineChars="200"/>
        <w:rPr>
          <w:bCs/>
          <w:sz w:val="24"/>
        </w:rPr>
      </w:pPr>
      <w:r>
        <w:rPr>
          <w:rFonts w:hint="eastAsia"/>
          <w:bCs/>
          <w:sz w:val="24"/>
        </w:rPr>
        <w:t>针对计划性线路检修、设备升级、链路调整等可预知的网络中断操作，供应商必须提前24小时向采购方及相关接入单位履行书面告知义务，提前做好工作衔接，规避影响正常教育教学工作，须提供加盖公章的机制说明文件。</w:t>
      </w:r>
    </w:p>
    <w:p w14:paraId="75CCA260">
      <w:pPr>
        <w:spacing w:line="360" w:lineRule="auto"/>
        <w:ind w:firstLine="480" w:firstLineChars="200"/>
        <w:rPr>
          <w:bCs/>
          <w:sz w:val="24"/>
        </w:rPr>
      </w:pPr>
      <w:r>
        <w:rPr>
          <w:rFonts w:hint="eastAsia"/>
          <w:bCs/>
          <w:sz w:val="24"/>
        </w:rPr>
        <w:t>4.8 网络保障服务要求</w:t>
      </w:r>
    </w:p>
    <w:p w14:paraId="467E31EA">
      <w:pPr>
        <w:spacing w:line="360" w:lineRule="auto"/>
        <w:ind w:firstLine="480" w:firstLineChars="200"/>
        <w:rPr>
          <w:bCs/>
          <w:sz w:val="24"/>
        </w:rPr>
      </w:pPr>
      <w:r>
        <w:rPr>
          <w:rFonts w:hint="eastAsia"/>
          <w:bCs/>
          <w:sz w:val="24"/>
        </w:rPr>
        <w:t>供应商需针对大兴区教育系统各类大型考试、教研会议、线上活动、直播教学等重要场景，提供专项网络保障服务。定期开展全网线路巡检、性能排查，重要节点安排专人值守保障，确保关键时期教育专网网络全程畅通、无中断、无卡顿。</w:t>
      </w:r>
    </w:p>
    <w:p w14:paraId="724DAD5B">
      <w:pPr>
        <w:spacing w:line="360" w:lineRule="auto"/>
        <w:ind w:firstLine="480" w:firstLineChars="200"/>
        <w:rPr>
          <w:bCs/>
          <w:sz w:val="24"/>
        </w:rPr>
      </w:pPr>
      <w:r>
        <w:rPr>
          <w:rFonts w:hint="eastAsia"/>
          <w:bCs/>
          <w:sz w:val="24"/>
        </w:rPr>
        <w:t>4.9 项目团队配备要求</w:t>
      </w:r>
    </w:p>
    <w:p w14:paraId="2900639C">
      <w:pPr>
        <w:spacing w:line="360" w:lineRule="auto"/>
        <w:ind w:firstLine="480" w:firstLineChars="200"/>
        <w:rPr>
          <w:bCs/>
          <w:sz w:val="24"/>
        </w:rPr>
      </w:pPr>
      <w:r>
        <w:rPr>
          <w:rFonts w:hint="eastAsia"/>
          <w:bCs/>
          <w:sz w:val="24"/>
        </w:rPr>
        <w:t>供应商需为教育网项目配置专业服务团队，配置项目负责人、项目经理、技术负责人等专职岗位，人员具备专线运维及光纤建设从业经验。服务期内固定团队在岗服务，人员变动需经采购方同意，保障项目服务专业、稳定、连续。</w:t>
      </w:r>
    </w:p>
    <w:p w14:paraId="0EFA32B7">
      <w:pPr>
        <w:spacing w:line="360" w:lineRule="auto"/>
        <w:ind w:firstLine="480" w:firstLineChars="200"/>
        <w:rPr>
          <w:bCs/>
          <w:sz w:val="24"/>
        </w:rPr>
      </w:pPr>
      <w:r>
        <w:rPr>
          <w:rFonts w:hint="eastAsia"/>
          <w:bCs/>
          <w:sz w:val="24"/>
        </w:rPr>
        <w:t>4.10 项目思路、实施、进度计划及售后服务要求</w:t>
      </w:r>
    </w:p>
    <w:p w14:paraId="2F783E32">
      <w:pPr>
        <w:spacing w:line="360" w:lineRule="auto"/>
        <w:ind w:firstLine="480" w:firstLineChars="200"/>
        <w:rPr>
          <w:bCs/>
          <w:sz w:val="24"/>
        </w:rPr>
      </w:pPr>
      <w:r>
        <w:rPr>
          <w:rFonts w:hint="eastAsia"/>
          <w:bCs/>
          <w:sz w:val="24"/>
        </w:rPr>
        <w:t>供应商需结合本项目272所教育点位全覆盖建设需求，遵循合规、稳定、高效的项目实施思路，制定清晰可落地的阶段性进度计划，严格把控工期，确保按时全部完工交付。</w:t>
      </w:r>
    </w:p>
    <w:p w14:paraId="32F6C1FB">
      <w:pPr>
        <w:spacing w:line="360" w:lineRule="auto"/>
        <w:ind w:firstLine="480" w:firstLineChars="200"/>
        <w:rPr>
          <w:bCs/>
          <w:sz w:val="24"/>
        </w:rPr>
      </w:pPr>
      <w:r>
        <w:rPr>
          <w:rFonts w:hint="eastAsia"/>
          <w:bCs/>
          <w:sz w:val="24"/>
        </w:rPr>
        <w:t>4.11 应急预案要求</w:t>
      </w:r>
    </w:p>
    <w:p w14:paraId="3F7C8E67">
      <w:pPr>
        <w:spacing w:line="360" w:lineRule="auto"/>
        <w:ind w:firstLine="480" w:firstLineChars="200"/>
        <w:rPr>
          <w:bCs/>
          <w:sz w:val="24"/>
        </w:rPr>
      </w:pPr>
      <w:r>
        <w:rPr>
          <w:rFonts w:hint="eastAsia"/>
          <w:bCs/>
          <w:sz w:val="24"/>
        </w:rPr>
        <w:t>供应商需对</w:t>
      </w:r>
      <w:r>
        <w:rPr>
          <w:bCs/>
          <w:sz w:val="24"/>
        </w:rPr>
        <w:t>包括但不限于：火灾</w:t>
      </w:r>
      <w:r>
        <w:rPr>
          <w:rFonts w:hint="eastAsia"/>
          <w:bCs/>
          <w:sz w:val="24"/>
        </w:rPr>
        <w:t>、</w:t>
      </w:r>
      <w:r>
        <w:rPr>
          <w:bCs/>
          <w:sz w:val="24"/>
        </w:rPr>
        <w:t>地震</w:t>
      </w:r>
      <w:r>
        <w:rPr>
          <w:rFonts w:hint="eastAsia"/>
          <w:bCs/>
          <w:sz w:val="24"/>
        </w:rPr>
        <w:t>、</w:t>
      </w:r>
      <w:r>
        <w:rPr>
          <w:bCs/>
          <w:sz w:val="24"/>
        </w:rPr>
        <w:t>抢修</w:t>
      </w:r>
      <w:r>
        <w:rPr>
          <w:rFonts w:hint="eastAsia"/>
          <w:bCs/>
          <w:sz w:val="24"/>
        </w:rPr>
        <w:t>、公共安全事件、</w:t>
      </w:r>
      <w:r>
        <w:rPr>
          <w:bCs/>
          <w:sz w:val="24"/>
        </w:rPr>
        <w:t>紧急事件处理</w:t>
      </w:r>
      <w:r>
        <w:rPr>
          <w:rFonts w:hint="eastAsia"/>
          <w:bCs/>
          <w:sz w:val="24"/>
        </w:rPr>
        <w:t>等各类突发情况制定适配相应的应急预案，保障教育专网的平稳运行。</w:t>
      </w:r>
    </w:p>
    <w:p w14:paraId="286FE58D">
      <w:pPr>
        <w:pStyle w:val="2"/>
        <w:framePr w:wrap="around"/>
        <w:spacing w:line="360" w:lineRule="auto"/>
        <w:rPr>
          <w:sz w:val="24"/>
        </w:rPr>
      </w:pPr>
    </w:p>
    <w:p w14:paraId="67C62DC8">
      <w:pPr>
        <w:numPr>
          <w:ilvl w:val="0"/>
          <w:numId w:val="5"/>
        </w:numPr>
        <w:spacing w:line="360" w:lineRule="auto"/>
        <w:rPr>
          <w:bCs/>
          <w:sz w:val="24"/>
        </w:rPr>
      </w:pPr>
      <w:r>
        <w:rPr>
          <w:rFonts w:hint="eastAsia"/>
          <w:bCs/>
          <w:sz w:val="24"/>
        </w:rPr>
        <w:t>服务承诺方案要求</w:t>
      </w:r>
    </w:p>
    <w:p w14:paraId="38D75083">
      <w:pPr>
        <w:spacing w:line="360" w:lineRule="auto"/>
        <w:ind w:firstLine="480" w:firstLineChars="200"/>
        <w:rPr>
          <w:bCs/>
          <w:sz w:val="24"/>
        </w:rPr>
      </w:pPr>
      <w:r>
        <w:rPr>
          <w:rFonts w:hint="eastAsia"/>
          <w:bCs/>
          <w:sz w:val="24"/>
        </w:rPr>
        <w:t>供应商针对本项目全程服务作出专项郑重承诺，所有承诺内容纳入服务考核及合同履约范围，具体如下：</w:t>
      </w:r>
    </w:p>
    <w:p w14:paraId="373878EC">
      <w:pPr>
        <w:spacing w:line="360" w:lineRule="auto"/>
        <w:ind w:firstLine="480" w:firstLineChars="200"/>
        <w:rPr>
          <w:bCs/>
          <w:sz w:val="24"/>
        </w:rPr>
      </w:pPr>
      <w:r>
        <w:rPr>
          <w:rFonts w:hint="eastAsia"/>
          <w:bCs/>
          <w:sz w:val="24"/>
        </w:rPr>
        <w:t>5.1线路质量承诺</w:t>
      </w:r>
    </w:p>
    <w:p w14:paraId="0C83CC94">
      <w:pPr>
        <w:spacing w:line="360" w:lineRule="auto"/>
        <w:ind w:firstLine="480" w:firstLineChars="200"/>
        <w:rPr>
          <w:bCs/>
          <w:sz w:val="24"/>
        </w:rPr>
      </w:pPr>
      <w:r>
        <w:rPr>
          <w:rFonts w:hint="eastAsia"/>
          <w:bCs/>
          <w:sz w:val="24"/>
        </w:rPr>
        <w:t>严格按照国家、行业标准及本招标文件技术要求完成链路建设、设备部署、调测运维工作，确保272所接入单位链路全部达标，服务期内网络无故障运行时长≥99.9%。</w:t>
      </w:r>
    </w:p>
    <w:p w14:paraId="374C1140">
      <w:pPr>
        <w:spacing w:line="360" w:lineRule="auto"/>
        <w:ind w:firstLine="480" w:firstLineChars="200"/>
        <w:rPr>
          <w:bCs/>
          <w:sz w:val="24"/>
        </w:rPr>
      </w:pPr>
      <w:r>
        <w:rPr>
          <w:rFonts w:hint="eastAsia"/>
          <w:bCs/>
          <w:sz w:val="24"/>
        </w:rPr>
        <w:t>5.2 故障排除时效承诺</w:t>
      </w:r>
    </w:p>
    <w:p w14:paraId="7C3E82A9">
      <w:pPr>
        <w:spacing w:line="360" w:lineRule="auto"/>
        <w:ind w:firstLine="480" w:firstLineChars="200"/>
        <w:rPr>
          <w:bCs/>
          <w:sz w:val="24"/>
        </w:rPr>
      </w:pPr>
      <w:r>
        <w:rPr>
          <w:rFonts w:hint="eastAsia"/>
          <w:bCs/>
          <w:sz w:val="24"/>
        </w:rPr>
        <w:t>严格执行1小时故障响应、4小时故障修复机制，7×24小时服务热线全天候畅通。</w:t>
      </w:r>
    </w:p>
    <w:p w14:paraId="0527995D">
      <w:pPr>
        <w:spacing w:line="360" w:lineRule="auto"/>
        <w:ind w:firstLine="480" w:firstLineChars="200"/>
        <w:rPr>
          <w:bCs/>
          <w:sz w:val="24"/>
        </w:rPr>
      </w:pPr>
      <w:r>
        <w:rPr>
          <w:rFonts w:hint="eastAsia"/>
          <w:bCs/>
          <w:sz w:val="24"/>
        </w:rPr>
        <w:t>5.3 专业技术保障承诺</w:t>
      </w:r>
    </w:p>
    <w:p w14:paraId="5B3343F3">
      <w:pPr>
        <w:spacing w:line="360" w:lineRule="auto"/>
        <w:ind w:firstLine="480" w:firstLineChars="200"/>
        <w:rPr>
          <w:bCs/>
          <w:sz w:val="24"/>
        </w:rPr>
      </w:pPr>
      <w:r>
        <w:rPr>
          <w:rFonts w:hint="eastAsia"/>
          <w:bCs/>
          <w:sz w:val="24"/>
        </w:rPr>
        <w:t>配备固定专属项目团队，保障服务专业性、连续性。</w:t>
      </w:r>
    </w:p>
    <w:p w14:paraId="58C29FD6">
      <w:pPr>
        <w:spacing w:line="360" w:lineRule="auto"/>
        <w:ind w:firstLine="480" w:firstLineChars="200"/>
        <w:rPr>
          <w:bCs/>
          <w:sz w:val="24"/>
        </w:rPr>
      </w:pPr>
      <w:r>
        <w:rPr>
          <w:rFonts w:hint="eastAsia"/>
          <w:bCs/>
          <w:sz w:val="24"/>
        </w:rPr>
        <w:t>5.4 事件通知机制承诺</w:t>
      </w:r>
    </w:p>
    <w:p w14:paraId="3D7AB76C">
      <w:pPr>
        <w:spacing w:line="360" w:lineRule="auto"/>
        <w:ind w:firstLine="480" w:firstLineChars="200"/>
        <w:rPr>
          <w:bCs/>
          <w:sz w:val="24"/>
        </w:rPr>
      </w:pPr>
      <w:r>
        <w:rPr>
          <w:rFonts w:hint="eastAsia"/>
          <w:bCs/>
          <w:sz w:val="24"/>
        </w:rPr>
        <w:t>对于事先预知的线路检修、链路调整等中断工作，提前24小时通知。</w:t>
      </w:r>
    </w:p>
    <w:p w14:paraId="27DB8C8B">
      <w:pPr>
        <w:spacing w:line="360" w:lineRule="auto"/>
        <w:ind w:firstLine="480" w:firstLineChars="200"/>
        <w:rPr>
          <w:bCs/>
          <w:sz w:val="24"/>
        </w:rPr>
      </w:pPr>
      <w:r>
        <w:rPr>
          <w:rFonts w:hint="eastAsia"/>
          <w:bCs/>
          <w:sz w:val="24"/>
        </w:rPr>
        <w:t>5.5 重要时期保障承诺</w:t>
      </w:r>
    </w:p>
    <w:p w14:paraId="2CAB6FF6">
      <w:pPr>
        <w:spacing w:line="360" w:lineRule="auto"/>
        <w:ind w:firstLine="480" w:firstLineChars="200"/>
        <w:rPr>
          <w:bCs/>
          <w:sz w:val="24"/>
        </w:rPr>
      </w:pPr>
      <w:r>
        <w:rPr>
          <w:rFonts w:hint="eastAsia"/>
          <w:bCs/>
          <w:sz w:val="24"/>
        </w:rPr>
        <w:t>为大兴区教育网的各种重要会议、活动、考试提供必要的线路保障服务及定期线路巡检，保障重要时期网络畅通。</w:t>
      </w:r>
    </w:p>
    <w:p w14:paraId="12545DC8">
      <w:pPr>
        <w:adjustRightInd w:val="0"/>
        <w:spacing w:line="360" w:lineRule="atLeast"/>
        <w:ind w:left="420" w:leftChars="200"/>
        <w:jc w:val="left"/>
        <w:textAlignment w:val="baseline"/>
        <w:rPr>
          <w:rFonts w:ascii="宋体" w:hAnsi="宋体"/>
          <w:b/>
          <w:sz w:val="24"/>
        </w:rPr>
      </w:pPr>
    </w:p>
    <w:p w14:paraId="2D1569D4">
      <w:pPr>
        <w:adjustRightInd w:val="0"/>
        <w:spacing w:line="360" w:lineRule="atLeast"/>
        <w:ind w:left="420" w:leftChars="200"/>
        <w:jc w:val="left"/>
        <w:textAlignment w:val="baseline"/>
        <w:rPr>
          <w:rFonts w:ascii="宋体" w:hAnsi="宋体"/>
          <w:b/>
          <w:sz w:val="24"/>
        </w:rPr>
      </w:pPr>
      <w:r>
        <w:rPr>
          <w:rFonts w:hint="eastAsia" w:ascii="宋体" w:hAnsi="宋体"/>
          <w:b/>
          <w:sz w:val="24"/>
        </w:rPr>
        <w:t>第三包：2026年大兴区教育网运维服务项目技术服务要求</w:t>
      </w:r>
    </w:p>
    <w:p w14:paraId="3230C8F1">
      <w:pPr>
        <w:numPr>
          <w:ilvl w:val="0"/>
          <w:numId w:val="6"/>
        </w:numPr>
        <w:spacing w:line="360" w:lineRule="auto"/>
        <w:contextualSpacing/>
        <w:rPr>
          <w:rFonts w:ascii="宋体" w:hAnsi="宋体" w:cs="宋体"/>
          <w:sz w:val="24"/>
        </w:rPr>
      </w:pPr>
      <w:r>
        <w:rPr>
          <w:rFonts w:hint="eastAsia" w:ascii="宋体" w:hAnsi="宋体" w:cs="宋体"/>
          <w:sz w:val="24"/>
        </w:rPr>
        <w:t>基本要求</w:t>
      </w:r>
    </w:p>
    <w:p w14:paraId="14998312">
      <w:pPr>
        <w:numPr>
          <w:ilvl w:val="1"/>
          <w:numId w:val="7"/>
        </w:numPr>
        <w:spacing w:line="360" w:lineRule="auto"/>
        <w:contextualSpacing/>
        <w:rPr>
          <w:rFonts w:ascii="宋体" w:hAnsi="宋体" w:cs="宋体"/>
          <w:sz w:val="24"/>
        </w:rPr>
      </w:pPr>
      <w:r>
        <w:rPr>
          <w:rFonts w:hint="eastAsia" w:ascii="宋体" w:hAnsi="宋体" w:cs="宋体"/>
          <w:sz w:val="24"/>
        </w:rPr>
        <w:t>采购标的需实现的功能或者目标</w:t>
      </w:r>
    </w:p>
    <w:p w14:paraId="604601E2">
      <w:pPr>
        <w:spacing w:line="360" w:lineRule="auto"/>
        <w:ind w:firstLine="480" w:firstLineChars="200"/>
        <w:rPr>
          <w:rFonts w:ascii="宋体" w:hAnsi="宋体"/>
          <w:sz w:val="24"/>
        </w:rPr>
      </w:pPr>
      <w:r>
        <w:rPr>
          <w:rFonts w:hint="eastAsia" w:ascii="宋体" w:hAnsi="宋体"/>
          <w:sz w:val="24"/>
        </w:rPr>
        <w:t>大兴区教育数据中心机房承载着大兴区全部的教育信息化应用。现拟将包括基础环境、数据中心设备、网络设备、视频会议设备的运维服务，通过服务外包的方式由专业运维服务团队完成，通过本项目实施，能够有效发挥技术和设备的措施的效能，为大兴区教育数据中心机房安全稳定的运行提供最基本保障。</w:t>
      </w:r>
    </w:p>
    <w:p w14:paraId="78C32BB7">
      <w:pPr>
        <w:spacing w:line="360" w:lineRule="auto"/>
        <w:ind w:firstLine="480" w:firstLineChars="200"/>
        <w:rPr>
          <w:rFonts w:ascii="宋体" w:hAnsi="宋体"/>
          <w:sz w:val="24"/>
        </w:rPr>
      </w:pPr>
      <w:r>
        <w:rPr>
          <w:rFonts w:hint="eastAsia" w:ascii="宋体" w:hAnsi="宋体"/>
          <w:sz w:val="24"/>
        </w:rPr>
        <w:t>1.2 需执行的国家相关标准、行业标准、地方标准或者其他标准、规范</w:t>
      </w:r>
    </w:p>
    <w:p w14:paraId="72710BE8">
      <w:pPr>
        <w:spacing w:line="360" w:lineRule="auto"/>
        <w:ind w:firstLine="480" w:firstLineChars="200"/>
        <w:rPr>
          <w:rFonts w:ascii="宋体" w:hAnsi="宋体"/>
          <w:sz w:val="24"/>
        </w:rPr>
      </w:pPr>
      <w:r>
        <w:rPr>
          <w:rFonts w:hint="eastAsia" w:ascii="宋体" w:hAnsi="宋体"/>
          <w:sz w:val="24"/>
        </w:rPr>
        <w:t>（1）《数据中心基础设施运行维护标准 GB 51314-2018》</w:t>
      </w:r>
    </w:p>
    <w:p w14:paraId="75E2AA01">
      <w:pPr>
        <w:spacing w:line="360" w:lineRule="auto"/>
        <w:ind w:firstLine="480" w:firstLineChars="200"/>
        <w:rPr>
          <w:rFonts w:ascii="宋体" w:hAnsi="宋体"/>
          <w:sz w:val="24"/>
        </w:rPr>
      </w:pPr>
      <w:r>
        <w:rPr>
          <w:rFonts w:hint="eastAsia" w:ascii="宋体" w:hAnsi="宋体"/>
          <w:sz w:val="24"/>
        </w:rPr>
        <w:t>（2）《数据中心设计规范 GB 50174-2017》</w:t>
      </w:r>
    </w:p>
    <w:p w14:paraId="13A0E9C4">
      <w:pPr>
        <w:spacing w:line="360" w:lineRule="auto"/>
        <w:ind w:firstLine="480" w:firstLineChars="200"/>
        <w:rPr>
          <w:rFonts w:ascii="宋体" w:hAnsi="宋体"/>
          <w:sz w:val="24"/>
        </w:rPr>
      </w:pPr>
      <w:r>
        <w:rPr>
          <w:rFonts w:hint="eastAsia" w:ascii="宋体" w:hAnsi="宋体"/>
          <w:sz w:val="24"/>
        </w:rPr>
        <w:t xml:space="preserve">（3）《数据中心基础设施施工及验收标准 </w:t>
      </w:r>
      <w:r>
        <w:rPr>
          <w:rFonts w:ascii="宋体" w:hAnsi="宋体"/>
          <w:sz w:val="24"/>
        </w:rPr>
        <w:t>GB 50462-2024</w:t>
      </w:r>
      <w:r>
        <w:rPr>
          <w:rFonts w:hint="eastAsia" w:ascii="宋体" w:hAnsi="宋体"/>
          <w:sz w:val="24"/>
        </w:rPr>
        <w:t>》</w:t>
      </w:r>
    </w:p>
    <w:p w14:paraId="1F34D25B">
      <w:pPr>
        <w:spacing w:line="360" w:lineRule="auto"/>
        <w:ind w:firstLine="480" w:firstLineChars="200"/>
        <w:rPr>
          <w:rFonts w:ascii="宋体" w:hAnsi="宋体"/>
          <w:sz w:val="24"/>
        </w:rPr>
      </w:pPr>
      <w:r>
        <w:rPr>
          <w:rFonts w:hint="eastAsia" w:ascii="宋体" w:hAnsi="宋体"/>
          <w:sz w:val="24"/>
        </w:rPr>
        <w:t>（4）《计算机场地通用规范 GB/T 2887-2011》</w:t>
      </w:r>
    </w:p>
    <w:p w14:paraId="4876B1D8">
      <w:pPr>
        <w:spacing w:line="360" w:lineRule="auto"/>
        <w:ind w:firstLine="480" w:firstLineChars="200"/>
        <w:rPr>
          <w:rFonts w:ascii="宋体" w:hAnsi="宋体" w:cs="宋体"/>
          <w:sz w:val="24"/>
        </w:rPr>
      </w:pPr>
      <w:r>
        <w:rPr>
          <w:rFonts w:hint="eastAsia" w:ascii="宋体" w:hAnsi="宋体"/>
          <w:sz w:val="24"/>
        </w:rPr>
        <w:t>（5）《计算机场地安全要求 GB/T 9361-2011》</w:t>
      </w:r>
    </w:p>
    <w:p w14:paraId="0C917B92">
      <w:pPr>
        <w:numPr>
          <w:ilvl w:val="0"/>
          <w:numId w:val="6"/>
        </w:numPr>
        <w:spacing w:line="360" w:lineRule="auto"/>
        <w:contextualSpacing/>
        <w:rPr>
          <w:rFonts w:ascii="宋体" w:hAnsi="宋体" w:cs="宋体"/>
          <w:sz w:val="24"/>
        </w:rPr>
      </w:pPr>
      <w:r>
        <w:rPr>
          <w:rFonts w:hint="eastAsia" w:ascii="宋体" w:hAnsi="宋体" w:cs="宋体"/>
          <w:sz w:val="24"/>
        </w:rPr>
        <w:t>服务内容及要求/货物技术要求</w:t>
      </w:r>
    </w:p>
    <w:p w14:paraId="443E4A2F">
      <w:pPr>
        <w:spacing w:line="360" w:lineRule="auto"/>
        <w:ind w:firstLine="480" w:firstLineChars="200"/>
        <w:rPr>
          <w:rFonts w:ascii="宋体" w:hAnsi="宋体" w:cs="宋体"/>
          <w:sz w:val="24"/>
        </w:rPr>
      </w:pPr>
      <w:r>
        <w:rPr>
          <w:rFonts w:hint="eastAsia" w:ascii="宋体" w:hAnsi="宋体" w:cs="宋体"/>
          <w:sz w:val="24"/>
        </w:rPr>
        <w:t>2.1采购标的需满足的技术规格要求</w:t>
      </w:r>
    </w:p>
    <w:p w14:paraId="27595F38">
      <w:pPr>
        <w:spacing w:line="360" w:lineRule="auto"/>
        <w:ind w:firstLine="480" w:firstLineChars="200"/>
        <w:rPr>
          <w:rFonts w:ascii="宋体" w:hAnsi="宋体" w:cs="宋体"/>
          <w:sz w:val="24"/>
        </w:rPr>
      </w:pPr>
      <w:r>
        <w:rPr>
          <w:rFonts w:hint="eastAsia" w:ascii="宋体" w:hAnsi="宋体" w:cs="宋体"/>
          <w:sz w:val="24"/>
        </w:rPr>
        <w:t>项目包含设备维保内容及</w:t>
      </w:r>
      <w:r>
        <w:rPr>
          <w:rFonts w:ascii="宋体" w:hAnsi="宋体" w:cs="宋体"/>
          <w:sz w:val="24"/>
        </w:rPr>
        <w:t>运维服务工作内容如下表所示：</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997"/>
        <w:gridCol w:w="1416"/>
        <w:gridCol w:w="3128"/>
        <w:gridCol w:w="738"/>
        <w:gridCol w:w="556"/>
        <w:gridCol w:w="850"/>
      </w:tblGrid>
      <w:tr w14:paraId="21F9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2AA6B2CC">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588" w:type="pct"/>
            <w:vAlign w:val="center"/>
          </w:tcPr>
          <w:p w14:paraId="58261293">
            <w:pPr>
              <w:widowControl/>
              <w:spacing w:line="360" w:lineRule="auto"/>
              <w:jc w:val="center"/>
              <w:rPr>
                <w:rFonts w:ascii="宋体" w:hAnsi="宋体" w:cs="宋体"/>
                <w:kern w:val="0"/>
                <w:sz w:val="24"/>
              </w:rPr>
            </w:pPr>
            <w:r>
              <w:rPr>
                <w:rFonts w:hint="eastAsia" w:ascii="宋体" w:hAnsi="宋体" w:cs="宋体"/>
                <w:kern w:val="0"/>
                <w:sz w:val="24"/>
              </w:rPr>
              <w:t>明细项目名称</w:t>
            </w:r>
          </w:p>
        </w:tc>
        <w:tc>
          <w:tcPr>
            <w:tcW w:w="814" w:type="pct"/>
            <w:vAlign w:val="center"/>
          </w:tcPr>
          <w:p w14:paraId="47A382C5">
            <w:pPr>
              <w:widowControl/>
              <w:spacing w:line="360" w:lineRule="auto"/>
              <w:jc w:val="center"/>
              <w:rPr>
                <w:rFonts w:ascii="宋体" w:hAnsi="宋体" w:cs="宋体"/>
                <w:kern w:val="0"/>
                <w:sz w:val="24"/>
              </w:rPr>
            </w:pPr>
            <w:r>
              <w:rPr>
                <w:rFonts w:hint="eastAsia" w:ascii="宋体" w:hAnsi="宋体" w:cs="宋体"/>
                <w:kern w:val="0"/>
                <w:sz w:val="24"/>
              </w:rPr>
              <w:t>模块主要内容（详细描述）</w:t>
            </w:r>
          </w:p>
        </w:tc>
        <w:tc>
          <w:tcPr>
            <w:tcW w:w="1838" w:type="pct"/>
            <w:vAlign w:val="center"/>
          </w:tcPr>
          <w:p w14:paraId="66DC9296">
            <w:pPr>
              <w:widowControl/>
              <w:spacing w:line="360" w:lineRule="auto"/>
              <w:jc w:val="center"/>
              <w:rPr>
                <w:rFonts w:ascii="宋体" w:hAnsi="宋体" w:cs="宋体"/>
                <w:kern w:val="0"/>
                <w:sz w:val="24"/>
              </w:rPr>
            </w:pPr>
            <w:r>
              <w:rPr>
                <w:rFonts w:hint="eastAsia" w:ascii="宋体" w:hAnsi="宋体" w:cs="宋体"/>
                <w:kern w:val="0"/>
                <w:sz w:val="24"/>
              </w:rPr>
              <w:t>配置型号</w:t>
            </w:r>
          </w:p>
        </w:tc>
        <w:tc>
          <w:tcPr>
            <w:tcW w:w="436" w:type="pct"/>
            <w:vAlign w:val="center"/>
          </w:tcPr>
          <w:p w14:paraId="36F06839">
            <w:pPr>
              <w:widowControl/>
              <w:spacing w:line="360" w:lineRule="auto"/>
              <w:jc w:val="center"/>
              <w:rPr>
                <w:rFonts w:ascii="宋体" w:hAnsi="宋体" w:cs="宋体"/>
                <w:kern w:val="0"/>
                <w:sz w:val="24"/>
              </w:rPr>
            </w:pPr>
            <w:r>
              <w:rPr>
                <w:rFonts w:hint="eastAsia" w:ascii="宋体" w:hAnsi="宋体" w:cs="宋体"/>
                <w:kern w:val="0"/>
                <w:sz w:val="24"/>
              </w:rPr>
              <w:t>类别</w:t>
            </w:r>
          </w:p>
        </w:tc>
        <w:tc>
          <w:tcPr>
            <w:tcW w:w="329" w:type="pct"/>
            <w:vAlign w:val="center"/>
          </w:tcPr>
          <w:p w14:paraId="3FDB237B">
            <w:pPr>
              <w:widowControl/>
              <w:spacing w:line="360" w:lineRule="auto"/>
              <w:jc w:val="center"/>
              <w:rPr>
                <w:rFonts w:ascii="宋体" w:hAnsi="宋体" w:cs="宋体"/>
                <w:kern w:val="0"/>
                <w:sz w:val="24"/>
              </w:rPr>
            </w:pPr>
            <w:r>
              <w:rPr>
                <w:rFonts w:hint="eastAsia" w:ascii="宋体" w:hAnsi="宋体" w:cs="宋体"/>
                <w:kern w:val="0"/>
                <w:sz w:val="24"/>
              </w:rPr>
              <w:t>单位</w:t>
            </w:r>
          </w:p>
        </w:tc>
        <w:tc>
          <w:tcPr>
            <w:tcW w:w="501" w:type="pct"/>
            <w:vAlign w:val="center"/>
          </w:tcPr>
          <w:p w14:paraId="54ECF82E">
            <w:pPr>
              <w:widowControl/>
              <w:spacing w:line="360" w:lineRule="auto"/>
              <w:jc w:val="center"/>
              <w:rPr>
                <w:rFonts w:ascii="宋体" w:hAnsi="宋体" w:cs="宋体"/>
                <w:kern w:val="0"/>
                <w:sz w:val="24"/>
              </w:rPr>
            </w:pPr>
            <w:r>
              <w:rPr>
                <w:rFonts w:hint="eastAsia" w:ascii="宋体" w:hAnsi="宋体" w:cs="宋体"/>
                <w:kern w:val="0"/>
                <w:sz w:val="24"/>
              </w:rPr>
              <w:t>数量</w:t>
            </w:r>
          </w:p>
        </w:tc>
      </w:tr>
      <w:tr w14:paraId="0ACD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494" w:type="pct"/>
            <w:vAlign w:val="center"/>
          </w:tcPr>
          <w:p w14:paraId="089491CE">
            <w:pPr>
              <w:widowControl/>
              <w:spacing w:line="360" w:lineRule="auto"/>
              <w:jc w:val="center"/>
              <w:rPr>
                <w:rFonts w:ascii="宋体" w:hAnsi="宋体" w:cs="宋体"/>
                <w:kern w:val="0"/>
                <w:sz w:val="24"/>
              </w:rPr>
            </w:pPr>
            <w:r>
              <w:rPr>
                <w:rFonts w:hint="eastAsia" w:ascii="宋体" w:hAnsi="宋体" w:cs="宋体"/>
                <w:kern w:val="0"/>
                <w:sz w:val="24"/>
              </w:rPr>
              <w:t>1</w:t>
            </w:r>
          </w:p>
        </w:tc>
        <w:tc>
          <w:tcPr>
            <w:tcW w:w="4506" w:type="pct"/>
            <w:gridSpan w:val="6"/>
            <w:vAlign w:val="center"/>
          </w:tcPr>
          <w:p w14:paraId="46AA3559">
            <w:pPr>
              <w:widowControl/>
              <w:spacing w:line="360" w:lineRule="auto"/>
              <w:jc w:val="left"/>
              <w:rPr>
                <w:rFonts w:ascii="宋体" w:hAnsi="宋体" w:cs="宋体"/>
                <w:kern w:val="0"/>
                <w:sz w:val="24"/>
              </w:rPr>
            </w:pPr>
            <w:r>
              <w:rPr>
                <w:rFonts w:hint="eastAsia" w:ascii="宋体" w:hAnsi="宋体" w:cs="宋体"/>
                <w:kern w:val="0"/>
                <w:sz w:val="24"/>
              </w:rPr>
              <w:t>基础设备维保服务</w:t>
            </w:r>
          </w:p>
        </w:tc>
      </w:tr>
      <w:tr w14:paraId="38A3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04594F3B">
            <w:pPr>
              <w:widowControl/>
              <w:spacing w:line="360" w:lineRule="auto"/>
              <w:jc w:val="center"/>
              <w:rPr>
                <w:rFonts w:ascii="宋体" w:hAnsi="宋体" w:cs="宋体"/>
                <w:kern w:val="0"/>
                <w:sz w:val="24"/>
              </w:rPr>
            </w:pPr>
            <w:r>
              <w:rPr>
                <w:rFonts w:hint="eastAsia" w:ascii="宋体" w:hAnsi="宋体" w:cs="宋体"/>
                <w:kern w:val="0"/>
                <w:sz w:val="24"/>
              </w:rPr>
              <w:t>1.1</w:t>
            </w:r>
          </w:p>
        </w:tc>
        <w:tc>
          <w:tcPr>
            <w:tcW w:w="588" w:type="pct"/>
            <w:vMerge w:val="restart"/>
            <w:vAlign w:val="center"/>
          </w:tcPr>
          <w:p w14:paraId="71414D31">
            <w:pPr>
              <w:widowControl/>
              <w:spacing w:line="360" w:lineRule="auto"/>
              <w:jc w:val="left"/>
              <w:rPr>
                <w:rFonts w:ascii="宋体" w:hAnsi="宋体" w:cs="宋体"/>
                <w:kern w:val="0"/>
                <w:sz w:val="24"/>
              </w:rPr>
            </w:pPr>
            <w:r>
              <w:rPr>
                <w:rFonts w:hint="eastAsia" w:ascii="宋体" w:hAnsi="宋体" w:cs="宋体"/>
                <w:kern w:val="0"/>
                <w:sz w:val="24"/>
              </w:rPr>
              <w:t>机房环境</w:t>
            </w:r>
          </w:p>
        </w:tc>
        <w:tc>
          <w:tcPr>
            <w:tcW w:w="814" w:type="pct"/>
            <w:vMerge w:val="restart"/>
            <w:vAlign w:val="center"/>
          </w:tcPr>
          <w:p w14:paraId="713B4AEE">
            <w:pPr>
              <w:widowControl/>
              <w:spacing w:line="360" w:lineRule="auto"/>
              <w:jc w:val="left"/>
              <w:rPr>
                <w:rFonts w:ascii="宋体" w:hAnsi="宋体" w:cs="宋体"/>
                <w:kern w:val="0"/>
                <w:sz w:val="24"/>
              </w:rPr>
            </w:pPr>
            <w:r>
              <w:rPr>
                <w:rFonts w:hint="eastAsia" w:ascii="宋体" w:hAnsi="宋体" w:cs="宋体"/>
                <w:kern w:val="0"/>
                <w:sz w:val="24"/>
              </w:rPr>
              <w:t>不间断电源</w:t>
            </w:r>
          </w:p>
        </w:tc>
        <w:tc>
          <w:tcPr>
            <w:tcW w:w="1838" w:type="pct"/>
            <w:vAlign w:val="center"/>
          </w:tcPr>
          <w:p w14:paraId="0AB68FAA">
            <w:pPr>
              <w:widowControl/>
              <w:spacing w:line="360" w:lineRule="auto"/>
              <w:jc w:val="left"/>
              <w:rPr>
                <w:rFonts w:ascii="宋体" w:hAnsi="宋体" w:cs="宋体"/>
                <w:kern w:val="0"/>
                <w:sz w:val="24"/>
              </w:rPr>
            </w:pPr>
            <w:r>
              <w:rPr>
                <w:rFonts w:hint="eastAsia" w:ascii="宋体" w:hAnsi="宋体" w:cs="宋体"/>
                <w:kern w:val="0"/>
                <w:sz w:val="24"/>
              </w:rPr>
              <w:t>UPS艾默生UL33-0400L</w:t>
            </w:r>
          </w:p>
        </w:tc>
        <w:tc>
          <w:tcPr>
            <w:tcW w:w="436" w:type="pct"/>
            <w:vAlign w:val="center"/>
          </w:tcPr>
          <w:p w14:paraId="18B22256">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04DBEBDA">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03F3BCED">
            <w:pPr>
              <w:widowControl/>
              <w:spacing w:line="360" w:lineRule="auto"/>
              <w:jc w:val="center"/>
              <w:rPr>
                <w:rFonts w:ascii="宋体" w:hAnsi="宋体" w:cs="宋体"/>
                <w:kern w:val="0"/>
                <w:sz w:val="24"/>
              </w:rPr>
            </w:pPr>
            <w:r>
              <w:rPr>
                <w:rFonts w:hint="eastAsia" w:ascii="宋体" w:hAnsi="宋体" w:cs="宋体"/>
                <w:kern w:val="0"/>
                <w:sz w:val="24"/>
              </w:rPr>
              <w:t>2</w:t>
            </w:r>
          </w:p>
        </w:tc>
      </w:tr>
      <w:tr w14:paraId="325A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73D05203">
            <w:pPr>
              <w:widowControl/>
              <w:spacing w:line="360" w:lineRule="auto"/>
              <w:jc w:val="center"/>
              <w:rPr>
                <w:rFonts w:ascii="宋体" w:hAnsi="宋体" w:cs="宋体"/>
                <w:kern w:val="0"/>
                <w:sz w:val="24"/>
              </w:rPr>
            </w:pPr>
            <w:r>
              <w:rPr>
                <w:rFonts w:hint="eastAsia" w:ascii="宋体" w:hAnsi="宋体" w:cs="宋体"/>
                <w:kern w:val="0"/>
                <w:sz w:val="24"/>
              </w:rPr>
              <w:t>1.2</w:t>
            </w:r>
          </w:p>
        </w:tc>
        <w:tc>
          <w:tcPr>
            <w:tcW w:w="588" w:type="pct"/>
            <w:vMerge w:val="continue"/>
            <w:vAlign w:val="center"/>
          </w:tcPr>
          <w:p w14:paraId="19E72DEF">
            <w:pPr>
              <w:widowControl/>
              <w:spacing w:line="360" w:lineRule="auto"/>
              <w:jc w:val="left"/>
              <w:rPr>
                <w:rFonts w:ascii="宋体" w:hAnsi="宋体" w:cs="宋体"/>
                <w:kern w:val="0"/>
                <w:sz w:val="24"/>
              </w:rPr>
            </w:pPr>
          </w:p>
        </w:tc>
        <w:tc>
          <w:tcPr>
            <w:tcW w:w="814" w:type="pct"/>
            <w:vMerge w:val="continue"/>
            <w:vAlign w:val="center"/>
          </w:tcPr>
          <w:p w14:paraId="54D9F294">
            <w:pPr>
              <w:widowControl/>
              <w:spacing w:line="360" w:lineRule="auto"/>
              <w:jc w:val="left"/>
              <w:rPr>
                <w:rFonts w:ascii="宋体" w:hAnsi="宋体" w:cs="宋体"/>
                <w:kern w:val="0"/>
                <w:sz w:val="24"/>
              </w:rPr>
            </w:pPr>
          </w:p>
        </w:tc>
        <w:tc>
          <w:tcPr>
            <w:tcW w:w="1838" w:type="pct"/>
            <w:vAlign w:val="center"/>
          </w:tcPr>
          <w:p w14:paraId="483BFFEA">
            <w:pPr>
              <w:widowControl/>
              <w:spacing w:line="360" w:lineRule="auto"/>
              <w:jc w:val="left"/>
              <w:rPr>
                <w:rFonts w:ascii="宋体" w:hAnsi="宋体" w:cs="宋体"/>
                <w:kern w:val="0"/>
                <w:sz w:val="24"/>
              </w:rPr>
            </w:pPr>
            <w:r>
              <w:rPr>
                <w:rFonts w:hint="eastAsia" w:ascii="宋体" w:hAnsi="宋体" w:cs="宋体"/>
                <w:kern w:val="0"/>
                <w:sz w:val="24"/>
              </w:rPr>
              <w:t>电池艾福瑞思12V200AH</w:t>
            </w:r>
          </w:p>
        </w:tc>
        <w:tc>
          <w:tcPr>
            <w:tcW w:w="436" w:type="pct"/>
            <w:vAlign w:val="center"/>
          </w:tcPr>
          <w:p w14:paraId="40D5A048">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5E72AFB0">
            <w:pPr>
              <w:widowControl/>
              <w:spacing w:line="360" w:lineRule="auto"/>
              <w:jc w:val="center"/>
              <w:rPr>
                <w:rFonts w:ascii="宋体" w:hAnsi="宋体" w:cs="宋体"/>
                <w:kern w:val="0"/>
                <w:sz w:val="24"/>
              </w:rPr>
            </w:pPr>
            <w:r>
              <w:rPr>
                <w:rFonts w:hint="eastAsia" w:ascii="宋体" w:hAnsi="宋体" w:cs="宋体"/>
                <w:kern w:val="0"/>
                <w:sz w:val="24"/>
              </w:rPr>
              <w:t>块</w:t>
            </w:r>
          </w:p>
        </w:tc>
        <w:tc>
          <w:tcPr>
            <w:tcW w:w="501" w:type="pct"/>
            <w:vAlign w:val="center"/>
          </w:tcPr>
          <w:p w14:paraId="70CAE25A">
            <w:pPr>
              <w:widowControl/>
              <w:spacing w:line="360" w:lineRule="auto"/>
              <w:jc w:val="center"/>
              <w:rPr>
                <w:rFonts w:ascii="宋体" w:hAnsi="宋体" w:cs="宋体"/>
                <w:kern w:val="0"/>
                <w:sz w:val="24"/>
              </w:rPr>
            </w:pPr>
            <w:r>
              <w:rPr>
                <w:rFonts w:hint="eastAsia" w:ascii="宋体" w:hAnsi="宋体" w:cs="宋体"/>
                <w:kern w:val="0"/>
                <w:sz w:val="24"/>
              </w:rPr>
              <w:t>180</w:t>
            </w:r>
          </w:p>
        </w:tc>
      </w:tr>
      <w:tr w14:paraId="48F2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58EE60C8">
            <w:pPr>
              <w:widowControl/>
              <w:spacing w:line="360" w:lineRule="auto"/>
              <w:jc w:val="center"/>
              <w:rPr>
                <w:rFonts w:ascii="宋体" w:hAnsi="宋体" w:cs="宋体"/>
                <w:kern w:val="0"/>
                <w:sz w:val="24"/>
              </w:rPr>
            </w:pPr>
            <w:r>
              <w:rPr>
                <w:rFonts w:hint="eastAsia" w:ascii="宋体" w:hAnsi="宋体" w:cs="宋体"/>
                <w:kern w:val="0"/>
                <w:sz w:val="24"/>
              </w:rPr>
              <w:t>1.3</w:t>
            </w:r>
          </w:p>
        </w:tc>
        <w:tc>
          <w:tcPr>
            <w:tcW w:w="588" w:type="pct"/>
            <w:vMerge w:val="continue"/>
            <w:vAlign w:val="center"/>
          </w:tcPr>
          <w:p w14:paraId="4C03ADA0">
            <w:pPr>
              <w:widowControl/>
              <w:spacing w:line="360" w:lineRule="auto"/>
              <w:jc w:val="left"/>
              <w:rPr>
                <w:rFonts w:ascii="宋体" w:hAnsi="宋体" w:cs="宋体"/>
                <w:kern w:val="0"/>
                <w:sz w:val="24"/>
              </w:rPr>
            </w:pPr>
          </w:p>
        </w:tc>
        <w:tc>
          <w:tcPr>
            <w:tcW w:w="814" w:type="pct"/>
            <w:vAlign w:val="center"/>
          </w:tcPr>
          <w:p w14:paraId="4428AC37">
            <w:pPr>
              <w:widowControl/>
              <w:spacing w:line="360" w:lineRule="auto"/>
              <w:jc w:val="left"/>
              <w:rPr>
                <w:rFonts w:ascii="宋体" w:hAnsi="宋体" w:cs="宋体"/>
                <w:kern w:val="0"/>
                <w:sz w:val="24"/>
              </w:rPr>
            </w:pPr>
            <w:r>
              <w:rPr>
                <w:rFonts w:hint="eastAsia" w:ascii="宋体" w:hAnsi="宋体" w:cs="宋体"/>
                <w:kern w:val="0"/>
                <w:sz w:val="24"/>
              </w:rPr>
              <w:t>柴油发电机</w:t>
            </w:r>
          </w:p>
        </w:tc>
        <w:tc>
          <w:tcPr>
            <w:tcW w:w="1838" w:type="pct"/>
            <w:vAlign w:val="center"/>
          </w:tcPr>
          <w:p w14:paraId="676392B2">
            <w:pPr>
              <w:widowControl/>
              <w:spacing w:line="360" w:lineRule="auto"/>
              <w:jc w:val="left"/>
              <w:rPr>
                <w:rFonts w:ascii="宋体" w:hAnsi="宋体" w:cs="宋体"/>
                <w:kern w:val="0"/>
                <w:sz w:val="24"/>
              </w:rPr>
            </w:pPr>
            <w:r>
              <w:rPr>
                <w:rFonts w:hint="eastAsia" w:ascii="宋体" w:hAnsi="宋体" w:cs="宋体"/>
                <w:kern w:val="0"/>
                <w:sz w:val="24"/>
              </w:rPr>
              <w:t>康明斯DF-300</w:t>
            </w:r>
          </w:p>
        </w:tc>
        <w:tc>
          <w:tcPr>
            <w:tcW w:w="436" w:type="pct"/>
            <w:vAlign w:val="center"/>
          </w:tcPr>
          <w:p w14:paraId="71FF92E6">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74B37265">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23387BD0">
            <w:pPr>
              <w:widowControl/>
              <w:spacing w:line="360" w:lineRule="auto"/>
              <w:jc w:val="center"/>
              <w:rPr>
                <w:rFonts w:ascii="宋体" w:hAnsi="宋体" w:cs="宋体"/>
                <w:kern w:val="0"/>
                <w:sz w:val="24"/>
              </w:rPr>
            </w:pPr>
            <w:r>
              <w:rPr>
                <w:rFonts w:hint="eastAsia" w:ascii="宋体" w:hAnsi="宋体" w:cs="宋体"/>
                <w:kern w:val="0"/>
                <w:sz w:val="24"/>
              </w:rPr>
              <w:t>1</w:t>
            </w:r>
          </w:p>
        </w:tc>
      </w:tr>
      <w:tr w14:paraId="3021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1E67CE7A">
            <w:pPr>
              <w:widowControl/>
              <w:spacing w:line="360" w:lineRule="auto"/>
              <w:jc w:val="center"/>
              <w:rPr>
                <w:rFonts w:ascii="宋体" w:hAnsi="宋体" w:cs="宋体"/>
                <w:kern w:val="0"/>
                <w:sz w:val="24"/>
              </w:rPr>
            </w:pPr>
            <w:r>
              <w:rPr>
                <w:rFonts w:hint="eastAsia" w:ascii="宋体" w:hAnsi="宋体" w:cs="宋体"/>
                <w:kern w:val="0"/>
                <w:sz w:val="24"/>
              </w:rPr>
              <w:t>1.4</w:t>
            </w:r>
          </w:p>
        </w:tc>
        <w:tc>
          <w:tcPr>
            <w:tcW w:w="588" w:type="pct"/>
            <w:vMerge w:val="continue"/>
            <w:vAlign w:val="center"/>
          </w:tcPr>
          <w:p w14:paraId="0F68DFBC">
            <w:pPr>
              <w:widowControl/>
              <w:spacing w:line="360" w:lineRule="auto"/>
              <w:jc w:val="left"/>
              <w:rPr>
                <w:rFonts w:ascii="宋体" w:hAnsi="宋体" w:cs="宋体"/>
                <w:kern w:val="0"/>
                <w:sz w:val="24"/>
              </w:rPr>
            </w:pPr>
          </w:p>
        </w:tc>
        <w:tc>
          <w:tcPr>
            <w:tcW w:w="814" w:type="pct"/>
            <w:vAlign w:val="center"/>
          </w:tcPr>
          <w:p w14:paraId="455BF8BA">
            <w:pPr>
              <w:widowControl/>
              <w:spacing w:line="360" w:lineRule="auto"/>
              <w:jc w:val="left"/>
              <w:rPr>
                <w:rFonts w:ascii="宋体" w:hAnsi="宋体" w:cs="宋体"/>
                <w:kern w:val="0"/>
                <w:sz w:val="24"/>
              </w:rPr>
            </w:pPr>
            <w:r>
              <w:rPr>
                <w:rFonts w:hint="eastAsia" w:ascii="宋体" w:hAnsi="宋体" w:cs="宋体"/>
                <w:kern w:val="0"/>
                <w:sz w:val="24"/>
              </w:rPr>
              <w:t>机房精密空调</w:t>
            </w:r>
          </w:p>
        </w:tc>
        <w:tc>
          <w:tcPr>
            <w:tcW w:w="1838" w:type="pct"/>
            <w:vAlign w:val="center"/>
          </w:tcPr>
          <w:p w14:paraId="7461D1B5">
            <w:pPr>
              <w:widowControl/>
              <w:spacing w:line="360" w:lineRule="auto"/>
              <w:jc w:val="left"/>
              <w:rPr>
                <w:rFonts w:ascii="宋体" w:hAnsi="宋体" w:cs="宋体"/>
                <w:kern w:val="0"/>
                <w:sz w:val="24"/>
              </w:rPr>
            </w:pPr>
            <w:r>
              <w:rPr>
                <w:rFonts w:hint="eastAsia" w:ascii="宋体" w:hAnsi="宋体" w:cs="宋体"/>
                <w:kern w:val="0"/>
                <w:sz w:val="24"/>
              </w:rPr>
              <w:t>艾默生P1025UA</w:t>
            </w:r>
          </w:p>
        </w:tc>
        <w:tc>
          <w:tcPr>
            <w:tcW w:w="436" w:type="pct"/>
            <w:vAlign w:val="center"/>
          </w:tcPr>
          <w:p w14:paraId="67B6FA4C">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71AD2506">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1A725B35">
            <w:pPr>
              <w:widowControl/>
              <w:spacing w:line="360" w:lineRule="auto"/>
              <w:jc w:val="center"/>
              <w:rPr>
                <w:rFonts w:ascii="宋体" w:hAnsi="宋体" w:cs="宋体"/>
                <w:kern w:val="0"/>
                <w:sz w:val="24"/>
              </w:rPr>
            </w:pPr>
            <w:r>
              <w:rPr>
                <w:rFonts w:hint="eastAsia" w:ascii="宋体" w:hAnsi="宋体" w:cs="宋体"/>
                <w:kern w:val="0"/>
                <w:sz w:val="24"/>
              </w:rPr>
              <w:t>1</w:t>
            </w:r>
          </w:p>
        </w:tc>
      </w:tr>
      <w:tr w14:paraId="6E0E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18495AFD">
            <w:pPr>
              <w:widowControl/>
              <w:spacing w:line="360" w:lineRule="auto"/>
              <w:jc w:val="center"/>
              <w:rPr>
                <w:rFonts w:ascii="宋体" w:hAnsi="宋体" w:cs="宋体"/>
                <w:kern w:val="0"/>
                <w:sz w:val="24"/>
              </w:rPr>
            </w:pPr>
            <w:r>
              <w:rPr>
                <w:rFonts w:hint="eastAsia" w:ascii="宋体" w:hAnsi="宋体" w:cs="宋体"/>
                <w:kern w:val="0"/>
                <w:sz w:val="24"/>
              </w:rPr>
              <w:t>1.5</w:t>
            </w:r>
          </w:p>
        </w:tc>
        <w:tc>
          <w:tcPr>
            <w:tcW w:w="588" w:type="pct"/>
            <w:vMerge w:val="restart"/>
            <w:vAlign w:val="center"/>
          </w:tcPr>
          <w:p w14:paraId="51344EA3">
            <w:pPr>
              <w:widowControl/>
              <w:spacing w:line="360" w:lineRule="auto"/>
              <w:jc w:val="left"/>
              <w:rPr>
                <w:rFonts w:ascii="宋体" w:hAnsi="宋体" w:cs="宋体"/>
                <w:kern w:val="0"/>
                <w:sz w:val="24"/>
              </w:rPr>
            </w:pPr>
            <w:r>
              <w:rPr>
                <w:rFonts w:hint="eastAsia" w:ascii="宋体" w:hAnsi="宋体" w:cs="宋体"/>
                <w:kern w:val="0"/>
                <w:sz w:val="24"/>
              </w:rPr>
              <w:t>服务器</w:t>
            </w:r>
          </w:p>
        </w:tc>
        <w:tc>
          <w:tcPr>
            <w:tcW w:w="814" w:type="pct"/>
            <w:vMerge w:val="restart"/>
            <w:vAlign w:val="center"/>
          </w:tcPr>
          <w:p w14:paraId="5EB99BEE">
            <w:pPr>
              <w:widowControl/>
              <w:spacing w:line="360" w:lineRule="auto"/>
              <w:jc w:val="left"/>
              <w:rPr>
                <w:rFonts w:ascii="宋体" w:hAnsi="宋体" w:cs="宋体"/>
                <w:kern w:val="0"/>
                <w:sz w:val="24"/>
              </w:rPr>
            </w:pPr>
            <w:r>
              <w:rPr>
                <w:rFonts w:hint="eastAsia" w:ascii="宋体" w:hAnsi="宋体" w:cs="宋体"/>
                <w:kern w:val="0"/>
                <w:sz w:val="24"/>
              </w:rPr>
              <w:t>戴尔服务器</w:t>
            </w:r>
          </w:p>
        </w:tc>
        <w:tc>
          <w:tcPr>
            <w:tcW w:w="1838" w:type="pct"/>
            <w:vAlign w:val="center"/>
          </w:tcPr>
          <w:p w14:paraId="119FD5B3">
            <w:pPr>
              <w:widowControl/>
              <w:spacing w:line="360" w:lineRule="auto"/>
              <w:jc w:val="left"/>
              <w:rPr>
                <w:rFonts w:ascii="宋体" w:hAnsi="宋体" w:cs="宋体"/>
                <w:kern w:val="0"/>
                <w:sz w:val="24"/>
              </w:rPr>
            </w:pPr>
            <w:r>
              <w:rPr>
                <w:rFonts w:hint="eastAsia" w:ascii="宋体" w:hAnsi="宋体" w:cs="宋体"/>
                <w:kern w:val="0"/>
                <w:sz w:val="24"/>
              </w:rPr>
              <w:t>戴尔刀片服务器610</w:t>
            </w:r>
          </w:p>
        </w:tc>
        <w:tc>
          <w:tcPr>
            <w:tcW w:w="436" w:type="pct"/>
            <w:vAlign w:val="center"/>
          </w:tcPr>
          <w:p w14:paraId="3BD5FE82">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1B9189D6">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39618A98">
            <w:pPr>
              <w:widowControl/>
              <w:spacing w:line="360" w:lineRule="auto"/>
              <w:jc w:val="center"/>
              <w:rPr>
                <w:rFonts w:ascii="宋体" w:hAnsi="宋体" w:cs="宋体"/>
                <w:kern w:val="0"/>
                <w:sz w:val="24"/>
              </w:rPr>
            </w:pPr>
            <w:r>
              <w:rPr>
                <w:rFonts w:hint="eastAsia" w:ascii="宋体" w:hAnsi="宋体" w:cs="宋体"/>
                <w:kern w:val="0"/>
                <w:sz w:val="24"/>
              </w:rPr>
              <w:t>16</w:t>
            </w:r>
          </w:p>
        </w:tc>
      </w:tr>
      <w:tr w14:paraId="5BF8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459D7C4C">
            <w:pPr>
              <w:widowControl/>
              <w:spacing w:line="360" w:lineRule="auto"/>
              <w:jc w:val="center"/>
              <w:rPr>
                <w:rFonts w:ascii="宋体" w:hAnsi="宋体" w:cs="宋体"/>
                <w:kern w:val="0"/>
                <w:sz w:val="24"/>
              </w:rPr>
            </w:pPr>
            <w:r>
              <w:rPr>
                <w:rFonts w:hint="eastAsia" w:ascii="宋体" w:hAnsi="宋体" w:cs="宋体"/>
                <w:kern w:val="0"/>
                <w:sz w:val="24"/>
              </w:rPr>
              <w:t>1.6</w:t>
            </w:r>
          </w:p>
        </w:tc>
        <w:tc>
          <w:tcPr>
            <w:tcW w:w="588" w:type="pct"/>
            <w:vMerge w:val="continue"/>
            <w:vAlign w:val="center"/>
          </w:tcPr>
          <w:p w14:paraId="45B63FDC">
            <w:pPr>
              <w:widowControl/>
              <w:spacing w:line="360" w:lineRule="auto"/>
              <w:jc w:val="left"/>
              <w:rPr>
                <w:rFonts w:ascii="宋体" w:hAnsi="宋体" w:cs="宋体"/>
                <w:kern w:val="0"/>
                <w:sz w:val="24"/>
              </w:rPr>
            </w:pPr>
          </w:p>
        </w:tc>
        <w:tc>
          <w:tcPr>
            <w:tcW w:w="814" w:type="pct"/>
            <w:vMerge w:val="continue"/>
            <w:vAlign w:val="center"/>
          </w:tcPr>
          <w:p w14:paraId="7BBCA300">
            <w:pPr>
              <w:widowControl/>
              <w:spacing w:line="360" w:lineRule="auto"/>
              <w:jc w:val="left"/>
              <w:rPr>
                <w:rFonts w:ascii="宋体" w:hAnsi="宋体" w:cs="宋体"/>
                <w:kern w:val="0"/>
                <w:sz w:val="24"/>
              </w:rPr>
            </w:pPr>
          </w:p>
        </w:tc>
        <w:tc>
          <w:tcPr>
            <w:tcW w:w="1838" w:type="pct"/>
            <w:vAlign w:val="center"/>
          </w:tcPr>
          <w:p w14:paraId="0EC62D2A">
            <w:pPr>
              <w:widowControl/>
              <w:spacing w:line="360" w:lineRule="auto"/>
              <w:jc w:val="left"/>
              <w:rPr>
                <w:rFonts w:ascii="宋体" w:hAnsi="宋体" w:cs="宋体"/>
                <w:kern w:val="0"/>
                <w:sz w:val="24"/>
              </w:rPr>
            </w:pPr>
            <w:r>
              <w:rPr>
                <w:rFonts w:hint="eastAsia" w:ascii="宋体" w:hAnsi="宋体" w:cs="宋体"/>
                <w:kern w:val="0"/>
                <w:sz w:val="24"/>
              </w:rPr>
              <w:t>戴尔刀片服务器620</w:t>
            </w:r>
          </w:p>
        </w:tc>
        <w:tc>
          <w:tcPr>
            <w:tcW w:w="436" w:type="pct"/>
            <w:vAlign w:val="center"/>
          </w:tcPr>
          <w:p w14:paraId="63BF68F7">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412ABB39">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1F5D5E57">
            <w:pPr>
              <w:widowControl/>
              <w:spacing w:line="360" w:lineRule="auto"/>
              <w:jc w:val="center"/>
              <w:rPr>
                <w:rFonts w:ascii="宋体" w:hAnsi="宋体" w:cs="宋体"/>
                <w:kern w:val="0"/>
                <w:sz w:val="24"/>
              </w:rPr>
            </w:pPr>
            <w:r>
              <w:rPr>
                <w:rFonts w:hint="eastAsia" w:ascii="宋体" w:hAnsi="宋体" w:cs="宋体"/>
                <w:kern w:val="0"/>
                <w:sz w:val="24"/>
              </w:rPr>
              <w:t>16</w:t>
            </w:r>
          </w:p>
        </w:tc>
      </w:tr>
      <w:tr w14:paraId="6E38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75D9120C">
            <w:pPr>
              <w:widowControl/>
              <w:spacing w:line="360" w:lineRule="auto"/>
              <w:jc w:val="center"/>
              <w:rPr>
                <w:rFonts w:ascii="宋体" w:hAnsi="宋体" w:cs="宋体"/>
                <w:kern w:val="0"/>
                <w:sz w:val="24"/>
              </w:rPr>
            </w:pPr>
            <w:r>
              <w:rPr>
                <w:rFonts w:hint="eastAsia" w:ascii="宋体" w:hAnsi="宋体" w:cs="宋体"/>
                <w:kern w:val="0"/>
                <w:sz w:val="24"/>
              </w:rPr>
              <w:t>1.7</w:t>
            </w:r>
          </w:p>
        </w:tc>
        <w:tc>
          <w:tcPr>
            <w:tcW w:w="588" w:type="pct"/>
            <w:vMerge w:val="continue"/>
            <w:vAlign w:val="center"/>
          </w:tcPr>
          <w:p w14:paraId="23965A89">
            <w:pPr>
              <w:widowControl/>
              <w:spacing w:line="360" w:lineRule="auto"/>
              <w:jc w:val="left"/>
              <w:rPr>
                <w:rFonts w:ascii="宋体" w:hAnsi="宋体" w:cs="宋体"/>
                <w:kern w:val="0"/>
                <w:sz w:val="24"/>
              </w:rPr>
            </w:pPr>
          </w:p>
        </w:tc>
        <w:tc>
          <w:tcPr>
            <w:tcW w:w="814" w:type="pct"/>
            <w:vMerge w:val="continue"/>
            <w:vAlign w:val="center"/>
          </w:tcPr>
          <w:p w14:paraId="5A1BFD21">
            <w:pPr>
              <w:widowControl/>
              <w:spacing w:line="360" w:lineRule="auto"/>
              <w:jc w:val="left"/>
              <w:rPr>
                <w:rFonts w:ascii="宋体" w:hAnsi="宋体" w:cs="宋体"/>
                <w:kern w:val="0"/>
                <w:sz w:val="24"/>
              </w:rPr>
            </w:pPr>
          </w:p>
        </w:tc>
        <w:tc>
          <w:tcPr>
            <w:tcW w:w="1838" w:type="pct"/>
            <w:vAlign w:val="center"/>
          </w:tcPr>
          <w:p w14:paraId="7ECAC023">
            <w:pPr>
              <w:widowControl/>
              <w:spacing w:line="360" w:lineRule="auto"/>
              <w:jc w:val="left"/>
              <w:rPr>
                <w:rFonts w:ascii="宋体" w:hAnsi="宋体" w:cs="宋体"/>
                <w:kern w:val="0"/>
                <w:sz w:val="24"/>
              </w:rPr>
            </w:pPr>
            <w:r>
              <w:rPr>
                <w:rFonts w:hint="eastAsia" w:ascii="宋体" w:hAnsi="宋体" w:cs="宋体"/>
                <w:kern w:val="0"/>
                <w:sz w:val="24"/>
              </w:rPr>
              <w:t>戴尔服务器710</w:t>
            </w:r>
          </w:p>
        </w:tc>
        <w:tc>
          <w:tcPr>
            <w:tcW w:w="436" w:type="pct"/>
            <w:vAlign w:val="center"/>
          </w:tcPr>
          <w:p w14:paraId="433A0729">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243180E5">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1A2A923B">
            <w:pPr>
              <w:widowControl/>
              <w:spacing w:line="360" w:lineRule="auto"/>
              <w:jc w:val="center"/>
              <w:rPr>
                <w:rFonts w:ascii="宋体" w:hAnsi="宋体" w:cs="宋体"/>
                <w:kern w:val="0"/>
                <w:sz w:val="24"/>
              </w:rPr>
            </w:pPr>
            <w:r>
              <w:rPr>
                <w:rFonts w:hint="eastAsia" w:ascii="宋体" w:hAnsi="宋体" w:cs="宋体"/>
                <w:kern w:val="0"/>
                <w:sz w:val="24"/>
              </w:rPr>
              <w:t>1</w:t>
            </w:r>
          </w:p>
        </w:tc>
      </w:tr>
      <w:tr w14:paraId="4AD0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0F86D459">
            <w:pPr>
              <w:widowControl/>
              <w:spacing w:line="360" w:lineRule="auto"/>
              <w:jc w:val="center"/>
              <w:rPr>
                <w:rFonts w:ascii="宋体" w:hAnsi="宋体" w:cs="宋体"/>
                <w:kern w:val="0"/>
                <w:sz w:val="24"/>
              </w:rPr>
            </w:pPr>
            <w:r>
              <w:rPr>
                <w:rFonts w:hint="eastAsia" w:ascii="宋体" w:hAnsi="宋体" w:cs="宋体"/>
                <w:kern w:val="0"/>
                <w:sz w:val="24"/>
              </w:rPr>
              <w:t>1.8</w:t>
            </w:r>
          </w:p>
        </w:tc>
        <w:tc>
          <w:tcPr>
            <w:tcW w:w="588" w:type="pct"/>
            <w:vMerge w:val="continue"/>
            <w:vAlign w:val="center"/>
          </w:tcPr>
          <w:p w14:paraId="428D1FCA">
            <w:pPr>
              <w:widowControl/>
              <w:spacing w:line="360" w:lineRule="auto"/>
              <w:jc w:val="left"/>
              <w:rPr>
                <w:rFonts w:ascii="宋体" w:hAnsi="宋体" w:cs="宋体"/>
                <w:kern w:val="0"/>
                <w:sz w:val="24"/>
              </w:rPr>
            </w:pPr>
          </w:p>
        </w:tc>
        <w:tc>
          <w:tcPr>
            <w:tcW w:w="814" w:type="pct"/>
            <w:vMerge w:val="continue"/>
            <w:vAlign w:val="center"/>
          </w:tcPr>
          <w:p w14:paraId="3B0970D5">
            <w:pPr>
              <w:widowControl/>
              <w:spacing w:line="360" w:lineRule="auto"/>
              <w:jc w:val="left"/>
              <w:rPr>
                <w:rFonts w:ascii="宋体" w:hAnsi="宋体" w:cs="宋体"/>
                <w:kern w:val="0"/>
                <w:sz w:val="24"/>
              </w:rPr>
            </w:pPr>
          </w:p>
        </w:tc>
        <w:tc>
          <w:tcPr>
            <w:tcW w:w="1838" w:type="pct"/>
            <w:vAlign w:val="center"/>
          </w:tcPr>
          <w:p w14:paraId="743A7D28">
            <w:pPr>
              <w:widowControl/>
              <w:spacing w:line="360" w:lineRule="auto"/>
              <w:jc w:val="left"/>
              <w:rPr>
                <w:rFonts w:ascii="宋体" w:hAnsi="宋体" w:cs="宋体"/>
                <w:kern w:val="0"/>
                <w:sz w:val="24"/>
              </w:rPr>
            </w:pPr>
            <w:r>
              <w:rPr>
                <w:rFonts w:hint="eastAsia" w:ascii="宋体" w:hAnsi="宋体" w:cs="宋体"/>
                <w:kern w:val="0"/>
                <w:sz w:val="24"/>
              </w:rPr>
              <w:t>戴尔服务器720</w:t>
            </w:r>
          </w:p>
        </w:tc>
        <w:tc>
          <w:tcPr>
            <w:tcW w:w="436" w:type="pct"/>
            <w:vAlign w:val="center"/>
          </w:tcPr>
          <w:p w14:paraId="02E06950">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7634C640">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61A67B30">
            <w:pPr>
              <w:widowControl/>
              <w:spacing w:line="360" w:lineRule="auto"/>
              <w:jc w:val="center"/>
              <w:rPr>
                <w:rFonts w:ascii="宋体" w:hAnsi="宋体" w:cs="宋体"/>
                <w:kern w:val="0"/>
                <w:sz w:val="24"/>
              </w:rPr>
            </w:pPr>
            <w:r>
              <w:rPr>
                <w:rFonts w:hint="eastAsia" w:ascii="宋体" w:hAnsi="宋体" w:cs="宋体"/>
                <w:kern w:val="0"/>
                <w:sz w:val="24"/>
              </w:rPr>
              <w:t>5</w:t>
            </w:r>
          </w:p>
        </w:tc>
      </w:tr>
      <w:tr w14:paraId="01CA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476CA619">
            <w:pPr>
              <w:widowControl/>
              <w:spacing w:line="360" w:lineRule="auto"/>
              <w:jc w:val="center"/>
              <w:rPr>
                <w:rFonts w:ascii="宋体" w:hAnsi="宋体" w:cs="宋体"/>
                <w:kern w:val="0"/>
                <w:sz w:val="24"/>
              </w:rPr>
            </w:pPr>
            <w:r>
              <w:rPr>
                <w:rFonts w:hint="eastAsia" w:ascii="宋体" w:hAnsi="宋体" w:cs="宋体"/>
                <w:kern w:val="0"/>
                <w:sz w:val="24"/>
              </w:rPr>
              <w:t>1.9</w:t>
            </w:r>
          </w:p>
        </w:tc>
        <w:tc>
          <w:tcPr>
            <w:tcW w:w="588" w:type="pct"/>
            <w:vMerge w:val="continue"/>
            <w:vAlign w:val="center"/>
          </w:tcPr>
          <w:p w14:paraId="2E2CF16A">
            <w:pPr>
              <w:widowControl/>
              <w:spacing w:line="360" w:lineRule="auto"/>
              <w:jc w:val="left"/>
              <w:rPr>
                <w:rFonts w:ascii="宋体" w:hAnsi="宋体" w:cs="宋体"/>
                <w:kern w:val="0"/>
                <w:sz w:val="24"/>
              </w:rPr>
            </w:pPr>
          </w:p>
        </w:tc>
        <w:tc>
          <w:tcPr>
            <w:tcW w:w="814" w:type="pct"/>
            <w:vMerge w:val="continue"/>
            <w:vAlign w:val="center"/>
          </w:tcPr>
          <w:p w14:paraId="0D362B4E">
            <w:pPr>
              <w:widowControl/>
              <w:spacing w:line="360" w:lineRule="auto"/>
              <w:jc w:val="left"/>
              <w:rPr>
                <w:rFonts w:ascii="宋体" w:hAnsi="宋体" w:cs="宋体"/>
                <w:kern w:val="0"/>
                <w:sz w:val="24"/>
              </w:rPr>
            </w:pPr>
          </w:p>
        </w:tc>
        <w:tc>
          <w:tcPr>
            <w:tcW w:w="1838" w:type="pct"/>
            <w:vAlign w:val="center"/>
          </w:tcPr>
          <w:p w14:paraId="722800DC">
            <w:pPr>
              <w:widowControl/>
              <w:spacing w:line="360" w:lineRule="auto"/>
              <w:jc w:val="left"/>
              <w:rPr>
                <w:rFonts w:ascii="宋体" w:hAnsi="宋体" w:cs="宋体"/>
                <w:kern w:val="0"/>
                <w:sz w:val="24"/>
              </w:rPr>
            </w:pPr>
            <w:r>
              <w:rPr>
                <w:rFonts w:hint="eastAsia" w:ascii="宋体" w:hAnsi="宋体" w:cs="宋体"/>
                <w:kern w:val="0"/>
                <w:sz w:val="24"/>
              </w:rPr>
              <w:t>戴尔服务器730</w:t>
            </w:r>
          </w:p>
        </w:tc>
        <w:tc>
          <w:tcPr>
            <w:tcW w:w="436" w:type="pct"/>
            <w:vAlign w:val="center"/>
          </w:tcPr>
          <w:p w14:paraId="03B5FA9A">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775B9107">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0ED7A465">
            <w:pPr>
              <w:widowControl/>
              <w:spacing w:line="360" w:lineRule="auto"/>
              <w:jc w:val="center"/>
              <w:rPr>
                <w:rFonts w:ascii="宋体" w:hAnsi="宋体" w:cs="宋体"/>
                <w:kern w:val="0"/>
                <w:sz w:val="24"/>
              </w:rPr>
            </w:pPr>
            <w:r>
              <w:rPr>
                <w:rFonts w:hint="eastAsia" w:ascii="宋体" w:hAnsi="宋体" w:cs="宋体"/>
                <w:kern w:val="0"/>
                <w:sz w:val="24"/>
              </w:rPr>
              <w:t>6</w:t>
            </w:r>
          </w:p>
        </w:tc>
      </w:tr>
      <w:tr w14:paraId="6CDB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4D7A43BE">
            <w:pPr>
              <w:widowControl/>
              <w:spacing w:line="360" w:lineRule="auto"/>
              <w:jc w:val="center"/>
              <w:rPr>
                <w:rFonts w:ascii="宋体" w:hAnsi="宋体" w:cs="宋体"/>
                <w:kern w:val="0"/>
                <w:sz w:val="24"/>
              </w:rPr>
            </w:pPr>
            <w:r>
              <w:rPr>
                <w:rFonts w:hint="eastAsia" w:ascii="宋体" w:hAnsi="宋体" w:cs="宋体"/>
                <w:kern w:val="0"/>
                <w:sz w:val="24"/>
              </w:rPr>
              <w:t>1.10</w:t>
            </w:r>
          </w:p>
        </w:tc>
        <w:tc>
          <w:tcPr>
            <w:tcW w:w="588" w:type="pct"/>
            <w:vMerge w:val="continue"/>
            <w:vAlign w:val="center"/>
          </w:tcPr>
          <w:p w14:paraId="66859E53">
            <w:pPr>
              <w:widowControl/>
              <w:spacing w:line="360" w:lineRule="auto"/>
              <w:jc w:val="left"/>
              <w:rPr>
                <w:rFonts w:ascii="宋体" w:hAnsi="宋体" w:cs="宋体"/>
                <w:kern w:val="0"/>
                <w:sz w:val="24"/>
              </w:rPr>
            </w:pPr>
          </w:p>
        </w:tc>
        <w:tc>
          <w:tcPr>
            <w:tcW w:w="814" w:type="pct"/>
            <w:vMerge w:val="restart"/>
            <w:vAlign w:val="center"/>
          </w:tcPr>
          <w:p w14:paraId="2F17BFE1">
            <w:pPr>
              <w:widowControl/>
              <w:spacing w:line="360" w:lineRule="auto"/>
              <w:jc w:val="left"/>
              <w:rPr>
                <w:rFonts w:ascii="宋体" w:hAnsi="宋体" w:cs="宋体"/>
                <w:kern w:val="0"/>
                <w:sz w:val="24"/>
              </w:rPr>
            </w:pPr>
            <w:r>
              <w:rPr>
                <w:rFonts w:hint="eastAsia" w:ascii="宋体" w:hAnsi="宋体" w:cs="宋体"/>
                <w:kern w:val="0"/>
                <w:sz w:val="24"/>
              </w:rPr>
              <w:t>联想服务器</w:t>
            </w:r>
          </w:p>
        </w:tc>
        <w:tc>
          <w:tcPr>
            <w:tcW w:w="1838" w:type="pct"/>
            <w:vAlign w:val="center"/>
          </w:tcPr>
          <w:p w14:paraId="3D28D987">
            <w:pPr>
              <w:widowControl/>
              <w:spacing w:line="360" w:lineRule="auto"/>
              <w:jc w:val="left"/>
              <w:rPr>
                <w:rFonts w:ascii="宋体" w:hAnsi="宋体" w:cs="宋体"/>
                <w:kern w:val="0"/>
                <w:sz w:val="24"/>
              </w:rPr>
            </w:pPr>
            <w:r>
              <w:rPr>
                <w:rFonts w:hint="eastAsia" w:ascii="宋体" w:hAnsi="宋体" w:cs="宋体"/>
                <w:kern w:val="0"/>
                <w:sz w:val="24"/>
              </w:rPr>
              <w:t>联想服务器520</w:t>
            </w:r>
          </w:p>
        </w:tc>
        <w:tc>
          <w:tcPr>
            <w:tcW w:w="436" w:type="pct"/>
            <w:vAlign w:val="center"/>
          </w:tcPr>
          <w:p w14:paraId="632DF21F">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74AE868B">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666C894A">
            <w:pPr>
              <w:widowControl/>
              <w:spacing w:line="360" w:lineRule="auto"/>
              <w:jc w:val="center"/>
              <w:rPr>
                <w:rFonts w:ascii="宋体" w:hAnsi="宋体" w:cs="宋体"/>
                <w:kern w:val="0"/>
                <w:sz w:val="24"/>
              </w:rPr>
            </w:pPr>
            <w:r>
              <w:rPr>
                <w:rFonts w:hint="eastAsia" w:ascii="宋体" w:hAnsi="宋体" w:cs="宋体"/>
                <w:kern w:val="0"/>
                <w:sz w:val="24"/>
              </w:rPr>
              <w:t>5</w:t>
            </w:r>
          </w:p>
        </w:tc>
      </w:tr>
      <w:tr w14:paraId="7FBC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484998AA">
            <w:pPr>
              <w:widowControl/>
              <w:spacing w:line="360" w:lineRule="auto"/>
              <w:jc w:val="center"/>
              <w:rPr>
                <w:rFonts w:ascii="宋体" w:hAnsi="宋体" w:cs="宋体"/>
                <w:kern w:val="0"/>
                <w:sz w:val="24"/>
              </w:rPr>
            </w:pPr>
            <w:r>
              <w:rPr>
                <w:rFonts w:hint="eastAsia" w:ascii="宋体" w:hAnsi="宋体" w:cs="宋体"/>
                <w:kern w:val="0"/>
                <w:sz w:val="24"/>
              </w:rPr>
              <w:t>1.11</w:t>
            </w:r>
          </w:p>
        </w:tc>
        <w:tc>
          <w:tcPr>
            <w:tcW w:w="588" w:type="pct"/>
            <w:vMerge w:val="continue"/>
            <w:vAlign w:val="center"/>
          </w:tcPr>
          <w:p w14:paraId="4A729CFB">
            <w:pPr>
              <w:widowControl/>
              <w:spacing w:line="360" w:lineRule="auto"/>
              <w:jc w:val="left"/>
              <w:rPr>
                <w:rFonts w:ascii="宋体" w:hAnsi="宋体" w:cs="宋体"/>
                <w:kern w:val="0"/>
                <w:sz w:val="24"/>
              </w:rPr>
            </w:pPr>
          </w:p>
        </w:tc>
        <w:tc>
          <w:tcPr>
            <w:tcW w:w="814" w:type="pct"/>
            <w:vMerge w:val="continue"/>
            <w:vAlign w:val="center"/>
          </w:tcPr>
          <w:p w14:paraId="29FD2040">
            <w:pPr>
              <w:widowControl/>
              <w:spacing w:line="360" w:lineRule="auto"/>
              <w:jc w:val="left"/>
              <w:rPr>
                <w:rFonts w:ascii="宋体" w:hAnsi="宋体" w:cs="宋体"/>
                <w:kern w:val="0"/>
                <w:sz w:val="24"/>
              </w:rPr>
            </w:pPr>
          </w:p>
        </w:tc>
        <w:tc>
          <w:tcPr>
            <w:tcW w:w="1838" w:type="pct"/>
            <w:vAlign w:val="center"/>
          </w:tcPr>
          <w:p w14:paraId="6ECB13A2">
            <w:pPr>
              <w:widowControl/>
              <w:spacing w:line="360" w:lineRule="auto"/>
              <w:jc w:val="left"/>
              <w:rPr>
                <w:rFonts w:ascii="宋体" w:hAnsi="宋体" w:cs="宋体"/>
                <w:kern w:val="0"/>
                <w:sz w:val="24"/>
              </w:rPr>
            </w:pPr>
            <w:r>
              <w:rPr>
                <w:rFonts w:hint="eastAsia" w:ascii="宋体" w:hAnsi="宋体" w:cs="宋体"/>
                <w:kern w:val="0"/>
                <w:sz w:val="24"/>
              </w:rPr>
              <w:t>联想服务器640</w:t>
            </w:r>
          </w:p>
        </w:tc>
        <w:tc>
          <w:tcPr>
            <w:tcW w:w="436" w:type="pct"/>
            <w:vAlign w:val="center"/>
          </w:tcPr>
          <w:p w14:paraId="7FBD2CA0">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17660338">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3F963005">
            <w:pPr>
              <w:widowControl/>
              <w:spacing w:line="360" w:lineRule="auto"/>
              <w:jc w:val="center"/>
              <w:rPr>
                <w:rFonts w:ascii="宋体" w:hAnsi="宋体" w:cs="宋体"/>
                <w:kern w:val="0"/>
                <w:sz w:val="24"/>
              </w:rPr>
            </w:pPr>
            <w:r>
              <w:rPr>
                <w:rFonts w:hint="eastAsia" w:ascii="宋体" w:hAnsi="宋体" w:cs="宋体"/>
                <w:kern w:val="0"/>
                <w:sz w:val="24"/>
              </w:rPr>
              <w:t>10</w:t>
            </w:r>
          </w:p>
        </w:tc>
      </w:tr>
      <w:tr w14:paraId="0197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1064F803">
            <w:pPr>
              <w:widowControl/>
              <w:spacing w:line="360" w:lineRule="auto"/>
              <w:jc w:val="center"/>
              <w:rPr>
                <w:rFonts w:ascii="宋体" w:hAnsi="宋体" w:cs="宋体"/>
                <w:kern w:val="0"/>
                <w:sz w:val="24"/>
              </w:rPr>
            </w:pPr>
            <w:r>
              <w:rPr>
                <w:rFonts w:hint="eastAsia" w:ascii="宋体" w:hAnsi="宋体" w:cs="宋体"/>
                <w:kern w:val="0"/>
                <w:sz w:val="24"/>
              </w:rPr>
              <w:t>1.12</w:t>
            </w:r>
          </w:p>
        </w:tc>
        <w:tc>
          <w:tcPr>
            <w:tcW w:w="588" w:type="pct"/>
            <w:vMerge w:val="continue"/>
            <w:vAlign w:val="center"/>
          </w:tcPr>
          <w:p w14:paraId="0C8B3906">
            <w:pPr>
              <w:widowControl/>
              <w:spacing w:line="360" w:lineRule="auto"/>
              <w:jc w:val="left"/>
              <w:rPr>
                <w:rFonts w:ascii="宋体" w:hAnsi="宋体" w:cs="宋体"/>
                <w:kern w:val="0"/>
                <w:sz w:val="24"/>
              </w:rPr>
            </w:pPr>
          </w:p>
        </w:tc>
        <w:tc>
          <w:tcPr>
            <w:tcW w:w="814" w:type="pct"/>
            <w:vMerge w:val="continue"/>
            <w:vAlign w:val="center"/>
          </w:tcPr>
          <w:p w14:paraId="54175BEB">
            <w:pPr>
              <w:widowControl/>
              <w:spacing w:line="360" w:lineRule="auto"/>
              <w:jc w:val="left"/>
              <w:rPr>
                <w:rFonts w:ascii="宋体" w:hAnsi="宋体" w:cs="宋体"/>
                <w:kern w:val="0"/>
                <w:sz w:val="24"/>
              </w:rPr>
            </w:pPr>
          </w:p>
        </w:tc>
        <w:tc>
          <w:tcPr>
            <w:tcW w:w="1838" w:type="pct"/>
            <w:vAlign w:val="center"/>
          </w:tcPr>
          <w:p w14:paraId="1F2E1DD1">
            <w:pPr>
              <w:widowControl/>
              <w:spacing w:line="360" w:lineRule="auto"/>
              <w:jc w:val="left"/>
              <w:rPr>
                <w:rFonts w:ascii="宋体" w:hAnsi="宋体" w:cs="宋体"/>
                <w:kern w:val="0"/>
                <w:sz w:val="24"/>
              </w:rPr>
            </w:pPr>
            <w:r>
              <w:rPr>
                <w:rFonts w:hint="eastAsia" w:ascii="宋体" w:hAnsi="宋体" w:cs="宋体"/>
                <w:kern w:val="0"/>
                <w:sz w:val="24"/>
              </w:rPr>
              <w:t>联想服务器650</w:t>
            </w:r>
          </w:p>
        </w:tc>
        <w:tc>
          <w:tcPr>
            <w:tcW w:w="436" w:type="pct"/>
            <w:vAlign w:val="center"/>
          </w:tcPr>
          <w:p w14:paraId="473A8D6D">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2C5078C6">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2636062B">
            <w:pPr>
              <w:widowControl/>
              <w:spacing w:line="360" w:lineRule="auto"/>
              <w:jc w:val="center"/>
              <w:rPr>
                <w:rFonts w:ascii="宋体" w:hAnsi="宋体" w:cs="宋体"/>
                <w:kern w:val="0"/>
                <w:sz w:val="24"/>
              </w:rPr>
            </w:pPr>
            <w:r>
              <w:rPr>
                <w:rFonts w:hint="eastAsia" w:ascii="宋体" w:hAnsi="宋体" w:cs="宋体"/>
                <w:kern w:val="0"/>
                <w:sz w:val="24"/>
              </w:rPr>
              <w:t>1</w:t>
            </w:r>
          </w:p>
        </w:tc>
      </w:tr>
      <w:tr w14:paraId="3A4F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28A311FE">
            <w:pPr>
              <w:widowControl/>
              <w:spacing w:line="360" w:lineRule="auto"/>
              <w:jc w:val="center"/>
              <w:rPr>
                <w:rFonts w:ascii="宋体" w:hAnsi="宋体" w:cs="宋体"/>
                <w:kern w:val="0"/>
                <w:sz w:val="24"/>
              </w:rPr>
            </w:pPr>
            <w:r>
              <w:rPr>
                <w:rFonts w:hint="eastAsia" w:ascii="宋体" w:hAnsi="宋体" w:cs="宋体"/>
                <w:kern w:val="0"/>
                <w:sz w:val="24"/>
              </w:rPr>
              <w:t>1.13</w:t>
            </w:r>
          </w:p>
        </w:tc>
        <w:tc>
          <w:tcPr>
            <w:tcW w:w="588" w:type="pct"/>
            <w:vMerge w:val="continue"/>
            <w:vAlign w:val="center"/>
          </w:tcPr>
          <w:p w14:paraId="12F60895">
            <w:pPr>
              <w:widowControl/>
              <w:spacing w:line="360" w:lineRule="auto"/>
              <w:jc w:val="left"/>
              <w:rPr>
                <w:rFonts w:ascii="宋体" w:hAnsi="宋体" w:cs="宋体"/>
                <w:kern w:val="0"/>
                <w:sz w:val="24"/>
              </w:rPr>
            </w:pPr>
          </w:p>
        </w:tc>
        <w:tc>
          <w:tcPr>
            <w:tcW w:w="814" w:type="pct"/>
            <w:vAlign w:val="center"/>
          </w:tcPr>
          <w:p w14:paraId="03B3E9CD">
            <w:pPr>
              <w:widowControl/>
              <w:spacing w:line="360" w:lineRule="auto"/>
              <w:jc w:val="left"/>
              <w:rPr>
                <w:rFonts w:ascii="宋体" w:hAnsi="宋体" w:cs="宋体"/>
                <w:kern w:val="0"/>
                <w:sz w:val="24"/>
              </w:rPr>
            </w:pPr>
            <w:r>
              <w:rPr>
                <w:rFonts w:hint="eastAsia" w:ascii="宋体" w:hAnsi="宋体" w:cs="宋体"/>
                <w:kern w:val="0"/>
                <w:sz w:val="24"/>
              </w:rPr>
              <w:t>浪潮服务器</w:t>
            </w:r>
          </w:p>
        </w:tc>
        <w:tc>
          <w:tcPr>
            <w:tcW w:w="1838" w:type="pct"/>
            <w:vAlign w:val="center"/>
          </w:tcPr>
          <w:p w14:paraId="281D1901">
            <w:pPr>
              <w:widowControl/>
              <w:spacing w:line="360" w:lineRule="auto"/>
              <w:jc w:val="left"/>
              <w:rPr>
                <w:rFonts w:ascii="宋体" w:hAnsi="宋体" w:cs="宋体"/>
                <w:kern w:val="0"/>
                <w:sz w:val="24"/>
              </w:rPr>
            </w:pPr>
            <w:r>
              <w:rPr>
                <w:rFonts w:hint="eastAsia" w:ascii="宋体" w:hAnsi="宋体" w:cs="宋体"/>
                <w:kern w:val="0"/>
                <w:sz w:val="24"/>
              </w:rPr>
              <w:t>浪潮服务器5270</w:t>
            </w:r>
          </w:p>
        </w:tc>
        <w:tc>
          <w:tcPr>
            <w:tcW w:w="436" w:type="pct"/>
            <w:vAlign w:val="center"/>
          </w:tcPr>
          <w:p w14:paraId="7F550E0B">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7D08B9E9">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52D11641">
            <w:pPr>
              <w:widowControl/>
              <w:spacing w:line="360" w:lineRule="auto"/>
              <w:jc w:val="center"/>
              <w:rPr>
                <w:rFonts w:ascii="宋体" w:hAnsi="宋体" w:cs="宋体"/>
                <w:kern w:val="0"/>
                <w:sz w:val="24"/>
              </w:rPr>
            </w:pPr>
            <w:r>
              <w:rPr>
                <w:rFonts w:hint="eastAsia" w:ascii="宋体" w:hAnsi="宋体" w:cs="宋体"/>
                <w:kern w:val="0"/>
                <w:sz w:val="24"/>
              </w:rPr>
              <w:t>8</w:t>
            </w:r>
          </w:p>
        </w:tc>
      </w:tr>
      <w:tr w14:paraId="05AD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1D3EB11F">
            <w:pPr>
              <w:widowControl/>
              <w:spacing w:line="360" w:lineRule="auto"/>
              <w:jc w:val="center"/>
              <w:rPr>
                <w:rFonts w:ascii="宋体" w:hAnsi="宋体" w:cs="宋体"/>
                <w:kern w:val="0"/>
                <w:sz w:val="24"/>
              </w:rPr>
            </w:pPr>
            <w:r>
              <w:rPr>
                <w:rFonts w:hint="eastAsia" w:ascii="宋体" w:hAnsi="宋体" w:cs="宋体"/>
                <w:kern w:val="0"/>
                <w:sz w:val="24"/>
              </w:rPr>
              <w:t>1.14</w:t>
            </w:r>
          </w:p>
        </w:tc>
        <w:tc>
          <w:tcPr>
            <w:tcW w:w="588" w:type="pct"/>
            <w:vMerge w:val="restart"/>
            <w:vAlign w:val="center"/>
          </w:tcPr>
          <w:p w14:paraId="091DB2C7">
            <w:pPr>
              <w:widowControl/>
              <w:spacing w:line="360" w:lineRule="auto"/>
              <w:jc w:val="left"/>
              <w:rPr>
                <w:rFonts w:ascii="宋体" w:hAnsi="宋体" w:cs="宋体"/>
                <w:kern w:val="0"/>
                <w:sz w:val="24"/>
              </w:rPr>
            </w:pPr>
            <w:r>
              <w:rPr>
                <w:rFonts w:hint="eastAsia" w:ascii="宋体" w:hAnsi="宋体" w:cs="宋体"/>
                <w:kern w:val="0"/>
                <w:sz w:val="24"/>
              </w:rPr>
              <w:t>存储</w:t>
            </w:r>
          </w:p>
        </w:tc>
        <w:tc>
          <w:tcPr>
            <w:tcW w:w="814" w:type="pct"/>
            <w:vAlign w:val="center"/>
          </w:tcPr>
          <w:p w14:paraId="53603ED4">
            <w:pPr>
              <w:widowControl/>
              <w:spacing w:line="360" w:lineRule="auto"/>
              <w:jc w:val="left"/>
              <w:rPr>
                <w:rFonts w:ascii="宋体" w:hAnsi="宋体" w:cs="宋体"/>
                <w:kern w:val="0"/>
                <w:sz w:val="24"/>
              </w:rPr>
            </w:pPr>
            <w:r>
              <w:rPr>
                <w:rFonts w:hint="eastAsia" w:ascii="宋体" w:hAnsi="宋体" w:cs="宋体"/>
                <w:kern w:val="0"/>
                <w:sz w:val="24"/>
              </w:rPr>
              <w:t>华为存储</w:t>
            </w:r>
          </w:p>
        </w:tc>
        <w:tc>
          <w:tcPr>
            <w:tcW w:w="1838" w:type="pct"/>
            <w:vAlign w:val="center"/>
          </w:tcPr>
          <w:p w14:paraId="2E57303F">
            <w:pPr>
              <w:widowControl/>
              <w:spacing w:line="360" w:lineRule="auto"/>
              <w:jc w:val="left"/>
              <w:rPr>
                <w:rFonts w:ascii="宋体" w:hAnsi="宋体" w:cs="宋体"/>
                <w:kern w:val="0"/>
                <w:sz w:val="24"/>
              </w:rPr>
            </w:pPr>
            <w:r>
              <w:rPr>
                <w:rFonts w:hint="eastAsia" w:ascii="宋体" w:hAnsi="宋体" w:cs="宋体"/>
                <w:kern w:val="0"/>
                <w:sz w:val="24"/>
              </w:rPr>
              <w:t>华为OceaStor 9000存储</w:t>
            </w:r>
          </w:p>
        </w:tc>
        <w:tc>
          <w:tcPr>
            <w:tcW w:w="436" w:type="pct"/>
            <w:vAlign w:val="center"/>
          </w:tcPr>
          <w:p w14:paraId="61E2A392">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4EAA0B34">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6C7CAAB2">
            <w:pPr>
              <w:widowControl/>
              <w:spacing w:line="360" w:lineRule="auto"/>
              <w:jc w:val="center"/>
              <w:rPr>
                <w:rFonts w:ascii="宋体" w:hAnsi="宋体" w:cs="宋体"/>
                <w:kern w:val="0"/>
                <w:sz w:val="24"/>
              </w:rPr>
            </w:pPr>
            <w:r>
              <w:rPr>
                <w:rFonts w:hint="eastAsia" w:ascii="宋体" w:hAnsi="宋体" w:cs="宋体"/>
                <w:kern w:val="0"/>
                <w:sz w:val="24"/>
              </w:rPr>
              <w:t>9</w:t>
            </w:r>
          </w:p>
        </w:tc>
      </w:tr>
      <w:tr w14:paraId="7263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67ABA19A">
            <w:pPr>
              <w:widowControl/>
              <w:spacing w:line="360" w:lineRule="auto"/>
              <w:jc w:val="center"/>
              <w:rPr>
                <w:rFonts w:ascii="宋体" w:hAnsi="宋体" w:cs="宋体"/>
                <w:kern w:val="0"/>
                <w:sz w:val="24"/>
              </w:rPr>
            </w:pPr>
            <w:r>
              <w:rPr>
                <w:rFonts w:hint="eastAsia" w:ascii="宋体" w:hAnsi="宋体" w:cs="宋体"/>
                <w:kern w:val="0"/>
                <w:sz w:val="24"/>
              </w:rPr>
              <w:t>1.15</w:t>
            </w:r>
          </w:p>
        </w:tc>
        <w:tc>
          <w:tcPr>
            <w:tcW w:w="588" w:type="pct"/>
            <w:vMerge w:val="continue"/>
            <w:vAlign w:val="center"/>
          </w:tcPr>
          <w:p w14:paraId="3E6388FB">
            <w:pPr>
              <w:widowControl/>
              <w:spacing w:line="360" w:lineRule="auto"/>
              <w:jc w:val="left"/>
              <w:rPr>
                <w:rFonts w:ascii="宋体" w:hAnsi="宋体" w:cs="宋体"/>
                <w:kern w:val="0"/>
                <w:sz w:val="24"/>
              </w:rPr>
            </w:pPr>
          </w:p>
        </w:tc>
        <w:tc>
          <w:tcPr>
            <w:tcW w:w="814" w:type="pct"/>
            <w:vAlign w:val="center"/>
          </w:tcPr>
          <w:p w14:paraId="0B8ADE94">
            <w:pPr>
              <w:widowControl/>
              <w:spacing w:line="360" w:lineRule="auto"/>
              <w:jc w:val="left"/>
              <w:rPr>
                <w:rFonts w:ascii="宋体" w:hAnsi="宋体" w:cs="宋体"/>
                <w:kern w:val="0"/>
                <w:sz w:val="24"/>
              </w:rPr>
            </w:pPr>
            <w:r>
              <w:rPr>
                <w:rFonts w:hint="eastAsia" w:ascii="宋体" w:hAnsi="宋体" w:cs="宋体"/>
                <w:kern w:val="0"/>
                <w:sz w:val="24"/>
              </w:rPr>
              <w:t>戴尔存储</w:t>
            </w:r>
          </w:p>
        </w:tc>
        <w:tc>
          <w:tcPr>
            <w:tcW w:w="1838" w:type="pct"/>
            <w:vAlign w:val="center"/>
          </w:tcPr>
          <w:p w14:paraId="69897BA0">
            <w:pPr>
              <w:widowControl/>
              <w:spacing w:line="360" w:lineRule="auto"/>
              <w:jc w:val="left"/>
              <w:rPr>
                <w:rFonts w:ascii="宋体" w:hAnsi="宋体" w:cs="宋体"/>
                <w:kern w:val="0"/>
                <w:sz w:val="24"/>
              </w:rPr>
            </w:pPr>
            <w:r>
              <w:rPr>
                <w:rFonts w:hint="eastAsia" w:ascii="宋体" w:hAnsi="宋体" w:cs="宋体"/>
                <w:kern w:val="0"/>
                <w:sz w:val="24"/>
              </w:rPr>
              <w:t>戴尔SC8000存储</w:t>
            </w:r>
          </w:p>
        </w:tc>
        <w:tc>
          <w:tcPr>
            <w:tcW w:w="436" w:type="pct"/>
            <w:vAlign w:val="center"/>
          </w:tcPr>
          <w:p w14:paraId="5A589B3D">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14486581">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386AC062">
            <w:pPr>
              <w:widowControl/>
              <w:spacing w:line="360" w:lineRule="auto"/>
              <w:jc w:val="center"/>
              <w:rPr>
                <w:rFonts w:ascii="宋体" w:hAnsi="宋体" w:cs="宋体"/>
                <w:kern w:val="0"/>
                <w:sz w:val="24"/>
              </w:rPr>
            </w:pPr>
            <w:r>
              <w:rPr>
                <w:rFonts w:hint="eastAsia" w:ascii="宋体" w:hAnsi="宋体" w:cs="宋体"/>
                <w:kern w:val="0"/>
                <w:sz w:val="24"/>
              </w:rPr>
              <w:t>21</w:t>
            </w:r>
          </w:p>
        </w:tc>
      </w:tr>
      <w:tr w14:paraId="150D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65392EE7">
            <w:pPr>
              <w:widowControl/>
              <w:spacing w:line="360" w:lineRule="auto"/>
              <w:jc w:val="center"/>
              <w:rPr>
                <w:rFonts w:ascii="宋体" w:hAnsi="宋体" w:cs="宋体"/>
                <w:kern w:val="0"/>
                <w:sz w:val="24"/>
              </w:rPr>
            </w:pPr>
            <w:r>
              <w:rPr>
                <w:rFonts w:hint="eastAsia" w:ascii="宋体" w:hAnsi="宋体" w:cs="宋体"/>
                <w:kern w:val="0"/>
                <w:sz w:val="24"/>
              </w:rPr>
              <w:t>1.16</w:t>
            </w:r>
          </w:p>
        </w:tc>
        <w:tc>
          <w:tcPr>
            <w:tcW w:w="588" w:type="pct"/>
            <w:vMerge w:val="restart"/>
            <w:vAlign w:val="center"/>
          </w:tcPr>
          <w:p w14:paraId="5DC9456F">
            <w:pPr>
              <w:widowControl/>
              <w:spacing w:line="360" w:lineRule="auto"/>
              <w:jc w:val="left"/>
              <w:rPr>
                <w:rFonts w:ascii="宋体" w:hAnsi="宋体" w:cs="宋体"/>
                <w:kern w:val="0"/>
                <w:sz w:val="24"/>
              </w:rPr>
            </w:pPr>
            <w:r>
              <w:rPr>
                <w:rFonts w:hint="eastAsia" w:ascii="宋体" w:hAnsi="宋体" w:cs="宋体"/>
                <w:kern w:val="0"/>
                <w:sz w:val="24"/>
              </w:rPr>
              <w:t>无线控制器</w:t>
            </w:r>
          </w:p>
        </w:tc>
        <w:tc>
          <w:tcPr>
            <w:tcW w:w="814" w:type="pct"/>
            <w:vMerge w:val="restart"/>
            <w:vAlign w:val="center"/>
          </w:tcPr>
          <w:p w14:paraId="0D799449">
            <w:pPr>
              <w:widowControl/>
              <w:spacing w:line="360" w:lineRule="auto"/>
              <w:jc w:val="left"/>
              <w:rPr>
                <w:rFonts w:ascii="宋体" w:hAnsi="宋体" w:cs="宋体"/>
                <w:kern w:val="0"/>
                <w:sz w:val="24"/>
              </w:rPr>
            </w:pPr>
            <w:r>
              <w:rPr>
                <w:rFonts w:hint="eastAsia" w:ascii="宋体" w:hAnsi="宋体" w:cs="宋体"/>
                <w:kern w:val="0"/>
                <w:sz w:val="24"/>
              </w:rPr>
              <w:t>锐捷无线控制器</w:t>
            </w:r>
          </w:p>
        </w:tc>
        <w:tc>
          <w:tcPr>
            <w:tcW w:w="1838" w:type="pct"/>
            <w:vAlign w:val="center"/>
          </w:tcPr>
          <w:p w14:paraId="0C3A69A6">
            <w:pPr>
              <w:widowControl/>
              <w:spacing w:line="360" w:lineRule="auto"/>
              <w:jc w:val="left"/>
              <w:rPr>
                <w:rFonts w:ascii="宋体" w:hAnsi="宋体" w:cs="宋体"/>
                <w:kern w:val="0"/>
                <w:sz w:val="24"/>
              </w:rPr>
            </w:pPr>
            <w:r>
              <w:rPr>
                <w:rFonts w:hint="eastAsia" w:ascii="宋体" w:hAnsi="宋体" w:cs="宋体"/>
                <w:kern w:val="0"/>
                <w:sz w:val="24"/>
              </w:rPr>
              <w:t>RG-WS5708</w:t>
            </w:r>
          </w:p>
        </w:tc>
        <w:tc>
          <w:tcPr>
            <w:tcW w:w="436" w:type="pct"/>
            <w:vAlign w:val="center"/>
          </w:tcPr>
          <w:p w14:paraId="37F3B077">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1AC590B0">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284C600B">
            <w:pPr>
              <w:widowControl/>
              <w:spacing w:line="360" w:lineRule="auto"/>
              <w:jc w:val="center"/>
              <w:rPr>
                <w:rFonts w:ascii="宋体" w:hAnsi="宋体" w:cs="宋体"/>
                <w:kern w:val="0"/>
                <w:sz w:val="24"/>
              </w:rPr>
            </w:pPr>
            <w:r>
              <w:rPr>
                <w:rFonts w:hint="eastAsia" w:ascii="宋体" w:hAnsi="宋体" w:cs="宋体"/>
                <w:kern w:val="0"/>
                <w:sz w:val="24"/>
              </w:rPr>
              <w:t>4</w:t>
            </w:r>
          </w:p>
        </w:tc>
      </w:tr>
      <w:tr w14:paraId="57DC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3AE94005">
            <w:pPr>
              <w:widowControl/>
              <w:spacing w:line="360" w:lineRule="auto"/>
              <w:jc w:val="center"/>
              <w:rPr>
                <w:rFonts w:ascii="宋体" w:hAnsi="宋体" w:cs="宋体"/>
                <w:kern w:val="0"/>
                <w:sz w:val="24"/>
              </w:rPr>
            </w:pPr>
            <w:r>
              <w:rPr>
                <w:rFonts w:hint="eastAsia" w:ascii="宋体" w:hAnsi="宋体" w:cs="宋体"/>
                <w:kern w:val="0"/>
                <w:sz w:val="24"/>
              </w:rPr>
              <w:t>1.17</w:t>
            </w:r>
          </w:p>
        </w:tc>
        <w:tc>
          <w:tcPr>
            <w:tcW w:w="588" w:type="pct"/>
            <w:vMerge w:val="continue"/>
            <w:vAlign w:val="center"/>
          </w:tcPr>
          <w:p w14:paraId="2149E38C">
            <w:pPr>
              <w:widowControl/>
              <w:spacing w:line="360" w:lineRule="auto"/>
              <w:jc w:val="left"/>
              <w:rPr>
                <w:rFonts w:ascii="宋体" w:hAnsi="宋体" w:cs="宋体"/>
                <w:kern w:val="0"/>
                <w:sz w:val="24"/>
              </w:rPr>
            </w:pPr>
          </w:p>
        </w:tc>
        <w:tc>
          <w:tcPr>
            <w:tcW w:w="814" w:type="pct"/>
            <w:vMerge w:val="continue"/>
            <w:vAlign w:val="center"/>
          </w:tcPr>
          <w:p w14:paraId="2AAB42A2">
            <w:pPr>
              <w:widowControl/>
              <w:spacing w:line="360" w:lineRule="auto"/>
              <w:jc w:val="left"/>
              <w:rPr>
                <w:rFonts w:ascii="宋体" w:hAnsi="宋体" w:cs="宋体"/>
                <w:kern w:val="0"/>
                <w:sz w:val="24"/>
              </w:rPr>
            </w:pPr>
          </w:p>
        </w:tc>
        <w:tc>
          <w:tcPr>
            <w:tcW w:w="1838" w:type="pct"/>
            <w:vAlign w:val="center"/>
          </w:tcPr>
          <w:p w14:paraId="0728135A">
            <w:pPr>
              <w:widowControl/>
              <w:spacing w:line="360" w:lineRule="auto"/>
              <w:jc w:val="left"/>
              <w:rPr>
                <w:rFonts w:ascii="宋体" w:hAnsi="宋体" w:cs="宋体"/>
                <w:kern w:val="0"/>
                <w:sz w:val="24"/>
              </w:rPr>
            </w:pPr>
            <w:r>
              <w:rPr>
                <w:rFonts w:hint="eastAsia" w:ascii="宋体" w:hAnsi="宋体" w:cs="宋体"/>
                <w:kern w:val="0"/>
                <w:sz w:val="24"/>
              </w:rPr>
              <w:t>RG-WS6816</w:t>
            </w:r>
          </w:p>
        </w:tc>
        <w:tc>
          <w:tcPr>
            <w:tcW w:w="436" w:type="pct"/>
            <w:vAlign w:val="center"/>
          </w:tcPr>
          <w:p w14:paraId="277B16A6">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3820A590">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577C552F">
            <w:pPr>
              <w:widowControl/>
              <w:spacing w:line="360" w:lineRule="auto"/>
              <w:jc w:val="center"/>
              <w:rPr>
                <w:rFonts w:ascii="宋体" w:hAnsi="宋体" w:cs="宋体"/>
                <w:kern w:val="0"/>
                <w:sz w:val="24"/>
              </w:rPr>
            </w:pPr>
            <w:r>
              <w:rPr>
                <w:rFonts w:hint="eastAsia" w:ascii="宋体" w:hAnsi="宋体" w:cs="宋体"/>
                <w:kern w:val="0"/>
                <w:sz w:val="24"/>
              </w:rPr>
              <w:t>2</w:t>
            </w:r>
          </w:p>
        </w:tc>
      </w:tr>
      <w:tr w14:paraId="4013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4F3F0A09">
            <w:pPr>
              <w:widowControl/>
              <w:spacing w:line="360" w:lineRule="auto"/>
              <w:jc w:val="center"/>
              <w:rPr>
                <w:rFonts w:ascii="宋体" w:hAnsi="宋体" w:cs="宋体"/>
                <w:kern w:val="0"/>
                <w:sz w:val="24"/>
              </w:rPr>
            </w:pPr>
            <w:r>
              <w:rPr>
                <w:rFonts w:hint="eastAsia" w:ascii="宋体" w:hAnsi="宋体" w:cs="宋体"/>
                <w:kern w:val="0"/>
                <w:sz w:val="24"/>
              </w:rPr>
              <w:t>1.18</w:t>
            </w:r>
          </w:p>
        </w:tc>
        <w:tc>
          <w:tcPr>
            <w:tcW w:w="588" w:type="pct"/>
            <w:vMerge w:val="continue"/>
            <w:vAlign w:val="center"/>
          </w:tcPr>
          <w:p w14:paraId="4070E465">
            <w:pPr>
              <w:widowControl/>
              <w:spacing w:line="360" w:lineRule="auto"/>
              <w:jc w:val="left"/>
              <w:rPr>
                <w:rFonts w:ascii="宋体" w:hAnsi="宋体" w:cs="宋体"/>
                <w:kern w:val="0"/>
                <w:sz w:val="24"/>
              </w:rPr>
            </w:pPr>
          </w:p>
        </w:tc>
        <w:tc>
          <w:tcPr>
            <w:tcW w:w="814" w:type="pct"/>
            <w:vAlign w:val="center"/>
          </w:tcPr>
          <w:p w14:paraId="45F6CA76">
            <w:pPr>
              <w:widowControl/>
              <w:spacing w:line="360" w:lineRule="auto"/>
              <w:jc w:val="left"/>
              <w:rPr>
                <w:rFonts w:ascii="宋体" w:hAnsi="宋体" w:cs="宋体"/>
                <w:kern w:val="0"/>
                <w:sz w:val="24"/>
              </w:rPr>
            </w:pPr>
            <w:r>
              <w:rPr>
                <w:rFonts w:hint="eastAsia" w:ascii="宋体" w:hAnsi="宋体" w:cs="宋体"/>
                <w:kern w:val="0"/>
                <w:sz w:val="24"/>
              </w:rPr>
              <w:t>华三无线控制器</w:t>
            </w:r>
          </w:p>
        </w:tc>
        <w:tc>
          <w:tcPr>
            <w:tcW w:w="1838" w:type="pct"/>
            <w:vAlign w:val="center"/>
          </w:tcPr>
          <w:p w14:paraId="27C1ED8E">
            <w:pPr>
              <w:widowControl/>
              <w:spacing w:line="360" w:lineRule="auto"/>
              <w:jc w:val="left"/>
              <w:rPr>
                <w:rFonts w:ascii="宋体" w:hAnsi="宋体" w:cs="宋体"/>
                <w:kern w:val="0"/>
                <w:sz w:val="24"/>
              </w:rPr>
            </w:pPr>
            <w:r>
              <w:rPr>
                <w:rFonts w:hint="eastAsia" w:ascii="宋体" w:hAnsi="宋体" w:cs="宋体"/>
                <w:kern w:val="0"/>
                <w:sz w:val="24"/>
              </w:rPr>
              <w:t>H3CEWP-WX5540H</w:t>
            </w:r>
          </w:p>
        </w:tc>
        <w:tc>
          <w:tcPr>
            <w:tcW w:w="436" w:type="pct"/>
            <w:vAlign w:val="center"/>
          </w:tcPr>
          <w:p w14:paraId="55C32E83">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3BDC2DD5">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08D720D8">
            <w:pPr>
              <w:widowControl/>
              <w:spacing w:line="360" w:lineRule="auto"/>
              <w:jc w:val="center"/>
              <w:rPr>
                <w:rFonts w:ascii="宋体" w:hAnsi="宋体" w:cs="宋体"/>
                <w:kern w:val="0"/>
                <w:sz w:val="24"/>
              </w:rPr>
            </w:pPr>
            <w:r>
              <w:rPr>
                <w:rFonts w:hint="eastAsia" w:ascii="宋体" w:hAnsi="宋体" w:cs="宋体"/>
                <w:kern w:val="0"/>
                <w:sz w:val="24"/>
              </w:rPr>
              <w:t>2</w:t>
            </w:r>
          </w:p>
        </w:tc>
      </w:tr>
      <w:tr w14:paraId="11DA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4F731904">
            <w:pPr>
              <w:widowControl/>
              <w:spacing w:line="360" w:lineRule="auto"/>
              <w:jc w:val="center"/>
              <w:rPr>
                <w:rFonts w:ascii="宋体" w:hAnsi="宋体" w:cs="宋体"/>
                <w:kern w:val="0"/>
                <w:sz w:val="24"/>
              </w:rPr>
            </w:pPr>
            <w:r>
              <w:rPr>
                <w:rFonts w:hint="eastAsia" w:ascii="宋体" w:hAnsi="宋体" w:cs="宋体"/>
                <w:kern w:val="0"/>
                <w:sz w:val="24"/>
              </w:rPr>
              <w:t>1.19</w:t>
            </w:r>
          </w:p>
        </w:tc>
        <w:tc>
          <w:tcPr>
            <w:tcW w:w="588" w:type="pct"/>
            <w:vMerge w:val="continue"/>
            <w:vAlign w:val="center"/>
          </w:tcPr>
          <w:p w14:paraId="0D9389CB">
            <w:pPr>
              <w:widowControl/>
              <w:spacing w:line="360" w:lineRule="auto"/>
              <w:jc w:val="left"/>
              <w:rPr>
                <w:rFonts w:ascii="宋体" w:hAnsi="宋体" w:cs="宋体"/>
                <w:kern w:val="0"/>
                <w:sz w:val="24"/>
              </w:rPr>
            </w:pPr>
          </w:p>
        </w:tc>
        <w:tc>
          <w:tcPr>
            <w:tcW w:w="814" w:type="pct"/>
            <w:vAlign w:val="center"/>
          </w:tcPr>
          <w:p w14:paraId="7019F454">
            <w:pPr>
              <w:widowControl/>
              <w:spacing w:line="360" w:lineRule="auto"/>
              <w:jc w:val="left"/>
              <w:rPr>
                <w:rFonts w:ascii="宋体" w:hAnsi="宋体" w:cs="宋体"/>
                <w:kern w:val="0"/>
                <w:sz w:val="24"/>
              </w:rPr>
            </w:pPr>
            <w:r>
              <w:rPr>
                <w:rFonts w:hint="eastAsia" w:ascii="宋体" w:hAnsi="宋体" w:cs="宋体"/>
                <w:kern w:val="0"/>
                <w:sz w:val="24"/>
              </w:rPr>
              <w:t>华为无线控制器</w:t>
            </w:r>
          </w:p>
        </w:tc>
        <w:tc>
          <w:tcPr>
            <w:tcW w:w="1838" w:type="pct"/>
            <w:vAlign w:val="center"/>
          </w:tcPr>
          <w:p w14:paraId="2EBF3493">
            <w:pPr>
              <w:widowControl/>
              <w:spacing w:line="360" w:lineRule="auto"/>
              <w:jc w:val="left"/>
              <w:rPr>
                <w:rFonts w:ascii="宋体" w:hAnsi="宋体" w:cs="宋体"/>
                <w:kern w:val="0"/>
                <w:sz w:val="24"/>
              </w:rPr>
            </w:pPr>
            <w:r>
              <w:rPr>
                <w:rFonts w:hint="eastAsia" w:ascii="宋体" w:hAnsi="宋体" w:cs="宋体"/>
                <w:kern w:val="0"/>
                <w:sz w:val="24"/>
              </w:rPr>
              <w:t>华为ACU2</w:t>
            </w:r>
          </w:p>
        </w:tc>
        <w:tc>
          <w:tcPr>
            <w:tcW w:w="436" w:type="pct"/>
            <w:vAlign w:val="center"/>
          </w:tcPr>
          <w:p w14:paraId="7850C131">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4D10742E">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0B45DA76">
            <w:pPr>
              <w:widowControl/>
              <w:spacing w:line="360" w:lineRule="auto"/>
              <w:jc w:val="center"/>
              <w:rPr>
                <w:rFonts w:ascii="宋体" w:hAnsi="宋体" w:cs="宋体"/>
                <w:kern w:val="0"/>
                <w:sz w:val="24"/>
              </w:rPr>
            </w:pPr>
            <w:r>
              <w:rPr>
                <w:rFonts w:hint="eastAsia" w:ascii="宋体" w:hAnsi="宋体" w:cs="宋体"/>
                <w:kern w:val="0"/>
                <w:sz w:val="24"/>
              </w:rPr>
              <w:t>3</w:t>
            </w:r>
          </w:p>
        </w:tc>
      </w:tr>
      <w:tr w14:paraId="1E6F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0A73DA65">
            <w:pPr>
              <w:widowControl/>
              <w:spacing w:line="360" w:lineRule="auto"/>
              <w:jc w:val="center"/>
              <w:rPr>
                <w:rFonts w:ascii="宋体" w:hAnsi="宋体" w:cs="宋体"/>
                <w:kern w:val="0"/>
                <w:sz w:val="24"/>
              </w:rPr>
            </w:pPr>
            <w:r>
              <w:rPr>
                <w:rFonts w:hint="eastAsia" w:ascii="宋体" w:hAnsi="宋体" w:cs="宋体"/>
                <w:kern w:val="0"/>
                <w:sz w:val="24"/>
              </w:rPr>
              <w:t>1.20</w:t>
            </w:r>
          </w:p>
        </w:tc>
        <w:tc>
          <w:tcPr>
            <w:tcW w:w="588" w:type="pct"/>
            <w:vMerge w:val="restart"/>
            <w:vAlign w:val="center"/>
          </w:tcPr>
          <w:p w14:paraId="198DFA75">
            <w:pPr>
              <w:widowControl/>
              <w:spacing w:line="360" w:lineRule="auto"/>
              <w:jc w:val="left"/>
              <w:rPr>
                <w:rFonts w:ascii="宋体" w:hAnsi="宋体" w:cs="宋体"/>
                <w:kern w:val="0"/>
                <w:sz w:val="24"/>
              </w:rPr>
            </w:pPr>
            <w:r>
              <w:rPr>
                <w:rFonts w:hint="eastAsia" w:ascii="宋体" w:hAnsi="宋体" w:cs="宋体"/>
                <w:kern w:val="0"/>
                <w:sz w:val="24"/>
              </w:rPr>
              <w:t>交换机</w:t>
            </w:r>
          </w:p>
        </w:tc>
        <w:tc>
          <w:tcPr>
            <w:tcW w:w="814" w:type="pct"/>
            <w:vMerge w:val="restart"/>
            <w:vAlign w:val="center"/>
          </w:tcPr>
          <w:p w14:paraId="76CE22F5">
            <w:pPr>
              <w:widowControl/>
              <w:spacing w:line="360" w:lineRule="auto"/>
              <w:jc w:val="left"/>
              <w:rPr>
                <w:rFonts w:ascii="宋体" w:hAnsi="宋体" w:cs="宋体"/>
                <w:kern w:val="0"/>
                <w:sz w:val="24"/>
              </w:rPr>
            </w:pPr>
            <w:r>
              <w:rPr>
                <w:rFonts w:hint="eastAsia" w:ascii="宋体" w:hAnsi="宋体" w:cs="宋体"/>
                <w:kern w:val="0"/>
                <w:sz w:val="24"/>
              </w:rPr>
              <w:t>数据中心交换机</w:t>
            </w:r>
          </w:p>
        </w:tc>
        <w:tc>
          <w:tcPr>
            <w:tcW w:w="1838" w:type="pct"/>
            <w:vAlign w:val="center"/>
          </w:tcPr>
          <w:p w14:paraId="5D2003A5">
            <w:pPr>
              <w:widowControl/>
              <w:spacing w:line="360" w:lineRule="auto"/>
              <w:jc w:val="left"/>
              <w:rPr>
                <w:rFonts w:ascii="宋体" w:hAnsi="宋体" w:cs="宋体"/>
                <w:kern w:val="0"/>
                <w:sz w:val="24"/>
              </w:rPr>
            </w:pPr>
            <w:r>
              <w:rPr>
                <w:rFonts w:hint="eastAsia" w:ascii="宋体" w:hAnsi="宋体" w:cs="宋体"/>
                <w:kern w:val="0"/>
                <w:sz w:val="24"/>
              </w:rPr>
              <w:t>华三S5800</w:t>
            </w:r>
          </w:p>
        </w:tc>
        <w:tc>
          <w:tcPr>
            <w:tcW w:w="436" w:type="pct"/>
            <w:vAlign w:val="center"/>
          </w:tcPr>
          <w:p w14:paraId="3038A77C">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087E1206">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678618B7">
            <w:pPr>
              <w:widowControl/>
              <w:spacing w:line="360" w:lineRule="auto"/>
              <w:jc w:val="center"/>
              <w:rPr>
                <w:rFonts w:ascii="宋体" w:hAnsi="宋体" w:cs="宋体"/>
                <w:kern w:val="0"/>
                <w:sz w:val="24"/>
              </w:rPr>
            </w:pPr>
            <w:r>
              <w:rPr>
                <w:rFonts w:hint="eastAsia" w:ascii="宋体" w:hAnsi="宋体" w:cs="宋体"/>
                <w:kern w:val="0"/>
                <w:sz w:val="24"/>
              </w:rPr>
              <w:t>5</w:t>
            </w:r>
          </w:p>
        </w:tc>
      </w:tr>
      <w:tr w14:paraId="1AAC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24A92FBF">
            <w:pPr>
              <w:widowControl/>
              <w:spacing w:line="360" w:lineRule="auto"/>
              <w:jc w:val="center"/>
              <w:rPr>
                <w:rFonts w:ascii="宋体" w:hAnsi="宋体" w:cs="宋体"/>
                <w:kern w:val="0"/>
                <w:sz w:val="24"/>
              </w:rPr>
            </w:pPr>
            <w:r>
              <w:rPr>
                <w:rFonts w:hint="eastAsia" w:ascii="宋体" w:hAnsi="宋体" w:cs="宋体"/>
                <w:kern w:val="0"/>
                <w:sz w:val="24"/>
              </w:rPr>
              <w:t>1.21</w:t>
            </w:r>
          </w:p>
        </w:tc>
        <w:tc>
          <w:tcPr>
            <w:tcW w:w="588" w:type="pct"/>
            <w:vMerge w:val="continue"/>
            <w:vAlign w:val="center"/>
          </w:tcPr>
          <w:p w14:paraId="09997048">
            <w:pPr>
              <w:widowControl/>
              <w:spacing w:line="360" w:lineRule="auto"/>
              <w:jc w:val="left"/>
              <w:rPr>
                <w:rFonts w:ascii="宋体" w:hAnsi="宋体" w:cs="宋体"/>
                <w:kern w:val="0"/>
                <w:sz w:val="24"/>
              </w:rPr>
            </w:pPr>
          </w:p>
        </w:tc>
        <w:tc>
          <w:tcPr>
            <w:tcW w:w="814" w:type="pct"/>
            <w:vMerge w:val="continue"/>
            <w:vAlign w:val="center"/>
          </w:tcPr>
          <w:p w14:paraId="5E752EFB">
            <w:pPr>
              <w:widowControl/>
              <w:spacing w:line="360" w:lineRule="auto"/>
              <w:jc w:val="left"/>
              <w:rPr>
                <w:rFonts w:ascii="宋体" w:hAnsi="宋体" w:cs="宋体"/>
                <w:kern w:val="0"/>
                <w:sz w:val="24"/>
              </w:rPr>
            </w:pPr>
          </w:p>
        </w:tc>
        <w:tc>
          <w:tcPr>
            <w:tcW w:w="1838" w:type="pct"/>
            <w:vAlign w:val="center"/>
          </w:tcPr>
          <w:p w14:paraId="50982F32">
            <w:pPr>
              <w:widowControl/>
              <w:spacing w:line="360" w:lineRule="auto"/>
              <w:jc w:val="left"/>
              <w:rPr>
                <w:rFonts w:ascii="宋体" w:hAnsi="宋体" w:cs="宋体"/>
                <w:kern w:val="0"/>
                <w:sz w:val="24"/>
              </w:rPr>
            </w:pPr>
            <w:r>
              <w:rPr>
                <w:rFonts w:hint="eastAsia" w:ascii="宋体" w:hAnsi="宋体" w:cs="宋体"/>
                <w:kern w:val="0"/>
                <w:sz w:val="24"/>
              </w:rPr>
              <w:t>华为S5700</w:t>
            </w:r>
          </w:p>
        </w:tc>
        <w:tc>
          <w:tcPr>
            <w:tcW w:w="436" w:type="pct"/>
            <w:vAlign w:val="center"/>
          </w:tcPr>
          <w:p w14:paraId="79576D19">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2A01536A">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0FE9E2C0">
            <w:pPr>
              <w:widowControl/>
              <w:spacing w:line="360" w:lineRule="auto"/>
              <w:jc w:val="center"/>
              <w:rPr>
                <w:rFonts w:ascii="宋体" w:hAnsi="宋体" w:cs="宋体"/>
                <w:kern w:val="0"/>
                <w:sz w:val="24"/>
              </w:rPr>
            </w:pPr>
            <w:r>
              <w:rPr>
                <w:rFonts w:hint="eastAsia" w:ascii="宋体" w:hAnsi="宋体" w:cs="宋体"/>
                <w:kern w:val="0"/>
                <w:sz w:val="24"/>
              </w:rPr>
              <w:t>2</w:t>
            </w:r>
          </w:p>
        </w:tc>
      </w:tr>
      <w:tr w14:paraId="52A2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6B8473A0">
            <w:pPr>
              <w:widowControl/>
              <w:spacing w:line="360" w:lineRule="auto"/>
              <w:jc w:val="center"/>
              <w:rPr>
                <w:rFonts w:ascii="宋体" w:hAnsi="宋体" w:cs="宋体"/>
                <w:kern w:val="0"/>
                <w:sz w:val="24"/>
              </w:rPr>
            </w:pPr>
            <w:r>
              <w:rPr>
                <w:rFonts w:hint="eastAsia" w:ascii="宋体" w:hAnsi="宋体" w:cs="宋体"/>
                <w:kern w:val="0"/>
                <w:sz w:val="24"/>
              </w:rPr>
              <w:t>1.22</w:t>
            </w:r>
          </w:p>
        </w:tc>
        <w:tc>
          <w:tcPr>
            <w:tcW w:w="588" w:type="pct"/>
            <w:vMerge w:val="continue"/>
            <w:vAlign w:val="center"/>
          </w:tcPr>
          <w:p w14:paraId="5354B2B7">
            <w:pPr>
              <w:widowControl/>
              <w:spacing w:line="360" w:lineRule="auto"/>
              <w:jc w:val="left"/>
              <w:rPr>
                <w:rFonts w:ascii="宋体" w:hAnsi="宋体" w:cs="宋体"/>
                <w:kern w:val="0"/>
                <w:sz w:val="24"/>
              </w:rPr>
            </w:pPr>
          </w:p>
        </w:tc>
        <w:tc>
          <w:tcPr>
            <w:tcW w:w="814" w:type="pct"/>
            <w:vMerge w:val="continue"/>
            <w:vAlign w:val="center"/>
          </w:tcPr>
          <w:p w14:paraId="7358FE67">
            <w:pPr>
              <w:widowControl/>
              <w:spacing w:line="360" w:lineRule="auto"/>
              <w:jc w:val="left"/>
              <w:rPr>
                <w:rFonts w:ascii="宋体" w:hAnsi="宋体" w:cs="宋体"/>
                <w:kern w:val="0"/>
                <w:sz w:val="24"/>
              </w:rPr>
            </w:pPr>
          </w:p>
        </w:tc>
        <w:tc>
          <w:tcPr>
            <w:tcW w:w="1838" w:type="pct"/>
            <w:vAlign w:val="center"/>
          </w:tcPr>
          <w:p w14:paraId="3824B326">
            <w:pPr>
              <w:widowControl/>
              <w:spacing w:line="360" w:lineRule="auto"/>
              <w:jc w:val="left"/>
              <w:rPr>
                <w:rFonts w:ascii="宋体" w:hAnsi="宋体" w:cs="宋体"/>
                <w:kern w:val="0"/>
                <w:sz w:val="24"/>
              </w:rPr>
            </w:pPr>
            <w:r>
              <w:rPr>
                <w:rFonts w:hint="eastAsia" w:ascii="宋体" w:hAnsi="宋体" w:cs="宋体"/>
                <w:kern w:val="0"/>
                <w:sz w:val="24"/>
              </w:rPr>
              <w:t>华为CE6810</w:t>
            </w:r>
          </w:p>
        </w:tc>
        <w:tc>
          <w:tcPr>
            <w:tcW w:w="436" w:type="pct"/>
            <w:vAlign w:val="center"/>
          </w:tcPr>
          <w:p w14:paraId="72F98AD9">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6A50A310">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328C7CF2">
            <w:pPr>
              <w:widowControl/>
              <w:spacing w:line="360" w:lineRule="auto"/>
              <w:jc w:val="center"/>
              <w:rPr>
                <w:rFonts w:ascii="宋体" w:hAnsi="宋体" w:cs="宋体"/>
                <w:kern w:val="0"/>
                <w:sz w:val="24"/>
              </w:rPr>
            </w:pPr>
            <w:r>
              <w:rPr>
                <w:rFonts w:hint="eastAsia" w:ascii="宋体" w:hAnsi="宋体" w:cs="宋体"/>
                <w:kern w:val="0"/>
                <w:sz w:val="24"/>
              </w:rPr>
              <w:t>2</w:t>
            </w:r>
          </w:p>
        </w:tc>
      </w:tr>
      <w:tr w14:paraId="4CB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326ABFD0">
            <w:pPr>
              <w:widowControl/>
              <w:spacing w:line="360" w:lineRule="auto"/>
              <w:jc w:val="center"/>
              <w:rPr>
                <w:rFonts w:ascii="宋体" w:hAnsi="宋体" w:cs="宋体"/>
                <w:kern w:val="0"/>
                <w:sz w:val="24"/>
              </w:rPr>
            </w:pPr>
            <w:r>
              <w:rPr>
                <w:rFonts w:hint="eastAsia" w:ascii="宋体" w:hAnsi="宋体" w:cs="宋体"/>
                <w:kern w:val="0"/>
                <w:sz w:val="24"/>
              </w:rPr>
              <w:t>1.23</w:t>
            </w:r>
          </w:p>
        </w:tc>
        <w:tc>
          <w:tcPr>
            <w:tcW w:w="588" w:type="pct"/>
            <w:vMerge w:val="continue"/>
            <w:vAlign w:val="center"/>
          </w:tcPr>
          <w:p w14:paraId="444D55E5">
            <w:pPr>
              <w:widowControl/>
              <w:spacing w:line="360" w:lineRule="auto"/>
              <w:jc w:val="left"/>
              <w:rPr>
                <w:rFonts w:ascii="宋体" w:hAnsi="宋体" w:cs="宋体"/>
                <w:kern w:val="0"/>
                <w:sz w:val="24"/>
              </w:rPr>
            </w:pPr>
          </w:p>
        </w:tc>
        <w:tc>
          <w:tcPr>
            <w:tcW w:w="814" w:type="pct"/>
            <w:vMerge w:val="continue"/>
            <w:vAlign w:val="center"/>
          </w:tcPr>
          <w:p w14:paraId="65E50908">
            <w:pPr>
              <w:widowControl/>
              <w:spacing w:line="360" w:lineRule="auto"/>
              <w:jc w:val="left"/>
              <w:rPr>
                <w:rFonts w:ascii="宋体" w:hAnsi="宋体" w:cs="宋体"/>
                <w:kern w:val="0"/>
                <w:sz w:val="24"/>
              </w:rPr>
            </w:pPr>
          </w:p>
        </w:tc>
        <w:tc>
          <w:tcPr>
            <w:tcW w:w="1838" w:type="pct"/>
            <w:vAlign w:val="center"/>
          </w:tcPr>
          <w:p w14:paraId="1E9865C1">
            <w:pPr>
              <w:widowControl/>
              <w:spacing w:line="360" w:lineRule="auto"/>
              <w:jc w:val="left"/>
              <w:rPr>
                <w:rFonts w:ascii="宋体" w:hAnsi="宋体" w:cs="宋体"/>
                <w:kern w:val="0"/>
                <w:sz w:val="24"/>
              </w:rPr>
            </w:pPr>
            <w:r>
              <w:rPr>
                <w:rFonts w:hint="eastAsia" w:ascii="宋体" w:hAnsi="宋体" w:cs="宋体"/>
                <w:kern w:val="0"/>
                <w:sz w:val="24"/>
              </w:rPr>
              <w:t>华为S7703</w:t>
            </w:r>
          </w:p>
        </w:tc>
        <w:tc>
          <w:tcPr>
            <w:tcW w:w="436" w:type="pct"/>
            <w:vAlign w:val="center"/>
          </w:tcPr>
          <w:p w14:paraId="57845B87">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0BB82FA6">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3408B278">
            <w:pPr>
              <w:widowControl/>
              <w:spacing w:line="360" w:lineRule="auto"/>
              <w:jc w:val="center"/>
              <w:rPr>
                <w:rFonts w:ascii="宋体" w:hAnsi="宋体" w:cs="宋体"/>
                <w:kern w:val="0"/>
                <w:sz w:val="24"/>
              </w:rPr>
            </w:pPr>
            <w:r>
              <w:rPr>
                <w:rFonts w:hint="eastAsia" w:ascii="宋体" w:hAnsi="宋体" w:cs="宋体"/>
                <w:kern w:val="0"/>
                <w:sz w:val="24"/>
              </w:rPr>
              <w:t>6</w:t>
            </w:r>
          </w:p>
        </w:tc>
      </w:tr>
      <w:tr w14:paraId="6287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1DE1AEDA">
            <w:pPr>
              <w:widowControl/>
              <w:spacing w:line="360" w:lineRule="auto"/>
              <w:jc w:val="center"/>
              <w:rPr>
                <w:rFonts w:ascii="宋体" w:hAnsi="宋体" w:cs="宋体"/>
                <w:kern w:val="0"/>
                <w:sz w:val="24"/>
              </w:rPr>
            </w:pPr>
            <w:r>
              <w:rPr>
                <w:rFonts w:hint="eastAsia" w:ascii="宋体" w:hAnsi="宋体" w:cs="宋体"/>
                <w:kern w:val="0"/>
                <w:sz w:val="24"/>
              </w:rPr>
              <w:t>1.24</w:t>
            </w:r>
          </w:p>
        </w:tc>
        <w:tc>
          <w:tcPr>
            <w:tcW w:w="588" w:type="pct"/>
            <w:vMerge w:val="continue"/>
            <w:vAlign w:val="center"/>
          </w:tcPr>
          <w:p w14:paraId="75FD9D23">
            <w:pPr>
              <w:widowControl/>
              <w:spacing w:line="360" w:lineRule="auto"/>
              <w:jc w:val="left"/>
              <w:rPr>
                <w:rFonts w:ascii="宋体" w:hAnsi="宋体" w:cs="宋体"/>
                <w:kern w:val="0"/>
                <w:sz w:val="24"/>
              </w:rPr>
            </w:pPr>
          </w:p>
        </w:tc>
        <w:tc>
          <w:tcPr>
            <w:tcW w:w="814" w:type="pct"/>
            <w:vAlign w:val="center"/>
          </w:tcPr>
          <w:p w14:paraId="1D822D8B">
            <w:pPr>
              <w:widowControl/>
              <w:spacing w:line="360" w:lineRule="auto"/>
              <w:jc w:val="left"/>
              <w:rPr>
                <w:rFonts w:ascii="宋体" w:hAnsi="宋体" w:cs="宋体"/>
                <w:kern w:val="0"/>
                <w:sz w:val="24"/>
              </w:rPr>
            </w:pPr>
            <w:r>
              <w:rPr>
                <w:rFonts w:hint="eastAsia" w:ascii="宋体" w:hAnsi="宋体" w:cs="宋体"/>
                <w:kern w:val="0"/>
                <w:sz w:val="24"/>
              </w:rPr>
              <w:t>教育网骨干交换机</w:t>
            </w:r>
          </w:p>
        </w:tc>
        <w:tc>
          <w:tcPr>
            <w:tcW w:w="1838" w:type="pct"/>
            <w:vAlign w:val="center"/>
          </w:tcPr>
          <w:p w14:paraId="261A01A4">
            <w:pPr>
              <w:widowControl/>
              <w:spacing w:line="360" w:lineRule="auto"/>
              <w:jc w:val="left"/>
              <w:rPr>
                <w:rFonts w:ascii="宋体" w:hAnsi="宋体" w:cs="宋体"/>
                <w:kern w:val="0"/>
                <w:sz w:val="24"/>
              </w:rPr>
            </w:pPr>
            <w:r>
              <w:rPr>
                <w:rFonts w:hint="eastAsia" w:ascii="宋体" w:hAnsi="宋体" w:cs="宋体"/>
                <w:kern w:val="0"/>
                <w:sz w:val="24"/>
              </w:rPr>
              <w:t>华为S12708</w:t>
            </w:r>
          </w:p>
        </w:tc>
        <w:tc>
          <w:tcPr>
            <w:tcW w:w="436" w:type="pct"/>
            <w:vAlign w:val="center"/>
          </w:tcPr>
          <w:p w14:paraId="4EBDC9BE">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61F15DB5">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03A4C0E0">
            <w:pPr>
              <w:widowControl/>
              <w:spacing w:line="360" w:lineRule="auto"/>
              <w:jc w:val="center"/>
              <w:rPr>
                <w:rFonts w:ascii="宋体" w:hAnsi="宋体" w:cs="宋体"/>
                <w:kern w:val="0"/>
                <w:sz w:val="24"/>
              </w:rPr>
            </w:pPr>
            <w:r>
              <w:rPr>
                <w:rFonts w:hint="eastAsia" w:ascii="宋体" w:hAnsi="宋体" w:cs="宋体"/>
                <w:kern w:val="0"/>
                <w:sz w:val="24"/>
              </w:rPr>
              <w:t>10</w:t>
            </w:r>
          </w:p>
        </w:tc>
      </w:tr>
      <w:tr w14:paraId="36E4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14F00ABC">
            <w:pPr>
              <w:widowControl/>
              <w:spacing w:line="360" w:lineRule="auto"/>
              <w:jc w:val="center"/>
              <w:rPr>
                <w:rFonts w:ascii="宋体" w:hAnsi="宋体" w:cs="宋体"/>
                <w:kern w:val="0"/>
                <w:sz w:val="24"/>
              </w:rPr>
            </w:pPr>
            <w:r>
              <w:rPr>
                <w:rFonts w:hint="eastAsia" w:ascii="宋体" w:hAnsi="宋体" w:cs="宋体"/>
                <w:kern w:val="0"/>
                <w:sz w:val="24"/>
              </w:rPr>
              <w:t>1.25</w:t>
            </w:r>
          </w:p>
        </w:tc>
        <w:tc>
          <w:tcPr>
            <w:tcW w:w="588" w:type="pct"/>
            <w:vMerge w:val="restart"/>
            <w:vAlign w:val="center"/>
          </w:tcPr>
          <w:p w14:paraId="57D893E7">
            <w:pPr>
              <w:widowControl/>
              <w:spacing w:line="360" w:lineRule="auto"/>
              <w:jc w:val="left"/>
              <w:rPr>
                <w:rFonts w:ascii="宋体" w:hAnsi="宋体" w:cs="宋体"/>
                <w:kern w:val="0"/>
                <w:sz w:val="24"/>
              </w:rPr>
            </w:pPr>
            <w:r>
              <w:rPr>
                <w:rFonts w:hint="eastAsia" w:ascii="宋体" w:hAnsi="宋体" w:cs="宋体"/>
                <w:kern w:val="0"/>
                <w:sz w:val="24"/>
              </w:rPr>
              <w:t>视频会议设备</w:t>
            </w:r>
          </w:p>
        </w:tc>
        <w:tc>
          <w:tcPr>
            <w:tcW w:w="814" w:type="pct"/>
            <w:vAlign w:val="center"/>
          </w:tcPr>
          <w:p w14:paraId="2AAEFB4E">
            <w:pPr>
              <w:widowControl/>
              <w:spacing w:line="360" w:lineRule="auto"/>
              <w:jc w:val="left"/>
              <w:rPr>
                <w:rFonts w:ascii="宋体" w:hAnsi="宋体" w:cs="宋体"/>
                <w:kern w:val="0"/>
                <w:sz w:val="24"/>
              </w:rPr>
            </w:pPr>
            <w:r>
              <w:rPr>
                <w:rFonts w:hint="eastAsia" w:ascii="宋体" w:hAnsi="宋体" w:cs="宋体"/>
                <w:kern w:val="0"/>
                <w:sz w:val="24"/>
              </w:rPr>
              <w:t>MCU多点控制单元</w:t>
            </w:r>
          </w:p>
        </w:tc>
        <w:tc>
          <w:tcPr>
            <w:tcW w:w="1838" w:type="pct"/>
            <w:vAlign w:val="center"/>
          </w:tcPr>
          <w:p w14:paraId="15EBB8E1">
            <w:pPr>
              <w:widowControl/>
              <w:spacing w:line="360" w:lineRule="auto"/>
              <w:jc w:val="left"/>
              <w:rPr>
                <w:rFonts w:ascii="宋体" w:hAnsi="宋体" w:cs="宋体"/>
                <w:kern w:val="0"/>
                <w:sz w:val="24"/>
              </w:rPr>
            </w:pPr>
            <w:r>
              <w:rPr>
                <w:rFonts w:hint="eastAsia" w:ascii="宋体" w:hAnsi="宋体" w:cs="宋体"/>
                <w:kern w:val="0"/>
                <w:sz w:val="24"/>
              </w:rPr>
              <w:t>华为VP9860A-T</w:t>
            </w:r>
          </w:p>
        </w:tc>
        <w:tc>
          <w:tcPr>
            <w:tcW w:w="436" w:type="pct"/>
            <w:vAlign w:val="center"/>
          </w:tcPr>
          <w:p w14:paraId="0F20458A">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641882A4">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1B58C0AC">
            <w:pPr>
              <w:widowControl/>
              <w:spacing w:line="360" w:lineRule="auto"/>
              <w:jc w:val="center"/>
              <w:rPr>
                <w:rFonts w:ascii="宋体" w:hAnsi="宋体" w:cs="宋体"/>
                <w:kern w:val="0"/>
                <w:sz w:val="24"/>
              </w:rPr>
            </w:pPr>
            <w:r>
              <w:rPr>
                <w:rFonts w:hint="eastAsia" w:ascii="宋体" w:hAnsi="宋体" w:cs="宋体"/>
                <w:kern w:val="0"/>
                <w:sz w:val="24"/>
              </w:rPr>
              <w:t>1</w:t>
            </w:r>
          </w:p>
        </w:tc>
      </w:tr>
      <w:tr w14:paraId="4407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6C906409">
            <w:pPr>
              <w:widowControl/>
              <w:spacing w:line="360" w:lineRule="auto"/>
              <w:jc w:val="center"/>
              <w:rPr>
                <w:rFonts w:ascii="宋体" w:hAnsi="宋体" w:cs="宋体"/>
                <w:kern w:val="0"/>
                <w:sz w:val="24"/>
              </w:rPr>
            </w:pPr>
            <w:r>
              <w:rPr>
                <w:rFonts w:hint="eastAsia" w:ascii="宋体" w:hAnsi="宋体" w:cs="宋体"/>
                <w:kern w:val="0"/>
                <w:sz w:val="24"/>
              </w:rPr>
              <w:t>1.26</w:t>
            </w:r>
          </w:p>
        </w:tc>
        <w:tc>
          <w:tcPr>
            <w:tcW w:w="588" w:type="pct"/>
            <w:vMerge w:val="continue"/>
            <w:vAlign w:val="center"/>
          </w:tcPr>
          <w:p w14:paraId="7A5AAD05">
            <w:pPr>
              <w:widowControl/>
              <w:spacing w:line="360" w:lineRule="auto"/>
              <w:jc w:val="left"/>
              <w:rPr>
                <w:rFonts w:ascii="宋体" w:hAnsi="宋体" w:cs="宋体"/>
                <w:kern w:val="0"/>
                <w:sz w:val="24"/>
              </w:rPr>
            </w:pPr>
          </w:p>
        </w:tc>
        <w:tc>
          <w:tcPr>
            <w:tcW w:w="814" w:type="pct"/>
            <w:vAlign w:val="center"/>
          </w:tcPr>
          <w:p w14:paraId="03AC8D7C">
            <w:pPr>
              <w:widowControl/>
              <w:spacing w:line="360" w:lineRule="auto"/>
              <w:jc w:val="left"/>
              <w:rPr>
                <w:rFonts w:ascii="宋体" w:hAnsi="宋体" w:cs="宋体"/>
                <w:kern w:val="0"/>
                <w:sz w:val="24"/>
              </w:rPr>
            </w:pPr>
            <w:r>
              <w:rPr>
                <w:rFonts w:hint="eastAsia" w:ascii="宋体" w:hAnsi="宋体" w:cs="宋体"/>
                <w:kern w:val="0"/>
                <w:sz w:val="24"/>
              </w:rPr>
              <w:t>SMC视讯业务管理</w:t>
            </w:r>
          </w:p>
        </w:tc>
        <w:tc>
          <w:tcPr>
            <w:tcW w:w="1838" w:type="pct"/>
            <w:vAlign w:val="center"/>
          </w:tcPr>
          <w:p w14:paraId="0DBC7A7C">
            <w:pPr>
              <w:widowControl/>
              <w:spacing w:line="360" w:lineRule="auto"/>
              <w:jc w:val="left"/>
              <w:rPr>
                <w:rFonts w:ascii="宋体" w:hAnsi="宋体" w:cs="宋体"/>
                <w:kern w:val="0"/>
                <w:sz w:val="24"/>
              </w:rPr>
            </w:pPr>
            <w:r>
              <w:rPr>
                <w:rFonts w:hint="eastAsia" w:ascii="宋体" w:hAnsi="宋体" w:cs="宋体"/>
                <w:kern w:val="0"/>
                <w:sz w:val="24"/>
              </w:rPr>
              <w:t>华为SMC3.0</w:t>
            </w:r>
          </w:p>
        </w:tc>
        <w:tc>
          <w:tcPr>
            <w:tcW w:w="436" w:type="pct"/>
            <w:vAlign w:val="center"/>
          </w:tcPr>
          <w:p w14:paraId="12B38F83">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0D954B5E">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33790029">
            <w:pPr>
              <w:widowControl/>
              <w:spacing w:line="360" w:lineRule="auto"/>
              <w:jc w:val="center"/>
              <w:rPr>
                <w:rFonts w:ascii="宋体" w:hAnsi="宋体" w:cs="宋体"/>
                <w:kern w:val="0"/>
                <w:sz w:val="24"/>
              </w:rPr>
            </w:pPr>
            <w:r>
              <w:rPr>
                <w:rFonts w:hint="eastAsia" w:ascii="宋体" w:hAnsi="宋体" w:cs="宋体"/>
                <w:kern w:val="0"/>
                <w:sz w:val="24"/>
              </w:rPr>
              <w:t>1</w:t>
            </w:r>
          </w:p>
        </w:tc>
      </w:tr>
      <w:tr w14:paraId="06DD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Align w:val="center"/>
          </w:tcPr>
          <w:p w14:paraId="7D85B4DA">
            <w:pPr>
              <w:widowControl/>
              <w:spacing w:line="360" w:lineRule="auto"/>
              <w:jc w:val="center"/>
              <w:rPr>
                <w:rFonts w:ascii="宋体" w:hAnsi="宋体" w:cs="宋体"/>
                <w:kern w:val="0"/>
                <w:sz w:val="24"/>
              </w:rPr>
            </w:pPr>
            <w:r>
              <w:rPr>
                <w:rFonts w:hint="eastAsia" w:ascii="宋体" w:hAnsi="宋体" w:cs="宋体"/>
                <w:kern w:val="0"/>
                <w:sz w:val="24"/>
              </w:rPr>
              <w:t>1.27</w:t>
            </w:r>
          </w:p>
        </w:tc>
        <w:tc>
          <w:tcPr>
            <w:tcW w:w="588" w:type="pct"/>
            <w:vMerge w:val="continue"/>
            <w:vAlign w:val="center"/>
          </w:tcPr>
          <w:p w14:paraId="0D77FFD1">
            <w:pPr>
              <w:widowControl/>
              <w:spacing w:line="360" w:lineRule="auto"/>
              <w:jc w:val="left"/>
              <w:rPr>
                <w:rFonts w:ascii="宋体" w:hAnsi="宋体" w:cs="宋体"/>
                <w:kern w:val="0"/>
                <w:sz w:val="24"/>
              </w:rPr>
            </w:pPr>
          </w:p>
        </w:tc>
        <w:tc>
          <w:tcPr>
            <w:tcW w:w="814" w:type="pct"/>
            <w:vAlign w:val="center"/>
          </w:tcPr>
          <w:p w14:paraId="4F9DA8B3">
            <w:pPr>
              <w:widowControl/>
              <w:spacing w:line="360" w:lineRule="auto"/>
              <w:jc w:val="left"/>
              <w:rPr>
                <w:rFonts w:ascii="宋体" w:hAnsi="宋体" w:cs="宋体"/>
                <w:kern w:val="0"/>
                <w:sz w:val="24"/>
              </w:rPr>
            </w:pPr>
            <w:r>
              <w:rPr>
                <w:rFonts w:hint="eastAsia" w:ascii="宋体" w:hAnsi="宋体" w:cs="宋体"/>
                <w:kern w:val="0"/>
                <w:sz w:val="24"/>
              </w:rPr>
              <w:t>RSE录播服务器</w:t>
            </w:r>
          </w:p>
        </w:tc>
        <w:tc>
          <w:tcPr>
            <w:tcW w:w="1838" w:type="pct"/>
            <w:vAlign w:val="center"/>
          </w:tcPr>
          <w:p w14:paraId="6E5DC892">
            <w:pPr>
              <w:widowControl/>
              <w:spacing w:line="360" w:lineRule="auto"/>
              <w:jc w:val="left"/>
              <w:rPr>
                <w:rFonts w:ascii="宋体" w:hAnsi="宋体" w:cs="宋体"/>
                <w:kern w:val="0"/>
                <w:sz w:val="24"/>
              </w:rPr>
            </w:pPr>
            <w:r>
              <w:rPr>
                <w:rFonts w:hint="eastAsia" w:ascii="宋体" w:hAnsi="宋体" w:cs="宋体"/>
                <w:kern w:val="0"/>
                <w:sz w:val="24"/>
              </w:rPr>
              <w:t>华为CloudRSE</w:t>
            </w:r>
          </w:p>
        </w:tc>
        <w:tc>
          <w:tcPr>
            <w:tcW w:w="436" w:type="pct"/>
            <w:vAlign w:val="center"/>
          </w:tcPr>
          <w:p w14:paraId="1EE4784F">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3DE83E80">
            <w:pPr>
              <w:widowControl/>
              <w:spacing w:line="360" w:lineRule="auto"/>
              <w:jc w:val="center"/>
              <w:rPr>
                <w:rFonts w:ascii="宋体" w:hAnsi="宋体" w:cs="宋体"/>
                <w:kern w:val="0"/>
                <w:sz w:val="24"/>
              </w:rPr>
            </w:pPr>
            <w:r>
              <w:rPr>
                <w:rFonts w:hint="eastAsia" w:ascii="宋体" w:hAnsi="宋体" w:cs="宋体"/>
                <w:kern w:val="0"/>
                <w:sz w:val="24"/>
              </w:rPr>
              <w:t>台</w:t>
            </w:r>
          </w:p>
        </w:tc>
        <w:tc>
          <w:tcPr>
            <w:tcW w:w="501" w:type="pct"/>
            <w:vAlign w:val="center"/>
          </w:tcPr>
          <w:p w14:paraId="11B27923">
            <w:pPr>
              <w:widowControl/>
              <w:spacing w:line="360" w:lineRule="auto"/>
              <w:jc w:val="center"/>
              <w:rPr>
                <w:rFonts w:ascii="宋体" w:hAnsi="宋体" w:cs="宋体"/>
                <w:kern w:val="0"/>
                <w:sz w:val="24"/>
              </w:rPr>
            </w:pPr>
            <w:r>
              <w:rPr>
                <w:rFonts w:hint="eastAsia" w:ascii="宋体" w:hAnsi="宋体" w:cs="宋体"/>
                <w:kern w:val="0"/>
                <w:sz w:val="24"/>
              </w:rPr>
              <w:t>1</w:t>
            </w:r>
          </w:p>
        </w:tc>
      </w:tr>
      <w:tr w14:paraId="70D3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94" w:type="pct"/>
            <w:vAlign w:val="center"/>
          </w:tcPr>
          <w:p w14:paraId="0C2E7B21">
            <w:pPr>
              <w:widowControl/>
              <w:spacing w:line="360" w:lineRule="auto"/>
              <w:jc w:val="center"/>
              <w:rPr>
                <w:rFonts w:ascii="宋体" w:hAnsi="宋体" w:cs="宋体"/>
                <w:kern w:val="0"/>
                <w:sz w:val="24"/>
              </w:rPr>
            </w:pPr>
            <w:r>
              <w:rPr>
                <w:rFonts w:hint="eastAsia" w:ascii="宋体" w:hAnsi="宋体" w:cs="宋体"/>
                <w:kern w:val="0"/>
                <w:sz w:val="24"/>
              </w:rPr>
              <w:t>1.28</w:t>
            </w:r>
          </w:p>
        </w:tc>
        <w:tc>
          <w:tcPr>
            <w:tcW w:w="588" w:type="pct"/>
            <w:vAlign w:val="center"/>
          </w:tcPr>
          <w:p w14:paraId="6E3651EA">
            <w:pPr>
              <w:widowControl/>
              <w:spacing w:line="360" w:lineRule="auto"/>
              <w:jc w:val="left"/>
              <w:rPr>
                <w:rFonts w:ascii="宋体" w:hAnsi="宋体" w:cs="宋体"/>
                <w:kern w:val="0"/>
                <w:sz w:val="24"/>
              </w:rPr>
            </w:pPr>
            <w:r>
              <w:rPr>
                <w:rFonts w:hint="eastAsia" w:ascii="宋体" w:hAnsi="宋体" w:cs="宋体"/>
                <w:kern w:val="0"/>
                <w:sz w:val="24"/>
              </w:rPr>
              <w:t>教委内控管理系统</w:t>
            </w:r>
          </w:p>
        </w:tc>
        <w:tc>
          <w:tcPr>
            <w:tcW w:w="814" w:type="pct"/>
            <w:vAlign w:val="center"/>
          </w:tcPr>
          <w:p w14:paraId="34F16F4D">
            <w:pPr>
              <w:widowControl/>
              <w:spacing w:line="360" w:lineRule="auto"/>
              <w:jc w:val="left"/>
              <w:rPr>
                <w:rFonts w:ascii="宋体" w:hAnsi="宋体" w:cs="宋体"/>
                <w:kern w:val="0"/>
                <w:sz w:val="24"/>
              </w:rPr>
            </w:pPr>
            <w:r>
              <w:rPr>
                <w:rFonts w:hint="eastAsia" w:ascii="宋体" w:hAnsi="宋体" w:cs="宋体"/>
                <w:kern w:val="0"/>
                <w:sz w:val="24"/>
              </w:rPr>
              <w:t>教委内控管理系统故障处理、补丁升级、表单制作、运维管理</w:t>
            </w:r>
          </w:p>
        </w:tc>
        <w:tc>
          <w:tcPr>
            <w:tcW w:w="1838" w:type="pct"/>
            <w:vAlign w:val="center"/>
          </w:tcPr>
          <w:p w14:paraId="2D47A907">
            <w:pPr>
              <w:widowControl/>
              <w:spacing w:line="360" w:lineRule="auto"/>
              <w:jc w:val="left"/>
              <w:rPr>
                <w:rFonts w:ascii="宋体" w:hAnsi="宋体" w:cs="宋体"/>
                <w:kern w:val="0"/>
                <w:sz w:val="24"/>
              </w:rPr>
            </w:pPr>
            <w:r>
              <w:rPr>
                <w:rFonts w:hint="eastAsia" w:ascii="宋体" w:hAnsi="宋体" w:cs="宋体"/>
                <w:kern w:val="0"/>
                <w:sz w:val="24"/>
              </w:rPr>
              <w:t>致远内控管理系统V8.1SP2</w:t>
            </w:r>
          </w:p>
        </w:tc>
        <w:tc>
          <w:tcPr>
            <w:tcW w:w="436" w:type="pct"/>
            <w:vAlign w:val="center"/>
          </w:tcPr>
          <w:p w14:paraId="312C3308">
            <w:pPr>
              <w:widowControl/>
              <w:spacing w:line="360" w:lineRule="auto"/>
              <w:jc w:val="center"/>
              <w:rPr>
                <w:rFonts w:ascii="宋体" w:hAnsi="宋体" w:cs="宋体"/>
                <w:kern w:val="0"/>
                <w:sz w:val="24"/>
              </w:rPr>
            </w:pPr>
            <w:r>
              <w:rPr>
                <w:rFonts w:hint="eastAsia" w:ascii="宋体" w:hAnsi="宋体" w:cs="宋体"/>
                <w:kern w:val="0"/>
                <w:sz w:val="24"/>
              </w:rPr>
              <w:t>一年</w:t>
            </w:r>
          </w:p>
        </w:tc>
        <w:tc>
          <w:tcPr>
            <w:tcW w:w="329" w:type="pct"/>
            <w:vAlign w:val="center"/>
          </w:tcPr>
          <w:p w14:paraId="07AE8A4F">
            <w:pPr>
              <w:widowControl/>
              <w:spacing w:line="360" w:lineRule="auto"/>
              <w:jc w:val="center"/>
              <w:rPr>
                <w:rFonts w:ascii="宋体" w:hAnsi="宋体" w:cs="宋体"/>
                <w:kern w:val="0"/>
                <w:sz w:val="24"/>
              </w:rPr>
            </w:pPr>
            <w:r>
              <w:rPr>
                <w:rFonts w:hint="eastAsia" w:ascii="宋体" w:hAnsi="宋体" w:cs="宋体"/>
                <w:kern w:val="0"/>
                <w:sz w:val="24"/>
              </w:rPr>
              <w:t>套</w:t>
            </w:r>
          </w:p>
        </w:tc>
        <w:tc>
          <w:tcPr>
            <w:tcW w:w="501" w:type="pct"/>
            <w:vAlign w:val="center"/>
          </w:tcPr>
          <w:p w14:paraId="4DFCA85A">
            <w:pPr>
              <w:widowControl/>
              <w:spacing w:line="360" w:lineRule="auto"/>
              <w:jc w:val="center"/>
              <w:rPr>
                <w:rFonts w:ascii="宋体" w:hAnsi="宋体" w:cs="宋体"/>
                <w:kern w:val="0"/>
                <w:sz w:val="24"/>
              </w:rPr>
            </w:pPr>
            <w:r>
              <w:rPr>
                <w:rFonts w:hint="eastAsia" w:ascii="宋体" w:hAnsi="宋体" w:cs="宋体"/>
                <w:kern w:val="0"/>
                <w:sz w:val="24"/>
              </w:rPr>
              <w:t>1</w:t>
            </w:r>
          </w:p>
        </w:tc>
      </w:tr>
      <w:tr w14:paraId="76FD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4" w:type="pct"/>
            <w:vAlign w:val="center"/>
          </w:tcPr>
          <w:p w14:paraId="7AE0DCC7">
            <w:pPr>
              <w:widowControl/>
              <w:spacing w:line="360" w:lineRule="auto"/>
              <w:jc w:val="center"/>
              <w:rPr>
                <w:rFonts w:ascii="宋体" w:hAnsi="宋体" w:cs="宋体"/>
                <w:kern w:val="0"/>
                <w:sz w:val="24"/>
              </w:rPr>
            </w:pPr>
            <w:r>
              <w:rPr>
                <w:rFonts w:hint="eastAsia" w:ascii="宋体" w:hAnsi="宋体" w:cs="宋体"/>
                <w:kern w:val="0"/>
                <w:sz w:val="24"/>
              </w:rPr>
              <w:t>2</w:t>
            </w:r>
          </w:p>
        </w:tc>
        <w:tc>
          <w:tcPr>
            <w:tcW w:w="4506" w:type="pct"/>
            <w:gridSpan w:val="6"/>
            <w:vAlign w:val="center"/>
          </w:tcPr>
          <w:p w14:paraId="1F82C64A">
            <w:pPr>
              <w:widowControl/>
              <w:spacing w:line="360" w:lineRule="auto"/>
              <w:jc w:val="left"/>
              <w:rPr>
                <w:rFonts w:ascii="宋体" w:hAnsi="宋体" w:cs="宋体"/>
                <w:kern w:val="0"/>
                <w:sz w:val="24"/>
              </w:rPr>
            </w:pPr>
            <w:r>
              <w:rPr>
                <w:rFonts w:hint="eastAsia" w:ascii="宋体" w:hAnsi="宋体" w:cs="宋体"/>
                <w:kern w:val="0"/>
                <w:sz w:val="24"/>
              </w:rPr>
              <w:t>问题处理以及运维人工费用</w:t>
            </w:r>
          </w:p>
        </w:tc>
      </w:tr>
      <w:tr w14:paraId="1A7F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94" w:type="pct"/>
            <w:vMerge w:val="restart"/>
            <w:vAlign w:val="center"/>
          </w:tcPr>
          <w:p w14:paraId="027EC618">
            <w:pPr>
              <w:widowControl/>
              <w:spacing w:line="360" w:lineRule="auto"/>
              <w:jc w:val="center"/>
              <w:rPr>
                <w:rFonts w:ascii="宋体" w:hAnsi="宋体" w:cs="宋体"/>
                <w:kern w:val="0"/>
                <w:sz w:val="24"/>
              </w:rPr>
            </w:pPr>
            <w:r>
              <w:rPr>
                <w:rFonts w:hint="eastAsia" w:ascii="宋体" w:hAnsi="宋体" w:cs="宋体"/>
                <w:kern w:val="0"/>
                <w:sz w:val="24"/>
              </w:rPr>
              <w:t>2.1</w:t>
            </w:r>
          </w:p>
        </w:tc>
        <w:tc>
          <w:tcPr>
            <w:tcW w:w="588" w:type="pct"/>
            <w:vMerge w:val="restart"/>
            <w:vAlign w:val="center"/>
          </w:tcPr>
          <w:p w14:paraId="54822B35">
            <w:pPr>
              <w:widowControl/>
              <w:spacing w:line="360" w:lineRule="auto"/>
              <w:jc w:val="left"/>
              <w:rPr>
                <w:rFonts w:ascii="宋体" w:hAnsi="宋体" w:cs="宋体"/>
                <w:kern w:val="0"/>
                <w:sz w:val="24"/>
              </w:rPr>
            </w:pPr>
            <w:r>
              <w:rPr>
                <w:rFonts w:hint="eastAsia" w:ascii="宋体" w:hAnsi="宋体" w:cs="宋体"/>
                <w:kern w:val="0"/>
                <w:sz w:val="24"/>
              </w:rPr>
              <w:t>网络运维服务</w:t>
            </w:r>
          </w:p>
        </w:tc>
        <w:tc>
          <w:tcPr>
            <w:tcW w:w="814" w:type="pct"/>
            <w:vMerge w:val="restart"/>
            <w:vAlign w:val="center"/>
          </w:tcPr>
          <w:p w14:paraId="20C07BB5">
            <w:pPr>
              <w:widowControl/>
              <w:spacing w:line="360" w:lineRule="auto"/>
              <w:jc w:val="left"/>
              <w:rPr>
                <w:rFonts w:ascii="宋体" w:hAnsi="宋体" w:cs="宋体"/>
                <w:kern w:val="0"/>
                <w:sz w:val="24"/>
              </w:rPr>
            </w:pPr>
            <w:r>
              <w:rPr>
                <w:rFonts w:hint="eastAsia" w:ascii="宋体" w:hAnsi="宋体" w:cs="宋体"/>
                <w:kern w:val="0"/>
                <w:sz w:val="24"/>
              </w:rPr>
              <w:t>负责有线无线网络运维管理、技术服务、网络监测、故障处理等工作。</w:t>
            </w:r>
          </w:p>
        </w:tc>
        <w:tc>
          <w:tcPr>
            <w:tcW w:w="1838" w:type="pct"/>
            <w:vAlign w:val="center"/>
          </w:tcPr>
          <w:p w14:paraId="13568501">
            <w:pPr>
              <w:widowControl/>
              <w:spacing w:line="360" w:lineRule="auto"/>
              <w:jc w:val="left"/>
              <w:rPr>
                <w:rFonts w:ascii="宋体" w:hAnsi="宋体" w:cs="宋体"/>
                <w:kern w:val="0"/>
                <w:sz w:val="24"/>
              </w:rPr>
            </w:pPr>
            <w:r>
              <w:rPr>
                <w:rFonts w:hint="eastAsia" w:ascii="宋体" w:hAnsi="宋体" w:cs="宋体"/>
                <w:kern w:val="0"/>
                <w:sz w:val="24"/>
              </w:rPr>
              <w:t>巡查机房检查相关网络设备及线路状态，监测教育骨干网有线无线网络设备运行状态，平均每天2工时，一年共计730工时</w:t>
            </w:r>
          </w:p>
        </w:tc>
        <w:tc>
          <w:tcPr>
            <w:tcW w:w="436" w:type="pct"/>
            <w:vAlign w:val="center"/>
          </w:tcPr>
          <w:p w14:paraId="79393E51">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2418AA28">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61447667">
            <w:pPr>
              <w:widowControl/>
              <w:spacing w:line="360" w:lineRule="auto"/>
              <w:jc w:val="center"/>
              <w:rPr>
                <w:rFonts w:ascii="宋体" w:hAnsi="宋体" w:cs="宋体"/>
                <w:kern w:val="0"/>
                <w:sz w:val="24"/>
              </w:rPr>
            </w:pPr>
            <w:r>
              <w:rPr>
                <w:rFonts w:hint="eastAsia" w:ascii="宋体" w:hAnsi="宋体" w:cs="宋体"/>
                <w:kern w:val="0"/>
                <w:sz w:val="24"/>
              </w:rPr>
              <w:t>730</w:t>
            </w:r>
          </w:p>
        </w:tc>
      </w:tr>
      <w:tr w14:paraId="3C7B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94" w:type="pct"/>
            <w:vMerge w:val="continue"/>
            <w:vAlign w:val="center"/>
          </w:tcPr>
          <w:p w14:paraId="1E8458F3">
            <w:pPr>
              <w:widowControl/>
              <w:spacing w:line="360" w:lineRule="auto"/>
              <w:jc w:val="left"/>
              <w:rPr>
                <w:rFonts w:ascii="宋体" w:hAnsi="宋体" w:cs="宋体"/>
                <w:kern w:val="0"/>
                <w:sz w:val="24"/>
              </w:rPr>
            </w:pPr>
          </w:p>
        </w:tc>
        <w:tc>
          <w:tcPr>
            <w:tcW w:w="588" w:type="pct"/>
            <w:vMerge w:val="continue"/>
            <w:vAlign w:val="center"/>
          </w:tcPr>
          <w:p w14:paraId="56551620">
            <w:pPr>
              <w:widowControl/>
              <w:spacing w:line="360" w:lineRule="auto"/>
              <w:jc w:val="left"/>
              <w:rPr>
                <w:rFonts w:ascii="宋体" w:hAnsi="宋体" w:cs="宋体"/>
                <w:kern w:val="0"/>
                <w:sz w:val="24"/>
              </w:rPr>
            </w:pPr>
          </w:p>
        </w:tc>
        <w:tc>
          <w:tcPr>
            <w:tcW w:w="814" w:type="pct"/>
            <w:vMerge w:val="continue"/>
            <w:vAlign w:val="center"/>
          </w:tcPr>
          <w:p w14:paraId="193EBE24">
            <w:pPr>
              <w:widowControl/>
              <w:spacing w:line="360" w:lineRule="auto"/>
              <w:jc w:val="left"/>
              <w:rPr>
                <w:rFonts w:ascii="宋体" w:hAnsi="宋体" w:cs="宋体"/>
                <w:kern w:val="0"/>
                <w:sz w:val="24"/>
              </w:rPr>
            </w:pPr>
          </w:p>
        </w:tc>
        <w:tc>
          <w:tcPr>
            <w:tcW w:w="1838" w:type="pct"/>
            <w:vAlign w:val="center"/>
          </w:tcPr>
          <w:p w14:paraId="17112FDD">
            <w:pPr>
              <w:widowControl/>
              <w:spacing w:line="360" w:lineRule="auto"/>
              <w:jc w:val="left"/>
              <w:rPr>
                <w:rFonts w:ascii="宋体" w:hAnsi="宋体" w:cs="宋体"/>
                <w:kern w:val="0"/>
                <w:sz w:val="24"/>
              </w:rPr>
            </w:pPr>
            <w:r>
              <w:rPr>
                <w:rFonts w:hint="eastAsia" w:ascii="宋体" w:hAnsi="宋体" w:cs="宋体"/>
                <w:kern w:val="0"/>
                <w:sz w:val="24"/>
              </w:rPr>
              <w:t>监控学校核心网络设备状态，协助学校处理网络问题，处理教委进校各科室网络及电脑问题，信息中心相关维修，平均每天2工时，一年共计730工时</w:t>
            </w:r>
          </w:p>
        </w:tc>
        <w:tc>
          <w:tcPr>
            <w:tcW w:w="436" w:type="pct"/>
            <w:vAlign w:val="center"/>
          </w:tcPr>
          <w:p w14:paraId="09660163">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294FED1C">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7A482336">
            <w:pPr>
              <w:widowControl/>
              <w:spacing w:line="360" w:lineRule="auto"/>
              <w:jc w:val="center"/>
              <w:rPr>
                <w:rFonts w:ascii="宋体" w:hAnsi="宋体" w:cs="宋体"/>
                <w:kern w:val="0"/>
                <w:sz w:val="24"/>
              </w:rPr>
            </w:pPr>
            <w:r>
              <w:rPr>
                <w:rFonts w:hint="eastAsia" w:ascii="宋体" w:hAnsi="宋体" w:cs="宋体"/>
                <w:kern w:val="0"/>
                <w:sz w:val="24"/>
              </w:rPr>
              <w:t>730</w:t>
            </w:r>
          </w:p>
        </w:tc>
      </w:tr>
      <w:tr w14:paraId="0EA4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94" w:type="pct"/>
            <w:vMerge w:val="continue"/>
            <w:vAlign w:val="center"/>
          </w:tcPr>
          <w:p w14:paraId="716FE600">
            <w:pPr>
              <w:widowControl/>
              <w:spacing w:line="360" w:lineRule="auto"/>
              <w:jc w:val="left"/>
              <w:rPr>
                <w:rFonts w:ascii="宋体" w:hAnsi="宋体" w:cs="宋体"/>
                <w:kern w:val="0"/>
                <w:sz w:val="24"/>
              </w:rPr>
            </w:pPr>
          </w:p>
        </w:tc>
        <w:tc>
          <w:tcPr>
            <w:tcW w:w="588" w:type="pct"/>
            <w:vMerge w:val="continue"/>
            <w:vAlign w:val="center"/>
          </w:tcPr>
          <w:p w14:paraId="6CD78788">
            <w:pPr>
              <w:widowControl/>
              <w:spacing w:line="360" w:lineRule="auto"/>
              <w:jc w:val="left"/>
              <w:rPr>
                <w:rFonts w:ascii="宋体" w:hAnsi="宋体" w:cs="宋体"/>
                <w:kern w:val="0"/>
                <w:sz w:val="24"/>
              </w:rPr>
            </w:pPr>
          </w:p>
        </w:tc>
        <w:tc>
          <w:tcPr>
            <w:tcW w:w="814" w:type="pct"/>
            <w:vMerge w:val="continue"/>
            <w:vAlign w:val="center"/>
          </w:tcPr>
          <w:p w14:paraId="23775E39">
            <w:pPr>
              <w:widowControl/>
              <w:spacing w:line="360" w:lineRule="auto"/>
              <w:jc w:val="left"/>
              <w:rPr>
                <w:rFonts w:ascii="宋体" w:hAnsi="宋体" w:cs="宋体"/>
                <w:kern w:val="0"/>
                <w:sz w:val="24"/>
              </w:rPr>
            </w:pPr>
          </w:p>
        </w:tc>
        <w:tc>
          <w:tcPr>
            <w:tcW w:w="1838" w:type="pct"/>
            <w:vAlign w:val="center"/>
          </w:tcPr>
          <w:p w14:paraId="35668740">
            <w:pPr>
              <w:widowControl/>
              <w:spacing w:line="360" w:lineRule="auto"/>
              <w:jc w:val="left"/>
              <w:rPr>
                <w:rFonts w:ascii="宋体" w:hAnsi="宋体" w:cs="宋体"/>
                <w:kern w:val="0"/>
                <w:sz w:val="24"/>
              </w:rPr>
            </w:pPr>
            <w:r>
              <w:rPr>
                <w:rFonts w:hint="eastAsia" w:ascii="宋体" w:hAnsi="宋体" w:cs="宋体"/>
                <w:kern w:val="0"/>
                <w:sz w:val="24"/>
              </w:rPr>
              <w:t>处理教育骨干网有线无线网络故障问题，保障网络正常运行，平均每天2工时，一年共计730工时</w:t>
            </w:r>
          </w:p>
        </w:tc>
        <w:tc>
          <w:tcPr>
            <w:tcW w:w="436" w:type="pct"/>
            <w:vAlign w:val="center"/>
          </w:tcPr>
          <w:p w14:paraId="395F7439">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1DFA7D9C">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2DB1876A">
            <w:pPr>
              <w:widowControl/>
              <w:spacing w:line="360" w:lineRule="auto"/>
              <w:jc w:val="center"/>
              <w:rPr>
                <w:rFonts w:ascii="宋体" w:hAnsi="宋体" w:cs="宋体"/>
                <w:kern w:val="0"/>
                <w:sz w:val="24"/>
              </w:rPr>
            </w:pPr>
            <w:r>
              <w:rPr>
                <w:rFonts w:hint="eastAsia" w:ascii="宋体" w:hAnsi="宋体" w:cs="宋体"/>
                <w:kern w:val="0"/>
                <w:sz w:val="24"/>
              </w:rPr>
              <w:t>730</w:t>
            </w:r>
          </w:p>
        </w:tc>
      </w:tr>
      <w:tr w14:paraId="2066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94" w:type="pct"/>
            <w:vMerge w:val="continue"/>
            <w:vAlign w:val="center"/>
          </w:tcPr>
          <w:p w14:paraId="609D88BB">
            <w:pPr>
              <w:widowControl/>
              <w:spacing w:line="360" w:lineRule="auto"/>
              <w:jc w:val="left"/>
              <w:rPr>
                <w:rFonts w:ascii="宋体" w:hAnsi="宋体" w:cs="宋体"/>
                <w:kern w:val="0"/>
                <w:sz w:val="24"/>
              </w:rPr>
            </w:pPr>
          </w:p>
        </w:tc>
        <w:tc>
          <w:tcPr>
            <w:tcW w:w="588" w:type="pct"/>
            <w:vMerge w:val="continue"/>
            <w:vAlign w:val="center"/>
          </w:tcPr>
          <w:p w14:paraId="16934920">
            <w:pPr>
              <w:widowControl/>
              <w:spacing w:line="360" w:lineRule="auto"/>
              <w:jc w:val="left"/>
              <w:rPr>
                <w:rFonts w:ascii="宋体" w:hAnsi="宋体" w:cs="宋体"/>
                <w:kern w:val="0"/>
                <w:sz w:val="24"/>
              </w:rPr>
            </w:pPr>
          </w:p>
        </w:tc>
        <w:tc>
          <w:tcPr>
            <w:tcW w:w="814" w:type="pct"/>
            <w:vMerge w:val="continue"/>
            <w:vAlign w:val="center"/>
          </w:tcPr>
          <w:p w14:paraId="2B690646">
            <w:pPr>
              <w:widowControl/>
              <w:spacing w:line="360" w:lineRule="auto"/>
              <w:jc w:val="left"/>
              <w:rPr>
                <w:rFonts w:ascii="宋体" w:hAnsi="宋体" w:cs="宋体"/>
                <w:kern w:val="0"/>
                <w:sz w:val="24"/>
              </w:rPr>
            </w:pPr>
          </w:p>
        </w:tc>
        <w:tc>
          <w:tcPr>
            <w:tcW w:w="1838" w:type="pct"/>
            <w:vAlign w:val="center"/>
          </w:tcPr>
          <w:p w14:paraId="7722875D">
            <w:pPr>
              <w:widowControl/>
              <w:spacing w:line="360" w:lineRule="auto"/>
              <w:jc w:val="left"/>
              <w:rPr>
                <w:rFonts w:ascii="宋体" w:hAnsi="宋体" w:cs="宋体"/>
                <w:kern w:val="0"/>
                <w:sz w:val="24"/>
              </w:rPr>
            </w:pPr>
            <w:r>
              <w:rPr>
                <w:rFonts w:hint="eastAsia" w:ascii="宋体" w:hAnsi="宋体" w:cs="宋体"/>
                <w:kern w:val="0"/>
                <w:sz w:val="24"/>
              </w:rPr>
              <w:t>配合重大活动网络保障，保障网络正常运行，每天1工时，一年共计365工时</w:t>
            </w:r>
          </w:p>
        </w:tc>
        <w:tc>
          <w:tcPr>
            <w:tcW w:w="436" w:type="pct"/>
            <w:vAlign w:val="center"/>
          </w:tcPr>
          <w:p w14:paraId="02AFF61F">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3381B624">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1235435F">
            <w:pPr>
              <w:widowControl/>
              <w:spacing w:line="360" w:lineRule="auto"/>
              <w:jc w:val="center"/>
              <w:rPr>
                <w:rFonts w:ascii="宋体" w:hAnsi="宋体" w:cs="宋体"/>
                <w:kern w:val="0"/>
                <w:sz w:val="24"/>
              </w:rPr>
            </w:pPr>
            <w:r>
              <w:rPr>
                <w:rFonts w:hint="eastAsia" w:ascii="宋体" w:hAnsi="宋体" w:cs="宋体"/>
                <w:kern w:val="0"/>
                <w:sz w:val="24"/>
              </w:rPr>
              <w:t>365</w:t>
            </w:r>
          </w:p>
        </w:tc>
      </w:tr>
      <w:tr w14:paraId="3651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94" w:type="pct"/>
            <w:vAlign w:val="center"/>
          </w:tcPr>
          <w:p w14:paraId="11506BF8">
            <w:pPr>
              <w:widowControl/>
              <w:spacing w:line="360" w:lineRule="auto"/>
              <w:jc w:val="center"/>
              <w:rPr>
                <w:rFonts w:ascii="宋体" w:hAnsi="宋体" w:cs="宋体"/>
                <w:kern w:val="0"/>
                <w:sz w:val="24"/>
              </w:rPr>
            </w:pPr>
            <w:r>
              <w:rPr>
                <w:rFonts w:hint="eastAsia" w:ascii="宋体" w:hAnsi="宋体" w:cs="宋体"/>
                <w:kern w:val="0"/>
                <w:sz w:val="24"/>
              </w:rPr>
              <w:t>2.2</w:t>
            </w:r>
          </w:p>
        </w:tc>
        <w:tc>
          <w:tcPr>
            <w:tcW w:w="588" w:type="pct"/>
            <w:vAlign w:val="center"/>
          </w:tcPr>
          <w:p w14:paraId="554ACB7B">
            <w:pPr>
              <w:widowControl/>
              <w:spacing w:line="360" w:lineRule="auto"/>
              <w:jc w:val="left"/>
              <w:rPr>
                <w:rFonts w:ascii="宋体" w:hAnsi="宋体" w:cs="宋体"/>
                <w:kern w:val="0"/>
                <w:sz w:val="24"/>
              </w:rPr>
            </w:pPr>
            <w:r>
              <w:rPr>
                <w:rFonts w:hint="eastAsia" w:ascii="宋体" w:hAnsi="宋体" w:cs="宋体"/>
                <w:kern w:val="0"/>
                <w:sz w:val="24"/>
              </w:rPr>
              <w:t>视频会议运维服务</w:t>
            </w:r>
          </w:p>
        </w:tc>
        <w:tc>
          <w:tcPr>
            <w:tcW w:w="814" w:type="pct"/>
            <w:vAlign w:val="center"/>
          </w:tcPr>
          <w:p w14:paraId="316D04FA">
            <w:pPr>
              <w:widowControl/>
              <w:spacing w:line="360" w:lineRule="auto"/>
              <w:jc w:val="left"/>
              <w:rPr>
                <w:rFonts w:ascii="宋体" w:hAnsi="宋体" w:cs="宋体"/>
                <w:kern w:val="0"/>
                <w:sz w:val="24"/>
              </w:rPr>
            </w:pPr>
            <w:r>
              <w:rPr>
                <w:rFonts w:hint="eastAsia" w:ascii="宋体" w:hAnsi="宋体" w:cs="宋体"/>
                <w:kern w:val="0"/>
                <w:sz w:val="24"/>
              </w:rPr>
              <w:t>负责视频会议相关设备运行维护、技术服务、故障处理等工作。</w:t>
            </w:r>
          </w:p>
        </w:tc>
        <w:tc>
          <w:tcPr>
            <w:tcW w:w="1838" w:type="pct"/>
            <w:vAlign w:val="center"/>
          </w:tcPr>
          <w:p w14:paraId="3E64B5C0">
            <w:pPr>
              <w:widowControl/>
              <w:spacing w:line="360" w:lineRule="auto"/>
              <w:jc w:val="left"/>
              <w:rPr>
                <w:rFonts w:ascii="宋体" w:hAnsi="宋体" w:cs="宋体"/>
                <w:kern w:val="0"/>
                <w:sz w:val="24"/>
              </w:rPr>
            </w:pPr>
            <w:r>
              <w:rPr>
                <w:rFonts w:hint="eastAsia" w:ascii="宋体" w:hAnsi="宋体" w:cs="宋体"/>
                <w:kern w:val="0"/>
                <w:sz w:val="24"/>
              </w:rPr>
              <w:t>巡查视频会议相关设备运行状态，教委及基层学校召开的教育视频会议进行前期调试，测试音频、视频、会议画面，会中技术支持，会议控制管理，会后维护整理设备，视频录制等，平均每天2工时，一年共计730工时</w:t>
            </w:r>
          </w:p>
        </w:tc>
        <w:tc>
          <w:tcPr>
            <w:tcW w:w="436" w:type="pct"/>
            <w:vAlign w:val="center"/>
          </w:tcPr>
          <w:p w14:paraId="389D52CE">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067E6A54">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3AC1C28D">
            <w:pPr>
              <w:widowControl/>
              <w:spacing w:line="360" w:lineRule="auto"/>
              <w:jc w:val="center"/>
              <w:rPr>
                <w:rFonts w:ascii="宋体" w:hAnsi="宋体" w:cs="宋体"/>
                <w:kern w:val="0"/>
                <w:sz w:val="24"/>
              </w:rPr>
            </w:pPr>
            <w:r>
              <w:rPr>
                <w:rFonts w:hint="eastAsia" w:ascii="宋体" w:hAnsi="宋体" w:cs="宋体"/>
                <w:kern w:val="0"/>
                <w:sz w:val="24"/>
              </w:rPr>
              <w:t>730</w:t>
            </w:r>
          </w:p>
        </w:tc>
      </w:tr>
      <w:tr w14:paraId="2AE5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Merge w:val="restart"/>
            <w:vAlign w:val="center"/>
          </w:tcPr>
          <w:p w14:paraId="6D721F14">
            <w:pPr>
              <w:widowControl/>
              <w:spacing w:line="360" w:lineRule="auto"/>
              <w:jc w:val="center"/>
              <w:rPr>
                <w:rFonts w:ascii="宋体" w:hAnsi="宋体" w:cs="宋体"/>
                <w:kern w:val="0"/>
                <w:sz w:val="24"/>
              </w:rPr>
            </w:pPr>
            <w:r>
              <w:rPr>
                <w:rFonts w:hint="eastAsia" w:ascii="宋体" w:hAnsi="宋体" w:cs="宋体"/>
                <w:kern w:val="0"/>
                <w:sz w:val="24"/>
              </w:rPr>
              <w:t>2.3</w:t>
            </w:r>
          </w:p>
        </w:tc>
        <w:tc>
          <w:tcPr>
            <w:tcW w:w="588" w:type="pct"/>
            <w:vMerge w:val="restart"/>
            <w:vAlign w:val="center"/>
          </w:tcPr>
          <w:p w14:paraId="4E1F2E03">
            <w:pPr>
              <w:widowControl/>
              <w:spacing w:line="360" w:lineRule="auto"/>
              <w:jc w:val="left"/>
              <w:rPr>
                <w:rFonts w:ascii="宋体" w:hAnsi="宋体" w:cs="宋体"/>
                <w:kern w:val="0"/>
                <w:sz w:val="24"/>
              </w:rPr>
            </w:pPr>
            <w:r>
              <w:rPr>
                <w:rFonts w:hint="eastAsia" w:ascii="宋体" w:hAnsi="宋体" w:cs="宋体"/>
                <w:kern w:val="0"/>
                <w:sz w:val="24"/>
              </w:rPr>
              <w:t>服务器运维服务</w:t>
            </w:r>
          </w:p>
        </w:tc>
        <w:tc>
          <w:tcPr>
            <w:tcW w:w="814" w:type="pct"/>
            <w:vAlign w:val="center"/>
          </w:tcPr>
          <w:p w14:paraId="1D350AB9">
            <w:pPr>
              <w:widowControl/>
              <w:spacing w:line="360" w:lineRule="auto"/>
              <w:jc w:val="left"/>
              <w:rPr>
                <w:rFonts w:ascii="宋体" w:hAnsi="宋体" w:cs="宋体"/>
                <w:kern w:val="0"/>
                <w:sz w:val="24"/>
              </w:rPr>
            </w:pPr>
            <w:r>
              <w:rPr>
                <w:rFonts w:hint="eastAsia" w:ascii="宋体" w:hAnsi="宋体" w:cs="宋体"/>
                <w:kern w:val="0"/>
                <w:sz w:val="24"/>
              </w:rPr>
              <w:t>戴尔服务器610（16台）</w:t>
            </w:r>
          </w:p>
        </w:tc>
        <w:tc>
          <w:tcPr>
            <w:tcW w:w="1838" w:type="pct"/>
            <w:vMerge w:val="restart"/>
            <w:vAlign w:val="center"/>
          </w:tcPr>
          <w:p w14:paraId="16E928B0">
            <w:pPr>
              <w:widowControl/>
              <w:spacing w:line="360" w:lineRule="auto"/>
              <w:jc w:val="left"/>
              <w:rPr>
                <w:rFonts w:ascii="宋体" w:hAnsi="宋体" w:cs="宋体"/>
                <w:kern w:val="0"/>
                <w:sz w:val="24"/>
              </w:rPr>
            </w:pPr>
            <w:r>
              <w:rPr>
                <w:rFonts w:hint="eastAsia" w:ascii="宋体" w:hAnsi="宋体" w:cs="宋体"/>
                <w:kern w:val="0"/>
                <w:sz w:val="24"/>
              </w:rPr>
              <w:t>对戴尔联想浪潮等68台服务器提供运行维护服务,及时更换故障硬件。对设备进行定期除尘、各类线缆标识整理、日志查询，运行状态监控等。及时响应客户提出的服务器移机、安装、调试等工作。重新安装无法正常运行的操作系统。发现操作系统漏洞及时进行修补。解决服务器运行过程中的各种兼容性问题。平均每天5工时，一年共计365*5=1825工时。</w:t>
            </w:r>
          </w:p>
        </w:tc>
        <w:tc>
          <w:tcPr>
            <w:tcW w:w="436" w:type="pct"/>
            <w:vMerge w:val="restart"/>
            <w:vAlign w:val="center"/>
          </w:tcPr>
          <w:p w14:paraId="09CA9460">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Merge w:val="restart"/>
            <w:vAlign w:val="center"/>
          </w:tcPr>
          <w:p w14:paraId="3BAACF56">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Merge w:val="restart"/>
            <w:vAlign w:val="center"/>
          </w:tcPr>
          <w:p w14:paraId="22E0F361">
            <w:pPr>
              <w:widowControl/>
              <w:spacing w:line="360" w:lineRule="auto"/>
              <w:jc w:val="center"/>
              <w:rPr>
                <w:rFonts w:ascii="宋体" w:hAnsi="宋体" w:cs="宋体"/>
                <w:kern w:val="0"/>
                <w:sz w:val="24"/>
              </w:rPr>
            </w:pPr>
            <w:r>
              <w:rPr>
                <w:rFonts w:hint="eastAsia" w:ascii="宋体" w:hAnsi="宋体" w:cs="宋体"/>
                <w:kern w:val="0"/>
                <w:sz w:val="24"/>
              </w:rPr>
              <w:t>1825</w:t>
            </w:r>
          </w:p>
        </w:tc>
      </w:tr>
      <w:tr w14:paraId="7BEE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Merge w:val="continue"/>
            <w:vAlign w:val="center"/>
          </w:tcPr>
          <w:p w14:paraId="4675C18D">
            <w:pPr>
              <w:widowControl/>
              <w:spacing w:line="360" w:lineRule="auto"/>
              <w:jc w:val="left"/>
              <w:rPr>
                <w:rFonts w:ascii="宋体" w:hAnsi="宋体" w:cs="宋体"/>
                <w:kern w:val="0"/>
                <w:sz w:val="24"/>
              </w:rPr>
            </w:pPr>
          </w:p>
        </w:tc>
        <w:tc>
          <w:tcPr>
            <w:tcW w:w="588" w:type="pct"/>
            <w:vMerge w:val="continue"/>
            <w:vAlign w:val="center"/>
          </w:tcPr>
          <w:p w14:paraId="2E8F1CEF">
            <w:pPr>
              <w:widowControl/>
              <w:spacing w:line="360" w:lineRule="auto"/>
              <w:jc w:val="left"/>
              <w:rPr>
                <w:rFonts w:ascii="宋体" w:hAnsi="宋体" w:cs="宋体"/>
                <w:kern w:val="0"/>
                <w:sz w:val="24"/>
              </w:rPr>
            </w:pPr>
          </w:p>
        </w:tc>
        <w:tc>
          <w:tcPr>
            <w:tcW w:w="814" w:type="pct"/>
            <w:vAlign w:val="center"/>
          </w:tcPr>
          <w:p w14:paraId="4355C714">
            <w:pPr>
              <w:widowControl/>
              <w:spacing w:line="360" w:lineRule="auto"/>
              <w:jc w:val="left"/>
              <w:rPr>
                <w:rFonts w:ascii="宋体" w:hAnsi="宋体" w:cs="宋体"/>
                <w:kern w:val="0"/>
                <w:sz w:val="24"/>
              </w:rPr>
            </w:pPr>
            <w:r>
              <w:rPr>
                <w:rFonts w:hint="eastAsia" w:ascii="宋体" w:hAnsi="宋体" w:cs="宋体"/>
                <w:kern w:val="0"/>
                <w:sz w:val="24"/>
              </w:rPr>
              <w:t>戴尔服务器620（16台）</w:t>
            </w:r>
          </w:p>
        </w:tc>
        <w:tc>
          <w:tcPr>
            <w:tcW w:w="1838" w:type="pct"/>
            <w:vMerge w:val="continue"/>
            <w:vAlign w:val="center"/>
          </w:tcPr>
          <w:p w14:paraId="4CC32454">
            <w:pPr>
              <w:widowControl/>
              <w:spacing w:line="360" w:lineRule="auto"/>
              <w:jc w:val="left"/>
              <w:rPr>
                <w:rFonts w:ascii="宋体" w:hAnsi="宋体" w:cs="宋体"/>
                <w:kern w:val="0"/>
                <w:sz w:val="24"/>
              </w:rPr>
            </w:pPr>
          </w:p>
        </w:tc>
        <w:tc>
          <w:tcPr>
            <w:tcW w:w="436" w:type="pct"/>
            <w:vMerge w:val="continue"/>
            <w:vAlign w:val="center"/>
          </w:tcPr>
          <w:p w14:paraId="75559117">
            <w:pPr>
              <w:widowControl/>
              <w:spacing w:line="360" w:lineRule="auto"/>
              <w:jc w:val="left"/>
              <w:rPr>
                <w:rFonts w:ascii="宋体" w:hAnsi="宋体" w:cs="宋体"/>
                <w:kern w:val="0"/>
                <w:sz w:val="24"/>
              </w:rPr>
            </w:pPr>
          </w:p>
        </w:tc>
        <w:tc>
          <w:tcPr>
            <w:tcW w:w="329" w:type="pct"/>
            <w:vMerge w:val="continue"/>
            <w:vAlign w:val="center"/>
          </w:tcPr>
          <w:p w14:paraId="6EAC12BE">
            <w:pPr>
              <w:widowControl/>
              <w:spacing w:line="360" w:lineRule="auto"/>
              <w:jc w:val="left"/>
              <w:rPr>
                <w:rFonts w:ascii="宋体" w:hAnsi="宋体" w:cs="宋体"/>
                <w:kern w:val="0"/>
                <w:sz w:val="24"/>
              </w:rPr>
            </w:pPr>
          </w:p>
        </w:tc>
        <w:tc>
          <w:tcPr>
            <w:tcW w:w="501" w:type="pct"/>
            <w:vMerge w:val="continue"/>
            <w:vAlign w:val="center"/>
          </w:tcPr>
          <w:p w14:paraId="5A57F8BC">
            <w:pPr>
              <w:widowControl/>
              <w:spacing w:line="360" w:lineRule="auto"/>
              <w:jc w:val="left"/>
              <w:rPr>
                <w:rFonts w:ascii="宋体" w:hAnsi="宋体" w:cs="宋体"/>
                <w:kern w:val="0"/>
                <w:sz w:val="24"/>
              </w:rPr>
            </w:pPr>
          </w:p>
        </w:tc>
      </w:tr>
      <w:tr w14:paraId="40B9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494" w:type="pct"/>
            <w:vMerge w:val="continue"/>
            <w:vAlign w:val="center"/>
          </w:tcPr>
          <w:p w14:paraId="7B17DE96">
            <w:pPr>
              <w:widowControl/>
              <w:spacing w:line="360" w:lineRule="auto"/>
              <w:jc w:val="left"/>
              <w:rPr>
                <w:rFonts w:ascii="宋体" w:hAnsi="宋体" w:cs="宋体"/>
                <w:kern w:val="0"/>
                <w:sz w:val="24"/>
              </w:rPr>
            </w:pPr>
          </w:p>
        </w:tc>
        <w:tc>
          <w:tcPr>
            <w:tcW w:w="588" w:type="pct"/>
            <w:vMerge w:val="continue"/>
            <w:vAlign w:val="center"/>
          </w:tcPr>
          <w:p w14:paraId="5DC32962">
            <w:pPr>
              <w:widowControl/>
              <w:spacing w:line="360" w:lineRule="auto"/>
              <w:jc w:val="left"/>
              <w:rPr>
                <w:rFonts w:ascii="宋体" w:hAnsi="宋体" w:cs="宋体"/>
                <w:kern w:val="0"/>
                <w:sz w:val="24"/>
              </w:rPr>
            </w:pPr>
          </w:p>
        </w:tc>
        <w:tc>
          <w:tcPr>
            <w:tcW w:w="814" w:type="pct"/>
            <w:vAlign w:val="center"/>
          </w:tcPr>
          <w:p w14:paraId="23178F69">
            <w:pPr>
              <w:widowControl/>
              <w:spacing w:line="360" w:lineRule="auto"/>
              <w:jc w:val="left"/>
              <w:rPr>
                <w:rFonts w:ascii="宋体" w:hAnsi="宋体" w:cs="宋体"/>
                <w:kern w:val="0"/>
                <w:sz w:val="24"/>
              </w:rPr>
            </w:pPr>
            <w:r>
              <w:rPr>
                <w:rFonts w:hint="eastAsia" w:ascii="宋体" w:hAnsi="宋体" w:cs="宋体"/>
                <w:kern w:val="0"/>
                <w:sz w:val="24"/>
              </w:rPr>
              <w:t>戴尔服务器710（1台）</w:t>
            </w:r>
          </w:p>
        </w:tc>
        <w:tc>
          <w:tcPr>
            <w:tcW w:w="1838" w:type="pct"/>
            <w:vMerge w:val="continue"/>
            <w:vAlign w:val="center"/>
          </w:tcPr>
          <w:p w14:paraId="59E57DD1">
            <w:pPr>
              <w:widowControl/>
              <w:spacing w:line="360" w:lineRule="auto"/>
              <w:jc w:val="left"/>
              <w:rPr>
                <w:rFonts w:ascii="宋体" w:hAnsi="宋体" w:cs="宋体"/>
                <w:kern w:val="0"/>
                <w:sz w:val="24"/>
              </w:rPr>
            </w:pPr>
          </w:p>
        </w:tc>
        <w:tc>
          <w:tcPr>
            <w:tcW w:w="436" w:type="pct"/>
            <w:vMerge w:val="continue"/>
            <w:vAlign w:val="center"/>
          </w:tcPr>
          <w:p w14:paraId="5418B07D">
            <w:pPr>
              <w:widowControl/>
              <w:spacing w:line="360" w:lineRule="auto"/>
              <w:jc w:val="left"/>
              <w:rPr>
                <w:rFonts w:ascii="宋体" w:hAnsi="宋体" w:cs="宋体"/>
                <w:kern w:val="0"/>
                <w:sz w:val="24"/>
              </w:rPr>
            </w:pPr>
          </w:p>
        </w:tc>
        <w:tc>
          <w:tcPr>
            <w:tcW w:w="329" w:type="pct"/>
            <w:vMerge w:val="continue"/>
            <w:vAlign w:val="center"/>
          </w:tcPr>
          <w:p w14:paraId="52378506">
            <w:pPr>
              <w:widowControl/>
              <w:spacing w:line="360" w:lineRule="auto"/>
              <w:jc w:val="left"/>
              <w:rPr>
                <w:rFonts w:ascii="宋体" w:hAnsi="宋体" w:cs="宋体"/>
                <w:kern w:val="0"/>
                <w:sz w:val="24"/>
              </w:rPr>
            </w:pPr>
          </w:p>
        </w:tc>
        <w:tc>
          <w:tcPr>
            <w:tcW w:w="501" w:type="pct"/>
            <w:vMerge w:val="continue"/>
            <w:vAlign w:val="center"/>
          </w:tcPr>
          <w:p w14:paraId="36F71A50">
            <w:pPr>
              <w:widowControl/>
              <w:spacing w:line="360" w:lineRule="auto"/>
              <w:jc w:val="left"/>
              <w:rPr>
                <w:rFonts w:ascii="宋体" w:hAnsi="宋体" w:cs="宋体"/>
                <w:kern w:val="0"/>
                <w:sz w:val="24"/>
              </w:rPr>
            </w:pPr>
          </w:p>
        </w:tc>
      </w:tr>
      <w:tr w14:paraId="314A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Merge w:val="continue"/>
            <w:vAlign w:val="center"/>
          </w:tcPr>
          <w:p w14:paraId="1B37E53F">
            <w:pPr>
              <w:widowControl/>
              <w:spacing w:line="360" w:lineRule="auto"/>
              <w:jc w:val="left"/>
              <w:rPr>
                <w:rFonts w:ascii="宋体" w:hAnsi="宋体" w:cs="宋体"/>
                <w:kern w:val="0"/>
                <w:sz w:val="24"/>
              </w:rPr>
            </w:pPr>
          </w:p>
        </w:tc>
        <w:tc>
          <w:tcPr>
            <w:tcW w:w="588" w:type="pct"/>
            <w:vMerge w:val="continue"/>
            <w:vAlign w:val="center"/>
          </w:tcPr>
          <w:p w14:paraId="4A6251D7">
            <w:pPr>
              <w:widowControl/>
              <w:spacing w:line="360" w:lineRule="auto"/>
              <w:jc w:val="left"/>
              <w:rPr>
                <w:rFonts w:ascii="宋体" w:hAnsi="宋体" w:cs="宋体"/>
                <w:kern w:val="0"/>
                <w:sz w:val="24"/>
              </w:rPr>
            </w:pPr>
          </w:p>
        </w:tc>
        <w:tc>
          <w:tcPr>
            <w:tcW w:w="814" w:type="pct"/>
            <w:vAlign w:val="center"/>
          </w:tcPr>
          <w:p w14:paraId="38EA8889">
            <w:pPr>
              <w:widowControl/>
              <w:spacing w:line="360" w:lineRule="auto"/>
              <w:jc w:val="left"/>
              <w:rPr>
                <w:rFonts w:ascii="宋体" w:hAnsi="宋体" w:cs="宋体"/>
                <w:kern w:val="0"/>
                <w:sz w:val="24"/>
              </w:rPr>
            </w:pPr>
            <w:r>
              <w:rPr>
                <w:rFonts w:hint="eastAsia" w:ascii="宋体" w:hAnsi="宋体" w:cs="宋体"/>
                <w:kern w:val="0"/>
                <w:sz w:val="24"/>
              </w:rPr>
              <w:t>戴尔服务器720（5台）</w:t>
            </w:r>
          </w:p>
        </w:tc>
        <w:tc>
          <w:tcPr>
            <w:tcW w:w="1838" w:type="pct"/>
            <w:vMerge w:val="continue"/>
            <w:vAlign w:val="center"/>
          </w:tcPr>
          <w:p w14:paraId="1884CB09">
            <w:pPr>
              <w:widowControl/>
              <w:spacing w:line="360" w:lineRule="auto"/>
              <w:jc w:val="left"/>
              <w:rPr>
                <w:rFonts w:ascii="宋体" w:hAnsi="宋体" w:cs="宋体"/>
                <w:kern w:val="0"/>
                <w:sz w:val="24"/>
              </w:rPr>
            </w:pPr>
          </w:p>
        </w:tc>
        <w:tc>
          <w:tcPr>
            <w:tcW w:w="436" w:type="pct"/>
            <w:vMerge w:val="continue"/>
            <w:vAlign w:val="center"/>
          </w:tcPr>
          <w:p w14:paraId="396DD4E3">
            <w:pPr>
              <w:widowControl/>
              <w:spacing w:line="360" w:lineRule="auto"/>
              <w:jc w:val="left"/>
              <w:rPr>
                <w:rFonts w:ascii="宋体" w:hAnsi="宋体" w:cs="宋体"/>
                <w:kern w:val="0"/>
                <w:sz w:val="24"/>
              </w:rPr>
            </w:pPr>
          </w:p>
        </w:tc>
        <w:tc>
          <w:tcPr>
            <w:tcW w:w="329" w:type="pct"/>
            <w:vMerge w:val="continue"/>
            <w:vAlign w:val="center"/>
          </w:tcPr>
          <w:p w14:paraId="458CE048">
            <w:pPr>
              <w:widowControl/>
              <w:spacing w:line="360" w:lineRule="auto"/>
              <w:jc w:val="left"/>
              <w:rPr>
                <w:rFonts w:ascii="宋体" w:hAnsi="宋体" w:cs="宋体"/>
                <w:kern w:val="0"/>
                <w:sz w:val="24"/>
              </w:rPr>
            </w:pPr>
          </w:p>
        </w:tc>
        <w:tc>
          <w:tcPr>
            <w:tcW w:w="501" w:type="pct"/>
            <w:vMerge w:val="continue"/>
            <w:vAlign w:val="center"/>
          </w:tcPr>
          <w:p w14:paraId="4884FF80">
            <w:pPr>
              <w:widowControl/>
              <w:spacing w:line="360" w:lineRule="auto"/>
              <w:jc w:val="left"/>
              <w:rPr>
                <w:rFonts w:ascii="宋体" w:hAnsi="宋体" w:cs="宋体"/>
                <w:kern w:val="0"/>
                <w:sz w:val="24"/>
              </w:rPr>
            </w:pPr>
          </w:p>
        </w:tc>
      </w:tr>
      <w:tr w14:paraId="1C21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Merge w:val="continue"/>
            <w:vAlign w:val="center"/>
          </w:tcPr>
          <w:p w14:paraId="17F821A7">
            <w:pPr>
              <w:widowControl/>
              <w:spacing w:line="360" w:lineRule="auto"/>
              <w:jc w:val="left"/>
              <w:rPr>
                <w:rFonts w:ascii="宋体" w:hAnsi="宋体" w:cs="宋体"/>
                <w:kern w:val="0"/>
                <w:sz w:val="24"/>
              </w:rPr>
            </w:pPr>
          </w:p>
        </w:tc>
        <w:tc>
          <w:tcPr>
            <w:tcW w:w="588" w:type="pct"/>
            <w:vMerge w:val="continue"/>
            <w:vAlign w:val="center"/>
          </w:tcPr>
          <w:p w14:paraId="252FBB6B">
            <w:pPr>
              <w:widowControl/>
              <w:spacing w:line="360" w:lineRule="auto"/>
              <w:jc w:val="left"/>
              <w:rPr>
                <w:rFonts w:ascii="宋体" w:hAnsi="宋体" w:cs="宋体"/>
                <w:kern w:val="0"/>
                <w:sz w:val="24"/>
              </w:rPr>
            </w:pPr>
          </w:p>
        </w:tc>
        <w:tc>
          <w:tcPr>
            <w:tcW w:w="814" w:type="pct"/>
            <w:vAlign w:val="center"/>
          </w:tcPr>
          <w:p w14:paraId="3335B0BE">
            <w:pPr>
              <w:widowControl/>
              <w:spacing w:line="360" w:lineRule="auto"/>
              <w:jc w:val="left"/>
              <w:rPr>
                <w:rFonts w:ascii="宋体" w:hAnsi="宋体" w:cs="宋体"/>
                <w:kern w:val="0"/>
                <w:sz w:val="24"/>
              </w:rPr>
            </w:pPr>
            <w:r>
              <w:rPr>
                <w:rFonts w:hint="eastAsia" w:ascii="宋体" w:hAnsi="宋体" w:cs="宋体"/>
                <w:kern w:val="0"/>
                <w:sz w:val="24"/>
              </w:rPr>
              <w:t>戴尔服务器730（6台）</w:t>
            </w:r>
          </w:p>
        </w:tc>
        <w:tc>
          <w:tcPr>
            <w:tcW w:w="1838" w:type="pct"/>
            <w:vMerge w:val="continue"/>
            <w:vAlign w:val="center"/>
          </w:tcPr>
          <w:p w14:paraId="2DCA3DB2">
            <w:pPr>
              <w:widowControl/>
              <w:spacing w:line="360" w:lineRule="auto"/>
              <w:jc w:val="left"/>
              <w:rPr>
                <w:rFonts w:ascii="宋体" w:hAnsi="宋体" w:cs="宋体"/>
                <w:kern w:val="0"/>
                <w:sz w:val="24"/>
              </w:rPr>
            </w:pPr>
          </w:p>
        </w:tc>
        <w:tc>
          <w:tcPr>
            <w:tcW w:w="436" w:type="pct"/>
            <w:vMerge w:val="continue"/>
            <w:vAlign w:val="center"/>
          </w:tcPr>
          <w:p w14:paraId="42AD92E1">
            <w:pPr>
              <w:widowControl/>
              <w:spacing w:line="360" w:lineRule="auto"/>
              <w:jc w:val="left"/>
              <w:rPr>
                <w:rFonts w:ascii="宋体" w:hAnsi="宋体" w:cs="宋体"/>
                <w:kern w:val="0"/>
                <w:sz w:val="24"/>
              </w:rPr>
            </w:pPr>
          </w:p>
        </w:tc>
        <w:tc>
          <w:tcPr>
            <w:tcW w:w="329" w:type="pct"/>
            <w:vMerge w:val="continue"/>
            <w:vAlign w:val="center"/>
          </w:tcPr>
          <w:p w14:paraId="17E8AAF1">
            <w:pPr>
              <w:widowControl/>
              <w:spacing w:line="360" w:lineRule="auto"/>
              <w:jc w:val="left"/>
              <w:rPr>
                <w:rFonts w:ascii="宋体" w:hAnsi="宋体" w:cs="宋体"/>
                <w:kern w:val="0"/>
                <w:sz w:val="24"/>
              </w:rPr>
            </w:pPr>
          </w:p>
        </w:tc>
        <w:tc>
          <w:tcPr>
            <w:tcW w:w="501" w:type="pct"/>
            <w:vMerge w:val="continue"/>
            <w:vAlign w:val="center"/>
          </w:tcPr>
          <w:p w14:paraId="53F293ED">
            <w:pPr>
              <w:widowControl/>
              <w:spacing w:line="360" w:lineRule="auto"/>
              <w:jc w:val="left"/>
              <w:rPr>
                <w:rFonts w:ascii="宋体" w:hAnsi="宋体" w:cs="宋体"/>
                <w:kern w:val="0"/>
                <w:sz w:val="24"/>
              </w:rPr>
            </w:pPr>
          </w:p>
        </w:tc>
      </w:tr>
      <w:tr w14:paraId="06B6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Merge w:val="continue"/>
            <w:vAlign w:val="center"/>
          </w:tcPr>
          <w:p w14:paraId="565C1F0F">
            <w:pPr>
              <w:widowControl/>
              <w:spacing w:line="360" w:lineRule="auto"/>
              <w:jc w:val="left"/>
              <w:rPr>
                <w:rFonts w:ascii="宋体" w:hAnsi="宋体" w:cs="宋体"/>
                <w:kern w:val="0"/>
                <w:sz w:val="24"/>
              </w:rPr>
            </w:pPr>
          </w:p>
        </w:tc>
        <w:tc>
          <w:tcPr>
            <w:tcW w:w="588" w:type="pct"/>
            <w:vMerge w:val="continue"/>
            <w:vAlign w:val="center"/>
          </w:tcPr>
          <w:p w14:paraId="2720552C">
            <w:pPr>
              <w:widowControl/>
              <w:spacing w:line="360" w:lineRule="auto"/>
              <w:jc w:val="left"/>
              <w:rPr>
                <w:rFonts w:ascii="宋体" w:hAnsi="宋体" w:cs="宋体"/>
                <w:kern w:val="0"/>
                <w:sz w:val="24"/>
              </w:rPr>
            </w:pPr>
          </w:p>
        </w:tc>
        <w:tc>
          <w:tcPr>
            <w:tcW w:w="814" w:type="pct"/>
            <w:vAlign w:val="center"/>
          </w:tcPr>
          <w:p w14:paraId="1E7040D8">
            <w:pPr>
              <w:widowControl/>
              <w:spacing w:line="360" w:lineRule="auto"/>
              <w:jc w:val="left"/>
              <w:rPr>
                <w:rFonts w:ascii="宋体" w:hAnsi="宋体" w:cs="宋体"/>
                <w:kern w:val="0"/>
                <w:sz w:val="24"/>
              </w:rPr>
            </w:pPr>
            <w:r>
              <w:rPr>
                <w:rFonts w:hint="eastAsia" w:ascii="宋体" w:hAnsi="宋体" w:cs="宋体"/>
                <w:kern w:val="0"/>
                <w:sz w:val="24"/>
              </w:rPr>
              <w:t>联想服务器520（5台）</w:t>
            </w:r>
          </w:p>
        </w:tc>
        <w:tc>
          <w:tcPr>
            <w:tcW w:w="1838" w:type="pct"/>
            <w:vMerge w:val="continue"/>
            <w:vAlign w:val="center"/>
          </w:tcPr>
          <w:p w14:paraId="5374595D">
            <w:pPr>
              <w:widowControl/>
              <w:spacing w:line="360" w:lineRule="auto"/>
              <w:jc w:val="left"/>
              <w:rPr>
                <w:rFonts w:ascii="宋体" w:hAnsi="宋体" w:cs="宋体"/>
                <w:kern w:val="0"/>
                <w:sz w:val="24"/>
              </w:rPr>
            </w:pPr>
          </w:p>
        </w:tc>
        <w:tc>
          <w:tcPr>
            <w:tcW w:w="436" w:type="pct"/>
            <w:vMerge w:val="continue"/>
            <w:vAlign w:val="center"/>
          </w:tcPr>
          <w:p w14:paraId="319515C9">
            <w:pPr>
              <w:widowControl/>
              <w:spacing w:line="360" w:lineRule="auto"/>
              <w:jc w:val="left"/>
              <w:rPr>
                <w:rFonts w:ascii="宋体" w:hAnsi="宋体" w:cs="宋体"/>
                <w:kern w:val="0"/>
                <w:sz w:val="24"/>
              </w:rPr>
            </w:pPr>
          </w:p>
        </w:tc>
        <w:tc>
          <w:tcPr>
            <w:tcW w:w="329" w:type="pct"/>
            <w:vMerge w:val="continue"/>
            <w:vAlign w:val="center"/>
          </w:tcPr>
          <w:p w14:paraId="3F71810F">
            <w:pPr>
              <w:widowControl/>
              <w:spacing w:line="360" w:lineRule="auto"/>
              <w:jc w:val="left"/>
              <w:rPr>
                <w:rFonts w:ascii="宋体" w:hAnsi="宋体" w:cs="宋体"/>
                <w:kern w:val="0"/>
                <w:sz w:val="24"/>
              </w:rPr>
            </w:pPr>
          </w:p>
        </w:tc>
        <w:tc>
          <w:tcPr>
            <w:tcW w:w="501" w:type="pct"/>
            <w:vMerge w:val="continue"/>
            <w:vAlign w:val="center"/>
          </w:tcPr>
          <w:p w14:paraId="0070E968">
            <w:pPr>
              <w:widowControl/>
              <w:spacing w:line="360" w:lineRule="auto"/>
              <w:jc w:val="left"/>
              <w:rPr>
                <w:rFonts w:ascii="宋体" w:hAnsi="宋体" w:cs="宋体"/>
                <w:kern w:val="0"/>
                <w:sz w:val="24"/>
              </w:rPr>
            </w:pPr>
          </w:p>
        </w:tc>
      </w:tr>
      <w:tr w14:paraId="76CA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Merge w:val="continue"/>
            <w:vAlign w:val="center"/>
          </w:tcPr>
          <w:p w14:paraId="304169C9">
            <w:pPr>
              <w:widowControl/>
              <w:spacing w:line="360" w:lineRule="auto"/>
              <w:jc w:val="left"/>
              <w:rPr>
                <w:rFonts w:ascii="宋体" w:hAnsi="宋体" w:cs="宋体"/>
                <w:kern w:val="0"/>
                <w:sz w:val="24"/>
              </w:rPr>
            </w:pPr>
          </w:p>
        </w:tc>
        <w:tc>
          <w:tcPr>
            <w:tcW w:w="588" w:type="pct"/>
            <w:vMerge w:val="continue"/>
            <w:vAlign w:val="center"/>
          </w:tcPr>
          <w:p w14:paraId="588403AC">
            <w:pPr>
              <w:widowControl/>
              <w:spacing w:line="360" w:lineRule="auto"/>
              <w:jc w:val="left"/>
              <w:rPr>
                <w:rFonts w:ascii="宋体" w:hAnsi="宋体" w:cs="宋体"/>
                <w:kern w:val="0"/>
                <w:sz w:val="24"/>
              </w:rPr>
            </w:pPr>
          </w:p>
        </w:tc>
        <w:tc>
          <w:tcPr>
            <w:tcW w:w="814" w:type="pct"/>
            <w:vAlign w:val="center"/>
          </w:tcPr>
          <w:p w14:paraId="5B8DAFCB">
            <w:pPr>
              <w:widowControl/>
              <w:spacing w:line="360" w:lineRule="auto"/>
              <w:jc w:val="left"/>
              <w:rPr>
                <w:rFonts w:ascii="宋体" w:hAnsi="宋体" w:cs="宋体"/>
                <w:kern w:val="0"/>
                <w:sz w:val="24"/>
              </w:rPr>
            </w:pPr>
            <w:r>
              <w:rPr>
                <w:rFonts w:hint="eastAsia" w:ascii="宋体" w:hAnsi="宋体" w:cs="宋体"/>
                <w:kern w:val="0"/>
                <w:sz w:val="24"/>
              </w:rPr>
              <w:t>联想服务器640（10台）</w:t>
            </w:r>
          </w:p>
        </w:tc>
        <w:tc>
          <w:tcPr>
            <w:tcW w:w="1838" w:type="pct"/>
            <w:vMerge w:val="continue"/>
            <w:vAlign w:val="center"/>
          </w:tcPr>
          <w:p w14:paraId="659DD9DB">
            <w:pPr>
              <w:widowControl/>
              <w:spacing w:line="360" w:lineRule="auto"/>
              <w:jc w:val="left"/>
              <w:rPr>
                <w:rFonts w:ascii="宋体" w:hAnsi="宋体" w:cs="宋体"/>
                <w:kern w:val="0"/>
                <w:sz w:val="24"/>
              </w:rPr>
            </w:pPr>
          </w:p>
        </w:tc>
        <w:tc>
          <w:tcPr>
            <w:tcW w:w="436" w:type="pct"/>
            <w:vMerge w:val="continue"/>
            <w:vAlign w:val="center"/>
          </w:tcPr>
          <w:p w14:paraId="73BBA1F6">
            <w:pPr>
              <w:widowControl/>
              <w:spacing w:line="360" w:lineRule="auto"/>
              <w:jc w:val="left"/>
              <w:rPr>
                <w:rFonts w:ascii="宋体" w:hAnsi="宋体" w:cs="宋体"/>
                <w:kern w:val="0"/>
                <w:sz w:val="24"/>
              </w:rPr>
            </w:pPr>
          </w:p>
        </w:tc>
        <w:tc>
          <w:tcPr>
            <w:tcW w:w="329" w:type="pct"/>
            <w:vMerge w:val="continue"/>
            <w:vAlign w:val="center"/>
          </w:tcPr>
          <w:p w14:paraId="004160CB">
            <w:pPr>
              <w:widowControl/>
              <w:spacing w:line="360" w:lineRule="auto"/>
              <w:jc w:val="left"/>
              <w:rPr>
                <w:rFonts w:ascii="宋体" w:hAnsi="宋体" w:cs="宋体"/>
                <w:kern w:val="0"/>
                <w:sz w:val="24"/>
              </w:rPr>
            </w:pPr>
          </w:p>
        </w:tc>
        <w:tc>
          <w:tcPr>
            <w:tcW w:w="501" w:type="pct"/>
            <w:vMerge w:val="continue"/>
            <w:vAlign w:val="center"/>
          </w:tcPr>
          <w:p w14:paraId="672AFA20">
            <w:pPr>
              <w:widowControl/>
              <w:spacing w:line="360" w:lineRule="auto"/>
              <w:jc w:val="left"/>
              <w:rPr>
                <w:rFonts w:ascii="宋体" w:hAnsi="宋体" w:cs="宋体"/>
                <w:kern w:val="0"/>
                <w:sz w:val="24"/>
              </w:rPr>
            </w:pPr>
          </w:p>
        </w:tc>
      </w:tr>
      <w:tr w14:paraId="6C9F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Merge w:val="continue"/>
            <w:vAlign w:val="center"/>
          </w:tcPr>
          <w:p w14:paraId="52D6F373">
            <w:pPr>
              <w:widowControl/>
              <w:spacing w:line="360" w:lineRule="auto"/>
              <w:jc w:val="left"/>
              <w:rPr>
                <w:rFonts w:ascii="宋体" w:hAnsi="宋体" w:cs="宋体"/>
                <w:kern w:val="0"/>
                <w:sz w:val="24"/>
              </w:rPr>
            </w:pPr>
          </w:p>
        </w:tc>
        <w:tc>
          <w:tcPr>
            <w:tcW w:w="588" w:type="pct"/>
            <w:vMerge w:val="continue"/>
            <w:vAlign w:val="center"/>
          </w:tcPr>
          <w:p w14:paraId="1B46592C">
            <w:pPr>
              <w:widowControl/>
              <w:spacing w:line="360" w:lineRule="auto"/>
              <w:jc w:val="left"/>
              <w:rPr>
                <w:rFonts w:ascii="宋体" w:hAnsi="宋体" w:cs="宋体"/>
                <w:kern w:val="0"/>
                <w:sz w:val="24"/>
              </w:rPr>
            </w:pPr>
          </w:p>
        </w:tc>
        <w:tc>
          <w:tcPr>
            <w:tcW w:w="814" w:type="pct"/>
            <w:vAlign w:val="center"/>
          </w:tcPr>
          <w:p w14:paraId="74D7B104">
            <w:pPr>
              <w:widowControl/>
              <w:spacing w:line="360" w:lineRule="auto"/>
              <w:jc w:val="left"/>
              <w:rPr>
                <w:rFonts w:ascii="宋体" w:hAnsi="宋体" w:cs="宋体"/>
                <w:kern w:val="0"/>
                <w:sz w:val="24"/>
              </w:rPr>
            </w:pPr>
            <w:r>
              <w:rPr>
                <w:rFonts w:hint="eastAsia" w:ascii="宋体" w:hAnsi="宋体" w:cs="宋体"/>
                <w:kern w:val="0"/>
                <w:sz w:val="24"/>
              </w:rPr>
              <w:t>联想服务器650（1台）</w:t>
            </w:r>
          </w:p>
        </w:tc>
        <w:tc>
          <w:tcPr>
            <w:tcW w:w="1838" w:type="pct"/>
            <w:vMerge w:val="continue"/>
            <w:vAlign w:val="center"/>
          </w:tcPr>
          <w:p w14:paraId="11AEE3F6">
            <w:pPr>
              <w:widowControl/>
              <w:spacing w:line="360" w:lineRule="auto"/>
              <w:jc w:val="left"/>
              <w:rPr>
                <w:rFonts w:ascii="宋体" w:hAnsi="宋体" w:cs="宋体"/>
                <w:kern w:val="0"/>
                <w:sz w:val="24"/>
              </w:rPr>
            </w:pPr>
          </w:p>
        </w:tc>
        <w:tc>
          <w:tcPr>
            <w:tcW w:w="436" w:type="pct"/>
            <w:vMerge w:val="continue"/>
            <w:vAlign w:val="center"/>
          </w:tcPr>
          <w:p w14:paraId="7D6C116E">
            <w:pPr>
              <w:widowControl/>
              <w:spacing w:line="360" w:lineRule="auto"/>
              <w:jc w:val="left"/>
              <w:rPr>
                <w:rFonts w:ascii="宋体" w:hAnsi="宋体" w:cs="宋体"/>
                <w:kern w:val="0"/>
                <w:sz w:val="24"/>
              </w:rPr>
            </w:pPr>
          </w:p>
        </w:tc>
        <w:tc>
          <w:tcPr>
            <w:tcW w:w="329" w:type="pct"/>
            <w:vMerge w:val="continue"/>
            <w:vAlign w:val="center"/>
          </w:tcPr>
          <w:p w14:paraId="35E5AA96">
            <w:pPr>
              <w:widowControl/>
              <w:spacing w:line="360" w:lineRule="auto"/>
              <w:jc w:val="left"/>
              <w:rPr>
                <w:rFonts w:ascii="宋体" w:hAnsi="宋体" w:cs="宋体"/>
                <w:kern w:val="0"/>
                <w:sz w:val="24"/>
              </w:rPr>
            </w:pPr>
          </w:p>
        </w:tc>
        <w:tc>
          <w:tcPr>
            <w:tcW w:w="501" w:type="pct"/>
            <w:vMerge w:val="continue"/>
            <w:vAlign w:val="center"/>
          </w:tcPr>
          <w:p w14:paraId="46CE1F9F">
            <w:pPr>
              <w:widowControl/>
              <w:spacing w:line="360" w:lineRule="auto"/>
              <w:jc w:val="left"/>
              <w:rPr>
                <w:rFonts w:ascii="宋体" w:hAnsi="宋体" w:cs="宋体"/>
                <w:kern w:val="0"/>
                <w:sz w:val="24"/>
              </w:rPr>
            </w:pPr>
          </w:p>
        </w:tc>
      </w:tr>
      <w:tr w14:paraId="1D46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4" w:type="pct"/>
            <w:vMerge w:val="continue"/>
            <w:vAlign w:val="center"/>
          </w:tcPr>
          <w:p w14:paraId="50A7210E">
            <w:pPr>
              <w:widowControl/>
              <w:spacing w:line="360" w:lineRule="auto"/>
              <w:jc w:val="left"/>
              <w:rPr>
                <w:rFonts w:ascii="宋体" w:hAnsi="宋体" w:cs="宋体"/>
                <w:kern w:val="0"/>
                <w:sz w:val="24"/>
              </w:rPr>
            </w:pPr>
          </w:p>
        </w:tc>
        <w:tc>
          <w:tcPr>
            <w:tcW w:w="588" w:type="pct"/>
            <w:vMerge w:val="continue"/>
            <w:vAlign w:val="center"/>
          </w:tcPr>
          <w:p w14:paraId="36ABEC7B">
            <w:pPr>
              <w:widowControl/>
              <w:spacing w:line="360" w:lineRule="auto"/>
              <w:jc w:val="left"/>
              <w:rPr>
                <w:rFonts w:ascii="宋体" w:hAnsi="宋体" w:cs="宋体"/>
                <w:kern w:val="0"/>
                <w:sz w:val="24"/>
              </w:rPr>
            </w:pPr>
          </w:p>
        </w:tc>
        <w:tc>
          <w:tcPr>
            <w:tcW w:w="814" w:type="pct"/>
            <w:vAlign w:val="center"/>
          </w:tcPr>
          <w:p w14:paraId="7C9BEEB7">
            <w:pPr>
              <w:widowControl/>
              <w:spacing w:line="360" w:lineRule="auto"/>
              <w:jc w:val="left"/>
              <w:rPr>
                <w:rFonts w:ascii="宋体" w:hAnsi="宋体" w:cs="宋体"/>
                <w:kern w:val="0"/>
                <w:sz w:val="24"/>
              </w:rPr>
            </w:pPr>
            <w:r>
              <w:rPr>
                <w:rFonts w:hint="eastAsia" w:ascii="宋体" w:hAnsi="宋体" w:cs="宋体"/>
                <w:kern w:val="0"/>
                <w:sz w:val="24"/>
              </w:rPr>
              <w:t>浪潮服务器5270（8台）</w:t>
            </w:r>
          </w:p>
        </w:tc>
        <w:tc>
          <w:tcPr>
            <w:tcW w:w="1838" w:type="pct"/>
            <w:vMerge w:val="continue"/>
            <w:vAlign w:val="center"/>
          </w:tcPr>
          <w:p w14:paraId="0521DFFD">
            <w:pPr>
              <w:widowControl/>
              <w:spacing w:line="360" w:lineRule="auto"/>
              <w:jc w:val="left"/>
              <w:rPr>
                <w:rFonts w:ascii="宋体" w:hAnsi="宋体" w:cs="宋体"/>
                <w:kern w:val="0"/>
                <w:sz w:val="24"/>
              </w:rPr>
            </w:pPr>
          </w:p>
        </w:tc>
        <w:tc>
          <w:tcPr>
            <w:tcW w:w="436" w:type="pct"/>
            <w:vMerge w:val="continue"/>
            <w:vAlign w:val="center"/>
          </w:tcPr>
          <w:p w14:paraId="7F9AA9F9">
            <w:pPr>
              <w:widowControl/>
              <w:spacing w:line="360" w:lineRule="auto"/>
              <w:jc w:val="left"/>
              <w:rPr>
                <w:rFonts w:ascii="宋体" w:hAnsi="宋体" w:cs="宋体"/>
                <w:kern w:val="0"/>
                <w:sz w:val="24"/>
              </w:rPr>
            </w:pPr>
          </w:p>
        </w:tc>
        <w:tc>
          <w:tcPr>
            <w:tcW w:w="329" w:type="pct"/>
            <w:vMerge w:val="continue"/>
            <w:vAlign w:val="center"/>
          </w:tcPr>
          <w:p w14:paraId="6B77B715">
            <w:pPr>
              <w:widowControl/>
              <w:spacing w:line="360" w:lineRule="auto"/>
              <w:jc w:val="left"/>
              <w:rPr>
                <w:rFonts w:ascii="宋体" w:hAnsi="宋体" w:cs="宋体"/>
                <w:kern w:val="0"/>
                <w:sz w:val="24"/>
              </w:rPr>
            </w:pPr>
          </w:p>
        </w:tc>
        <w:tc>
          <w:tcPr>
            <w:tcW w:w="501" w:type="pct"/>
            <w:vMerge w:val="continue"/>
            <w:vAlign w:val="center"/>
          </w:tcPr>
          <w:p w14:paraId="6AB783C2">
            <w:pPr>
              <w:widowControl/>
              <w:spacing w:line="360" w:lineRule="auto"/>
              <w:jc w:val="left"/>
              <w:rPr>
                <w:rFonts w:ascii="宋体" w:hAnsi="宋体" w:cs="宋体"/>
                <w:kern w:val="0"/>
                <w:sz w:val="24"/>
              </w:rPr>
            </w:pPr>
          </w:p>
        </w:tc>
      </w:tr>
      <w:tr w14:paraId="0668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94" w:type="pct"/>
            <w:vMerge w:val="restart"/>
            <w:vAlign w:val="center"/>
          </w:tcPr>
          <w:p w14:paraId="36F47768">
            <w:pPr>
              <w:widowControl/>
              <w:spacing w:line="360" w:lineRule="auto"/>
              <w:jc w:val="center"/>
              <w:rPr>
                <w:rFonts w:ascii="宋体" w:hAnsi="宋体" w:cs="宋体"/>
                <w:kern w:val="0"/>
                <w:sz w:val="24"/>
              </w:rPr>
            </w:pPr>
            <w:r>
              <w:rPr>
                <w:rFonts w:hint="eastAsia" w:ascii="宋体" w:hAnsi="宋体" w:cs="宋体"/>
                <w:kern w:val="0"/>
                <w:sz w:val="24"/>
              </w:rPr>
              <w:t>2.4</w:t>
            </w:r>
          </w:p>
        </w:tc>
        <w:tc>
          <w:tcPr>
            <w:tcW w:w="588" w:type="pct"/>
            <w:vMerge w:val="restart"/>
            <w:vAlign w:val="center"/>
          </w:tcPr>
          <w:p w14:paraId="5B95A2FA">
            <w:pPr>
              <w:widowControl/>
              <w:spacing w:line="360" w:lineRule="auto"/>
              <w:jc w:val="left"/>
              <w:rPr>
                <w:rFonts w:ascii="宋体" w:hAnsi="宋体" w:cs="宋体"/>
                <w:kern w:val="0"/>
                <w:sz w:val="24"/>
              </w:rPr>
            </w:pPr>
            <w:r>
              <w:rPr>
                <w:rFonts w:hint="eastAsia" w:ascii="宋体" w:hAnsi="宋体" w:cs="宋体"/>
                <w:kern w:val="0"/>
                <w:sz w:val="24"/>
              </w:rPr>
              <w:t>存储设备运维服务</w:t>
            </w:r>
          </w:p>
        </w:tc>
        <w:tc>
          <w:tcPr>
            <w:tcW w:w="814" w:type="pct"/>
            <w:vAlign w:val="center"/>
          </w:tcPr>
          <w:p w14:paraId="169A34A1">
            <w:pPr>
              <w:widowControl/>
              <w:spacing w:line="360" w:lineRule="auto"/>
              <w:jc w:val="left"/>
              <w:rPr>
                <w:rFonts w:ascii="宋体" w:hAnsi="宋体" w:cs="宋体"/>
                <w:kern w:val="0"/>
                <w:sz w:val="24"/>
              </w:rPr>
            </w:pPr>
            <w:r>
              <w:rPr>
                <w:rFonts w:hint="eastAsia" w:ascii="宋体" w:hAnsi="宋体" w:cs="宋体"/>
                <w:kern w:val="0"/>
                <w:sz w:val="24"/>
              </w:rPr>
              <w:t>华为OceaStor 9000存储运维（9台）</w:t>
            </w:r>
          </w:p>
        </w:tc>
        <w:tc>
          <w:tcPr>
            <w:tcW w:w="1838" w:type="pct"/>
            <w:vAlign w:val="center"/>
          </w:tcPr>
          <w:p w14:paraId="34E1B5DE">
            <w:pPr>
              <w:widowControl/>
              <w:spacing w:line="360" w:lineRule="auto"/>
              <w:jc w:val="left"/>
              <w:rPr>
                <w:rFonts w:ascii="宋体" w:hAnsi="宋体" w:cs="宋体"/>
                <w:kern w:val="0"/>
                <w:sz w:val="24"/>
              </w:rPr>
            </w:pPr>
            <w:r>
              <w:rPr>
                <w:rFonts w:hint="eastAsia" w:ascii="宋体" w:hAnsi="宋体" w:cs="宋体"/>
                <w:kern w:val="0"/>
                <w:sz w:val="24"/>
              </w:rPr>
              <w:t>对华为9台存储提供运行维护服务，及时更换故障硬件。对设备进行定期除尘、各类线缆标识整理、日志查询，运行状态监控等。及时响应客户提出的服务器移机、安装、调试等工作。重新安装无法正常运行的操作系统。发现操作系统漏洞及时进行修补。解决服务器运行过程中的各种兼容性问题。平均每天1工时，一年共计365工时。</w:t>
            </w:r>
          </w:p>
        </w:tc>
        <w:tc>
          <w:tcPr>
            <w:tcW w:w="436" w:type="pct"/>
            <w:vAlign w:val="center"/>
          </w:tcPr>
          <w:p w14:paraId="520AD406">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0474C3DF">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0E8B05C0">
            <w:pPr>
              <w:widowControl/>
              <w:spacing w:line="360" w:lineRule="auto"/>
              <w:jc w:val="center"/>
              <w:rPr>
                <w:rFonts w:ascii="宋体" w:hAnsi="宋体" w:cs="宋体"/>
                <w:kern w:val="0"/>
                <w:sz w:val="24"/>
              </w:rPr>
            </w:pPr>
            <w:r>
              <w:rPr>
                <w:rFonts w:hint="eastAsia" w:ascii="宋体" w:hAnsi="宋体" w:cs="宋体"/>
                <w:kern w:val="0"/>
                <w:sz w:val="24"/>
              </w:rPr>
              <w:t>365</w:t>
            </w:r>
          </w:p>
        </w:tc>
      </w:tr>
      <w:tr w14:paraId="7690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94" w:type="pct"/>
            <w:vMerge w:val="continue"/>
            <w:vAlign w:val="center"/>
          </w:tcPr>
          <w:p w14:paraId="6B1F574A">
            <w:pPr>
              <w:widowControl/>
              <w:spacing w:line="360" w:lineRule="auto"/>
              <w:jc w:val="left"/>
              <w:rPr>
                <w:rFonts w:ascii="宋体" w:hAnsi="宋体" w:cs="宋体"/>
                <w:kern w:val="0"/>
                <w:sz w:val="24"/>
              </w:rPr>
            </w:pPr>
          </w:p>
        </w:tc>
        <w:tc>
          <w:tcPr>
            <w:tcW w:w="588" w:type="pct"/>
            <w:vMerge w:val="continue"/>
            <w:vAlign w:val="center"/>
          </w:tcPr>
          <w:p w14:paraId="2C64AB0B">
            <w:pPr>
              <w:widowControl/>
              <w:spacing w:line="360" w:lineRule="auto"/>
              <w:jc w:val="left"/>
              <w:rPr>
                <w:rFonts w:ascii="宋体" w:hAnsi="宋体" w:cs="宋体"/>
                <w:kern w:val="0"/>
                <w:sz w:val="24"/>
              </w:rPr>
            </w:pPr>
          </w:p>
        </w:tc>
        <w:tc>
          <w:tcPr>
            <w:tcW w:w="814" w:type="pct"/>
            <w:vAlign w:val="center"/>
          </w:tcPr>
          <w:p w14:paraId="2D0293E6">
            <w:pPr>
              <w:widowControl/>
              <w:spacing w:line="360" w:lineRule="auto"/>
              <w:jc w:val="left"/>
              <w:rPr>
                <w:rFonts w:ascii="宋体" w:hAnsi="宋体" w:cs="宋体"/>
                <w:kern w:val="0"/>
                <w:sz w:val="24"/>
              </w:rPr>
            </w:pPr>
            <w:r>
              <w:rPr>
                <w:rFonts w:hint="eastAsia" w:ascii="宋体" w:hAnsi="宋体" w:cs="宋体"/>
                <w:kern w:val="0"/>
                <w:sz w:val="24"/>
              </w:rPr>
              <w:t>戴尔SC8000存储运维(21台)</w:t>
            </w:r>
          </w:p>
        </w:tc>
        <w:tc>
          <w:tcPr>
            <w:tcW w:w="1838" w:type="pct"/>
            <w:vAlign w:val="center"/>
          </w:tcPr>
          <w:p w14:paraId="56F09C4B">
            <w:pPr>
              <w:widowControl/>
              <w:spacing w:line="360" w:lineRule="auto"/>
              <w:jc w:val="left"/>
              <w:rPr>
                <w:rFonts w:ascii="宋体" w:hAnsi="宋体" w:cs="宋体"/>
                <w:kern w:val="0"/>
                <w:sz w:val="24"/>
              </w:rPr>
            </w:pPr>
            <w:r>
              <w:rPr>
                <w:rFonts w:hint="eastAsia" w:ascii="宋体" w:hAnsi="宋体" w:cs="宋体"/>
                <w:kern w:val="0"/>
                <w:sz w:val="24"/>
              </w:rPr>
              <w:t>对戴尔21台存储提供运行维护服务，及时更换故障硬件。对设备进行定期除尘、各类线缆标识整理、日志查询，运行状态监控等。及时响应客户提出的服务器移机、安装、调试等工作。重新安装无法正常运行的操作系统。发现操作系统漏洞及时进行修补。解决服务器运行过程中的各种兼容性问题。平均每天1工时，一年共计365小时。</w:t>
            </w:r>
          </w:p>
        </w:tc>
        <w:tc>
          <w:tcPr>
            <w:tcW w:w="436" w:type="pct"/>
            <w:vAlign w:val="center"/>
          </w:tcPr>
          <w:p w14:paraId="67A8DCDC">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542DC82D">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7B654188">
            <w:pPr>
              <w:widowControl/>
              <w:spacing w:line="360" w:lineRule="auto"/>
              <w:jc w:val="center"/>
              <w:rPr>
                <w:rFonts w:ascii="宋体" w:hAnsi="宋体" w:cs="宋体"/>
                <w:kern w:val="0"/>
                <w:sz w:val="24"/>
              </w:rPr>
            </w:pPr>
            <w:r>
              <w:rPr>
                <w:rFonts w:hint="eastAsia" w:ascii="宋体" w:hAnsi="宋体" w:cs="宋体"/>
                <w:kern w:val="0"/>
                <w:sz w:val="24"/>
              </w:rPr>
              <w:t>365</w:t>
            </w:r>
          </w:p>
        </w:tc>
      </w:tr>
      <w:tr w14:paraId="2344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94" w:type="pct"/>
            <w:vAlign w:val="center"/>
          </w:tcPr>
          <w:p w14:paraId="0D7AD499">
            <w:pPr>
              <w:widowControl/>
              <w:spacing w:line="360" w:lineRule="auto"/>
              <w:jc w:val="center"/>
              <w:rPr>
                <w:rFonts w:ascii="宋体" w:hAnsi="宋体" w:cs="宋体"/>
                <w:kern w:val="0"/>
                <w:sz w:val="24"/>
              </w:rPr>
            </w:pPr>
            <w:r>
              <w:rPr>
                <w:rFonts w:hint="eastAsia" w:ascii="宋体" w:hAnsi="宋体" w:cs="宋体"/>
                <w:kern w:val="0"/>
                <w:sz w:val="24"/>
              </w:rPr>
              <w:t>2.5</w:t>
            </w:r>
          </w:p>
        </w:tc>
        <w:tc>
          <w:tcPr>
            <w:tcW w:w="588" w:type="pct"/>
            <w:vAlign w:val="center"/>
          </w:tcPr>
          <w:p w14:paraId="3C3AA043">
            <w:pPr>
              <w:widowControl/>
              <w:spacing w:line="360" w:lineRule="auto"/>
              <w:jc w:val="left"/>
              <w:rPr>
                <w:rFonts w:ascii="宋体" w:hAnsi="宋体" w:cs="宋体"/>
                <w:kern w:val="0"/>
                <w:sz w:val="24"/>
              </w:rPr>
            </w:pPr>
            <w:r>
              <w:rPr>
                <w:rFonts w:hint="eastAsia" w:ascii="宋体" w:hAnsi="宋体" w:cs="宋体"/>
                <w:kern w:val="0"/>
                <w:sz w:val="24"/>
              </w:rPr>
              <w:t>虚拟化平台运维服务</w:t>
            </w:r>
          </w:p>
        </w:tc>
        <w:tc>
          <w:tcPr>
            <w:tcW w:w="814" w:type="pct"/>
            <w:vAlign w:val="center"/>
          </w:tcPr>
          <w:p w14:paraId="30230A66">
            <w:pPr>
              <w:widowControl/>
              <w:spacing w:line="360" w:lineRule="auto"/>
              <w:jc w:val="left"/>
              <w:rPr>
                <w:rFonts w:ascii="宋体" w:hAnsi="宋体" w:cs="宋体"/>
                <w:kern w:val="0"/>
                <w:sz w:val="24"/>
              </w:rPr>
            </w:pPr>
            <w:r>
              <w:rPr>
                <w:rFonts w:hint="eastAsia" w:ascii="宋体" w:hAnsi="宋体" w:cs="宋体"/>
                <w:kern w:val="0"/>
                <w:sz w:val="24"/>
              </w:rPr>
              <w:t>Vmware虚拟化平台（1套）</w:t>
            </w:r>
          </w:p>
        </w:tc>
        <w:tc>
          <w:tcPr>
            <w:tcW w:w="1838" w:type="pct"/>
            <w:vAlign w:val="center"/>
          </w:tcPr>
          <w:p w14:paraId="4B52BFA6">
            <w:pPr>
              <w:widowControl/>
              <w:spacing w:line="360" w:lineRule="auto"/>
              <w:jc w:val="left"/>
              <w:rPr>
                <w:rFonts w:ascii="宋体" w:hAnsi="宋体" w:cs="宋体"/>
                <w:kern w:val="0"/>
                <w:sz w:val="24"/>
              </w:rPr>
            </w:pPr>
            <w:r>
              <w:rPr>
                <w:rFonts w:hint="eastAsia" w:ascii="宋体" w:hAnsi="宋体" w:cs="宋体"/>
                <w:kern w:val="0"/>
                <w:sz w:val="24"/>
              </w:rPr>
              <w:t>虚拟化平台及虚拟机系统故障后，及时检查故障原因并尽快解决。配合完成虚拟化平台相关管理工作。做好虚拟机的定时备份和快照，虚拟机系统故障后能及时恢复。配合完成虚拟化平台相关网络及存储设备的优化调试，故障排查工作。在规定的响应时效内（3 个工作日内），工程师到达客户现场进行服务，并解决问题，原则上当天响应解决，最迟三天解决。平均每天2工时，一年共计365工时。</w:t>
            </w:r>
          </w:p>
        </w:tc>
        <w:tc>
          <w:tcPr>
            <w:tcW w:w="436" w:type="pct"/>
            <w:vAlign w:val="center"/>
          </w:tcPr>
          <w:p w14:paraId="408F1FEB">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4DC84154">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167F0DE2">
            <w:pPr>
              <w:widowControl/>
              <w:spacing w:line="360" w:lineRule="auto"/>
              <w:jc w:val="center"/>
              <w:rPr>
                <w:rFonts w:ascii="宋体" w:hAnsi="宋体" w:cs="宋体"/>
                <w:kern w:val="0"/>
                <w:sz w:val="24"/>
              </w:rPr>
            </w:pPr>
            <w:r>
              <w:rPr>
                <w:rFonts w:hint="eastAsia" w:ascii="宋体" w:hAnsi="宋体" w:cs="宋体"/>
                <w:kern w:val="0"/>
                <w:sz w:val="24"/>
              </w:rPr>
              <w:t>730</w:t>
            </w:r>
          </w:p>
        </w:tc>
      </w:tr>
      <w:tr w14:paraId="6F44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94" w:type="pct"/>
            <w:vAlign w:val="center"/>
          </w:tcPr>
          <w:p w14:paraId="0E441D90">
            <w:pPr>
              <w:widowControl/>
              <w:spacing w:line="360" w:lineRule="auto"/>
              <w:jc w:val="center"/>
              <w:rPr>
                <w:rFonts w:ascii="宋体" w:hAnsi="宋体" w:cs="宋体"/>
                <w:kern w:val="0"/>
                <w:sz w:val="24"/>
              </w:rPr>
            </w:pPr>
            <w:r>
              <w:rPr>
                <w:rFonts w:hint="eastAsia" w:ascii="宋体" w:hAnsi="宋体" w:cs="宋体"/>
                <w:kern w:val="0"/>
                <w:sz w:val="24"/>
              </w:rPr>
              <w:t>2.6</w:t>
            </w:r>
          </w:p>
        </w:tc>
        <w:tc>
          <w:tcPr>
            <w:tcW w:w="588" w:type="pct"/>
            <w:vAlign w:val="center"/>
          </w:tcPr>
          <w:p w14:paraId="662EC7CB">
            <w:pPr>
              <w:widowControl/>
              <w:spacing w:line="360" w:lineRule="auto"/>
              <w:jc w:val="left"/>
              <w:rPr>
                <w:rFonts w:ascii="宋体" w:hAnsi="宋体" w:cs="宋体"/>
                <w:kern w:val="0"/>
                <w:sz w:val="24"/>
              </w:rPr>
            </w:pPr>
            <w:r>
              <w:rPr>
                <w:rFonts w:hint="eastAsia" w:ascii="宋体" w:hAnsi="宋体" w:cs="宋体"/>
                <w:kern w:val="0"/>
                <w:sz w:val="24"/>
              </w:rPr>
              <w:t>不间断电源UPS运维服务</w:t>
            </w:r>
          </w:p>
        </w:tc>
        <w:tc>
          <w:tcPr>
            <w:tcW w:w="814" w:type="pct"/>
            <w:vAlign w:val="center"/>
          </w:tcPr>
          <w:p w14:paraId="2BB3B693">
            <w:pPr>
              <w:widowControl/>
              <w:spacing w:line="360" w:lineRule="auto"/>
              <w:jc w:val="left"/>
              <w:rPr>
                <w:rFonts w:ascii="宋体" w:hAnsi="宋体" w:cs="宋体"/>
                <w:kern w:val="0"/>
                <w:sz w:val="24"/>
              </w:rPr>
            </w:pPr>
            <w:r>
              <w:rPr>
                <w:rFonts w:hint="eastAsia" w:ascii="宋体" w:hAnsi="宋体" w:cs="宋体"/>
                <w:kern w:val="0"/>
                <w:sz w:val="24"/>
              </w:rPr>
              <w:t>艾默生UL33-0400L（2台）、电池（180块）</w:t>
            </w:r>
          </w:p>
        </w:tc>
        <w:tc>
          <w:tcPr>
            <w:tcW w:w="1838" w:type="pct"/>
            <w:vAlign w:val="center"/>
          </w:tcPr>
          <w:p w14:paraId="286FFA99">
            <w:pPr>
              <w:widowControl/>
              <w:spacing w:line="360" w:lineRule="auto"/>
              <w:jc w:val="left"/>
              <w:rPr>
                <w:rFonts w:ascii="宋体" w:hAnsi="宋体" w:cs="宋体"/>
                <w:kern w:val="0"/>
                <w:sz w:val="24"/>
              </w:rPr>
            </w:pPr>
            <w:r>
              <w:rPr>
                <w:rFonts w:hint="eastAsia" w:ascii="宋体" w:hAnsi="宋体" w:cs="宋体"/>
                <w:kern w:val="0"/>
                <w:sz w:val="24"/>
              </w:rPr>
              <w:t>进行日常维护、故障处理、设备维修、设备保养、电池内阻检测、状态监控、及重大活动应急保障等维护工作，一年按照12个月核算，一个月巡检2次，一年共计24次，每次4工时，共计96工时。</w:t>
            </w:r>
          </w:p>
        </w:tc>
        <w:tc>
          <w:tcPr>
            <w:tcW w:w="436" w:type="pct"/>
            <w:vAlign w:val="center"/>
          </w:tcPr>
          <w:p w14:paraId="6AED8736">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35691555">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1B643B51">
            <w:pPr>
              <w:widowControl/>
              <w:spacing w:line="360" w:lineRule="auto"/>
              <w:jc w:val="center"/>
              <w:rPr>
                <w:rFonts w:ascii="宋体" w:hAnsi="宋体" w:cs="宋体"/>
                <w:kern w:val="0"/>
                <w:sz w:val="24"/>
              </w:rPr>
            </w:pPr>
            <w:r>
              <w:rPr>
                <w:rFonts w:hint="eastAsia" w:ascii="宋体" w:hAnsi="宋体" w:cs="宋体"/>
                <w:kern w:val="0"/>
                <w:sz w:val="24"/>
              </w:rPr>
              <w:t>96</w:t>
            </w:r>
          </w:p>
        </w:tc>
      </w:tr>
      <w:tr w14:paraId="6A58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94" w:type="pct"/>
            <w:vAlign w:val="center"/>
          </w:tcPr>
          <w:p w14:paraId="2C22FF19">
            <w:pPr>
              <w:widowControl/>
              <w:spacing w:line="360" w:lineRule="auto"/>
              <w:jc w:val="center"/>
              <w:rPr>
                <w:rFonts w:ascii="宋体" w:hAnsi="宋体" w:cs="宋体"/>
                <w:kern w:val="0"/>
                <w:sz w:val="24"/>
              </w:rPr>
            </w:pPr>
            <w:r>
              <w:rPr>
                <w:rFonts w:hint="eastAsia" w:ascii="宋体" w:hAnsi="宋体" w:cs="宋体"/>
                <w:kern w:val="0"/>
                <w:sz w:val="24"/>
              </w:rPr>
              <w:t>2.7</w:t>
            </w:r>
          </w:p>
        </w:tc>
        <w:tc>
          <w:tcPr>
            <w:tcW w:w="588" w:type="pct"/>
            <w:vAlign w:val="center"/>
          </w:tcPr>
          <w:p w14:paraId="55A11C00">
            <w:pPr>
              <w:widowControl/>
              <w:spacing w:line="360" w:lineRule="auto"/>
              <w:jc w:val="left"/>
              <w:rPr>
                <w:rFonts w:ascii="宋体" w:hAnsi="宋体" w:cs="宋体"/>
                <w:kern w:val="0"/>
                <w:sz w:val="24"/>
              </w:rPr>
            </w:pPr>
            <w:r>
              <w:rPr>
                <w:rFonts w:hint="eastAsia" w:ascii="宋体" w:hAnsi="宋体" w:cs="宋体"/>
                <w:kern w:val="0"/>
                <w:sz w:val="24"/>
              </w:rPr>
              <w:t>柴油发电机运维服务</w:t>
            </w:r>
          </w:p>
        </w:tc>
        <w:tc>
          <w:tcPr>
            <w:tcW w:w="814" w:type="pct"/>
            <w:vAlign w:val="center"/>
          </w:tcPr>
          <w:p w14:paraId="20BC1580">
            <w:pPr>
              <w:widowControl/>
              <w:spacing w:line="360" w:lineRule="auto"/>
              <w:jc w:val="left"/>
              <w:rPr>
                <w:rFonts w:ascii="宋体" w:hAnsi="宋体" w:cs="宋体"/>
                <w:kern w:val="0"/>
                <w:sz w:val="24"/>
              </w:rPr>
            </w:pPr>
            <w:r>
              <w:rPr>
                <w:rFonts w:hint="eastAsia" w:ascii="宋体" w:hAnsi="宋体" w:cs="宋体"/>
                <w:kern w:val="0"/>
                <w:sz w:val="24"/>
              </w:rPr>
              <w:t>康明斯DF-300（1台）</w:t>
            </w:r>
          </w:p>
        </w:tc>
        <w:tc>
          <w:tcPr>
            <w:tcW w:w="1838" w:type="pct"/>
            <w:vAlign w:val="center"/>
          </w:tcPr>
          <w:p w14:paraId="6A919FBF">
            <w:pPr>
              <w:widowControl/>
              <w:spacing w:line="360" w:lineRule="auto"/>
              <w:jc w:val="left"/>
              <w:rPr>
                <w:rFonts w:ascii="宋体" w:hAnsi="宋体" w:cs="宋体"/>
                <w:kern w:val="0"/>
                <w:sz w:val="24"/>
              </w:rPr>
            </w:pPr>
            <w:r>
              <w:rPr>
                <w:rFonts w:hint="eastAsia" w:ascii="宋体" w:hAnsi="宋体" w:cs="宋体"/>
                <w:kern w:val="0"/>
                <w:sz w:val="24"/>
              </w:rPr>
              <w:t>进行日常维护、故障处理、设备维修、设备保养、状态监控、及重大活动应急保障等维护工作，一年按照12个月核算，一个月巡检1次，一年共计12次，每次2工时，共计24工时。</w:t>
            </w:r>
          </w:p>
        </w:tc>
        <w:tc>
          <w:tcPr>
            <w:tcW w:w="436" w:type="pct"/>
            <w:vAlign w:val="center"/>
          </w:tcPr>
          <w:p w14:paraId="6FAA50D4">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73EBCB2D">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37DE686C">
            <w:pPr>
              <w:widowControl/>
              <w:spacing w:line="360" w:lineRule="auto"/>
              <w:jc w:val="center"/>
              <w:rPr>
                <w:rFonts w:ascii="宋体" w:hAnsi="宋体" w:cs="宋体"/>
                <w:kern w:val="0"/>
                <w:sz w:val="24"/>
              </w:rPr>
            </w:pPr>
            <w:r>
              <w:rPr>
                <w:rFonts w:hint="eastAsia" w:ascii="宋体" w:hAnsi="宋体" w:cs="宋体"/>
                <w:kern w:val="0"/>
                <w:sz w:val="24"/>
              </w:rPr>
              <w:t>24</w:t>
            </w:r>
          </w:p>
        </w:tc>
      </w:tr>
      <w:tr w14:paraId="1C5A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94" w:type="pct"/>
            <w:vAlign w:val="center"/>
          </w:tcPr>
          <w:p w14:paraId="69DB7448">
            <w:pPr>
              <w:widowControl/>
              <w:spacing w:line="360" w:lineRule="auto"/>
              <w:jc w:val="center"/>
              <w:rPr>
                <w:rFonts w:ascii="宋体" w:hAnsi="宋体" w:cs="宋体"/>
                <w:kern w:val="0"/>
                <w:sz w:val="24"/>
              </w:rPr>
            </w:pPr>
            <w:r>
              <w:rPr>
                <w:rFonts w:hint="eastAsia" w:ascii="宋体" w:hAnsi="宋体" w:cs="宋体"/>
                <w:kern w:val="0"/>
                <w:sz w:val="24"/>
              </w:rPr>
              <w:t>2.8</w:t>
            </w:r>
          </w:p>
        </w:tc>
        <w:tc>
          <w:tcPr>
            <w:tcW w:w="588" w:type="pct"/>
            <w:vAlign w:val="center"/>
          </w:tcPr>
          <w:p w14:paraId="2308E811">
            <w:pPr>
              <w:widowControl/>
              <w:spacing w:line="360" w:lineRule="auto"/>
              <w:jc w:val="left"/>
              <w:rPr>
                <w:rFonts w:ascii="宋体" w:hAnsi="宋体" w:cs="宋体"/>
                <w:kern w:val="0"/>
                <w:sz w:val="24"/>
              </w:rPr>
            </w:pPr>
            <w:r>
              <w:rPr>
                <w:rFonts w:hint="eastAsia" w:ascii="宋体" w:hAnsi="宋体" w:cs="宋体"/>
                <w:kern w:val="0"/>
                <w:sz w:val="24"/>
              </w:rPr>
              <w:t>机房精密空调运维服务</w:t>
            </w:r>
          </w:p>
        </w:tc>
        <w:tc>
          <w:tcPr>
            <w:tcW w:w="814" w:type="pct"/>
            <w:vAlign w:val="center"/>
          </w:tcPr>
          <w:p w14:paraId="27BB9BF5">
            <w:pPr>
              <w:widowControl/>
              <w:spacing w:line="360" w:lineRule="auto"/>
              <w:jc w:val="left"/>
              <w:rPr>
                <w:rFonts w:ascii="宋体" w:hAnsi="宋体" w:cs="宋体"/>
                <w:kern w:val="0"/>
                <w:sz w:val="24"/>
              </w:rPr>
            </w:pPr>
            <w:r>
              <w:rPr>
                <w:rFonts w:hint="eastAsia" w:ascii="宋体" w:hAnsi="宋体" w:cs="宋体"/>
                <w:kern w:val="0"/>
                <w:sz w:val="24"/>
              </w:rPr>
              <w:t>艾默生P1025UA（1台）、维屾空调（2台）</w:t>
            </w:r>
          </w:p>
        </w:tc>
        <w:tc>
          <w:tcPr>
            <w:tcW w:w="1838" w:type="pct"/>
            <w:vAlign w:val="center"/>
          </w:tcPr>
          <w:p w14:paraId="635AE04A">
            <w:pPr>
              <w:widowControl/>
              <w:spacing w:line="360" w:lineRule="auto"/>
              <w:jc w:val="left"/>
              <w:rPr>
                <w:rFonts w:ascii="宋体" w:hAnsi="宋体" w:cs="宋体"/>
                <w:kern w:val="0"/>
                <w:sz w:val="24"/>
              </w:rPr>
            </w:pPr>
            <w:r>
              <w:rPr>
                <w:rFonts w:hint="eastAsia" w:ascii="宋体" w:hAnsi="宋体" w:cs="宋体"/>
                <w:kern w:val="0"/>
                <w:sz w:val="24"/>
              </w:rPr>
              <w:t>进行日常维护、故障处理、设备维修、设备保养、状态监控、及重大活动应急保障等维护工作，一年按照12个月核算，一个月巡检4次，一年共计48次，每次2工时，共计96工时。</w:t>
            </w:r>
          </w:p>
        </w:tc>
        <w:tc>
          <w:tcPr>
            <w:tcW w:w="436" w:type="pct"/>
            <w:vAlign w:val="center"/>
          </w:tcPr>
          <w:p w14:paraId="305B725E">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3F3F40D0">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78A63C08">
            <w:pPr>
              <w:widowControl/>
              <w:spacing w:line="360" w:lineRule="auto"/>
              <w:jc w:val="center"/>
              <w:rPr>
                <w:rFonts w:ascii="宋体" w:hAnsi="宋体" w:cs="宋体"/>
                <w:kern w:val="0"/>
                <w:sz w:val="24"/>
              </w:rPr>
            </w:pPr>
            <w:r>
              <w:rPr>
                <w:rFonts w:hint="eastAsia" w:ascii="宋体" w:hAnsi="宋体" w:cs="宋体"/>
                <w:kern w:val="0"/>
                <w:sz w:val="24"/>
              </w:rPr>
              <w:t>96</w:t>
            </w:r>
          </w:p>
        </w:tc>
      </w:tr>
      <w:tr w14:paraId="0571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94" w:type="pct"/>
            <w:vAlign w:val="center"/>
          </w:tcPr>
          <w:p w14:paraId="4415617D">
            <w:pPr>
              <w:widowControl/>
              <w:spacing w:line="360" w:lineRule="auto"/>
              <w:jc w:val="left"/>
              <w:rPr>
                <w:rFonts w:ascii="宋体" w:hAnsi="宋体" w:cs="宋体"/>
                <w:kern w:val="0"/>
                <w:sz w:val="24"/>
              </w:rPr>
            </w:pPr>
            <w:r>
              <w:rPr>
                <w:rFonts w:hint="eastAsia" w:ascii="宋体" w:hAnsi="宋体" w:cs="宋体"/>
                <w:kern w:val="0"/>
                <w:sz w:val="24"/>
              </w:rPr>
              <w:t>2.9</w:t>
            </w:r>
          </w:p>
        </w:tc>
        <w:tc>
          <w:tcPr>
            <w:tcW w:w="588" w:type="pct"/>
            <w:vAlign w:val="center"/>
          </w:tcPr>
          <w:p w14:paraId="0349C524">
            <w:pPr>
              <w:widowControl/>
              <w:spacing w:line="360" w:lineRule="auto"/>
              <w:jc w:val="left"/>
              <w:rPr>
                <w:rFonts w:ascii="宋体" w:hAnsi="宋体" w:cs="宋体"/>
                <w:kern w:val="0"/>
                <w:sz w:val="24"/>
              </w:rPr>
            </w:pPr>
            <w:r>
              <w:rPr>
                <w:rFonts w:hint="eastAsia" w:ascii="宋体" w:hAnsi="宋体" w:cs="宋体"/>
                <w:kern w:val="0"/>
                <w:sz w:val="24"/>
              </w:rPr>
              <w:t>机房消防气灭及环控运维服务</w:t>
            </w:r>
          </w:p>
        </w:tc>
        <w:tc>
          <w:tcPr>
            <w:tcW w:w="814" w:type="pct"/>
            <w:vAlign w:val="center"/>
          </w:tcPr>
          <w:p w14:paraId="401CA98E">
            <w:pPr>
              <w:widowControl/>
              <w:spacing w:line="360" w:lineRule="auto"/>
              <w:jc w:val="left"/>
              <w:rPr>
                <w:rFonts w:ascii="宋体" w:hAnsi="宋体" w:cs="宋体"/>
                <w:kern w:val="0"/>
                <w:sz w:val="24"/>
              </w:rPr>
            </w:pPr>
            <w:r>
              <w:rPr>
                <w:rFonts w:hint="eastAsia" w:ascii="宋体" w:hAnsi="宋体" w:cs="宋体"/>
                <w:kern w:val="0"/>
                <w:sz w:val="24"/>
              </w:rPr>
              <w:t>机房消防气灭及环控（1套）</w:t>
            </w:r>
          </w:p>
        </w:tc>
        <w:tc>
          <w:tcPr>
            <w:tcW w:w="1838" w:type="pct"/>
            <w:vAlign w:val="center"/>
          </w:tcPr>
          <w:p w14:paraId="26A17E43">
            <w:pPr>
              <w:widowControl/>
              <w:spacing w:line="360" w:lineRule="auto"/>
              <w:jc w:val="left"/>
              <w:rPr>
                <w:rFonts w:ascii="宋体" w:hAnsi="宋体" w:cs="宋体"/>
                <w:kern w:val="0"/>
                <w:sz w:val="24"/>
              </w:rPr>
            </w:pPr>
            <w:r>
              <w:rPr>
                <w:rFonts w:hint="eastAsia" w:ascii="宋体" w:hAnsi="宋体" w:cs="宋体"/>
                <w:kern w:val="0"/>
                <w:sz w:val="24"/>
              </w:rPr>
              <w:t>进行日常维护、故障处理、设备维修、设备保养、状态监控、及重大活动应急保障等维护工作，一年按照12个月核算，一个月巡检1次，一年共计12次，每次2工时，共计24工时。</w:t>
            </w:r>
          </w:p>
        </w:tc>
        <w:tc>
          <w:tcPr>
            <w:tcW w:w="436" w:type="pct"/>
            <w:vAlign w:val="center"/>
          </w:tcPr>
          <w:p w14:paraId="1C759A5F">
            <w:pPr>
              <w:widowControl/>
              <w:spacing w:line="360" w:lineRule="auto"/>
              <w:jc w:val="center"/>
              <w:rPr>
                <w:rFonts w:ascii="宋体" w:hAnsi="宋体" w:cs="宋体"/>
                <w:kern w:val="0"/>
                <w:sz w:val="24"/>
              </w:rPr>
            </w:pPr>
            <w:r>
              <w:rPr>
                <w:rFonts w:hint="eastAsia" w:ascii="宋体" w:hAnsi="宋体" w:cs="宋体"/>
                <w:kern w:val="0"/>
                <w:sz w:val="24"/>
              </w:rPr>
              <w:t>运维服务</w:t>
            </w:r>
          </w:p>
        </w:tc>
        <w:tc>
          <w:tcPr>
            <w:tcW w:w="329" w:type="pct"/>
            <w:vAlign w:val="center"/>
          </w:tcPr>
          <w:p w14:paraId="66AFF3AB">
            <w:pPr>
              <w:widowControl/>
              <w:spacing w:line="360" w:lineRule="auto"/>
              <w:jc w:val="center"/>
              <w:rPr>
                <w:rFonts w:ascii="宋体" w:hAnsi="宋体" w:cs="宋体"/>
                <w:kern w:val="0"/>
                <w:sz w:val="24"/>
              </w:rPr>
            </w:pPr>
            <w:r>
              <w:rPr>
                <w:rFonts w:hint="eastAsia" w:ascii="宋体" w:hAnsi="宋体" w:cs="宋体"/>
                <w:kern w:val="0"/>
                <w:sz w:val="24"/>
              </w:rPr>
              <w:t>工时/年</w:t>
            </w:r>
          </w:p>
        </w:tc>
        <w:tc>
          <w:tcPr>
            <w:tcW w:w="501" w:type="pct"/>
            <w:vAlign w:val="center"/>
          </w:tcPr>
          <w:p w14:paraId="0723DA11">
            <w:pPr>
              <w:widowControl/>
              <w:spacing w:line="360" w:lineRule="auto"/>
              <w:jc w:val="center"/>
              <w:rPr>
                <w:rFonts w:ascii="宋体" w:hAnsi="宋体" w:cs="宋体"/>
                <w:kern w:val="0"/>
                <w:sz w:val="24"/>
              </w:rPr>
            </w:pPr>
            <w:r>
              <w:rPr>
                <w:rFonts w:hint="eastAsia" w:ascii="宋体" w:hAnsi="宋体" w:cs="宋体"/>
                <w:kern w:val="0"/>
                <w:sz w:val="24"/>
              </w:rPr>
              <w:t>24</w:t>
            </w:r>
          </w:p>
        </w:tc>
      </w:tr>
      <w:tr w14:paraId="1AD8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94" w:type="pct"/>
            <w:vMerge w:val="restart"/>
            <w:vAlign w:val="center"/>
          </w:tcPr>
          <w:p w14:paraId="6A0B3D64">
            <w:pPr>
              <w:widowControl/>
              <w:spacing w:line="360" w:lineRule="auto"/>
              <w:jc w:val="center"/>
              <w:rPr>
                <w:rFonts w:ascii="宋体" w:hAnsi="宋体" w:cs="宋体"/>
                <w:kern w:val="0"/>
                <w:sz w:val="24"/>
              </w:rPr>
            </w:pPr>
            <w:r>
              <w:rPr>
                <w:rFonts w:hint="eastAsia" w:ascii="宋体" w:hAnsi="宋体" w:cs="宋体"/>
                <w:kern w:val="0"/>
                <w:sz w:val="24"/>
              </w:rPr>
              <w:t>3</w:t>
            </w:r>
          </w:p>
        </w:tc>
        <w:tc>
          <w:tcPr>
            <w:tcW w:w="588" w:type="pct"/>
            <w:vMerge w:val="restart"/>
            <w:vAlign w:val="center"/>
          </w:tcPr>
          <w:p w14:paraId="4C3F2455">
            <w:pPr>
              <w:widowControl/>
              <w:spacing w:line="360" w:lineRule="auto"/>
              <w:jc w:val="center"/>
              <w:rPr>
                <w:rFonts w:ascii="宋体" w:hAnsi="宋体" w:cs="宋体"/>
                <w:kern w:val="0"/>
                <w:sz w:val="24"/>
              </w:rPr>
            </w:pPr>
            <w:r>
              <w:rPr>
                <w:rFonts w:hint="eastAsia" w:ascii="宋体" w:hAnsi="宋体" w:cs="宋体"/>
                <w:kern w:val="0"/>
                <w:sz w:val="24"/>
              </w:rPr>
              <w:t>消耗配件及易损件</w:t>
            </w:r>
          </w:p>
        </w:tc>
        <w:tc>
          <w:tcPr>
            <w:tcW w:w="814" w:type="pct"/>
            <w:vMerge w:val="restart"/>
            <w:vAlign w:val="center"/>
          </w:tcPr>
          <w:p w14:paraId="2D61A626">
            <w:pPr>
              <w:widowControl/>
              <w:spacing w:line="360" w:lineRule="auto"/>
              <w:jc w:val="center"/>
              <w:rPr>
                <w:rFonts w:ascii="宋体" w:hAnsi="宋体" w:cs="宋体"/>
                <w:kern w:val="0"/>
                <w:sz w:val="24"/>
              </w:rPr>
            </w:pPr>
            <w:r>
              <w:rPr>
                <w:rFonts w:hint="eastAsia" w:ascii="宋体" w:hAnsi="宋体" w:cs="宋体"/>
                <w:kern w:val="0"/>
                <w:sz w:val="24"/>
              </w:rPr>
              <w:t>精密空调消耗配件及易损件的更换，包含维修配件更换费用。柴油发电机的配件更换，柴油充注。提供保证基础环境良好的改善设备。视频设备连接SDI视频线，保证设备正常使用。</w:t>
            </w:r>
          </w:p>
        </w:tc>
        <w:tc>
          <w:tcPr>
            <w:tcW w:w="1838" w:type="pct"/>
            <w:vAlign w:val="center"/>
          </w:tcPr>
          <w:p w14:paraId="162FCE68">
            <w:pPr>
              <w:widowControl/>
              <w:spacing w:line="360" w:lineRule="auto"/>
              <w:jc w:val="left"/>
              <w:rPr>
                <w:rFonts w:ascii="宋体" w:hAnsi="宋体" w:cs="宋体"/>
                <w:kern w:val="0"/>
                <w:sz w:val="24"/>
              </w:rPr>
            </w:pPr>
            <w:r>
              <w:rPr>
                <w:rFonts w:hint="eastAsia" w:ascii="宋体" w:hAnsi="宋体" w:cs="宋体"/>
                <w:kern w:val="0"/>
                <w:sz w:val="24"/>
              </w:rPr>
              <w:t>精密空调消耗型配件：过滤网一个月更换一次，一次更换5块，一年共计更换60块</w:t>
            </w:r>
          </w:p>
        </w:tc>
        <w:tc>
          <w:tcPr>
            <w:tcW w:w="436" w:type="pct"/>
            <w:vAlign w:val="center"/>
          </w:tcPr>
          <w:p w14:paraId="430E3403">
            <w:pPr>
              <w:widowControl/>
              <w:spacing w:line="360" w:lineRule="auto"/>
              <w:jc w:val="center"/>
              <w:rPr>
                <w:rFonts w:ascii="宋体" w:hAnsi="宋体" w:cs="宋体"/>
                <w:kern w:val="0"/>
                <w:sz w:val="24"/>
              </w:rPr>
            </w:pPr>
            <w:r>
              <w:rPr>
                <w:rFonts w:hint="eastAsia" w:ascii="宋体" w:hAnsi="宋体" w:cs="宋体"/>
                <w:kern w:val="0"/>
                <w:sz w:val="24"/>
              </w:rPr>
              <w:t>备品备件</w:t>
            </w:r>
          </w:p>
        </w:tc>
        <w:tc>
          <w:tcPr>
            <w:tcW w:w="329" w:type="pct"/>
            <w:vAlign w:val="center"/>
          </w:tcPr>
          <w:p w14:paraId="12EE34D4">
            <w:pPr>
              <w:widowControl/>
              <w:spacing w:line="360" w:lineRule="auto"/>
              <w:jc w:val="center"/>
              <w:rPr>
                <w:rFonts w:ascii="宋体" w:hAnsi="宋体" w:cs="宋体"/>
                <w:kern w:val="0"/>
                <w:sz w:val="24"/>
              </w:rPr>
            </w:pPr>
            <w:r>
              <w:rPr>
                <w:rFonts w:hint="eastAsia" w:ascii="宋体" w:hAnsi="宋体" w:cs="宋体"/>
                <w:kern w:val="0"/>
                <w:sz w:val="24"/>
              </w:rPr>
              <w:t>块</w:t>
            </w:r>
          </w:p>
        </w:tc>
        <w:tc>
          <w:tcPr>
            <w:tcW w:w="501" w:type="pct"/>
            <w:vAlign w:val="center"/>
          </w:tcPr>
          <w:p w14:paraId="576D6568">
            <w:pPr>
              <w:widowControl/>
              <w:spacing w:line="360" w:lineRule="auto"/>
              <w:jc w:val="center"/>
              <w:rPr>
                <w:rFonts w:ascii="宋体" w:hAnsi="宋体" w:cs="宋体"/>
                <w:kern w:val="0"/>
                <w:sz w:val="24"/>
              </w:rPr>
            </w:pPr>
            <w:r>
              <w:rPr>
                <w:rFonts w:hint="eastAsia" w:ascii="宋体" w:hAnsi="宋体" w:cs="宋体"/>
                <w:kern w:val="0"/>
                <w:sz w:val="24"/>
              </w:rPr>
              <w:t>60</w:t>
            </w:r>
          </w:p>
        </w:tc>
      </w:tr>
      <w:tr w14:paraId="26EB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94" w:type="pct"/>
            <w:vMerge w:val="continue"/>
            <w:vAlign w:val="center"/>
          </w:tcPr>
          <w:p w14:paraId="72B86ACA">
            <w:pPr>
              <w:widowControl/>
              <w:spacing w:line="360" w:lineRule="auto"/>
              <w:jc w:val="left"/>
              <w:rPr>
                <w:rFonts w:ascii="宋体" w:hAnsi="宋体" w:cs="宋体"/>
                <w:kern w:val="0"/>
                <w:sz w:val="24"/>
              </w:rPr>
            </w:pPr>
          </w:p>
        </w:tc>
        <w:tc>
          <w:tcPr>
            <w:tcW w:w="588" w:type="pct"/>
            <w:vMerge w:val="continue"/>
            <w:vAlign w:val="center"/>
          </w:tcPr>
          <w:p w14:paraId="27E5C231">
            <w:pPr>
              <w:widowControl/>
              <w:spacing w:line="360" w:lineRule="auto"/>
              <w:jc w:val="left"/>
              <w:rPr>
                <w:rFonts w:ascii="宋体" w:hAnsi="宋体" w:cs="宋体"/>
                <w:kern w:val="0"/>
                <w:sz w:val="24"/>
              </w:rPr>
            </w:pPr>
          </w:p>
        </w:tc>
        <w:tc>
          <w:tcPr>
            <w:tcW w:w="814" w:type="pct"/>
            <w:vMerge w:val="continue"/>
            <w:vAlign w:val="center"/>
          </w:tcPr>
          <w:p w14:paraId="3457A08D">
            <w:pPr>
              <w:widowControl/>
              <w:spacing w:line="360" w:lineRule="auto"/>
              <w:jc w:val="left"/>
              <w:rPr>
                <w:rFonts w:ascii="宋体" w:hAnsi="宋体" w:cs="宋体"/>
                <w:kern w:val="0"/>
                <w:sz w:val="24"/>
              </w:rPr>
            </w:pPr>
          </w:p>
        </w:tc>
        <w:tc>
          <w:tcPr>
            <w:tcW w:w="1838" w:type="pct"/>
            <w:vAlign w:val="center"/>
          </w:tcPr>
          <w:p w14:paraId="20B71764">
            <w:pPr>
              <w:widowControl/>
              <w:spacing w:line="360" w:lineRule="auto"/>
              <w:jc w:val="left"/>
              <w:rPr>
                <w:rFonts w:ascii="宋体" w:hAnsi="宋体" w:cs="宋体"/>
                <w:kern w:val="0"/>
                <w:sz w:val="24"/>
              </w:rPr>
            </w:pPr>
            <w:r>
              <w:rPr>
                <w:rFonts w:hint="eastAsia" w:ascii="宋体" w:hAnsi="宋体" w:cs="宋体"/>
                <w:kern w:val="0"/>
                <w:sz w:val="24"/>
              </w:rPr>
              <w:t xml:space="preserve">精密空调消耗型配件：加湿灯管，保证加湿功率正常，一季度一更换，一次更换2根，一年更换8个 </w:t>
            </w:r>
          </w:p>
        </w:tc>
        <w:tc>
          <w:tcPr>
            <w:tcW w:w="436" w:type="pct"/>
            <w:vAlign w:val="center"/>
          </w:tcPr>
          <w:p w14:paraId="2B092CD3">
            <w:pPr>
              <w:widowControl/>
              <w:spacing w:line="360" w:lineRule="auto"/>
              <w:jc w:val="center"/>
              <w:rPr>
                <w:rFonts w:ascii="宋体" w:hAnsi="宋体" w:cs="宋体"/>
                <w:kern w:val="0"/>
                <w:sz w:val="24"/>
              </w:rPr>
            </w:pPr>
            <w:r>
              <w:rPr>
                <w:rFonts w:hint="eastAsia" w:ascii="宋体" w:hAnsi="宋体" w:cs="宋体"/>
                <w:kern w:val="0"/>
                <w:sz w:val="24"/>
              </w:rPr>
              <w:t>备品备件</w:t>
            </w:r>
          </w:p>
        </w:tc>
        <w:tc>
          <w:tcPr>
            <w:tcW w:w="329" w:type="pct"/>
            <w:vAlign w:val="center"/>
          </w:tcPr>
          <w:p w14:paraId="1A0957CC">
            <w:pPr>
              <w:widowControl/>
              <w:spacing w:line="360" w:lineRule="auto"/>
              <w:jc w:val="center"/>
              <w:rPr>
                <w:rFonts w:ascii="宋体" w:hAnsi="宋体" w:cs="宋体"/>
                <w:kern w:val="0"/>
                <w:sz w:val="24"/>
              </w:rPr>
            </w:pPr>
            <w:r>
              <w:rPr>
                <w:rFonts w:hint="eastAsia" w:ascii="宋体" w:hAnsi="宋体" w:cs="宋体"/>
                <w:kern w:val="0"/>
                <w:sz w:val="24"/>
              </w:rPr>
              <w:t>个</w:t>
            </w:r>
          </w:p>
        </w:tc>
        <w:tc>
          <w:tcPr>
            <w:tcW w:w="501" w:type="pct"/>
            <w:vAlign w:val="center"/>
          </w:tcPr>
          <w:p w14:paraId="7379E8F9">
            <w:pPr>
              <w:widowControl/>
              <w:spacing w:line="360" w:lineRule="auto"/>
              <w:jc w:val="center"/>
              <w:rPr>
                <w:rFonts w:ascii="宋体" w:hAnsi="宋体" w:cs="宋体"/>
                <w:kern w:val="0"/>
                <w:sz w:val="24"/>
              </w:rPr>
            </w:pPr>
            <w:r>
              <w:rPr>
                <w:rFonts w:hint="eastAsia" w:ascii="宋体" w:hAnsi="宋体" w:cs="宋体"/>
                <w:kern w:val="0"/>
                <w:sz w:val="24"/>
              </w:rPr>
              <w:t>8</w:t>
            </w:r>
          </w:p>
        </w:tc>
      </w:tr>
      <w:tr w14:paraId="3134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494" w:type="pct"/>
            <w:vMerge w:val="continue"/>
            <w:vAlign w:val="center"/>
          </w:tcPr>
          <w:p w14:paraId="380CF48D">
            <w:pPr>
              <w:widowControl/>
              <w:spacing w:line="360" w:lineRule="auto"/>
              <w:jc w:val="left"/>
              <w:rPr>
                <w:rFonts w:ascii="宋体" w:hAnsi="宋体" w:cs="宋体"/>
                <w:kern w:val="0"/>
                <w:sz w:val="24"/>
              </w:rPr>
            </w:pPr>
          </w:p>
        </w:tc>
        <w:tc>
          <w:tcPr>
            <w:tcW w:w="588" w:type="pct"/>
            <w:vMerge w:val="continue"/>
            <w:vAlign w:val="center"/>
          </w:tcPr>
          <w:p w14:paraId="640EA4FB">
            <w:pPr>
              <w:widowControl/>
              <w:spacing w:line="360" w:lineRule="auto"/>
              <w:jc w:val="left"/>
              <w:rPr>
                <w:rFonts w:ascii="宋体" w:hAnsi="宋体" w:cs="宋体"/>
                <w:kern w:val="0"/>
                <w:sz w:val="24"/>
              </w:rPr>
            </w:pPr>
          </w:p>
        </w:tc>
        <w:tc>
          <w:tcPr>
            <w:tcW w:w="814" w:type="pct"/>
            <w:vMerge w:val="continue"/>
            <w:vAlign w:val="center"/>
          </w:tcPr>
          <w:p w14:paraId="20DC1045">
            <w:pPr>
              <w:widowControl/>
              <w:spacing w:line="360" w:lineRule="auto"/>
              <w:jc w:val="left"/>
              <w:rPr>
                <w:rFonts w:ascii="宋体" w:hAnsi="宋体" w:cs="宋体"/>
                <w:kern w:val="0"/>
                <w:sz w:val="24"/>
              </w:rPr>
            </w:pPr>
          </w:p>
        </w:tc>
        <w:tc>
          <w:tcPr>
            <w:tcW w:w="1838" w:type="pct"/>
            <w:vAlign w:val="center"/>
          </w:tcPr>
          <w:p w14:paraId="3568EDCD">
            <w:pPr>
              <w:widowControl/>
              <w:spacing w:line="360" w:lineRule="auto"/>
              <w:jc w:val="left"/>
              <w:rPr>
                <w:rFonts w:ascii="宋体" w:hAnsi="宋体" w:cs="宋体"/>
                <w:kern w:val="0"/>
                <w:sz w:val="24"/>
              </w:rPr>
            </w:pPr>
            <w:r>
              <w:rPr>
                <w:rFonts w:hint="eastAsia" w:ascii="宋体" w:hAnsi="宋体" w:cs="宋体"/>
                <w:kern w:val="0"/>
                <w:sz w:val="24"/>
              </w:rPr>
              <w:t>精密空调消耗型配件：加湿罐，半年一换，每次换2个，一年更换4个</w:t>
            </w:r>
          </w:p>
        </w:tc>
        <w:tc>
          <w:tcPr>
            <w:tcW w:w="436" w:type="pct"/>
            <w:vAlign w:val="center"/>
          </w:tcPr>
          <w:p w14:paraId="157796EF">
            <w:pPr>
              <w:widowControl/>
              <w:spacing w:line="360" w:lineRule="auto"/>
              <w:jc w:val="center"/>
              <w:rPr>
                <w:rFonts w:ascii="宋体" w:hAnsi="宋体" w:cs="宋体"/>
                <w:kern w:val="0"/>
                <w:sz w:val="24"/>
              </w:rPr>
            </w:pPr>
            <w:r>
              <w:rPr>
                <w:rFonts w:hint="eastAsia" w:ascii="宋体" w:hAnsi="宋体" w:cs="宋体"/>
                <w:kern w:val="0"/>
                <w:sz w:val="24"/>
              </w:rPr>
              <w:t>备品备件</w:t>
            </w:r>
          </w:p>
        </w:tc>
        <w:tc>
          <w:tcPr>
            <w:tcW w:w="329" w:type="pct"/>
            <w:vAlign w:val="center"/>
          </w:tcPr>
          <w:p w14:paraId="27E610EA">
            <w:pPr>
              <w:widowControl/>
              <w:spacing w:line="360" w:lineRule="auto"/>
              <w:jc w:val="center"/>
              <w:rPr>
                <w:rFonts w:ascii="宋体" w:hAnsi="宋体" w:cs="宋体"/>
                <w:kern w:val="0"/>
                <w:sz w:val="24"/>
              </w:rPr>
            </w:pPr>
            <w:r>
              <w:rPr>
                <w:rFonts w:hint="eastAsia" w:ascii="宋体" w:hAnsi="宋体" w:cs="宋体"/>
                <w:kern w:val="0"/>
                <w:sz w:val="24"/>
              </w:rPr>
              <w:t>个</w:t>
            </w:r>
          </w:p>
        </w:tc>
        <w:tc>
          <w:tcPr>
            <w:tcW w:w="501" w:type="pct"/>
            <w:vAlign w:val="center"/>
          </w:tcPr>
          <w:p w14:paraId="40239C6D">
            <w:pPr>
              <w:widowControl/>
              <w:spacing w:line="360" w:lineRule="auto"/>
              <w:jc w:val="center"/>
              <w:rPr>
                <w:rFonts w:ascii="宋体" w:hAnsi="宋体" w:cs="宋体"/>
                <w:kern w:val="0"/>
                <w:sz w:val="24"/>
              </w:rPr>
            </w:pPr>
            <w:r>
              <w:rPr>
                <w:rFonts w:hint="eastAsia" w:ascii="宋体" w:hAnsi="宋体" w:cs="宋体"/>
                <w:kern w:val="0"/>
                <w:sz w:val="24"/>
              </w:rPr>
              <w:t>4</w:t>
            </w:r>
          </w:p>
        </w:tc>
      </w:tr>
      <w:tr w14:paraId="5CEB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94" w:type="pct"/>
            <w:vMerge w:val="continue"/>
            <w:vAlign w:val="center"/>
          </w:tcPr>
          <w:p w14:paraId="540F86A5">
            <w:pPr>
              <w:widowControl/>
              <w:spacing w:line="360" w:lineRule="auto"/>
              <w:jc w:val="left"/>
              <w:rPr>
                <w:rFonts w:ascii="宋体" w:hAnsi="宋体" w:cs="宋体"/>
                <w:kern w:val="0"/>
                <w:sz w:val="24"/>
              </w:rPr>
            </w:pPr>
          </w:p>
        </w:tc>
        <w:tc>
          <w:tcPr>
            <w:tcW w:w="588" w:type="pct"/>
            <w:vMerge w:val="continue"/>
            <w:vAlign w:val="center"/>
          </w:tcPr>
          <w:p w14:paraId="72AD3783">
            <w:pPr>
              <w:widowControl/>
              <w:spacing w:line="360" w:lineRule="auto"/>
              <w:jc w:val="left"/>
              <w:rPr>
                <w:rFonts w:ascii="宋体" w:hAnsi="宋体" w:cs="宋体"/>
                <w:kern w:val="0"/>
                <w:sz w:val="24"/>
              </w:rPr>
            </w:pPr>
          </w:p>
        </w:tc>
        <w:tc>
          <w:tcPr>
            <w:tcW w:w="814" w:type="pct"/>
            <w:vMerge w:val="continue"/>
            <w:vAlign w:val="center"/>
          </w:tcPr>
          <w:p w14:paraId="7A37990B">
            <w:pPr>
              <w:widowControl/>
              <w:spacing w:line="360" w:lineRule="auto"/>
              <w:jc w:val="left"/>
              <w:rPr>
                <w:rFonts w:ascii="宋体" w:hAnsi="宋体" w:cs="宋体"/>
                <w:kern w:val="0"/>
                <w:sz w:val="24"/>
              </w:rPr>
            </w:pPr>
          </w:p>
        </w:tc>
        <w:tc>
          <w:tcPr>
            <w:tcW w:w="1838" w:type="pct"/>
            <w:vAlign w:val="center"/>
          </w:tcPr>
          <w:p w14:paraId="41F72FF6">
            <w:pPr>
              <w:widowControl/>
              <w:spacing w:line="360" w:lineRule="auto"/>
              <w:jc w:val="left"/>
              <w:rPr>
                <w:rFonts w:ascii="宋体" w:hAnsi="宋体" w:cs="宋体"/>
                <w:kern w:val="0"/>
                <w:sz w:val="24"/>
              </w:rPr>
            </w:pPr>
            <w:r>
              <w:rPr>
                <w:rFonts w:hint="eastAsia" w:ascii="宋体" w:hAnsi="宋体" w:cs="宋体"/>
                <w:kern w:val="0"/>
                <w:sz w:val="24"/>
              </w:rPr>
              <w:t>精密空调消耗型配件：排水泵，一年更换1个，单价2740元，合计2740元。</w:t>
            </w:r>
          </w:p>
        </w:tc>
        <w:tc>
          <w:tcPr>
            <w:tcW w:w="436" w:type="pct"/>
            <w:vAlign w:val="center"/>
          </w:tcPr>
          <w:p w14:paraId="42F7B8AC">
            <w:pPr>
              <w:widowControl/>
              <w:spacing w:line="360" w:lineRule="auto"/>
              <w:jc w:val="center"/>
              <w:rPr>
                <w:rFonts w:ascii="宋体" w:hAnsi="宋体" w:cs="宋体"/>
                <w:kern w:val="0"/>
                <w:sz w:val="24"/>
              </w:rPr>
            </w:pPr>
            <w:r>
              <w:rPr>
                <w:rFonts w:hint="eastAsia" w:ascii="宋体" w:hAnsi="宋体" w:cs="宋体"/>
                <w:kern w:val="0"/>
                <w:sz w:val="24"/>
              </w:rPr>
              <w:t>备品备件</w:t>
            </w:r>
          </w:p>
        </w:tc>
        <w:tc>
          <w:tcPr>
            <w:tcW w:w="329" w:type="pct"/>
            <w:vAlign w:val="center"/>
          </w:tcPr>
          <w:p w14:paraId="34748330">
            <w:pPr>
              <w:widowControl/>
              <w:spacing w:line="360" w:lineRule="auto"/>
              <w:jc w:val="center"/>
              <w:rPr>
                <w:rFonts w:ascii="宋体" w:hAnsi="宋体" w:cs="宋体"/>
                <w:kern w:val="0"/>
                <w:sz w:val="24"/>
              </w:rPr>
            </w:pPr>
            <w:r>
              <w:rPr>
                <w:rFonts w:hint="eastAsia" w:ascii="宋体" w:hAnsi="宋体" w:cs="宋体"/>
                <w:kern w:val="0"/>
                <w:sz w:val="24"/>
              </w:rPr>
              <w:t>个</w:t>
            </w:r>
          </w:p>
        </w:tc>
        <w:tc>
          <w:tcPr>
            <w:tcW w:w="501" w:type="pct"/>
            <w:vAlign w:val="center"/>
          </w:tcPr>
          <w:p w14:paraId="74D9A712">
            <w:pPr>
              <w:widowControl/>
              <w:spacing w:line="360" w:lineRule="auto"/>
              <w:jc w:val="center"/>
              <w:rPr>
                <w:rFonts w:ascii="宋体" w:hAnsi="宋体" w:cs="宋体"/>
                <w:kern w:val="0"/>
                <w:sz w:val="24"/>
              </w:rPr>
            </w:pPr>
            <w:r>
              <w:rPr>
                <w:rFonts w:hint="eastAsia" w:ascii="宋体" w:hAnsi="宋体" w:cs="宋体"/>
                <w:kern w:val="0"/>
                <w:sz w:val="24"/>
              </w:rPr>
              <w:t>1</w:t>
            </w:r>
          </w:p>
        </w:tc>
      </w:tr>
      <w:tr w14:paraId="7F1C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94" w:type="pct"/>
            <w:vMerge w:val="continue"/>
            <w:vAlign w:val="center"/>
          </w:tcPr>
          <w:p w14:paraId="4916DAC6">
            <w:pPr>
              <w:widowControl/>
              <w:spacing w:line="360" w:lineRule="auto"/>
              <w:jc w:val="left"/>
              <w:rPr>
                <w:rFonts w:ascii="宋体" w:hAnsi="宋体" w:cs="宋体"/>
                <w:kern w:val="0"/>
                <w:sz w:val="24"/>
              </w:rPr>
            </w:pPr>
          </w:p>
        </w:tc>
        <w:tc>
          <w:tcPr>
            <w:tcW w:w="588" w:type="pct"/>
            <w:vMerge w:val="continue"/>
            <w:vAlign w:val="center"/>
          </w:tcPr>
          <w:p w14:paraId="0CD3ABB5">
            <w:pPr>
              <w:widowControl/>
              <w:spacing w:line="360" w:lineRule="auto"/>
              <w:jc w:val="left"/>
              <w:rPr>
                <w:rFonts w:ascii="宋体" w:hAnsi="宋体" w:cs="宋体"/>
                <w:kern w:val="0"/>
                <w:sz w:val="24"/>
              </w:rPr>
            </w:pPr>
          </w:p>
        </w:tc>
        <w:tc>
          <w:tcPr>
            <w:tcW w:w="814" w:type="pct"/>
            <w:vMerge w:val="continue"/>
            <w:vAlign w:val="center"/>
          </w:tcPr>
          <w:p w14:paraId="2F6F0710">
            <w:pPr>
              <w:widowControl/>
              <w:spacing w:line="360" w:lineRule="auto"/>
              <w:jc w:val="left"/>
              <w:rPr>
                <w:rFonts w:ascii="宋体" w:hAnsi="宋体" w:cs="宋体"/>
                <w:kern w:val="0"/>
                <w:sz w:val="24"/>
              </w:rPr>
            </w:pPr>
          </w:p>
        </w:tc>
        <w:tc>
          <w:tcPr>
            <w:tcW w:w="1838" w:type="pct"/>
            <w:vAlign w:val="center"/>
          </w:tcPr>
          <w:p w14:paraId="516EAF27">
            <w:pPr>
              <w:widowControl/>
              <w:spacing w:line="360" w:lineRule="auto"/>
              <w:jc w:val="left"/>
              <w:rPr>
                <w:rFonts w:ascii="宋体" w:hAnsi="宋体" w:cs="宋体"/>
                <w:kern w:val="0"/>
                <w:sz w:val="24"/>
              </w:rPr>
            </w:pPr>
            <w:r>
              <w:rPr>
                <w:rFonts w:hint="eastAsia" w:ascii="宋体" w:hAnsi="宋体" w:cs="宋体"/>
                <w:kern w:val="0"/>
                <w:sz w:val="24"/>
              </w:rPr>
              <w:t>精密空调辅助设备维护：精密空调加湿器中央水处理设备，过滤耗材，滤芯、滤料。3个月更换1次，一年共计4次</w:t>
            </w:r>
          </w:p>
        </w:tc>
        <w:tc>
          <w:tcPr>
            <w:tcW w:w="436" w:type="pct"/>
            <w:vAlign w:val="center"/>
          </w:tcPr>
          <w:p w14:paraId="1E4249CE">
            <w:pPr>
              <w:widowControl/>
              <w:spacing w:line="360" w:lineRule="auto"/>
              <w:jc w:val="center"/>
              <w:rPr>
                <w:rFonts w:ascii="宋体" w:hAnsi="宋体" w:cs="宋体"/>
                <w:kern w:val="0"/>
                <w:sz w:val="24"/>
              </w:rPr>
            </w:pPr>
            <w:r>
              <w:rPr>
                <w:rFonts w:hint="eastAsia" w:ascii="宋体" w:hAnsi="宋体" w:cs="宋体"/>
                <w:kern w:val="0"/>
                <w:sz w:val="24"/>
              </w:rPr>
              <w:t>备品备件</w:t>
            </w:r>
          </w:p>
        </w:tc>
        <w:tc>
          <w:tcPr>
            <w:tcW w:w="329" w:type="pct"/>
            <w:vAlign w:val="center"/>
          </w:tcPr>
          <w:p w14:paraId="7016271E">
            <w:pPr>
              <w:widowControl/>
              <w:spacing w:line="360" w:lineRule="auto"/>
              <w:jc w:val="center"/>
              <w:rPr>
                <w:rFonts w:ascii="宋体" w:hAnsi="宋体" w:cs="宋体"/>
                <w:kern w:val="0"/>
                <w:sz w:val="24"/>
              </w:rPr>
            </w:pPr>
            <w:r>
              <w:rPr>
                <w:rFonts w:hint="eastAsia" w:ascii="宋体" w:hAnsi="宋体" w:cs="宋体"/>
                <w:kern w:val="0"/>
                <w:sz w:val="24"/>
              </w:rPr>
              <w:t>次</w:t>
            </w:r>
          </w:p>
        </w:tc>
        <w:tc>
          <w:tcPr>
            <w:tcW w:w="501" w:type="pct"/>
            <w:vAlign w:val="center"/>
          </w:tcPr>
          <w:p w14:paraId="1CE7AE73">
            <w:pPr>
              <w:widowControl/>
              <w:spacing w:line="360" w:lineRule="auto"/>
              <w:jc w:val="center"/>
              <w:rPr>
                <w:rFonts w:ascii="宋体" w:hAnsi="宋体" w:cs="宋体"/>
                <w:kern w:val="0"/>
                <w:sz w:val="24"/>
              </w:rPr>
            </w:pPr>
            <w:r>
              <w:rPr>
                <w:rFonts w:hint="eastAsia" w:ascii="宋体" w:hAnsi="宋体" w:cs="宋体"/>
                <w:kern w:val="0"/>
                <w:sz w:val="24"/>
              </w:rPr>
              <w:t>4</w:t>
            </w:r>
          </w:p>
        </w:tc>
      </w:tr>
      <w:tr w14:paraId="0C0A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94" w:type="pct"/>
            <w:vMerge w:val="continue"/>
            <w:vAlign w:val="center"/>
          </w:tcPr>
          <w:p w14:paraId="77AB2AD0">
            <w:pPr>
              <w:widowControl/>
              <w:spacing w:line="360" w:lineRule="auto"/>
              <w:jc w:val="left"/>
              <w:rPr>
                <w:rFonts w:ascii="宋体" w:hAnsi="宋体" w:cs="宋体"/>
                <w:kern w:val="0"/>
                <w:sz w:val="24"/>
              </w:rPr>
            </w:pPr>
          </w:p>
        </w:tc>
        <w:tc>
          <w:tcPr>
            <w:tcW w:w="588" w:type="pct"/>
            <w:vMerge w:val="continue"/>
            <w:vAlign w:val="center"/>
          </w:tcPr>
          <w:p w14:paraId="7C9673C1">
            <w:pPr>
              <w:widowControl/>
              <w:spacing w:line="360" w:lineRule="auto"/>
              <w:jc w:val="left"/>
              <w:rPr>
                <w:rFonts w:ascii="宋体" w:hAnsi="宋体" w:cs="宋体"/>
                <w:kern w:val="0"/>
                <w:sz w:val="24"/>
              </w:rPr>
            </w:pPr>
          </w:p>
        </w:tc>
        <w:tc>
          <w:tcPr>
            <w:tcW w:w="814" w:type="pct"/>
            <w:vMerge w:val="continue"/>
            <w:vAlign w:val="center"/>
          </w:tcPr>
          <w:p w14:paraId="32E3BF9B">
            <w:pPr>
              <w:widowControl/>
              <w:spacing w:line="360" w:lineRule="auto"/>
              <w:jc w:val="left"/>
              <w:rPr>
                <w:rFonts w:ascii="宋体" w:hAnsi="宋体" w:cs="宋体"/>
                <w:kern w:val="0"/>
                <w:sz w:val="24"/>
              </w:rPr>
            </w:pPr>
          </w:p>
        </w:tc>
        <w:tc>
          <w:tcPr>
            <w:tcW w:w="1838" w:type="pct"/>
            <w:vAlign w:val="center"/>
          </w:tcPr>
          <w:p w14:paraId="663A66F6">
            <w:pPr>
              <w:widowControl/>
              <w:spacing w:line="360" w:lineRule="auto"/>
              <w:jc w:val="left"/>
              <w:rPr>
                <w:rFonts w:ascii="宋体" w:hAnsi="宋体" w:cs="宋体"/>
                <w:kern w:val="0"/>
                <w:sz w:val="24"/>
              </w:rPr>
            </w:pPr>
            <w:r>
              <w:rPr>
                <w:rFonts w:hint="eastAsia" w:ascii="宋体" w:hAnsi="宋体" w:cs="宋体"/>
                <w:kern w:val="0"/>
                <w:sz w:val="24"/>
              </w:rPr>
              <w:t>柴油发电机燃料：日常巡检开机调试使用，变电站维护停电使用，电路检修停电使用，平时停电应急供电使用。</w:t>
            </w:r>
          </w:p>
        </w:tc>
        <w:tc>
          <w:tcPr>
            <w:tcW w:w="436" w:type="pct"/>
            <w:vAlign w:val="center"/>
          </w:tcPr>
          <w:p w14:paraId="698CDA69">
            <w:pPr>
              <w:widowControl/>
              <w:spacing w:line="360" w:lineRule="auto"/>
              <w:jc w:val="center"/>
              <w:rPr>
                <w:rFonts w:ascii="宋体" w:hAnsi="宋体" w:cs="宋体"/>
                <w:kern w:val="0"/>
                <w:sz w:val="24"/>
              </w:rPr>
            </w:pPr>
            <w:r>
              <w:rPr>
                <w:rFonts w:hint="eastAsia" w:ascii="宋体" w:hAnsi="宋体" w:cs="宋体"/>
                <w:kern w:val="0"/>
                <w:sz w:val="24"/>
              </w:rPr>
              <w:t>备品备件</w:t>
            </w:r>
          </w:p>
        </w:tc>
        <w:tc>
          <w:tcPr>
            <w:tcW w:w="329" w:type="pct"/>
            <w:vAlign w:val="center"/>
          </w:tcPr>
          <w:p w14:paraId="5BA3CF53">
            <w:pPr>
              <w:widowControl/>
              <w:spacing w:line="360" w:lineRule="auto"/>
              <w:jc w:val="center"/>
              <w:rPr>
                <w:rFonts w:ascii="宋体" w:hAnsi="宋体" w:cs="宋体"/>
                <w:kern w:val="0"/>
                <w:sz w:val="24"/>
              </w:rPr>
            </w:pPr>
            <w:r>
              <w:rPr>
                <w:rFonts w:hint="eastAsia" w:ascii="宋体" w:hAnsi="宋体" w:cs="宋体"/>
                <w:kern w:val="0"/>
                <w:sz w:val="24"/>
              </w:rPr>
              <w:t>升</w:t>
            </w:r>
          </w:p>
        </w:tc>
        <w:tc>
          <w:tcPr>
            <w:tcW w:w="501" w:type="pct"/>
            <w:vAlign w:val="center"/>
          </w:tcPr>
          <w:p w14:paraId="3655938C">
            <w:pPr>
              <w:widowControl/>
              <w:spacing w:line="360" w:lineRule="auto"/>
              <w:jc w:val="center"/>
              <w:rPr>
                <w:rFonts w:ascii="宋体" w:hAnsi="宋体" w:cs="宋体"/>
                <w:kern w:val="0"/>
                <w:sz w:val="24"/>
              </w:rPr>
            </w:pPr>
            <w:r>
              <w:rPr>
                <w:rFonts w:hint="eastAsia" w:ascii="宋体" w:hAnsi="宋体" w:cs="宋体"/>
                <w:kern w:val="0"/>
                <w:sz w:val="24"/>
              </w:rPr>
              <w:t>490</w:t>
            </w:r>
          </w:p>
        </w:tc>
      </w:tr>
    </w:tbl>
    <w:p w14:paraId="7C87B764">
      <w:pPr>
        <w:spacing w:line="360" w:lineRule="auto"/>
        <w:ind w:firstLine="480" w:firstLineChars="200"/>
        <w:rPr>
          <w:rFonts w:ascii="宋体" w:hAnsi="宋体" w:cs="宋体"/>
          <w:sz w:val="24"/>
        </w:rPr>
      </w:pPr>
    </w:p>
    <w:p w14:paraId="1B46C636">
      <w:pPr>
        <w:spacing w:line="360" w:lineRule="auto"/>
        <w:contextualSpacing/>
        <w:rPr>
          <w:rFonts w:ascii="宋体" w:hAnsi="宋体" w:cs="宋体"/>
          <w:sz w:val="24"/>
        </w:rPr>
      </w:pPr>
      <w:r>
        <w:rPr>
          <w:rFonts w:hint="eastAsia" w:ascii="宋体" w:hAnsi="宋体" w:cs="宋体"/>
          <w:sz w:val="24"/>
        </w:rPr>
        <w:t>2.2 需满足的服务标准、期限、效率等要求</w:t>
      </w:r>
    </w:p>
    <w:p w14:paraId="052EBEF1">
      <w:pPr>
        <w:widowControl/>
        <w:spacing w:line="360" w:lineRule="auto"/>
        <w:ind w:firstLine="480" w:firstLineChars="200"/>
        <w:contextualSpacing/>
        <w:rPr>
          <w:rFonts w:ascii="宋体" w:hAnsi="宋体" w:cs="宋体"/>
          <w:sz w:val="24"/>
        </w:rPr>
      </w:pPr>
      <w:r>
        <w:rPr>
          <w:rFonts w:hint="eastAsia" w:ascii="宋体" w:hAnsi="宋体" w:cs="宋体"/>
          <w:sz w:val="24"/>
        </w:rPr>
        <w:t>2.2.1.服务要求</w:t>
      </w:r>
    </w:p>
    <w:p w14:paraId="6D5FD54D">
      <w:pPr>
        <w:widowControl/>
        <w:spacing w:line="360" w:lineRule="auto"/>
        <w:ind w:firstLine="480" w:firstLineChars="200"/>
        <w:contextualSpacing/>
        <w:rPr>
          <w:rFonts w:ascii="宋体" w:hAnsi="宋体" w:cs="宋体"/>
          <w:sz w:val="24"/>
        </w:rPr>
      </w:pPr>
      <w:r>
        <w:rPr>
          <w:rFonts w:hint="eastAsia" w:ascii="宋体" w:hAnsi="宋体" w:cs="宋体"/>
          <w:sz w:val="24"/>
        </w:rPr>
        <w:t xml:space="preserve">本次运维服务采取以项目方式建设专门的运维服务团队，以一年质保、驻场服务、被叫响应服务及日常巡检服务相结合的方式对数据中心机房进行全方位运行维护保障。 </w:t>
      </w:r>
    </w:p>
    <w:p w14:paraId="1086DC31">
      <w:pPr>
        <w:widowControl/>
        <w:spacing w:line="360" w:lineRule="auto"/>
        <w:ind w:firstLine="480" w:firstLineChars="200"/>
        <w:contextualSpacing/>
        <w:rPr>
          <w:rFonts w:ascii="宋体" w:hAnsi="宋体" w:cs="宋体"/>
          <w:sz w:val="24"/>
        </w:rPr>
      </w:pPr>
      <w:r>
        <w:rPr>
          <w:rFonts w:hint="eastAsia" w:ascii="宋体" w:hAnsi="宋体" w:cs="宋体"/>
          <w:sz w:val="24"/>
        </w:rPr>
        <w:t>运维服务公司应在一年服务期内对发生故障的设备进行维修，并承担为维修设备故障而产生的维修费。</w:t>
      </w:r>
    </w:p>
    <w:p w14:paraId="20BA08F6">
      <w:pPr>
        <w:widowControl/>
        <w:spacing w:line="360" w:lineRule="auto"/>
        <w:ind w:firstLine="480" w:firstLineChars="200"/>
        <w:contextualSpacing/>
        <w:rPr>
          <w:rFonts w:ascii="宋体" w:hAnsi="宋体" w:cs="宋体"/>
          <w:sz w:val="24"/>
        </w:rPr>
      </w:pPr>
      <w:r>
        <w:rPr>
          <w:rFonts w:hint="eastAsia" w:ascii="宋体" w:hAnsi="宋体" w:cs="宋体"/>
          <w:sz w:val="24"/>
        </w:rPr>
        <w:t>2.2.2.人员资质要求</w:t>
      </w:r>
    </w:p>
    <w:p w14:paraId="1BF691F2">
      <w:pPr>
        <w:widowControl/>
        <w:spacing w:line="360" w:lineRule="auto"/>
        <w:ind w:firstLine="480" w:firstLineChars="200"/>
        <w:contextualSpacing/>
        <w:rPr>
          <w:rFonts w:ascii="宋体" w:hAnsi="宋体" w:cs="宋体"/>
          <w:sz w:val="24"/>
        </w:rPr>
      </w:pPr>
      <w:r>
        <w:rPr>
          <w:rFonts w:hint="eastAsia" w:ascii="宋体" w:hAnsi="宋体" w:cs="宋体"/>
          <w:sz w:val="24"/>
        </w:rPr>
        <w:t>运维单位需保证≥1名工程师提供7×24小时驻场服务负责网络数据中心环境运维，≥1名驻场工程师提供5×8小时驻场服务负责视频会议直播运维。</w:t>
      </w:r>
    </w:p>
    <w:p w14:paraId="5D49BCD1">
      <w:pPr>
        <w:widowControl/>
        <w:spacing w:line="360" w:lineRule="auto"/>
        <w:ind w:firstLine="480" w:firstLineChars="200"/>
        <w:contextualSpacing/>
        <w:rPr>
          <w:rFonts w:ascii="宋体" w:hAnsi="宋体" w:cs="宋体"/>
          <w:sz w:val="24"/>
        </w:rPr>
      </w:pPr>
      <w:r>
        <w:rPr>
          <w:rFonts w:hint="eastAsia" w:ascii="宋体" w:hAnsi="宋体" w:cs="宋体"/>
          <w:sz w:val="24"/>
        </w:rPr>
        <w:t>办公地点：</w:t>
      </w:r>
      <w:r>
        <w:rPr>
          <w:rFonts w:ascii="宋体" w:hAnsi="宋体" w:cs="宋体"/>
          <w:iCs/>
          <w:sz w:val="24"/>
          <w:lang w:bidi="ar"/>
        </w:rPr>
        <w:t>采购人指定地点</w:t>
      </w:r>
      <w:r>
        <w:rPr>
          <w:rFonts w:hint="eastAsia" w:ascii="宋体" w:hAnsi="宋体" w:cs="宋体"/>
          <w:sz w:val="24"/>
        </w:rPr>
        <w:t>。</w:t>
      </w:r>
    </w:p>
    <w:p w14:paraId="70DD77D6">
      <w:pPr>
        <w:widowControl/>
        <w:spacing w:line="360" w:lineRule="auto"/>
        <w:ind w:firstLine="480" w:firstLineChars="200"/>
        <w:contextualSpacing/>
        <w:rPr>
          <w:rFonts w:ascii="宋体" w:hAnsi="宋体" w:cs="宋体"/>
          <w:sz w:val="24"/>
        </w:rPr>
      </w:pPr>
      <w:r>
        <w:rPr>
          <w:rFonts w:hint="eastAsia" w:ascii="宋体" w:hAnsi="宋体" w:cs="宋体"/>
          <w:sz w:val="24"/>
        </w:rPr>
        <w:t>驻场服务人员的要求为：</w:t>
      </w:r>
    </w:p>
    <w:p w14:paraId="7B4B4BBE">
      <w:pPr>
        <w:widowControl/>
        <w:spacing w:line="360" w:lineRule="auto"/>
        <w:ind w:firstLine="480" w:firstLineChars="200"/>
        <w:contextualSpacing/>
        <w:rPr>
          <w:rFonts w:ascii="宋体" w:hAnsi="宋体" w:cs="宋体"/>
          <w:sz w:val="24"/>
        </w:rPr>
      </w:pPr>
      <w:r>
        <w:rPr>
          <w:rFonts w:hint="eastAsia" w:ascii="宋体" w:hAnsi="宋体" w:cs="宋体"/>
          <w:sz w:val="24"/>
        </w:rPr>
        <w:t>驻场工程师：高级工程师，有信息化服务建设管理经验，熟悉服务器系统部署、管理及维护，熟悉虚拟化软件，熟悉各厂商服务器存储。熟悉各种网络设备、布线规范和施工规范，掌握局域网和广域网的设计与实施。具有丰富的机房环境、服务器、存储设备、虚拟化平台、堡垒机、无线控制器、无线管理平台、交换机、视频会议等设备的运维管理能力。</w:t>
      </w:r>
    </w:p>
    <w:p w14:paraId="12A5B3BC">
      <w:pPr>
        <w:widowControl/>
        <w:spacing w:line="360" w:lineRule="auto"/>
        <w:ind w:firstLine="480" w:firstLineChars="200"/>
        <w:contextualSpacing/>
        <w:rPr>
          <w:rFonts w:ascii="宋体" w:hAnsi="宋体" w:cs="宋体"/>
          <w:sz w:val="24"/>
        </w:rPr>
      </w:pPr>
      <w:r>
        <w:rPr>
          <w:rFonts w:hint="eastAsia" w:ascii="宋体" w:hAnsi="宋体" w:cs="宋体"/>
          <w:sz w:val="24"/>
        </w:rPr>
        <w:t>2.2.3.服务响应要求</w:t>
      </w:r>
    </w:p>
    <w:p w14:paraId="79ECE293">
      <w:pPr>
        <w:widowControl/>
        <w:spacing w:line="360" w:lineRule="auto"/>
        <w:ind w:firstLine="480" w:firstLineChars="200"/>
        <w:contextualSpacing/>
        <w:rPr>
          <w:rFonts w:ascii="宋体" w:hAnsi="宋体" w:cs="宋体"/>
          <w:sz w:val="24"/>
        </w:rPr>
      </w:pPr>
      <w:r>
        <w:rPr>
          <w:rFonts w:hint="eastAsia" w:ascii="宋体" w:hAnsi="宋体" w:cs="宋体"/>
          <w:sz w:val="24"/>
        </w:rPr>
        <w:t>1）接收服务请求和咨询：</w:t>
      </w:r>
    </w:p>
    <w:p w14:paraId="0FBD12D9">
      <w:pPr>
        <w:widowControl/>
        <w:spacing w:line="360" w:lineRule="auto"/>
        <w:ind w:firstLine="480" w:firstLineChars="200"/>
        <w:contextualSpacing/>
        <w:rPr>
          <w:rFonts w:ascii="宋体" w:hAnsi="宋体" w:cs="宋体"/>
          <w:sz w:val="24"/>
        </w:rPr>
      </w:pPr>
      <w:r>
        <w:rPr>
          <w:rFonts w:hint="eastAsia" w:ascii="宋体" w:hAnsi="宋体" w:cs="宋体"/>
          <w:sz w:val="24"/>
        </w:rPr>
        <w:t>在7×8 小时工作时间内设置由专人职守的热线电话，接听内部的服务请求，并记录服务台事件处理结果。</w:t>
      </w:r>
    </w:p>
    <w:p w14:paraId="4734C418">
      <w:pPr>
        <w:widowControl/>
        <w:spacing w:line="360" w:lineRule="auto"/>
        <w:ind w:firstLine="480" w:firstLineChars="200"/>
        <w:contextualSpacing/>
        <w:rPr>
          <w:rFonts w:ascii="宋体" w:hAnsi="宋体" w:cs="宋体"/>
          <w:sz w:val="24"/>
        </w:rPr>
      </w:pPr>
      <w:r>
        <w:rPr>
          <w:rFonts w:hint="eastAsia" w:ascii="宋体" w:hAnsi="宋体" w:cs="宋体"/>
          <w:sz w:val="24"/>
        </w:rPr>
        <w:t>在非工作时间设置有专人7×24 小时接听的移动电话热线，用于解决内部的技术问题以及接听7×24 小时机房监控人员的机房突发情况汇报。</w:t>
      </w:r>
    </w:p>
    <w:p w14:paraId="6388C29B">
      <w:pPr>
        <w:widowControl/>
        <w:spacing w:line="360" w:lineRule="auto"/>
        <w:ind w:firstLine="480" w:firstLineChars="200"/>
        <w:contextualSpacing/>
        <w:rPr>
          <w:rFonts w:ascii="宋体" w:hAnsi="宋体" w:cs="宋体"/>
          <w:sz w:val="24"/>
        </w:rPr>
      </w:pPr>
      <w:r>
        <w:rPr>
          <w:rFonts w:hint="eastAsia" w:ascii="宋体" w:hAnsi="宋体" w:cs="宋体"/>
          <w:sz w:val="24"/>
        </w:rPr>
        <w:t>2）服务响应时间：</w:t>
      </w:r>
    </w:p>
    <w:tbl>
      <w:tblPr>
        <w:tblStyle w:val="24"/>
        <w:tblpPr w:leftFromText="180" w:rightFromText="180" w:vertAnchor="text" w:horzAnchor="page" w:tblpXSpec="center" w:tblpY="466"/>
        <w:tblOverlap w:val="never"/>
        <w:tblW w:w="8476" w:type="dxa"/>
        <w:jc w:val="center"/>
        <w:tblLayout w:type="fixed"/>
        <w:tblCellMar>
          <w:top w:w="0" w:type="dxa"/>
          <w:left w:w="108" w:type="dxa"/>
          <w:bottom w:w="0" w:type="dxa"/>
          <w:right w:w="108" w:type="dxa"/>
        </w:tblCellMar>
      </w:tblPr>
      <w:tblGrid>
        <w:gridCol w:w="4374"/>
        <w:gridCol w:w="2184"/>
        <w:gridCol w:w="1918"/>
      </w:tblGrid>
      <w:tr w14:paraId="5D0C17AB">
        <w:tblPrEx>
          <w:tblCellMar>
            <w:top w:w="0" w:type="dxa"/>
            <w:left w:w="108" w:type="dxa"/>
            <w:bottom w:w="0" w:type="dxa"/>
            <w:right w:w="108" w:type="dxa"/>
          </w:tblCellMar>
        </w:tblPrEx>
        <w:trPr>
          <w:trHeight w:val="315" w:hRule="atLeast"/>
          <w:jc w:val="center"/>
        </w:trPr>
        <w:tc>
          <w:tcPr>
            <w:tcW w:w="4374" w:type="dxa"/>
            <w:tcBorders>
              <w:top w:val="single" w:color="auto" w:sz="4" w:space="0"/>
              <w:left w:val="single" w:color="auto" w:sz="4" w:space="0"/>
              <w:bottom w:val="single" w:color="auto" w:sz="4" w:space="0"/>
              <w:right w:val="single" w:color="auto" w:sz="4" w:space="0"/>
            </w:tcBorders>
            <w:shd w:val="pct10" w:color="auto" w:fill="auto"/>
            <w:vAlign w:val="center"/>
          </w:tcPr>
          <w:p w14:paraId="109EA1DB">
            <w:pPr>
              <w:widowControl/>
              <w:adjustRightInd w:val="0"/>
              <w:spacing w:line="360" w:lineRule="auto"/>
              <w:jc w:val="center"/>
              <w:rPr>
                <w:rFonts w:ascii="宋体" w:hAnsi="宋体" w:cs="宋体"/>
                <w:bCs/>
                <w:sz w:val="24"/>
              </w:rPr>
            </w:pPr>
            <w:r>
              <w:rPr>
                <w:rFonts w:hint="eastAsia" w:ascii="宋体" w:hAnsi="宋体" w:cs="宋体"/>
                <w:bCs/>
                <w:sz w:val="24"/>
              </w:rPr>
              <w:t>故障级别</w:t>
            </w:r>
          </w:p>
        </w:tc>
        <w:tc>
          <w:tcPr>
            <w:tcW w:w="2184" w:type="dxa"/>
            <w:tcBorders>
              <w:top w:val="single" w:color="auto" w:sz="4" w:space="0"/>
              <w:left w:val="nil"/>
              <w:bottom w:val="single" w:color="auto" w:sz="4" w:space="0"/>
              <w:right w:val="single" w:color="auto" w:sz="4" w:space="0"/>
            </w:tcBorders>
            <w:shd w:val="pct10" w:color="auto" w:fill="auto"/>
            <w:vAlign w:val="center"/>
          </w:tcPr>
          <w:p w14:paraId="30B41777">
            <w:pPr>
              <w:widowControl/>
              <w:adjustRightInd w:val="0"/>
              <w:spacing w:line="360" w:lineRule="auto"/>
              <w:jc w:val="center"/>
              <w:rPr>
                <w:rFonts w:ascii="宋体" w:hAnsi="宋体" w:cs="宋体"/>
                <w:bCs/>
                <w:sz w:val="24"/>
              </w:rPr>
            </w:pPr>
            <w:r>
              <w:rPr>
                <w:rFonts w:hint="eastAsia" w:ascii="宋体" w:hAnsi="宋体" w:cs="宋体"/>
                <w:bCs/>
                <w:sz w:val="24"/>
              </w:rPr>
              <w:t>响应时间</w:t>
            </w:r>
          </w:p>
        </w:tc>
        <w:tc>
          <w:tcPr>
            <w:tcW w:w="1918" w:type="dxa"/>
            <w:tcBorders>
              <w:top w:val="single" w:color="auto" w:sz="4" w:space="0"/>
              <w:left w:val="nil"/>
              <w:bottom w:val="single" w:color="auto" w:sz="4" w:space="0"/>
              <w:right w:val="single" w:color="auto" w:sz="4" w:space="0"/>
            </w:tcBorders>
            <w:shd w:val="pct10" w:color="auto" w:fill="auto"/>
          </w:tcPr>
          <w:p w14:paraId="07F4FFF5">
            <w:pPr>
              <w:widowControl/>
              <w:adjustRightInd w:val="0"/>
              <w:spacing w:line="360" w:lineRule="auto"/>
              <w:ind w:left="-94" w:leftChars="-45"/>
              <w:jc w:val="center"/>
              <w:rPr>
                <w:rFonts w:ascii="宋体" w:hAnsi="宋体" w:cs="宋体"/>
                <w:bCs/>
                <w:sz w:val="24"/>
              </w:rPr>
            </w:pPr>
            <w:r>
              <w:rPr>
                <w:rFonts w:hint="eastAsia" w:ascii="宋体" w:hAnsi="宋体" w:cs="宋体"/>
                <w:bCs/>
                <w:sz w:val="24"/>
              </w:rPr>
              <w:t>故障解决时间</w:t>
            </w:r>
          </w:p>
        </w:tc>
      </w:tr>
      <w:tr w14:paraId="6AEA374C">
        <w:tblPrEx>
          <w:tblCellMar>
            <w:top w:w="0" w:type="dxa"/>
            <w:left w:w="108" w:type="dxa"/>
            <w:bottom w:w="0" w:type="dxa"/>
            <w:right w:w="108" w:type="dxa"/>
          </w:tblCellMar>
        </w:tblPrEx>
        <w:trPr>
          <w:trHeight w:val="707" w:hRule="atLeast"/>
          <w:jc w:val="center"/>
        </w:trPr>
        <w:tc>
          <w:tcPr>
            <w:tcW w:w="4374" w:type="dxa"/>
            <w:tcBorders>
              <w:top w:val="nil"/>
              <w:left w:val="single" w:color="auto" w:sz="4" w:space="0"/>
              <w:bottom w:val="single" w:color="auto" w:sz="4" w:space="0"/>
              <w:right w:val="single" w:color="auto" w:sz="4" w:space="0"/>
            </w:tcBorders>
            <w:vAlign w:val="center"/>
          </w:tcPr>
          <w:p w14:paraId="33F4E7C5">
            <w:pPr>
              <w:widowControl/>
              <w:adjustRightInd w:val="0"/>
              <w:spacing w:line="360" w:lineRule="auto"/>
              <w:jc w:val="left"/>
              <w:rPr>
                <w:rFonts w:ascii="宋体" w:hAnsi="宋体" w:cs="宋体"/>
                <w:bCs/>
                <w:sz w:val="24"/>
              </w:rPr>
            </w:pPr>
            <w:r>
              <w:rPr>
                <w:rFonts w:hint="eastAsia" w:ascii="宋体" w:hAnsi="宋体" w:cs="宋体"/>
                <w:bCs/>
                <w:sz w:val="24"/>
              </w:rPr>
              <w:t>I级：属于紧急问题；其具体现象为：系统崩溃导致业务停止、数据丢失。</w:t>
            </w:r>
          </w:p>
        </w:tc>
        <w:tc>
          <w:tcPr>
            <w:tcW w:w="2184" w:type="dxa"/>
            <w:tcBorders>
              <w:top w:val="nil"/>
              <w:left w:val="nil"/>
              <w:bottom w:val="single" w:color="auto" w:sz="4" w:space="0"/>
              <w:right w:val="single" w:color="auto" w:sz="4" w:space="0"/>
            </w:tcBorders>
            <w:vAlign w:val="center"/>
          </w:tcPr>
          <w:p w14:paraId="556C3294">
            <w:pPr>
              <w:widowControl/>
              <w:adjustRightInd w:val="0"/>
              <w:spacing w:line="360" w:lineRule="auto"/>
              <w:jc w:val="left"/>
              <w:rPr>
                <w:rFonts w:ascii="宋体" w:hAnsi="宋体" w:cs="宋体"/>
                <w:bCs/>
                <w:sz w:val="24"/>
              </w:rPr>
            </w:pPr>
            <w:r>
              <w:rPr>
                <w:rFonts w:hint="eastAsia" w:ascii="宋体" w:hAnsi="宋体" w:cs="宋体"/>
                <w:bCs/>
                <w:sz w:val="24"/>
              </w:rPr>
              <w:t>30分钟，2小时内提交故障处理方案</w:t>
            </w:r>
          </w:p>
        </w:tc>
        <w:tc>
          <w:tcPr>
            <w:tcW w:w="1918" w:type="dxa"/>
            <w:tcBorders>
              <w:top w:val="nil"/>
              <w:left w:val="nil"/>
              <w:bottom w:val="single" w:color="auto" w:sz="4" w:space="0"/>
              <w:right w:val="single" w:color="auto" w:sz="4" w:space="0"/>
            </w:tcBorders>
            <w:vAlign w:val="center"/>
          </w:tcPr>
          <w:p w14:paraId="32DD3294">
            <w:pPr>
              <w:adjustRightInd w:val="0"/>
              <w:spacing w:line="360" w:lineRule="auto"/>
              <w:jc w:val="center"/>
              <w:rPr>
                <w:rFonts w:ascii="宋体" w:hAnsi="宋体" w:cs="宋体"/>
                <w:bCs/>
                <w:sz w:val="24"/>
              </w:rPr>
            </w:pPr>
            <w:r>
              <w:rPr>
                <w:rFonts w:hint="eastAsia" w:ascii="宋体" w:hAnsi="宋体" w:cs="宋体"/>
                <w:bCs/>
                <w:sz w:val="24"/>
              </w:rPr>
              <w:t>4小时以内</w:t>
            </w:r>
          </w:p>
        </w:tc>
      </w:tr>
      <w:tr w14:paraId="00A8EF38">
        <w:tblPrEx>
          <w:tblCellMar>
            <w:top w:w="0" w:type="dxa"/>
            <w:left w:w="108" w:type="dxa"/>
            <w:bottom w:w="0" w:type="dxa"/>
            <w:right w:w="108" w:type="dxa"/>
          </w:tblCellMar>
        </w:tblPrEx>
        <w:trPr>
          <w:trHeight w:val="942" w:hRule="atLeast"/>
          <w:jc w:val="center"/>
        </w:trPr>
        <w:tc>
          <w:tcPr>
            <w:tcW w:w="4374" w:type="dxa"/>
            <w:tcBorders>
              <w:top w:val="nil"/>
              <w:left w:val="single" w:color="auto" w:sz="4" w:space="0"/>
              <w:bottom w:val="single" w:color="auto" w:sz="4" w:space="0"/>
              <w:right w:val="single" w:color="auto" w:sz="4" w:space="0"/>
            </w:tcBorders>
            <w:vAlign w:val="center"/>
          </w:tcPr>
          <w:p w14:paraId="36584F27">
            <w:pPr>
              <w:widowControl/>
              <w:adjustRightInd w:val="0"/>
              <w:spacing w:line="360" w:lineRule="auto"/>
              <w:jc w:val="left"/>
              <w:rPr>
                <w:rFonts w:ascii="宋体" w:hAnsi="宋体" w:cs="宋体"/>
                <w:bCs/>
                <w:sz w:val="24"/>
              </w:rPr>
            </w:pPr>
            <w:r>
              <w:rPr>
                <w:rFonts w:hint="eastAsia" w:ascii="宋体" w:hAnsi="宋体" w:cs="宋体"/>
                <w:bCs/>
                <w:sz w:val="24"/>
              </w:rPr>
              <w:t>II级：属于严重问题；其具体现象为：出现部分部件失效、系统性能下降但能正常运行，不影响正常业务运作。</w:t>
            </w:r>
          </w:p>
        </w:tc>
        <w:tc>
          <w:tcPr>
            <w:tcW w:w="2184" w:type="dxa"/>
            <w:tcBorders>
              <w:top w:val="nil"/>
              <w:left w:val="nil"/>
              <w:bottom w:val="single" w:color="auto" w:sz="4" w:space="0"/>
              <w:right w:val="single" w:color="auto" w:sz="4" w:space="0"/>
            </w:tcBorders>
            <w:vAlign w:val="center"/>
          </w:tcPr>
          <w:p w14:paraId="74E15E69">
            <w:pPr>
              <w:adjustRightInd w:val="0"/>
              <w:spacing w:line="360" w:lineRule="auto"/>
              <w:jc w:val="center"/>
              <w:rPr>
                <w:rFonts w:ascii="宋体" w:hAnsi="宋体" w:cs="宋体"/>
                <w:bCs/>
                <w:sz w:val="24"/>
              </w:rPr>
            </w:pPr>
            <w:r>
              <w:rPr>
                <w:rFonts w:hint="eastAsia" w:ascii="宋体" w:hAnsi="宋体" w:cs="宋体"/>
                <w:bCs/>
                <w:sz w:val="24"/>
              </w:rPr>
              <w:t>30分钟，2小时内提交故障处理方案</w:t>
            </w:r>
          </w:p>
        </w:tc>
        <w:tc>
          <w:tcPr>
            <w:tcW w:w="1918" w:type="dxa"/>
            <w:tcBorders>
              <w:top w:val="nil"/>
              <w:left w:val="nil"/>
              <w:bottom w:val="single" w:color="auto" w:sz="4" w:space="0"/>
              <w:right w:val="single" w:color="auto" w:sz="4" w:space="0"/>
            </w:tcBorders>
            <w:vAlign w:val="center"/>
          </w:tcPr>
          <w:p w14:paraId="04EFDAC8">
            <w:pPr>
              <w:adjustRightInd w:val="0"/>
              <w:spacing w:line="360" w:lineRule="auto"/>
              <w:jc w:val="center"/>
              <w:rPr>
                <w:rFonts w:ascii="宋体" w:hAnsi="宋体" w:cs="宋体"/>
                <w:bCs/>
                <w:sz w:val="24"/>
              </w:rPr>
            </w:pPr>
            <w:r>
              <w:rPr>
                <w:rFonts w:hint="eastAsia" w:ascii="宋体" w:hAnsi="宋体" w:cs="宋体"/>
                <w:bCs/>
                <w:sz w:val="24"/>
              </w:rPr>
              <w:t>12小时以内</w:t>
            </w:r>
          </w:p>
        </w:tc>
      </w:tr>
      <w:tr w14:paraId="09CEB28B">
        <w:tblPrEx>
          <w:tblCellMar>
            <w:top w:w="0" w:type="dxa"/>
            <w:left w:w="108" w:type="dxa"/>
            <w:bottom w:w="0" w:type="dxa"/>
            <w:right w:w="108" w:type="dxa"/>
          </w:tblCellMar>
        </w:tblPrEx>
        <w:trPr>
          <w:trHeight w:val="912" w:hRule="atLeast"/>
          <w:jc w:val="center"/>
        </w:trPr>
        <w:tc>
          <w:tcPr>
            <w:tcW w:w="4374" w:type="dxa"/>
            <w:tcBorders>
              <w:top w:val="nil"/>
              <w:left w:val="single" w:color="auto" w:sz="4" w:space="0"/>
              <w:bottom w:val="single" w:color="auto" w:sz="4" w:space="0"/>
              <w:right w:val="single" w:color="auto" w:sz="4" w:space="0"/>
            </w:tcBorders>
            <w:vAlign w:val="center"/>
          </w:tcPr>
          <w:p w14:paraId="6BEDF289">
            <w:pPr>
              <w:widowControl/>
              <w:adjustRightInd w:val="0"/>
              <w:spacing w:line="360" w:lineRule="auto"/>
              <w:jc w:val="left"/>
              <w:rPr>
                <w:rFonts w:ascii="宋体" w:hAnsi="宋体" w:cs="宋体"/>
                <w:bCs/>
                <w:sz w:val="24"/>
              </w:rPr>
            </w:pPr>
            <w:r>
              <w:rPr>
                <w:rFonts w:hint="eastAsia" w:ascii="宋体" w:hAnsi="宋体" w:cs="宋体"/>
                <w:bCs/>
                <w:sz w:val="24"/>
              </w:rPr>
              <w:t>III级：属于较严重问题；其具体现象为：出现系统报错或警告，但业务系统能继续运行且性能不受影响。</w:t>
            </w:r>
          </w:p>
        </w:tc>
        <w:tc>
          <w:tcPr>
            <w:tcW w:w="2184" w:type="dxa"/>
            <w:tcBorders>
              <w:top w:val="nil"/>
              <w:left w:val="nil"/>
              <w:bottom w:val="single" w:color="auto" w:sz="4" w:space="0"/>
              <w:right w:val="single" w:color="auto" w:sz="4" w:space="0"/>
            </w:tcBorders>
            <w:vAlign w:val="center"/>
          </w:tcPr>
          <w:p w14:paraId="227E5EA5">
            <w:pPr>
              <w:widowControl/>
              <w:adjustRightInd w:val="0"/>
              <w:spacing w:line="360" w:lineRule="auto"/>
              <w:jc w:val="left"/>
              <w:rPr>
                <w:rFonts w:ascii="宋体" w:hAnsi="宋体" w:cs="宋体"/>
                <w:bCs/>
                <w:sz w:val="24"/>
              </w:rPr>
            </w:pPr>
            <w:r>
              <w:rPr>
                <w:rFonts w:hint="eastAsia" w:ascii="宋体" w:hAnsi="宋体" w:cs="宋体"/>
                <w:bCs/>
                <w:sz w:val="24"/>
              </w:rPr>
              <w:t>30分钟，2小时内提交故障处理方案</w:t>
            </w:r>
          </w:p>
        </w:tc>
        <w:tc>
          <w:tcPr>
            <w:tcW w:w="1918" w:type="dxa"/>
            <w:tcBorders>
              <w:top w:val="nil"/>
              <w:left w:val="nil"/>
              <w:bottom w:val="single" w:color="auto" w:sz="4" w:space="0"/>
              <w:right w:val="single" w:color="auto" w:sz="4" w:space="0"/>
            </w:tcBorders>
            <w:vAlign w:val="center"/>
          </w:tcPr>
          <w:p w14:paraId="65019C1B">
            <w:pPr>
              <w:adjustRightInd w:val="0"/>
              <w:spacing w:line="360" w:lineRule="auto"/>
              <w:jc w:val="center"/>
              <w:rPr>
                <w:rFonts w:ascii="宋体" w:hAnsi="宋体" w:cs="宋体"/>
                <w:bCs/>
                <w:sz w:val="24"/>
              </w:rPr>
            </w:pPr>
            <w:r>
              <w:rPr>
                <w:rFonts w:hint="eastAsia" w:ascii="宋体" w:hAnsi="宋体" w:cs="宋体"/>
                <w:bCs/>
                <w:sz w:val="24"/>
              </w:rPr>
              <w:t>24小时以内</w:t>
            </w:r>
          </w:p>
        </w:tc>
      </w:tr>
      <w:tr w14:paraId="34245436">
        <w:tblPrEx>
          <w:tblCellMar>
            <w:top w:w="0" w:type="dxa"/>
            <w:left w:w="108" w:type="dxa"/>
            <w:bottom w:w="0" w:type="dxa"/>
            <w:right w:w="108" w:type="dxa"/>
          </w:tblCellMar>
        </w:tblPrEx>
        <w:trPr>
          <w:trHeight w:val="302" w:hRule="atLeast"/>
          <w:jc w:val="center"/>
        </w:trPr>
        <w:tc>
          <w:tcPr>
            <w:tcW w:w="4374" w:type="dxa"/>
            <w:tcBorders>
              <w:top w:val="nil"/>
              <w:left w:val="single" w:color="auto" w:sz="4" w:space="0"/>
              <w:bottom w:val="single" w:color="auto" w:sz="4" w:space="0"/>
              <w:right w:val="single" w:color="auto" w:sz="4" w:space="0"/>
            </w:tcBorders>
            <w:vAlign w:val="center"/>
          </w:tcPr>
          <w:p w14:paraId="59A44634">
            <w:pPr>
              <w:widowControl/>
              <w:adjustRightInd w:val="0"/>
              <w:spacing w:line="360" w:lineRule="auto"/>
              <w:jc w:val="left"/>
              <w:rPr>
                <w:rFonts w:ascii="宋体" w:hAnsi="宋体" w:cs="宋体"/>
                <w:bCs/>
                <w:sz w:val="24"/>
              </w:rPr>
            </w:pPr>
            <w:r>
              <w:rPr>
                <w:rFonts w:hint="eastAsia" w:ascii="宋体" w:hAnsi="宋体" w:cs="宋体"/>
                <w:bCs/>
                <w:sz w:val="24"/>
              </w:rPr>
              <w:t>IV级：属于普通问题；其具体现象为：系统技术功能、安装或配置咨询，或其他显然不影响业务的预约服务。</w:t>
            </w:r>
          </w:p>
        </w:tc>
        <w:tc>
          <w:tcPr>
            <w:tcW w:w="2184" w:type="dxa"/>
            <w:tcBorders>
              <w:top w:val="nil"/>
              <w:left w:val="nil"/>
              <w:bottom w:val="single" w:color="auto" w:sz="4" w:space="0"/>
              <w:right w:val="single" w:color="auto" w:sz="4" w:space="0"/>
            </w:tcBorders>
            <w:vAlign w:val="center"/>
          </w:tcPr>
          <w:p w14:paraId="0E260C37">
            <w:pPr>
              <w:widowControl/>
              <w:adjustRightInd w:val="0"/>
              <w:spacing w:line="360" w:lineRule="auto"/>
              <w:jc w:val="left"/>
              <w:rPr>
                <w:rFonts w:ascii="宋体" w:hAnsi="宋体" w:cs="宋体"/>
                <w:bCs/>
                <w:sz w:val="24"/>
              </w:rPr>
            </w:pPr>
            <w:r>
              <w:rPr>
                <w:rFonts w:hint="eastAsia" w:ascii="宋体" w:hAnsi="宋体" w:cs="宋体"/>
                <w:bCs/>
                <w:sz w:val="24"/>
              </w:rPr>
              <w:t>30分钟，2小时内提交故障处理方案</w:t>
            </w:r>
          </w:p>
        </w:tc>
        <w:tc>
          <w:tcPr>
            <w:tcW w:w="1918" w:type="dxa"/>
            <w:tcBorders>
              <w:top w:val="nil"/>
              <w:left w:val="nil"/>
              <w:bottom w:val="single" w:color="auto" w:sz="4" w:space="0"/>
              <w:right w:val="single" w:color="auto" w:sz="4" w:space="0"/>
            </w:tcBorders>
            <w:vAlign w:val="center"/>
          </w:tcPr>
          <w:p w14:paraId="64AF4CDB">
            <w:pPr>
              <w:adjustRightInd w:val="0"/>
              <w:spacing w:line="360" w:lineRule="auto"/>
              <w:jc w:val="center"/>
              <w:rPr>
                <w:rFonts w:ascii="宋体" w:hAnsi="宋体" w:cs="宋体"/>
                <w:bCs/>
                <w:sz w:val="24"/>
              </w:rPr>
            </w:pPr>
            <w:r>
              <w:rPr>
                <w:rFonts w:hint="eastAsia" w:ascii="宋体" w:hAnsi="宋体" w:cs="宋体"/>
                <w:bCs/>
                <w:sz w:val="24"/>
              </w:rPr>
              <w:t>48小时以内</w:t>
            </w:r>
          </w:p>
        </w:tc>
      </w:tr>
    </w:tbl>
    <w:p w14:paraId="7B29A543">
      <w:pPr>
        <w:widowControl/>
        <w:spacing w:line="360" w:lineRule="auto"/>
        <w:ind w:firstLine="480" w:firstLineChars="200"/>
        <w:contextualSpacing/>
        <w:rPr>
          <w:rFonts w:ascii="宋体" w:hAnsi="宋体" w:cs="宋体"/>
          <w:sz w:val="24"/>
        </w:rPr>
      </w:pPr>
      <w:r>
        <w:rPr>
          <w:rFonts w:hint="eastAsia" w:ascii="宋体" w:hAnsi="宋体" w:cs="宋体"/>
          <w:sz w:val="24"/>
        </w:rPr>
        <w:t>2.2.4.考试等重大活动保障要求</w:t>
      </w:r>
    </w:p>
    <w:p w14:paraId="07B5E345">
      <w:pPr>
        <w:widowControl/>
        <w:spacing w:line="360" w:lineRule="auto"/>
        <w:ind w:firstLine="480" w:firstLineChars="200"/>
        <w:contextualSpacing/>
        <w:rPr>
          <w:rFonts w:ascii="宋体" w:hAnsi="宋体" w:cs="宋体"/>
          <w:sz w:val="24"/>
        </w:rPr>
      </w:pPr>
      <w:r>
        <w:rPr>
          <w:rFonts w:hint="eastAsia" w:ascii="宋体" w:hAnsi="宋体" w:cs="宋体"/>
          <w:sz w:val="24"/>
        </w:rPr>
        <w:t>主要是高考、中考、会考、成考、自考等大型考试或其他突发重大活动举行期间等特殊时期，可增加运维人员驻场，运维单位在考试前期对涉及到考点校的线路状态巡查，对中考、高考重大考试进行业务保障。</w:t>
      </w:r>
    </w:p>
    <w:p w14:paraId="67DC7F24">
      <w:pPr>
        <w:widowControl/>
        <w:spacing w:line="360" w:lineRule="auto"/>
        <w:ind w:firstLine="480" w:firstLineChars="200"/>
        <w:contextualSpacing/>
        <w:rPr>
          <w:rFonts w:ascii="宋体" w:hAnsi="宋体" w:cs="宋体"/>
          <w:sz w:val="24"/>
        </w:rPr>
      </w:pPr>
      <w:r>
        <w:rPr>
          <w:rFonts w:hint="eastAsia" w:ascii="宋体" w:hAnsi="宋体" w:cs="宋体"/>
          <w:sz w:val="24"/>
        </w:rPr>
        <w:t>要求运维单位对可能出现的特殊时期，如自然灾害、重大社会事件、停电、设备损毁等进行应急服务和抢修。就保障数据中心相关系统运行状态，提出相应的技术措施和管理措施，以保证数据中心相关系统正常使用。</w:t>
      </w:r>
    </w:p>
    <w:p w14:paraId="1106874F">
      <w:pPr>
        <w:widowControl/>
        <w:spacing w:line="360" w:lineRule="auto"/>
        <w:ind w:firstLine="480" w:firstLineChars="200"/>
        <w:contextualSpacing/>
        <w:rPr>
          <w:rFonts w:ascii="宋体" w:hAnsi="宋体" w:cs="宋体"/>
          <w:sz w:val="24"/>
        </w:rPr>
      </w:pPr>
      <w:r>
        <w:rPr>
          <w:rFonts w:hint="eastAsia" w:ascii="宋体" w:hAnsi="宋体" w:cs="宋体"/>
          <w:sz w:val="24"/>
        </w:rPr>
        <w:t>凡是危及数据中心相关系统安全运行的事件均称为突发事件。突发事件分为一般突发事件、重大突发事件。一般突发事件为出现设备故障影响到数据中心相关系统运行等情况；重大突发事件为核心机房关键设备故障，或因受外部攻击影响较为恶劣情况等。</w:t>
      </w:r>
    </w:p>
    <w:p w14:paraId="4281A582">
      <w:pPr>
        <w:widowControl/>
        <w:spacing w:line="360" w:lineRule="auto"/>
        <w:ind w:firstLine="480" w:firstLineChars="200"/>
        <w:contextualSpacing/>
        <w:rPr>
          <w:rFonts w:ascii="宋体" w:hAnsi="宋体" w:cs="宋体"/>
          <w:sz w:val="24"/>
        </w:rPr>
      </w:pPr>
      <w:r>
        <w:rPr>
          <w:rFonts w:hint="eastAsia" w:ascii="宋体" w:hAnsi="宋体" w:cs="宋体"/>
          <w:sz w:val="24"/>
        </w:rPr>
        <w:t>突发事件发生时，运维单位技术人员应迅速赶往突发事件现场，立即对现场进行处理并判断该事件为一般突发事件或重大突发事件。一般突发事件，运维单位应现场妥善处理，确保数据中心相关系统安全运行，并及时向负责人通报处理过程及结果。重大突发事件，运维单位必须进行全天24小时看护，保证数据中心相关系统安全运行，并在第一时间内通知负责人。根据现场情况，共同制定相应处理方案，并立即组织实施。</w:t>
      </w:r>
    </w:p>
    <w:p w14:paraId="02B754D5">
      <w:pPr>
        <w:widowControl/>
        <w:spacing w:line="360" w:lineRule="auto"/>
        <w:ind w:firstLine="480" w:firstLineChars="200"/>
        <w:contextualSpacing/>
        <w:rPr>
          <w:rFonts w:ascii="宋体" w:hAnsi="宋体" w:cs="宋体"/>
          <w:sz w:val="24"/>
        </w:rPr>
      </w:pPr>
      <w:r>
        <w:rPr>
          <w:rFonts w:hint="eastAsia" w:ascii="宋体" w:hAnsi="宋体" w:cs="宋体"/>
          <w:sz w:val="24"/>
        </w:rPr>
        <w:t>2.2.5.其它要求</w:t>
      </w:r>
    </w:p>
    <w:p w14:paraId="4E3E125F">
      <w:pPr>
        <w:widowControl/>
        <w:spacing w:line="360" w:lineRule="auto"/>
        <w:ind w:firstLine="480" w:firstLineChars="200"/>
        <w:contextualSpacing/>
        <w:rPr>
          <w:rFonts w:ascii="宋体" w:hAnsi="宋体" w:cs="宋体"/>
          <w:sz w:val="24"/>
        </w:rPr>
      </w:pPr>
      <w:r>
        <w:rPr>
          <w:rFonts w:hint="eastAsia" w:ascii="宋体" w:hAnsi="宋体" w:cs="宋体"/>
          <w:sz w:val="24"/>
        </w:rPr>
        <w:t>除本项目驻场技术保障人员外，运维公司需组建运质保障队伍，保证7×24小时内，至少有1名技术骨干可以提供应急现场响应，便于及时处置突发技术故障。</w:t>
      </w:r>
    </w:p>
    <w:p w14:paraId="3E5399AF">
      <w:pPr>
        <w:widowControl/>
        <w:spacing w:line="360" w:lineRule="auto"/>
        <w:ind w:firstLine="480" w:firstLineChars="200"/>
        <w:contextualSpacing/>
        <w:rPr>
          <w:rFonts w:ascii="宋体" w:hAnsi="宋体" w:cs="宋体"/>
          <w:sz w:val="24"/>
        </w:rPr>
      </w:pPr>
      <w:r>
        <w:rPr>
          <w:rFonts w:hint="eastAsia" w:ascii="宋体" w:hAnsi="宋体" w:cs="宋体"/>
          <w:sz w:val="24"/>
        </w:rPr>
        <w:t>系统巡检人员要定期规范检查各硬件设备的运转情况和应用软件运行情况，同时做好日常的数据增量备份和定期全备份。对发现的问题在报各级负责人的同时，要协调相关资源分析问题根源，确定解决方案和临时解决措施，避免造成更大的影响。问题得到稳定或彻底解决后，要形成问题汇报，避免以后类似重大紧急情况的发生。</w:t>
      </w:r>
    </w:p>
    <w:p w14:paraId="283BB0E2">
      <w:pPr>
        <w:widowControl/>
        <w:spacing w:line="360" w:lineRule="auto"/>
        <w:ind w:firstLine="480" w:firstLineChars="200"/>
        <w:contextualSpacing/>
        <w:rPr>
          <w:rFonts w:ascii="宋体" w:hAnsi="宋体" w:cs="宋体"/>
          <w:sz w:val="24"/>
        </w:rPr>
      </w:pPr>
      <w:r>
        <w:rPr>
          <w:rFonts w:hint="eastAsia" w:ascii="宋体" w:hAnsi="宋体" w:cs="宋体"/>
          <w:sz w:val="24"/>
        </w:rPr>
        <w:t>对发现的问题在报负责人的同时，要协调相关资源分析问题根源，确定解决方案和临时解决措施，避免造成更大的影响。问题得到稳定或彻底解决后，要形成问题汇报，避免以后类似重大紧急情况的发生。</w:t>
      </w:r>
    </w:p>
    <w:p w14:paraId="14FD8D92">
      <w:pPr>
        <w:widowControl/>
        <w:spacing w:line="360" w:lineRule="auto"/>
        <w:ind w:firstLine="480" w:firstLineChars="200"/>
        <w:contextualSpacing/>
        <w:rPr>
          <w:rFonts w:ascii="宋体" w:hAnsi="宋体" w:cs="宋体"/>
          <w:sz w:val="24"/>
        </w:rPr>
      </w:pPr>
      <w:r>
        <w:rPr>
          <w:rFonts w:hint="eastAsia" w:ascii="宋体" w:hAnsi="宋体" w:cs="宋体"/>
          <w:sz w:val="24"/>
        </w:rPr>
        <w:t>技术支持人员在解决故障时，需最大限度保护好数据，做好故障恢复的文档，力争恢复到故障点前的业务状态。对于“系统瘫痪，业务系统不能运转”的故障级别，如果不能于4小时内解决故障，需在8小时内提出应急方案，确保业务系统的运行。故障解决后24小时内，提交故障处理报告。说明故障种类、故障原因、故障解决中使用的方法及故障损失等情况。</w:t>
      </w:r>
    </w:p>
    <w:p w14:paraId="5E2CC7BE">
      <w:pPr>
        <w:widowControl/>
        <w:spacing w:line="360" w:lineRule="auto"/>
        <w:ind w:firstLine="480" w:firstLineChars="200"/>
        <w:contextualSpacing/>
        <w:rPr>
          <w:rFonts w:ascii="宋体" w:hAnsi="宋体" w:cs="宋体"/>
          <w:sz w:val="24"/>
        </w:rPr>
      </w:pPr>
      <w:r>
        <w:rPr>
          <w:rFonts w:hint="eastAsia" w:ascii="宋体" w:hAnsi="宋体" w:cs="宋体"/>
          <w:sz w:val="24"/>
        </w:rPr>
        <w:t>(1)行为规范要求</w:t>
      </w:r>
    </w:p>
    <w:p w14:paraId="76F7BC94">
      <w:pPr>
        <w:widowControl/>
        <w:spacing w:line="360" w:lineRule="auto"/>
        <w:ind w:firstLine="480" w:firstLineChars="200"/>
        <w:contextualSpacing/>
        <w:rPr>
          <w:rFonts w:ascii="宋体" w:hAnsi="宋体" w:cs="宋体"/>
          <w:sz w:val="24"/>
        </w:rPr>
      </w:pPr>
      <w:r>
        <w:rPr>
          <w:rFonts w:hint="eastAsia" w:ascii="宋体" w:hAnsi="宋体" w:cs="宋体"/>
          <w:sz w:val="24"/>
        </w:rPr>
        <w:t>1）遵守用户的各项规章制度，严格按照用户相应的规章制度办事。</w:t>
      </w:r>
    </w:p>
    <w:p w14:paraId="190A83F0">
      <w:pPr>
        <w:widowControl/>
        <w:spacing w:line="360" w:lineRule="auto"/>
        <w:ind w:firstLine="480" w:firstLineChars="200"/>
        <w:contextualSpacing/>
        <w:rPr>
          <w:rFonts w:ascii="宋体" w:hAnsi="宋体" w:cs="宋体"/>
          <w:sz w:val="24"/>
        </w:rPr>
      </w:pPr>
      <w:r>
        <w:rPr>
          <w:rFonts w:hint="eastAsia" w:ascii="宋体" w:hAnsi="宋体" w:cs="宋体"/>
          <w:sz w:val="24"/>
        </w:rPr>
        <w:t>2）与用户运行维护体系其他部门和环节协同工作，密切配合，共同开展技术支持工作。</w:t>
      </w:r>
    </w:p>
    <w:p w14:paraId="43743F91">
      <w:pPr>
        <w:widowControl/>
        <w:spacing w:line="360" w:lineRule="auto"/>
        <w:ind w:firstLine="480" w:firstLineChars="200"/>
        <w:contextualSpacing/>
        <w:rPr>
          <w:rFonts w:ascii="宋体" w:hAnsi="宋体" w:cs="宋体"/>
          <w:sz w:val="24"/>
        </w:rPr>
      </w:pPr>
      <w:r>
        <w:rPr>
          <w:rFonts w:hint="eastAsia" w:ascii="宋体" w:hAnsi="宋体" w:cs="宋体"/>
          <w:sz w:val="24"/>
        </w:rPr>
        <w:t>3）出现疑难技术、业务问题和重大紧急情况时，及时向负责人报告。</w:t>
      </w:r>
    </w:p>
    <w:p w14:paraId="5DB76C0D">
      <w:pPr>
        <w:widowControl/>
        <w:spacing w:line="360" w:lineRule="auto"/>
        <w:ind w:firstLine="480" w:firstLineChars="200"/>
        <w:contextualSpacing/>
        <w:rPr>
          <w:rFonts w:ascii="宋体" w:hAnsi="宋体" w:cs="宋体"/>
          <w:sz w:val="24"/>
        </w:rPr>
      </w:pPr>
      <w:r>
        <w:rPr>
          <w:rFonts w:hint="eastAsia" w:ascii="宋体" w:hAnsi="宋体" w:cs="宋体"/>
          <w:sz w:val="24"/>
        </w:rPr>
        <w:t>4）现场技术支持时要精神饱满，穿着得体，谈吐文明，举止庄重。接听电话时要文明礼貌，语言清晰明了，语气和善。</w:t>
      </w:r>
    </w:p>
    <w:p w14:paraId="60B90869">
      <w:pPr>
        <w:widowControl/>
        <w:spacing w:line="360" w:lineRule="auto"/>
        <w:ind w:firstLine="480" w:firstLineChars="200"/>
        <w:contextualSpacing/>
        <w:rPr>
          <w:rFonts w:ascii="宋体" w:hAnsi="宋体" w:cs="宋体"/>
          <w:sz w:val="24"/>
        </w:rPr>
      </w:pPr>
      <w:r>
        <w:rPr>
          <w:rFonts w:hint="eastAsia" w:ascii="宋体" w:hAnsi="宋体" w:cs="宋体"/>
          <w:sz w:val="24"/>
        </w:rPr>
        <w:t>5）遵守保密原则。对被支持单位的网络、主机、系统软件、应用软件等的密码、核心参数、业务数据等负有保密责任，不得随意复制和传播。</w:t>
      </w:r>
    </w:p>
    <w:p w14:paraId="35848E3E">
      <w:pPr>
        <w:widowControl/>
        <w:spacing w:line="360" w:lineRule="auto"/>
        <w:ind w:firstLine="480" w:firstLineChars="200"/>
        <w:contextualSpacing/>
        <w:rPr>
          <w:rFonts w:ascii="宋体" w:hAnsi="宋体" w:cs="宋体"/>
          <w:sz w:val="24"/>
        </w:rPr>
      </w:pPr>
      <w:r>
        <w:rPr>
          <w:rFonts w:hint="eastAsia" w:ascii="宋体" w:hAnsi="宋体" w:cs="宋体"/>
          <w:sz w:val="24"/>
        </w:rPr>
        <w:t>(2)现场服务支持要求</w:t>
      </w:r>
    </w:p>
    <w:p w14:paraId="3951C228">
      <w:pPr>
        <w:widowControl/>
        <w:spacing w:line="360" w:lineRule="auto"/>
        <w:ind w:firstLine="480" w:firstLineChars="200"/>
        <w:contextualSpacing/>
        <w:rPr>
          <w:rFonts w:ascii="宋体" w:hAnsi="宋体" w:cs="宋体"/>
          <w:sz w:val="24"/>
        </w:rPr>
      </w:pPr>
      <w:r>
        <w:rPr>
          <w:rFonts w:hint="eastAsia" w:ascii="宋体" w:hAnsi="宋体" w:cs="宋体"/>
          <w:sz w:val="24"/>
        </w:rPr>
        <w:t>运维服务人员要做到耐心、细心、热心的服务。工作要做到事事有记录、事事有反馈、重大问题及时汇报。严格遵守工作作息时间，严格按照服务工作流程操作。</w:t>
      </w:r>
    </w:p>
    <w:p w14:paraId="10924603">
      <w:pPr>
        <w:widowControl/>
        <w:spacing w:line="360" w:lineRule="auto"/>
        <w:ind w:firstLine="480" w:firstLineChars="200"/>
        <w:contextualSpacing/>
        <w:rPr>
          <w:rFonts w:ascii="宋体" w:hAnsi="宋体" w:cs="宋体"/>
          <w:sz w:val="24"/>
        </w:rPr>
      </w:pPr>
      <w:r>
        <w:rPr>
          <w:rFonts w:hint="eastAsia" w:ascii="宋体" w:hAnsi="宋体" w:cs="宋体"/>
          <w:sz w:val="24"/>
        </w:rPr>
        <w:t>1）现场支持工程师应着装整洁、言行礼貌大方，技术专业，操作熟练、严谨、规范；现场支持时必须遵守用户单位的相关规章制度。</w:t>
      </w:r>
    </w:p>
    <w:p w14:paraId="56948D85">
      <w:pPr>
        <w:widowControl/>
        <w:spacing w:line="360" w:lineRule="auto"/>
        <w:ind w:firstLine="480" w:firstLineChars="200"/>
        <w:contextualSpacing/>
        <w:rPr>
          <w:rFonts w:ascii="宋体" w:hAnsi="宋体" w:cs="宋体"/>
          <w:sz w:val="24"/>
        </w:rPr>
      </w:pPr>
      <w:r>
        <w:rPr>
          <w:rFonts w:hint="eastAsia" w:ascii="宋体" w:hAnsi="宋体" w:cs="宋体"/>
          <w:sz w:val="24"/>
        </w:rPr>
        <w:t xml:space="preserve">2）现场支持工程师在进行现场支持工作时必须在保证数据和系统安全的前提下开展工作。 </w:t>
      </w:r>
    </w:p>
    <w:p w14:paraId="1C061C82">
      <w:pPr>
        <w:widowControl/>
        <w:spacing w:line="360" w:lineRule="auto"/>
        <w:ind w:firstLine="480" w:firstLineChars="200"/>
        <w:contextualSpacing/>
        <w:rPr>
          <w:rFonts w:ascii="宋体" w:hAnsi="宋体" w:cs="宋体"/>
          <w:sz w:val="24"/>
        </w:rPr>
      </w:pPr>
      <w:r>
        <w:rPr>
          <w:rFonts w:hint="eastAsia" w:ascii="宋体" w:hAnsi="宋体" w:cs="宋体"/>
          <w:sz w:val="24"/>
        </w:rPr>
        <w:t>3）现场支持时出现暂时无法解决的故障或其他新的故障时，应告知用户并及时上报负责人，寻找其他解决途径。</w:t>
      </w:r>
    </w:p>
    <w:p w14:paraId="31805E00">
      <w:pPr>
        <w:widowControl/>
        <w:spacing w:line="360" w:lineRule="auto"/>
        <w:ind w:firstLine="480" w:firstLineChars="200"/>
        <w:contextualSpacing/>
        <w:rPr>
          <w:rFonts w:ascii="宋体" w:hAnsi="宋体" w:cs="宋体"/>
          <w:sz w:val="24"/>
        </w:rPr>
      </w:pPr>
      <w:r>
        <w:rPr>
          <w:rFonts w:hint="eastAsia" w:ascii="宋体" w:hAnsi="宋体" w:cs="宋体"/>
          <w:sz w:val="24"/>
        </w:rPr>
        <w:t>4）故障解决后，现场支持工程师要详细记录问题的发生时间、地点、提出人和问题描述，并形成书面文档，必要时应向用户介绍故障出现的原因及预防方法和解决技巧。</w:t>
      </w:r>
    </w:p>
    <w:p w14:paraId="24A2F760">
      <w:pPr>
        <w:widowControl/>
        <w:spacing w:line="360" w:lineRule="auto"/>
        <w:ind w:firstLine="480" w:firstLineChars="200"/>
        <w:contextualSpacing/>
        <w:rPr>
          <w:rFonts w:ascii="宋体" w:hAnsi="宋体" w:cs="宋体"/>
          <w:sz w:val="24"/>
        </w:rPr>
      </w:pPr>
      <w:r>
        <w:rPr>
          <w:rFonts w:hint="eastAsia" w:ascii="宋体" w:hAnsi="宋体" w:cs="宋体"/>
          <w:sz w:val="24"/>
        </w:rPr>
        <w:t>(3)问题记录规范要求</w:t>
      </w:r>
    </w:p>
    <w:p w14:paraId="1AF8DB65">
      <w:pPr>
        <w:widowControl/>
        <w:spacing w:line="360" w:lineRule="auto"/>
        <w:ind w:firstLine="480" w:firstLineChars="200"/>
        <w:contextualSpacing/>
        <w:rPr>
          <w:rFonts w:ascii="宋体" w:hAnsi="宋体" w:cs="宋体"/>
          <w:sz w:val="24"/>
        </w:rPr>
      </w:pPr>
      <w:r>
        <w:rPr>
          <w:rFonts w:hint="eastAsia" w:ascii="宋体" w:hAnsi="宋体" w:cs="宋体"/>
          <w:sz w:val="24"/>
        </w:rPr>
        <w:t>根据使用人员提出问题的类别，将问题分为咨询类问题和系统缺陷类问题二类：咨询类问题是指通过服务热线或现场解疑等方式能够当场解决用户提出的问题，具有问题解答直接、快速和实时的特点，该问题到现场支持人员处即可中止，对于该类问题的记录可使用咨询类问题记录模版进行记录。系统缺陷类问题是指使用人员提出的问题涉及到系统相应环节的确认修改，需要经过逐级提交、诊断、确认、处理和回复等环节，处理解决需要项目组的分析确认，问题有解决方案后，将解决方案反馈给用户。具体提交流程如下：</w:t>
      </w:r>
    </w:p>
    <w:p w14:paraId="58056A09">
      <w:pPr>
        <w:widowControl/>
        <w:spacing w:line="360" w:lineRule="auto"/>
        <w:ind w:firstLine="480" w:firstLineChars="200"/>
        <w:contextualSpacing/>
        <w:rPr>
          <w:rFonts w:ascii="宋体" w:hAnsi="宋体" w:cs="宋体"/>
          <w:sz w:val="24"/>
        </w:rPr>
      </w:pPr>
      <w:r>
        <w:rPr>
          <w:rFonts w:hint="eastAsia" w:ascii="宋体" w:hAnsi="宋体" w:cs="宋体"/>
          <w:sz w:val="24"/>
        </w:rPr>
        <w:t>1）问题提交。应用信息系统的用户发现属于系统缺陷类的问题时，填写系统缺陷类问题提交单，提交服务支持中心</w:t>
      </w:r>
    </w:p>
    <w:p w14:paraId="62C1CBE3">
      <w:pPr>
        <w:widowControl/>
        <w:spacing w:line="360" w:lineRule="auto"/>
        <w:ind w:firstLine="480" w:firstLineChars="200"/>
        <w:contextualSpacing/>
        <w:rPr>
          <w:rFonts w:ascii="宋体" w:hAnsi="宋体" w:cs="宋体"/>
          <w:sz w:val="24"/>
        </w:rPr>
      </w:pPr>
      <w:r>
        <w:rPr>
          <w:rFonts w:hint="eastAsia" w:ascii="宋体" w:hAnsi="宋体" w:cs="宋体"/>
          <w:sz w:val="24"/>
        </w:rPr>
        <w:t>2）问题分析。服务中心接到用户提交的问题单，要组织相应人员对问题单中描述的问题进行分析研判，确定问题的类型(技术问题、业务问题或者操作问题)。属于技术问题，提交服务中心技术人员对存在的问题提出具体的处理意见和建议；属于业务问题，提交服务中心业务人员进行处理；属于操作问题，可安排相关人员对问题提出人进行解释，并将系统缺陷类问题提交单转为系统咨询类问题提交单。</w:t>
      </w:r>
    </w:p>
    <w:p w14:paraId="3FB79D87">
      <w:pPr>
        <w:widowControl/>
        <w:spacing w:line="360" w:lineRule="auto"/>
        <w:ind w:firstLine="480" w:firstLineChars="200"/>
        <w:contextualSpacing/>
        <w:rPr>
          <w:rFonts w:ascii="宋体" w:hAnsi="宋体" w:cs="宋体"/>
          <w:sz w:val="24"/>
        </w:rPr>
      </w:pPr>
      <w:r>
        <w:rPr>
          <w:rFonts w:hint="eastAsia" w:ascii="宋体" w:hAnsi="宋体" w:cs="宋体"/>
          <w:sz w:val="24"/>
        </w:rPr>
        <w:t>3）问题确认、解决。服务中心的技术人员和业务人员收到系统缺陷类问题提交单后，对提交的问题进行归类汇总和分析、确认。可以解决的，明确问题解决的具体处理建议和措施，经负责人签字同意后，交实施人员进行解决方案的实施。服务人员确认是否解决，并将解决方法附在系统缺陷类问题提交单上反馈给问题提出人员。</w:t>
      </w:r>
    </w:p>
    <w:p w14:paraId="02232AA0">
      <w:pPr>
        <w:widowControl/>
        <w:spacing w:line="360" w:lineRule="auto"/>
        <w:ind w:firstLine="480" w:firstLineChars="200"/>
        <w:contextualSpacing/>
        <w:rPr>
          <w:rFonts w:ascii="宋体" w:hAnsi="宋体" w:cs="宋体"/>
          <w:sz w:val="24"/>
        </w:rPr>
      </w:pPr>
      <w:r>
        <w:rPr>
          <w:rFonts w:hint="eastAsia" w:ascii="宋体" w:hAnsi="宋体" w:cs="宋体"/>
          <w:sz w:val="24"/>
        </w:rPr>
        <w:t>4）问题上报。服务人员收到经业务或技术人员确认的系统缺陷类问题提交单后，上报服务中心。</w:t>
      </w:r>
    </w:p>
    <w:p w14:paraId="1A26E2CA">
      <w:pPr>
        <w:widowControl/>
        <w:spacing w:line="360" w:lineRule="auto"/>
        <w:ind w:firstLine="480" w:firstLineChars="200"/>
        <w:contextualSpacing/>
        <w:rPr>
          <w:rFonts w:ascii="宋体" w:hAnsi="宋体" w:cs="宋体"/>
          <w:sz w:val="24"/>
        </w:rPr>
      </w:pPr>
      <w:r>
        <w:rPr>
          <w:rFonts w:hint="eastAsia" w:ascii="宋体" w:hAnsi="宋体" w:cs="宋体"/>
          <w:sz w:val="24"/>
        </w:rPr>
        <w:t>5）问题回复。服务中心根据提交问题的进行分析，制定解决方案并进行实施的解决，同时做好变更记录。将解决方案汇总后及时向问题提交单位或问题交办单位作出回复，并将分析过程和问题产生原因一并提交。</w:t>
      </w:r>
    </w:p>
    <w:p w14:paraId="60D72EBC">
      <w:pPr>
        <w:widowControl/>
        <w:spacing w:line="360" w:lineRule="auto"/>
        <w:ind w:firstLine="480" w:firstLineChars="200"/>
        <w:contextualSpacing/>
        <w:rPr>
          <w:rFonts w:ascii="宋体" w:hAnsi="宋体" w:cs="宋体"/>
          <w:sz w:val="24"/>
        </w:rPr>
      </w:pPr>
      <w:r>
        <w:rPr>
          <w:rFonts w:hint="eastAsia" w:ascii="宋体" w:hAnsi="宋体" w:cs="宋体"/>
          <w:sz w:val="24"/>
        </w:rPr>
        <w:t>(4)保密要求</w:t>
      </w:r>
    </w:p>
    <w:p w14:paraId="3A28BA7D">
      <w:pPr>
        <w:widowControl/>
        <w:spacing w:line="360" w:lineRule="auto"/>
        <w:ind w:firstLine="480" w:firstLineChars="200"/>
        <w:contextualSpacing/>
        <w:rPr>
          <w:rFonts w:ascii="宋体" w:hAnsi="宋体" w:cs="宋体"/>
          <w:sz w:val="24"/>
        </w:rPr>
      </w:pPr>
      <w:r>
        <w:rPr>
          <w:rFonts w:hint="eastAsia" w:ascii="宋体" w:hAnsi="宋体" w:cs="宋体"/>
          <w:sz w:val="24"/>
        </w:rPr>
        <w:t>1）针对大兴教育网的保密信息，如内部网络服务器虚拟化平台的各种信息及数据；</w:t>
      </w:r>
    </w:p>
    <w:p w14:paraId="47871F3B">
      <w:pPr>
        <w:widowControl/>
        <w:spacing w:line="360" w:lineRule="auto"/>
        <w:ind w:firstLine="480" w:firstLineChars="200"/>
        <w:contextualSpacing/>
        <w:rPr>
          <w:rFonts w:ascii="宋体" w:hAnsi="宋体" w:cs="宋体"/>
          <w:sz w:val="24"/>
        </w:rPr>
      </w:pPr>
      <w:r>
        <w:rPr>
          <w:rFonts w:hint="eastAsia" w:ascii="宋体" w:hAnsi="宋体" w:cs="宋体"/>
          <w:sz w:val="24"/>
        </w:rPr>
        <w:t>2）IP地址分配；</w:t>
      </w:r>
    </w:p>
    <w:p w14:paraId="25C601C3">
      <w:pPr>
        <w:widowControl/>
        <w:spacing w:line="360" w:lineRule="auto"/>
        <w:ind w:firstLine="480" w:firstLineChars="200"/>
        <w:contextualSpacing/>
        <w:rPr>
          <w:rFonts w:ascii="宋体" w:hAnsi="宋体" w:cs="宋体"/>
          <w:sz w:val="24"/>
        </w:rPr>
      </w:pPr>
      <w:r>
        <w:rPr>
          <w:rFonts w:hint="eastAsia" w:ascii="宋体" w:hAnsi="宋体" w:cs="宋体"/>
          <w:sz w:val="24"/>
        </w:rPr>
        <w:t>3）网络拓扑结构；</w:t>
      </w:r>
    </w:p>
    <w:p w14:paraId="383E5BD3">
      <w:pPr>
        <w:widowControl/>
        <w:spacing w:line="360" w:lineRule="auto"/>
        <w:ind w:firstLine="480" w:firstLineChars="200"/>
        <w:contextualSpacing/>
        <w:rPr>
          <w:rFonts w:ascii="宋体" w:hAnsi="宋体" w:cs="宋体"/>
          <w:sz w:val="24"/>
        </w:rPr>
      </w:pPr>
      <w:r>
        <w:rPr>
          <w:rFonts w:hint="eastAsia" w:ascii="宋体" w:hAnsi="宋体" w:cs="宋体"/>
          <w:sz w:val="24"/>
        </w:rPr>
        <w:t>4）有关服务器系统（包括硬件和软件）和应用系统的信息；</w:t>
      </w:r>
    </w:p>
    <w:p w14:paraId="4B557A27">
      <w:pPr>
        <w:widowControl/>
        <w:spacing w:line="360" w:lineRule="auto"/>
        <w:ind w:firstLine="480" w:firstLineChars="200"/>
        <w:contextualSpacing/>
        <w:rPr>
          <w:rFonts w:ascii="宋体" w:hAnsi="宋体" w:cs="宋体"/>
          <w:sz w:val="24"/>
        </w:rPr>
      </w:pPr>
      <w:r>
        <w:rPr>
          <w:rFonts w:hint="eastAsia" w:ascii="宋体" w:hAnsi="宋体" w:cs="宋体"/>
          <w:sz w:val="24"/>
        </w:rPr>
        <w:t>5）其他与电子政务平台有关的信息；</w:t>
      </w:r>
    </w:p>
    <w:p w14:paraId="293C1578">
      <w:pPr>
        <w:widowControl/>
        <w:spacing w:line="360" w:lineRule="auto"/>
        <w:ind w:firstLine="480" w:firstLineChars="200"/>
        <w:contextualSpacing/>
        <w:rPr>
          <w:rFonts w:ascii="宋体" w:hAnsi="宋体" w:cs="宋体"/>
          <w:sz w:val="24"/>
        </w:rPr>
      </w:pPr>
      <w:r>
        <w:rPr>
          <w:rFonts w:hint="eastAsia" w:ascii="宋体" w:hAnsi="宋体" w:cs="宋体"/>
          <w:sz w:val="24"/>
        </w:rPr>
        <w:t>6）系统登陆密码；在项目讨论过程中，信息提供方和接受方之间所有往来的书面资料，电子文档资料及访谈记录等与本项目相关的信息，都将被视为保密信息；</w:t>
      </w:r>
    </w:p>
    <w:p w14:paraId="01105445">
      <w:pPr>
        <w:widowControl/>
        <w:spacing w:line="360" w:lineRule="auto"/>
        <w:ind w:firstLine="480" w:firstLineChars="200"/>
        <w:contextualSpacing/>
        <w:rPr>
          <w:rFonts w:ascii="宋体" w:hAnsi="宋体" w:cs="宋体"/>
          <w:sz w:val="24"/>
        </w:rPr>
      </w:pPr>
      <w:r>
        <w:rPr>
          <w:rFonts w:hint="eastAsia" w:ascii="宋体" w:hAnsi="宋体" w:cs="宋体"/>
          <w:sz w:val="24"/>
        </w:rPr>
        <w:t>7）为避免在计算机信息网络安全评估项目中发生泄密事件，给计算机信息网络带来不必要的损失，分别从项目和资料进行保密控制，确保项目的正常进行；</w:t>
      </w:r>
    </w:p>
    <w:p w14:paraId="6A7D8CF7">
      <w:pPr>
        <w:widowControl/>
        <w:spacing w:line="360" w:lineRule="auto"/>
        <w:ind w:firstLine="480" w:firstLineChars="200"/>
        <w:contextualSpacing/>
        <w:rPr>
          <w:rFonts w:ascii="宋体" w:hAnsi="宋体" w:cs="宋体"/>
          <w:sz w:val="24"/>
        </w:rPr>
      </w:pPr>
      <w:r>
        <w:rPr>
          <w:rFonts w:hint="eastAsia" w:ascii="宋体" w:hAnsi="宋体" w:cs="宋体"/>
          <w:sz w:val="24"/>
        </w:rPr>
        <w:t>8）双方单位签订项目保密协议，明确双方的保密义务、职责和违约处罚，根据的需要确定保密内容和期限；</w:t>
      </w:r>
    </w:p>
    <w:p w14:paraId="6D95DEE2">
      <w:pPr>
        <w:widowControl/>
        <w:spacing w:line="360" w:lineRule="auto"/>
        <w:ind w:firstLine="480" w:firstLineChars="200"/>
        <w:contextualSpacing/>
        <w:rPr>
          <w:rFonts w:ascii="宋体" w:hAnsi="宋体" w:cs="宋体"/>
          <w:sz w:val="24"/>
        </w:rPr>
      </w:pPr>
      <w:r>
        <w:rPr>
          <w:rFonts w:hint="eastAsia" w:ascii="宋体" w:hAnsi="宋体" w:cs="宋体"/>
          <w:sz w:val="24"/>
        </w:rPr>
        <w:t xml:space="preserve">9）对于双方互相提交的文档资料，部分涉及计算机信息系统需保密的电子文档仅限于提供给签立保密协议的核心项目组成员；对于进行解密处理的电子文档仅限于项目组内使用，受项目保密协议约束。 </w:t>
      </w:r>
    </w:p>
    <w:p w14:paraId="2154209A">
      <w:pPr>
        <w:widowControl/>
        <w:spacing w:line="360" w:lineRule="auto"/>
        <w:ind w:firstLine="480" w:firstLineChars="200"/>
        <w:contextualSpacing/>
        <w:rPr>
          <w:rFonts w:ascii="宋体" w:hAnsi="宋体" w:cs="宋体"/>
          <w:sz w:val="24"/>
        </w:rPr>
      </w:pPr>
      <w:r>
        <w:rPr>
          <w:rFonts w:hint="eastAsia" w:ascii="宋体" w:hAnsi="宋体" w:cs="宋体"/>
          <w:sz w:val="24"/>
        </w:rPr>
        <w:t>2.3 培训要求</w:t>
      </w:r>
    </w:p>
    <w:p w14:paraId="33737FB3">
      <w:pPr>
        <w:pStyle w:val="2"/>
        <w:framePr w:wrap="around"/>
        <w:rPr>
          <w:rFonts w:ascii="宋体" w:hAnsi="宋体" w:cs="宋体"/>
          <w:sz w:val="24"/>
        </w:rPr>
      </w:pPr>
    </w:p>
    <w:p w14:paraId="70F6C201">
      <w:pPr>
        <w:widowControl/>
        <w:spacing w:line="360" w:lineRule="auto"/>
        <w:ind w:firstLine="480" w:firstLineChars="200"/>
        <w:contextualSpacing/>
        <w:rPr>
          <w:rFonts w:ascii="宋体" w:hAnsi="宋体" w:cs="宋体"/>
          <w:sz w:val="24"/>
        </w:rPr>
      </w:pPr>
      <w:r>
        <w:rPr>
          <w:rFonts w:hint="eastAsia" w:ascii="宋体" w:hAnsi="宋体" w:cs="宋体"/>
          <w:sz w:val="24"/>
        </w:rPr>
        <w:t>针对机房基础环境设备、服务器、存储设备、网络设备、视频会议设备、内控管理系统等全部运维设备及业务系统，配套提供全周期专项培训服务。项目运维服务期间，需组建专属运维服务团队，严格落实岗前培训、在岗常态化培训、故障实战演练及应急专项培训等服务内容，确保所有驻场运维人员完全匹配本项目技术服务要求，熟练掌握设备日常运维、标准作业、故障排查、耗材更换、安全合规操作等服务技能，保障整体运维服务规范、专业、达标。</w:t>
      </w:r>
    </w:p>
    <w:p w14:paraId="457D813F">
      <w:pPr>
        <w:widowControl/>
        <w:spacing w:line="360" w:lineRule="auto"/>
        <w:ind w:firstLine="480" w:firstLineChars="200"/>
        <w:contextualSpacing/>
        <w:rPr>
          <w:rFonts w:ascii="宋体" w:hAnsi="宋体" w:cs="宋体"/>
          <w:sz w:val="24"/>
        </w:rPr>
      </w:pPr>
      <w:r>
        <w:rPr>
          <w:rFonts w:hint="eastAsia" w:ascii="宋体" w:hAnsi="宋体" w:cs="宋体"/>
          <w:sz w:val="24"/>
        </w:rPr>
        <w:t>围绕机房日常运维管理、设备状态核查、基础故障处置、重大活动协同保障、内控管理系统操作等实际工作需求开展常态化培训服务，全面满足项目甲乙双方协同运维、日常管理、业务保障的服务要求。所有培训师资、培训物料、实操教学、考核复盘等全部配套服务均包含在本次运维服务范围内，服务期内不另行收取任何培训费用，全程以配套增值服务方式落地实施，保障项目整体运维服务体系完整、运行顺畅。</w:t>
      </w:r>
    </w:p>
    <w:p w14:paraId="7AD4227A">
      <w:pPr>
        <w:widowControl/>
        <w:spacing w:line="360" w:lineRule="auto"/>
        <w:ind w:firstLine="480" w:firstLineChars="200"/>
        <w:contextualSpacing/>
        <w:rPr>
          <w:rFonts w:ascii="宋体" w:hAnsi="宋体" w:cs="宋体"/>
          <w:sz w:val="24"/>
        </w:rPr>
      </w:pPr>
      <w:r>
        <w:rPr>
          <w:rFonts w:hint="eastAsia" w:ascii="宋体" w:hAnsi="宋体" w:cs="宋体"/>
          <w:sz w:val="24"/>
        </w:rPr>
        <w:t>2.4 服务承诺要求</w:t>
      </w:r>
    </w:p>
    <w:p w14:paraId="373BA54C">
      <w:pPr>
        <w:pStyle w:val="2"/>
        <w:framePr w:wrap="around"/>
        <w:rPr>
          <w:rFonts w:ascii="宋体" w:hAnsi="宋体" w:cs="宋体"/>
          <w:sz w:val="24"/>
        </w:rPr>
      </w:pPr>
    </w:p>
    <w:p w14:paraId="06411B92">
      <w:pPr>
        <w:widowControl/>
        <w:spacing w:line="360" w:lineRule="auto"/>
        <w:ind w:firstLine="480" w:firstLineChars="200"/>
        <w:contextualSpacing/>
        <w:rPr>
          <w:rFonts w:ascii="宋体" w:hAnsi="宋体" w:cs="宋体"/>
          <w:sz w:val="24"/>
        </w:rPr>
      </w:pPr>
      <w:r>
        <w:rPr>
          <w:rFonts w:hint="eastAsia" w:ascii="宋体" w:hAnsi="宋体" w:cs="宋体"/>
          <w:sz w:val="24"/>
        </w:rPr>
        <w:t>运维服务需严格按照招标文件全部服务条款、技术标准、履约要求实施，采取专属团队驻场服务、日常定点巡检、主动运维保障、被叫响应服务、全年质保维保相结合的服务模式，全面覆盖机房基础环境、服务器、存储、网络、视频会议、内控管理系统等全部运维标的。服务期内，针对本项目所有运维设备及业务系统产生的各类故障，无论故障成因，均由我方全权负责免费排查、免费维修、免费硬件更换、免费调试修复，全程承担所有运维相关成本，严格落实项目一年全周期质保、无额外收费的服务要求，保障所有设备、系统持续稳定运行。</w:t>
      </w:r>
    </w:p>
    <w:p w14:paraId="0ACB640B">
      <w:pPr>
        <w:widowControl/>
        <w:spacing w:line="360" w:lineRule="auto"/>
        <w:ind w:firstLine="480" w:firstLineChars="200"/>
        <w:contextualSpacing/>
        <w:rPr>
          <w:rFonts w:ascii="宋体" w:hAnsi="宋体" w:cs="宋体"/>
          <w:sz w:val="24"/>
        </w:rPr>
      </w:pPr>
      <w:r>
        <w:rPr>
          <w:rFonts w:hint="eastAsia" w:ascii="宋体" w:hAnsi="宋体" w:cs="宋体"/>
          <w:sz w:val="24"/>
        </w:rPr>
        <w:t>各类运维工时、周期性巡检、耗材更换、柴油加注、设备养护、系统升级、安全加固等硬性服务内容，严格执行1小时远程响应、3个工作日现场处置、故障限时闭环的服务时效要求。全程落实7×24小时值守服务、台账记录、资料归档、月度季度报告报送、全程可追溯管理等服务要求，主动接受甲方日常管理、监督检查与考核验收，全面满足大兴区教育数据中心机房安全稳定运行、全区教育信息化业务连续不间断运行的核心服务履约要求。</w:t>
      </w:r>
    </w:p>
    <w:p w14:paraId="4F6708C0">
      <w:pPr>
        <w:widowControl/>
        <w:spacing w:line="360" w:lineRule="auto"/>
        <w:ind w:firstLine="480" w:firstLineChars="200"/>
        <w:contextualSpacing/>
        <w:rPr>
          <w:rFonts w:ascii="宋体" w:hAnsi="宋体" w:cs="宋体"/>
          <w:sz w:val="24"/>
        </w:rPr>
      </w:pPr>
      <w:r>
        <w:rPr>
          <w:rFonts w:hint="eastAsia" w:ascii="宋体" w:hAnsi="宋体" w:cs="宋体"/>
          <w:sz w:val="24"/>
        </w:rPr>
        <w:t>2.5 服务优化方案要求</w:t>
      </w:r>
    </w:p>
    <w:p w14:paraId="3EC77E99">
      <w:pPr>
        <w:pStyle w:val="2"/>
        <w:framePr w:wrap="around"/>
        <w:rPr>
          <w:rFonts w:ascii="宋体" w:hAnsi="宋体" w:cs="宋体"/>
          <w:sz w:val="24"/>
        </w:rPr>
      </w:pPr>
    </w:p>
    <w:p w14:paraId="06508D0D">
      <w:pPr>
        <w:widowControl/>
        <w:spacing w:line="360" w:lineRule="auto"/>
        <w:ind w:firstLine="480" w:firstLineChars="200"/>
        <w:contextualSpacing/>
        <w:rPr>
          <w:rFonts w:ascii="宋体" w:hAnsi="宋体" w:cs="宋体"/>
          <w:sz w:val="24"/>
        </w:rPr>
      </w:pPr>
      <w:r>
        <w:rPr>
          <w:rFonts w:hint="eastAsia" w:ascii="宋体" w:hAnsi="宋体" w:cs="宋体"/>
          <w:sz w:val="24"/>
        </w:rPr>
        <w:t>提供全方位免费运维优化提升服务，以进一步提升机房运行稳定性、运维规范性、故障处置效率与整体安全保障能力。针对本项目设备种类多、数量大、业务覆盖广、教育业务连续性要求高的运维特点，对现有运维服务流程、巡检机制、设备管控模式、工时管理、台账管理进行系统性优化，建立分级精细化巡检、设备运行监测、风险提前预判、故障溯源整改的主动运维服务机制，重点强化老旧设备、高负荷设备、核心业务设备的专项养护与性能优化，补齐常规运维短板，超额达标完成各项运维服务工作。</w:t>
      </w:r>
    </w:p>
    <w:p w14:paraId="5B3FDA8D">
      <w:pPr>
        <w:widowControl/>
        <w:spacing w:line="360" w:lineRule="auto"/>
        <w:ind w:firstLine="480" w:firstLineChars="200"/>
        <w:contextualSpacing/>
        <w:rPr>
          <w:rFonts w:ascii="宋体" w:hAnsi="宋体" w:cs="宋体"/>
          <w:sz w:val="24"/>
        </w:rPr>
      </w:pPr>
      <w:r>
        <w:rPr>
          <w:rFonts w:hint="eastAsia" w:ascii="宋体" w:hAnsi="宋体" w:cs="宋体"/>
          <w:sz w:val="24"/>
        </w:rPr>
        <w:t>持续优化应急保障、技术支撑、安全防护与现场服务体系，严格适配教育行业开学季、线上教学、各类专项会议等重点场景的保障服务要求，完善分级应急预案、常态化应急演练、重点时段专项值守保障服务机制。持续开展系统安全加固、漏洞排查、兼容性调优、虚拟化平台优化等技术服务工作，建立月度对接、问题闭环、复盘改进的常态化服务机制，配套提供个性化增值运维服务，持续提升项目运维服务精细化、标准化、安全化水平，高质量完成本项目全部运维服务履约要求。</w:t>
      </w:r>
    </w:p>
    <w:p w14:paraId="73C2CDB1">
      <w:pPr>
        <w:widowControl/>
        <w:spacing w:line="360" w:lineRule="auto"/>
        <w:ind w:firstLine="480" w:firstLineChars="200"/>
        <w:contextualSpacing/>
        <w:rPr>
          <w:rFonts w:ascii="宋体" w:hAnsi="宋体" w:cs="宋体"/>
          <w:sz w:val="24"/>
        </w:rPr>
      </w:pPr>
      <w:r>
        <w:rPr>
          <w:rFonts w:hint="eastAsia" w:ascii="宋体" w:hAnsi="宋体" w:cs="宋体"/>
          <w:sz w:val="24"/>
        </w:rPr>
        <w:t>2.6为落实政府采购政策需满足的要求</w:t>
      </w:r>
    </w:p>
    <w:p w14:paraId="135A0307">
      <w:pPr>
        <w:widowControl/>
        <w:spacing w:line="360" w:lineRule="auto"/>
        <w:ind w:firstLine="480" w:firstLineChars="200"/>
        <w:contextualSpacing/>
        <w:rPr>
          <w:rFonts w:ascii="宋体" w:hAnsi="宋体" w:cs="宋体"/>
          <w:sz w:val="24"/>
        </w:rPr>
      </w:pPr>
      <w:r>
        <w:rPr>
          <w:rFonts w:hint="eastAsia" w:ascii="宋体" w:hAnsi="宋体" w:cs="宋体"/>
          <w:sz w:val="24"/>
        </w:rPr>
        <w:t>数据中心相关设备和服务应优先采用国家鼓励的先进技术、工艺、产品和装备，不得使用国家公布的淘汰或禁止的技术、工艺、产品、装备及相关物质。</w:t>
      </w:r>
    </w:p>
    <w:p w14:paraId="7F32E39A">
      <w:pPr>
        <w:widowControl/>
        <w:spacing w:line="360" w:lineRule="auto"/>
        <w:ind w:firstLine="480" w:firstLineChars="200"/>
        <w:contextualSpacing/>
        <w:rPr>
          <w:rFonts w:ascii="宋体" w:hAnsi="宋体" w:cs="宋体"/>
          <w:sz w:val="24"/>
        </w:rPr>
      </w:pPr>
      <w:r>
        <w:rPr>
          <w:rFonts w:hint="eastAsia" w:ascii="宋体" w:hAnsi="宋体" w:cs="宋体"/>
          <w:sz w:val="24"/>
        </w:rPr>
        <w:t>2.7需由供应商提供设计方案、解决方案或者组织方案的采购项目，应当说明采购标的的功能、应用场景、目标等基本要求。</w:t>
      </w:r>
    </w:p>
    <w:p w14:paraId="5E5296C3">
      <w:pPr>
        <w:pStyle w:val="31"/>
        <w:adjustRightInd w:val="0"/>
        <w:spacing w:line="360" w:lineRule="auto"/>
        <w:ind w:firstLine="424" w:firstLineChars="177"/>
        <w:contextualSpacing/>
        <w:jc w:val="left"/>
        <w:rPr>
          <w:rFonts w:ascii="宋体" w:hAnsi="宋体" w:cs="宋体"/>
          <w:sz w:val="24"/>
        </w:rPr>
      </w:pPr>
      <w:r>
        <w:rPr>
          <w:rFonts w:hint="eastAsia" w:ascii="宋体" w:hAnsi="宋体" w:cs="宋体"/>
          <w:sz w:val="24"/>
        </w:rPr>
        <w:t>采购标的的功能：</w:t>
      </w:r>
    </w:p>
    <w:p w14:paraId="216E8E95">
      <w:pPr>
        <w:pStyle w:val="31"/>
        <w:adjustRightInd w:val="0"/>
        <w:spacing w:line="360" w:lineRule="auto"/>
        <w:ind w:firstLine="424" w:firstLineChars="177"/>
        <w:contextualSpacing/>
        <w:jc w:val="left"/>
        <w:rPr>
          <w:rFonts w:ascii="宋体" w:hAnsi="宋体" w:cs="宋体"/>
          <w:sz w:val="24"/>
        </w:rPr>
      </w:pPr>
      <w:r>
        <w:rPr>
          <w:rFonts w:ascii="宋体" w:hAnsi="宋体" w:cs="宋体"/>
          <w:sz w:val="24"/>
        </w:rPr>
        <w:t>采用规范化的运维管理，专业的</w:t>
      </w:r>
      <w:r>
        <w:rPr>
          <w:rFonts w:hint="eastAsia" w:ascii="宋体" w:hAnsi="宋体" w:cs="宋体"/>
          <w:sz w:val="24"/>
        </w:rPr>
        <w:t>运维</w:t>
      </w:r>
      <w:r>
        <w:rPr>
          <w:rFonts w:ascii="宋体" w:hAnsi="宋体" w:cs="宋体"/>
          <w:sz w:val="24"/>
        </w:rPr>
        <w:t>处置方法，通过可信、可控和可量化的高质量服务，建立</w:t>
      </w:r>
      <w:r>
        <w:rPr>
          <w:rFonts w:hint="eastAsia" w:ascii="宋体" w:hAnsi="宋体" w:cs="宋体"/>
          <w:sz w:val="24"/>
        </w:rPr>
        <w:t>数据中心</w:t>
      </w:r>
      <w:r>
        <w:rPr>
          <w:rFonts w:ascii="宋体" w:hAnsi="宋体" w:cs="宋体"/>
          <w:sz w:val="24"/>
        </w:rPr>
        <w:t>运维体系，加强</w:t>
      </w:r>
      <w:r>
        <w:rPr>
          <w:rFonts w:hint="eastAsia" w:ascii="宋体" w:hAnsi="宋体" w:cs="宋体"/>
          <w:sz w:val="24"/>
        </w:rPr>
        <w:t>运维管理水平</w:t>
      </w:r>
      <w:r>
        <w:rPr>
          <w:rFonts w:ascii="宋体" w:hAnsi="宋体" w:cs="宋体"/>
          <w:sz w:val="24"/>
        </w:rPr>
        <w:t>，从而更好的全面提高</w:t>
      </w:r>
      <w:r>
        <w:rPr>
          <w:rFonts w:hint="eastAsia" w:ascii="宋体" w:hAnsi="宋体" w:cs="宋体"/>
          <w:sz w:val="24"/>
        </w:rPr>
        <w:t>数据中心基础环境及设备的运质保</w:t>
      </w:r>
      <w:r>
        <w:rPr>
          <w:rFonts w:ascii="宋体" w:hAnsi="宋体" w:cs="宋体"/>
          <w:sz w:val="24"/>
        </w:rPr>
        <w:t>障水平，保障大兴区教育网信息系统的各项业务应用以及业务数据的</w:t>
      </w:r>
      <w:r>
        <w:rPr>
          <w:rFonts w:hint="eastAsia" w:ascii="宋体" w:hAnsi="宋体" w:cs="宋体"/>
          <w:sz w:val="24"/>
        </w:rPr>
        <w:t>稳定</w:t>
      </w:r>
      <w:r>
        <w:rPr>
          <w:rFonts w:ascii="宋体" w:hAnsi="宋体" w:cs="宋体"/>
          <w:sz w:val="24"/>
        </w:rPr>
        <w:t>可靠。</w:t>
      </w:r>
    </w:p>
    <w:p w14:paraId="2960B881">
      <w:pPr>
        <w:pStyle w:val="31"/>
        <w:adjustRightInd w:val="0"/>
        <w:spacing w:line="360" w:lineRule="auto"/>
        <w:ind w:firstLine="424" w:firstLineChars="177"/>
        <w:contextualSpacing/>
        <w:jc w:val="left"/>
        <w:rPr>
          <w:rFonts w:ascii="宋体" w:hAnsi="宋体" w:cs="宋体"/>
          <w:sz w:val="24"/>
        </w:rPr>
      </w:pPr>
      <w:r>
        <w:rPr>
          <w:rFonts w:hint="eastAsia" w:ascii="宋体" w:hAnsi="宋体" w:cs="宋体"/>
          <w:sz w:val="24"/>
        </w:rPr>
        <w:t>应用场景：</w:t>
      </w:r>
    </w:p>
    <w:p w14:paraId="7E93068D">
      <w:pPr>
        <w:pStyle w:val="31"/>
        <w:adjustRightInd w:val="0"/>
        <w:spacing w:line="360" w:lineRule="auto"/>
        <w:ind w:firstLine="424" w:firstLineChars="177"/>
        <w:contextualSpacing/>
        <w:jc w:val="left"/>
        <w:rPr>
          <w:rFonts w:ascii="宋体" w:hAnsi="宋体" w:cs="宋体"/>
          <w:sz w:val="24"/>
        </w:rPr>
      </w:pPr>
      <w:r>
        <w:rPr>
          <w:rFonts w:hint="eastAsia" w:ascii="宋体" w:hAnsi="宋体" w:cs="宋体"/>
          <w:sz w:val="24"/>
        </w:rPr>
        <w:t>通过数据中心基础环境及设备运维项目的开展，根据服务实际业务需求及相关运维要求，优化和完善运维管理体系，并采取全面的巡检及专业技术，确保数据中心基础环境及硬件系统稳定</w:t>
      </w:r>
      <w:r>
        <w:rPr>
          <w:rFonts w:ascii="宋体" w:hAnsi="宋体" w:cs="宋体"/>
          <w:sz w:val="24"/>
        </w:rPr>
        <w:t>可靠。</w:t>
      </w:r>
    </w:p>
    <w:p w14:paraId="696F3952">
      <w:pPr>
        <w:pStyle w:val="31"/>
        <w:adjustRightInd w:val="0"/>
        <w:spacing w:line="360" w:lineRule="auto"/>
        <w:ind w:firstLine="424" w:firstLineChars="177"/>
        <w:contextualSpacing/>
        <w:jc w:val="left"/>
        <w:rPr>
          <w:rFonts w:ascii="宋体" w:hAnsi="宋体" w:cs="宋体"/>
          <w:sz w:val="24"/>
        </w:rPr>
      </w:pPr>
      <w:r>
        <w:rPr>
          <w:rFonts w:hint="eastAsia" w:ascii="宋体" w:hAnsi="宋体" w:cs="宋体"/>
          <w:sz w:val="24"/>
        </w:rPr>
        <w:t>项目目标：</w:t>
      </w:r>
    </w:p>
    <w:p w14:paraId="5B577536">
      <w:pPr>
        <w:spacing w:line="360" w:lineRule="auto"/>
        <w:ind w:firstLine="420"/>
        <w:contextualSpacing/>
        <w:rPr>
          <w:rFonts w:ascii="宋体" w:hAnsi="宋体" w:cs="宋体"/>
          <w:sz w:val="24"/>
        </w:rPr>
      </w:pPr>
      <w:r>
        <w:rPr>
          <w:rFonts w:hint="eastAsia" w:ascii="宋体" w:hAnsi="宋体" w:cs="宋体"/>
          <w:sz w:val="24"/>
        </w:rPr>
        <w:t>大兴区教育数据中心</w:t>
      </w:r>
      <w:r>
        <w:rPr>
          <w:rFonts w:ascii="宋体" w:hAnsi="宋体" w:cs="宋体"/>
          <w:sz w:val="24"/>
        </w:rPr>
        <w:t>数据机房承载着大兴区全部的教育信息化应用。包括基础环境及数据中心设备的运维服务，通过服务外包的方式由专业运维服务团队完成，为</w:t>
      </w:r>
      <w:r>
        <w:rPr>
          <w:rFonts w:hint="eastAsia" w:ascii="宋体" w:hAnsi="宋体" w:cs="宋体"/>
          <w:sz w:val="24"/>
        </w:rPr>
        <w:t>大兴区教育数据中心数据</w:t>
      </w:r>
      <w:r>
        <w:rPr>
          <w:rFonts w:ascii="宋体" w:hAnsi="宋体" w:cs="宋体"/>
          <w:sz w:val="24"/>
        </w:rPr>
        <w:t>机房安全稳定的运行提供最基本保障。</w:t>
      </w:r>
    </w:p>
    <w:p w14:paraId="6183C86D">
      <w:pPr>
        <w:widowControl/>
        <w:spacing w:line="360" w:lineRule="auto"/>
        <w:ind w:firstLine="480" w:firstLineChars="200"/>
        <w:contextualSpacing/>
        <w:rPr>
          <w:rFonts w:ascii="宋体" w:hAnsi="宋体" w:cs="宋体"/>
          <w:sz w:val="24"/>
        </w:rPr>
      </w:pPr>
    </w:p>
    <w:p w14:paraId="5043F41F">
      <w:pPr>
        <w:adjustRightInd w:val="0"/>
        <w:spacing w:line="360" w:lineRule="atLeast"/>
        <w:ind w:left="420" w:leftChars="200"/>
        <w:jc w:val="left"/>
        <w:textAlignment w:val="baseline"/>
        <w:rPr>
          <w:rFonts w:ascii="宋体" w:hAnsi="宋体"/>
          <w:b/>
          <w:sz w:val="24"/>
        </w:rPr>
      </w:pPr>
      <w:r>
        <w:rPr>
          <w:rFonts w:hint="eastAsia" w:ascii="宋体" w:hAnsi="宋体"/>
          <w:b/>
          <w:sz w:val="24"/>
        </w:rPr>
        <w:t>第四包：2026年大兴区教育网安全服务项目技术服务要求</w:t>
      </w:r>
    </w:p>
    <w:p w14:paraId="011A469C">
      <w:pPr>
        <w:pStyle w:val="4"/>
        <w:rPr>
          <w:rFonts w:ascii="宋体" w:hAnsi="宋体" w:eastAsia="宋体" w:cs="Songti SC Regular"/>
          <w:sz w:val="24"/>
          <w:szCs w:val="21"/>
        </w:rPr>
      </w:pPr>
      <w:r>
        <w:rPr>
          <w:rFonts w:hint="eastAsia" w:ascii="宋体" w:hAnsi="宋体" w:eastAsia="宋体" w:cs="Songti SC Regular"/>
          <w:sz w:val="24"/>
          <w:szCs w:val="21"/>
        </w:rPr>
        <w:t>1. 基本要求</w:t>
      </w:r>
    </w:p>
    <w:p w14:paraId="68137F60">
      <w:pPr>
        <w:pStyle w:val="5"/>
        <w:rPr>
          <w:rFonts w:ascii="宋体" w:hAnsi="宋体" w:cs="Songti SC Regular"/>
          <w:sz w:val="24"/>
          <w:u w:val="none"/>
        </w:rPr>
      </w:pPr>
      <w:bookmarkStart w:id="27" w:name="_GoBack"/>
      <w:r>
        <w:rPr>
          <w:rFonts w:hint="eastAsia" w:ascii="宋体" w:hAnsi="宋体" w:cs="Songti SC Regular"/>
          <w:sz w:val="24"/>
          <w:u w:val="none"/>
        </w:rPr>
        <w:t>1.1 采购标的需实现目标</w:t>
      </w:r>
    </w:p>
    <w:p w14:paraId="4F0A6243">
      <w:pPr>
        <w:spacing w:line="360" w:lineRule="auto"/>
        <w:ind w:firstLine="480" w:firstLineChars="200"/>
        <w:jc w:val="left"/>
        <w:rPr>
          <w:rFonts w:ascii="宋体" w:hAnsi="宋体" w:cs="Songti SC Regular"/>
          <w:sz w:val="24"/>
          <w:u w:val="none"/>
        </w:rPr>
      </w:pPr>
      <w:r>
        <w:rPr>
          <w:rFonts w:hint="eastAsia" w:ascii="宋体" w:hAnsi="宋体" w:cs="Songti SC Regular"/>
          <w:sz w:val="24"/>
          <w:u w:val="none"/>
        </w:rPr>
        <w:t>通过本项目实施，能够有效发挥技术和设备的措施的效能，应对网络安全威胁的动态变化，持续满足国家网络安全保障要求，加强风险控制措施的落实。大兴区教师进修学校通过协同专业的安全服务技术团队，采用规范化的运维管理，专业的安全数据分析和事件处置方法，通过可信、可控和可量化的高质量安全服务，建立北京市大兴区教育网网络安全运维体系，全面加强大兴区教育网网络安全、系统安全、信息安全、应用安全、数据安全、终端安全，保障终端、网络、系统和服务器安全，加强系统和应用软件安全管理和升级维护，从而更好的全面提高大兴区教育网网络和信息安全保障水平，保障大兴区教育网信息系统的各项业务应用以及业务数据的安全可靠。</w:t>
      </w:r>
    </w:p>
    <w:p w14:paraId="5C688838">
      <w:pPr>
        <w:pStyle w:val="5"/>
        <w:rPr>
          <w:rFonts w:ascii="宋体" w:hAnsi="宋体" w:cs="Songti SC Regular"/>
          <w:u w:val="none"/>
        </w:rPr>
      </w:pPr>
      <w:r>
        <w:rPr>
          <w:rFonts w:hint="eastAsia" w:ascii="宋体" w:hAnsi="宋体" w:cs="Songti SC Regular"/>
          <w:sz w:val="24"/>
          <w:u w:val="none"/>
        </w:rPr>
        <w:t>1.2 国家相关标准、行业标准、地方标准或者其他标准、规范</w:t>
      </w:r>
    </w:p>
    <w:bookmarkEnd w:id="27"/>
    <w:p w14:paraId="313EAB0E">
      <w:pPr>
        <w:spacing w:line="360" w:lineRule="auto"/>
        <w:jc w:val="left"/>
        <w:rPr>
          <w:rFonts w:ascii="宋体" w:hAnsi="宋体" w:cs="Songti SC Regular"/>
          <w:sz w:val="24"/>
        </w:rPr>
      </w:pPr>
      <w:r>
        <w:rPr>
          <w:rFonts w:hint="eastAsia" w:ascii="宋体" w:hAnsi="宋体" w:cs="Songti SC Regular"/>
          <w:sz w:val="24"/>
        </w:rPr>
        <w:t>1.</w:t>
      </w:r>
      <w:r>
        <w:rPr>
          <w:rFonts w:hint="eastAsia" w:ascii="宋体" w:hAnsi="宋体" w:cs="Songti SC Regular"/>
          <w:sz w:val="24"/>
        </w:rPr>
        <w:tab/>
      </w:r>
      <w:r>
        <w:rPr>
          <w:rFonts w:hint="eastAsia" w:ascii="宋体" w:hAnsi="宋体" w:cs="Songti SC Regular"/>
          <w:sz w:val="24"/>
        </w:rPr>
        <w:t>GB/T 25058-2019《信息安全技术 网络安全等级保护实施指南》</w:t>
      </w:r>
    </w:p>
    <w:p w14:paraId="4C350257">
      <w:pPr>
        <w:spacing w:line="360" w:lineRule="auto"/>
        <w:jc w:val="left"/>
        <w:rPr>
          <w:rFonts w:ascii="宋体" w:hAnsi="宋体" w:cs="Songti SC Regular"/>
          <w:sz w:val="24"/>
        </w:rPr>
      </w:pPr>
      <w:r>
        <w:rPr>
          <w:rFonts w:hint="eastAsia" w:ascii="宋体" w:hAnsi="宋体" w:cs="Songti SC Regular"/>
          <w:sz w:val="24"/>
        </w:rPr>
        <w:t>2.</w:t>
      </w:r>
      <w:r>
        <w:rPr>
          <w:rFonts w:hint="eastAsia" w:ascii="宋体" w:hAnsi="宋体" w:cs="Songti SC Regular"/>
          <w:sz w:val="24"/>
        </w:rPr>
        <w:tab/>
      </w:r>
      <w:r>
        <w:rPr>
          <w:rFonts w:hint="eastAsia" w:ascii="宋体" w:hAnsi="宋体" w:cs="Songti SC Regular"/>
          <w:sz w:val="24"/>
        </w:rPr>
        <w:t>GB/T 28448-2019《信息安全技术 网络安全等级保护测评要求》</w:t>
      </w:r>
    </w:p>
    <w:p w14:paraId="28A79DAC">
      <w:pPr>
        <w:spacing w:line="360" w:lineRule="auto"/>
        <w:jc w:val="left"/>
        <w:rPr>
          <w:rFonts w:ascii="宋体" w:hAnsi="宋体" w:cs="Songti SC Regular"/>
          <w:sz w:val="24"/>
        </w:rPr>
      </w:pPr>
      <w:r>
        <w:rPr>
          <w:rFonts w:hint="eastAsia" w:ascii="宋体" w:hAnsi="宋体" w:cs="Songti SC Regular"/>
          <w:sz w:val="24"/>
        </w:rPr>
        <w:t>3.</w:t>
      </w:r>
      <w:r>
        <w:rPr>
          <w:rFonts w:hint="eastAsia" w:ascii="宋体" w:hAnsi="宋体" w:cs="Songti SC Regular"/>
          <w:sz w:val="24"/>
        </w:rPr>
        <w:tab/>
      </w:r>
      <w:r>
        <w:rPr>
          <w:rFonts w:hint="eastAsia" w:ascii="宋体" w:hAnsi="宋体" w:cs="Songti SC Regular"/>
          <w:sz w:val="24"/>
        </w:rPr>
        <w:t>GB/T 25070-2019《信息安全技术 网络安全等级保护安全设计技术要求》</w:t>
      </w:r>
    </w:p>
    <w:p w14:paraId="41588FB3">
      <w:pPr>
        <w:spacing w:line="360" w:lineRule="auto"/>
        <w:jc w:val="left"/>
        <w:rPr>
          <w:rFonts w:ascii="宋体" w:hAnsi="宋体" w:cs="Songti SC Regular"/>
          <w:sz w:val="24"/>
        </w:rPr>
      </w:pPr>
      <w:r>
        <w:rPr>
          <w:rFonts w:hint="eastAsia" w:ascii="宋体" w:hAnsi="宋体" w:cs="Songti SC Regular"/>
          <w:sz w:val="24"/>
        </w:rPr>
        <w:t>4.</w:t>
      </w:r>
      <w:r>
        <w:rPr>
          <w:rFonts w:hint="eastAsia" w:ascii="宋体" w:hAnsi="宋体" w:cs="Songti SC Regular"/>
          <w:sz w:val="24"/>
        </w:rPr>
        <w:tab/>
      </w:r>
      <w:r>
        <w:rPr>
          <w:rFonts w:hint="eastAsia" w:ascii="宋体" w:hAnsi="宋体" w:cs="Songti SC Regular"/>
          <w:sz w:val="24"/>
        </w:rPr>
        <w:t>GA/T 708-2007《信息安全技术 信息系统安全等级保护体系框架》</w:t>
      </w:r>
    </w:p>
    <w:p w14:paraId="7D8D930D">
      <w:pPr>
        <w:spacing w:line="360" w:lineRule="auto"/>
        <w:jc w:val="left"/>
        <w:rPr>
          <w:rFonts w:ascii="宋体" w:hAnsi="宋体" w:cs="Songti SC Regular"/>
          <w:sz w:val="24"/>
        </w:rPr>
      </w:pPr>
      <w:r>
        <w:rPr>
          <w:rFonts w:hint="eastAsia" w:ascii="宋体" w:hAnsi="宋体" w:cs="Songti SC Regular"/>
          <w:sz w:val="24"/>
        </w:rPr>
        <w:t>5.</w:t>
      </w:r>
      <w:r>
        <w:rPr>
          <w:rFonts w:hint="eastAsia" w:ascii="宋体" w:hAnsi="宋体" w:cs="Songti SC Regular"/>
          <w:sz w:val="24"/>
        </w:rPr>
        <w:tab/>
      </w:r>
      <w:r>
        <w:rPr>
          <w:rFonts w:hint="eastAsia" w:ascii="宋体" w:hAnsi="宋体" w:cs="Songti SC Regular"/>
          <w:sz w:val="24"/>
        </w:rPr>
        <w:t>GA/T 709-2007《信息安全技术 信息系统安全等级保护基本模型》</w:t>
      </w:r>
    </w:p>
    <w:p w14:paraId="3B4F4F70">
      <w:pPr>
        <w:spacing w:line="360" w:lineRule="auto"/>
        <w:jc w:val="left"/>
        <w:rPr>
          <w:rFonts w:ascii="宋体" w:hAnsi="宋体" w:cs="Songti SC Regular"/>
          <w:sz w:val="24"/>
        </w:rPr>
      </w:pPr>
      <w:r>
        <w:rPr>
          <w:rFonts w:hint="eastAsia" w:ascii="宋体" w:hAnsi="宋体" w:cs="Songti SC Regular"/>
          <w:sz w:val="24"/>
        </w:rPr>
        <w:t>6.</w:t>
      </w:r>
      <w:r>
        <w:rPr>
          <w:rFonts w:hint="eastAsia" w:ascii="宋体" w:hAnsi="宋体" w:cs="Songti SC Regular"/>
          <w:sz w:val="24"/>
        </w:rPr>
        <w:tab/>
      </w:r>
      <w:r>
        <w:rPr>
          <w:rFonts w:hint="eastAsia" w:ascii="宋体" w:hAnsi="宋体" w:cs="Songti SC Regular"/>
          <w:sz w:val="24"/>
        </w:rPr>
        <w:t>GB/T 20984-2022《信息安全技术 信息安全风险评估方法》</w:t>
      </w:r>
    </w:p>
    <w:p w14:paraId="6CA73CF3">
      <w:pPr>
        <w:spacing w:line="360" w:lineRule="auto"/>
        <w:jc w:val="left"/>
        <w:rPr>
          <w:rFonts w:ascii="宋体" w:hAnsi="宋体" w:cs="Songti SC Regular"/>
          <w:sz w:val="24"/>
        </w:rPr>
      </w:pPr>
      <w:r>
        <w:rPr>
          <w:rFonts w:hint="eastAsia" w:ascii="宋体" w:hAnsi="宋体" w:cs="Songti SC Regular"/>
          <w:sz w:val="24"/>
        </w:rPr>
        <w:t>7.</w:t>
      </w:r>
      <w:r>
        <w:rPr>
          <w:rFonts w:hint="eastAsia" w:ascii="宋体" w:hAnsi="宋体" w:cs="Songti SC Regular"/>
          <w:sz w:val="24"/>
        </w:rPr>
        <w:tab/>
      </w:r>
      <w:r>
        <w:rPr>
          <w:rFonts w:hint="eastAsia" w:ascii="宋体" w:hAnsi="宋体" w:cs="Songti SC Regular"/>
          <w:sz w:val="24"/>
        </w:rPr>
        <w:t>GB 50174-2017《数据中心设计规范》</w:t>
      </w:r>
    </w:p>
    <w:p w14:paraId="66DA1822">
      <w:pPr>
        <w:spacing w:line="360" w:lineRule="auto"/>
        <w:jc w:val="left"/>
        <w:rPr>
          <w:rFonts w:ascii="宋体" w:hAnsi="宋体" w:cs="Songti SC Regular"/>
          <w:sz w:val="24"/>
        </w:rPr>
      </w:pPr>
      <w:r>
        <w:rPr>
          <w:rFonts w:hint="eastAsia" w:ascii="宋体" w:hAnsi="宋体" w:cs="Songti SC Regular"/>
          <w:sz w:val="24"/>
        </w:rPr>
        <w:t>8.</w:t>
      </w:r>
      <w:r>
        <w:rPr>
          <w:rFonts w:hint="eastAsia" w:ascii="宋体" w:hAnsi="宋体" w:cs="Songti SC Regular"/>
          <w:sz w:val="24"/>
        </w:rPr>
        <w:tab/>
      </w:r>
      <w:r>
        <w:rPr>
          <w:rFonts w:hint="eastAsia" w:ascii="宋体" w:hAnsi="宋体" w:cs="Songti SC Regular"/>
          <w:sz w:val="24"/>
        </w:rPr>
        <w:t>GB/T 36958-2018《信息安全技术 网络安全等级保护安全管理中心技术要求》</w:t>
      </w:r>
    </w:p>
    <w:p w14:paraId="57DCB2E2">
      <w:pPr>
        <w:spacing w:line="360" w:lineRule="auto"/>
        <w:jc w:val="left"/>
        <w:rPr>
          <w:rFonts w:ascii="宋体" w:hAnsi="宋体" w:cs="Songti SC Regular"/>
          <w:sz w:val="24"/>
        </w:rPr>
      </w:pPr>
      <w:r>
        <w:rPr>
          <w:rFonts w:hint="eastAsia" w:ascii="宋体" w:hAnsi="宋体" w:cs="Songti SC Regular"/>
          <w:sz w:val="24"/>
        </w:rPr>
        <w:t>9.</w:t>
      </w:r>
      <w:r>
        <w:rPr>
          <w:rFonts w:hint="eastAsia" w:ascii="宋体" w:hAnsi="宋体" w:cs="Songti SC Regular"/>
          <w:sz w:val="24"/>
        </w:rPr>
        <w:tab/>
      </w:r>
      <w:r>
        <w:rPr>
          <w:rFonts w:hint="eastAsia" w:ascii="宋体" w:hAnsi="宋体" w:cs="Songti SC Regular"/>
          <w:sz w:val="24"/>
        </w:rPr>
        <w:t>GB/T 28449-2018《信息安全技术 网络安全等级保护测评过程指南》</w:t>
      </w:r>
    </w:p>
    <w:p w14:paraId="48C75C78">
      <w:pPr>
        <w:spacing w:line="360" w:lineRule="auto"/>
        <w:jc w:val="left"/>
        <w:rPr>
          <w:rFonts w:ascii="宋体" w:hAnsi="宋体" w:cs="Songti SC Regular"/>
          <w:sz w:val="24"/>
        </w:rPr>
      </w:pPr>
      <w:r>
        <w:rPr>
          <w:rFonts w:hint="eastAsia" w:ascii="宋体" w:hAnsi="宋体" w:cs="Songti SC Regular"/>
          <w:sz w:val="24"/>
        </w:rPr>
        <w:t>10.</w:t>
      </w:r>
      <w:r>
        <w:rPr>
          <w:rFonts w:hint="eastAsia" w:ascii="宋体" w:hAnsi="宋体" w:cs="Songti SC Regular"/>
          <w:sz w:val="24"/>
        </w:rPr>
        <w:tab/>
      </w:r>
      <w:r>
        <w:rPr>
          <w:rFonts w:hint="eastAsia" w:ascii="宋体" w:hAnsi="宋体" w:cs="Songti SC Regular"/>
          <w:sz w:val="24"/>
        </w:rPr>
        <w:t>GB/T 22239-2019《信息安全技术 网络安全等级保护基本要求》</w:t>
      </w:r>
    </w:p>
    <w:p w14:paraId="233355AA">
      <w:pPr>
        <w:spacing w:line="360" w:lineRule="auto"/>
        <w:jc w:val="left"/>
        <w:rPr>
          <w:rFonts w:ascii="宋体" w:hAnsi="宋体" w:cs="Songti SC Regular"/>
          <w:sz w:val="24"/>
        </w:rPr>
      </w:pPr>
      <w:r>
        <w:rPr>
          <w:rFonts w:hint="eastAsia" w:ascii="宋体" w:hAnsi="宋体" w:cs="Songti SC Regular"/>
          <w:sz w:val="24"/>
        </w:rPr>
        <w:t>11.</w:t>
      </w:r>
      <w:r>
        <w:rPr>
          <w:rFonts w:hint="eastAsia" w:ascii="宋体" w:hAnsi="宋体" w:cs="Songti SC Regular"/>
          <w:sz w:val="24"/>
        </w:rPr>
        <w:tab/>
      </w:r>
      <w:r>
        <w:rPr>
          <w:rFonts w:hint="eastAsia" w:ascii="宋体" w:hAnsi="宋体" w:cs="Songti SC Regular"/>
          <w:sz w:val="24"/>
        </w:rPr>
        <w:t>《中华人民共和国数据安全法》</w:t>
      </w:r>
    </w:p>
    <w:p w14:paraId="036A2E15">
      <w:pPr>
        <w:spacing w:line="360" w:lineRule="auto"/>
        <w:jc w:val="left"/>
        <w:rPr>
          <w:rFonts w:ascii="宋体" w:hAnsi="宋体" w:cs="Songti SC Regular"/>
          <w:sz w:val="24"/>
        </w:rPr>
      </w:pPr>
      <w:r>
        <w:rPr>
          <w:rFonts w:hint="eastAsia" w:ascii="宋体" w:hAnsi="宋体" w:cs="Songti SC Regular"/>
          <w:sz w:val="24"/>
        </w:rPr>
        <w:t>12.</w:t>
      </w:r>
      <w:r>
        <w:rPr>
          <w:rFonts w:hint="eastAsia" w:ascii="宋体" w:hAnsi="宋体" w:cs="Songti SC Regular"/>
          <w:sz w:val="24"/>
        </w:rPr>
        <w:tab/>
      </w:r>
      <w:r>
        <w:rPr>
          <w:rFonts w:hint="eastAsia" w:ascii="宋体" w:hAnsi="宋体" w:cs="Songti SC Regular"/>
          <w:sz w:val="24"/>
        </w:rPr>
        <w:t>《中华人民共和国个人信息保护法》</w:t>
      </w:r>
    </w:p>
    <w:p w14:paraId="1B768E82">
      <w:pPr>
        <w:spacing w:line="360" w:lineRule="auto"/>
        <w:jc w:val="left"/>
        <w:rPr>
          <w:rFonts w:ascii="宋体" w:hAnsi="宋体" w:cs="Songti SC Regular"/>
          <w:sz w:val="24"/>
        </w:rPr>
      </w:pPr>
      <w:r>
        <w:rPr>
          <w:rFonts w:hint="eastAsia" w:ascii="宋体" w:hAnsi="宋体" w:cs="Songti SC Regular"/>
          <w:sz w:val="24"/>
        </w:rPr>
        <w:t>13.</w:t>
      </w:r>
      <w:r>
        <w:rPr>
          <w:rFonts w:hint="eastAsia" w:ascii="宋体" w:hAnsi="宋体" w:cs="Songti SC Regular"/>
          <w:sz w:val="24"/>
        </w:rPr>
        <w:tab/>
      </w:r>
      <w:r>
        <w:rPr>
          <w:rFonts w:hint="eastAsia" w:ascii="宋体" w:hAnsi="宋体" w:cs="Songti SC Regular"/>
          <w:sz w:val="24"/>
        </w:rPr>
        <w:t>GB/T 35273-2020《信息安全技术 个人信息安全规范》</w:t>
      </w:r>
    </w:p>
    <w:p w14:paraId="2E45D184">
      <w:pPr>
        <w:pStyle w:val="5"/>
        <w:rPr>
          <w:rFonts w:ascii="宋体" w:hAnsi="宋体" w:cs="Songti SC Regular"/>
          <w:sz w:val="24"/>
          <w:u w:val="none"/>
        </w:rPr>
      </w:pPr>
      <w:r>
        <w:rPr>
          <w:rFonts w:hint="eastAsia" w:ascii="宋体" w:hAnsi="宋体" w:cs="Songti SC Regular"/>
          <w:sz w:val="24"/>
          <w:u w:val="none"/>
        </w:rPr>
        <w:t>1.3项目实施方案、项目理解、团队技术能力、安全培训方案、售后服务方案要求</w:t>
      </w:r>
    </w:p>
    <w:p w14:paraId="478388F3">
      <w:pPr>
        <w:pStyle w:val="5"/>
        <w:rPr>
          <w:rFonts w:ascii="宋体" w:hAnsi="宋体" w:cs="Songti SC Regular"/>
          <w:sz w:val="24"/>
          <w:u w:val="none"/>
        </w:rPr>
      </w:pPr>
      <w:r>
        <w:rPr>
          <w:rFonts w:hint="eastAsia" w:ascii="宋体" w:hAnsi="宋体" w:cs="Songti SC Regular"/>
          <w:sz w:val="24"/>
          <w:u w:val="none"/>
        </w:rPr>
        <w:t>一、项目实施方案</w:t>
      </w:r>
    </w:p>
    <w:p w14:paraId="1C299D82">
      <w:pPr>
        <w:widowControl/>
        <w:spacing w:line="360" w:lineRule="auto"/>
        <w:ind w:left="-360" w:firstLine="480" w:firstLineChars="200"/>
        <w:rPr>
          <w:rFonts w:ascii="宋体" w:hAnsi="宋体" w:cs="Songti SC Regular"/>
          <w:sz w:val="24"/>
          <w:u w:val="none"/>
        </w:rPr>
      </w:pPr>
      <w:r>
        <w:rPr>
          <w:rFonts w:hint="eastAsia" w:ascii="宋体" w:hAnsi="宋体" w:cs="Songti SC Regular"/>
          <w:sz w:val="24"/>
          <w:u w:val="none"/>
        </w:rPr>
        <w:t>需求分析与总体设计：提供详细需求分析、总体方案设计。</w:t>
      </w:r>
    </w:p>
    <w:p w14:paraId="038C45CB">
      <w:pPr>
        <w:widowControl/>
        <w:spacing w:line="360" w:lineRule="auto"/>
        <w:ind w:left="-360" w:firstLine="480" w:firstLineChars="200"/>
        <w:rPr>
          <w:rFonts w:ascii="宋体" w:hAnsi="宋体" w:cs="Songti SC Regular"/>
          <w:sz w:val="24"/>
          <w:u w:val="none"/>
        </w:rPr>
      </w:pPr>
      <w:r>
        <w:rPr>
          <w:rFonts w:hint="eastAsia" w:ascii="宋体" w:hAnsi="宋体" w:cs="Songti SC Regular"/>
          <w:sz w:val="24"/>
          <w:u w:val="none"/>
        </w:rPr>
        <w:t>实施计划：提供详细实施进度计划，明确各阶段任务、周期、交付物、验收标准与流程。</w:t>
      </w:r>
    </w:p>
    <w:p w14:paraId="375E2DC0">
      <w:pPr>
        <w:pStyle w:val="2"/>
        <w:framePr w:wrap="around"/>
        <w:rPr>
          <w:u w:val="none"/>
        </w:rPr>
      </w:pPr>
    </w:p>
    <w:p w14:paraId="330DF0A6">
      <w:pPr>
        <w:pStyle w:val="5"/>
        <w:rPr>
          <w:rFonts w:ascii="宋体" w:hAnsi="宋体" w:cs="Songti SC Regular"/>
          <w:sz w:val="24"/>
          <w:u w:val="none"/>
        </w:rPr>
      </w:pPr>
      <w:r>
        <w:rPr>
          <w:rFonts w:hint="eastAsia" w:ascii="宋体" w:hAnsi="宋体" w:cs="Songti SC Regular"/>
          <w:sz w:val="24"/>
          <w:u w:val="none"/>
        </w:rPr>
        <w:t>二、项目理解</w:t>
      </w:r>
    </w:p>
    <w:p w14:paraId="38D5D83D">
      <w:pPr>
        <w:widowControl/>
        <w:spacing w:line="360" w:lineRule="auto"/>
        <w:ind w:left="-360" w:firstLine="480" w:firstLineChars="200"/>
        <w:rPr>
          <w:rFonts w:ascii="宋体" w:hAnsi="宋体" w:cs="Songti SC Regular"/>
          <w:sz w:val="24"/>
          <w:u w:val="none"/>
        </w:rPr>
      </w:pPr>
      <w:r>
        <w:rPr>
          <w:rFonts w:hint="eastAsia" w:ascii="宋体" w:hAnsi="宋体" w:cs="Songti SC Regular"/>
          <w:sz w:val="24"/>
          <w:u w:val="none"/>
        </w:rPr>
        <w:t>针对本项目的项目背景、政策依据、达到的效果、解决痛点等内容进行描述。同时对项目的建设思路、遵循的标准、服务原则进行描述。</w:t>
      </w:r>
    </w:p>
    <w:p w14:paraId="7ED55E05">
      <w:pPr>
        <w:pStyle w:val="5"/>
        <w:ind w:firstLine="241" w:firstLineChars="100"/>
        <w:rPr>
          <w:rFonts w:ascii="宋体" w:hAnsi="宋体" w:cs="Songti SC Regular"/>
          <w:sz w:val="24"/>
          <w:u w:val="none"/>
        </w:rPr>
      </w:pPr>
      <w:r>
        <w:rPr>
          <w:rFonts w:hint="eastAsia" w:ascii="宋体" w:hAnsi="宋体" w:cs="Songti SC Regular"/>
          <w:sz w:val="24"/>
          <w:u w:val="none"/>
        </w:rPr>
        <w:t>三、团队技术能力</w:t>
      </w:r>
    </w:p>
    <w:p w14:paraId="5A84D90E">
      <w:pPr>
        <w:widowControl/>
        <w:spacing w:line="360" w:lineRule="auto"/>
        <w:ind w:left="-360" w:firstLine="480" w:firstLineChars="200"/>
        <w:rPr>
          <w:rFonts w:ascii="宋体" w:hAnsi="宋体" w:cs="Songti SC Regular"/>
          <w:sz w:val="24"/>
          <w:u w:val="none"/>
        </w:rPr>
      </w:pPr>
      <w:r>
        <w:rPr>
          <w:rFonts w:hint="eastAsia" w:ascii="宋体" w:hAnsi="宋体" w:cs="Songti SC Regular"/>
          <w:sz w:val="24"/>
          <w:u w:val="none"/>
        </w:rPr>
        <w:t>资源配置与组织管理：说明项目人员组织架构。</w:t>
      </w:r>
    </w:p>
    <w:p w14:paraId="3587D603">
      <w:pPr>
        <w:pStyle w:val="2"/>
        <w:framePr w:wrap="around"/>
        <w:rPr>
          <w:u w:val="none"/>
        </w:rPr>
      </w:pPr>
    </w:p>
    <w:p w14:paraId="372A0875">
      <w:pPr>
        <w:widowControl/>
        <w:spacing w:line="360" w:lineRule="auto"/>
        <w:ind w:left="-360" w:firstLine="480" w:firstLineChars="200"/>
        <w:rPr>
          <w:rFonts w:ascii="宋体" w:hAnsi="宋体" w:cs="Songti SC Regular"/>
          <w:sz w:val="24"/>
          <w:u w:val="none"/>
        </w:rPr>
      </w:pPr>
      <w:r>
        <w:rPr>
          <w:rFonts w:hint="eastAsia" w:ascii="宋体" w:hAnsi="宋体" w:cs="Songti SC Regular"/>
          <w:sz w:val="24"/>
          <w:u w:val="none"/>
        </w:rPr>
        <w:t>人员资质与经验：项目经理 / 技术负责人须具备同类项目经验、相关认证或专业能力；驻场人员须具备对应技术领域工作经验。</w:t>
      </w:r>
    </w:p>
    <w:p w14:paraId="62934266">
      <w:pPr>
        <w:widowControl/>
        <w:spacing w:line="360" w:lineRule="auto"/>
        <w:ind w:left="-360" w:firstLine="480" w:firstLineChars="200"/>
        <w:rPr>
          <w:rFonts w:ascii="宋体" w:hAnsi="宋体" w:cs="Songti SC Regular"/>
          <w:sz w:val="24"/>
          <w:u w:val="none"/>
        </w:rPr>
      </w:pPr>
      <w:r>
        <w:rPr>
          <w:rFonts w:hint="eastAsia" w:ascii="宋体" w:hAnsi="宋体" w:cs="Songti SC Regular"/>
          <w:sz w:val="24"/>
          <w:u w:val="none"/>
        </w:rPr>
        <w:t>公司技术实力：提供技术体系、案例证明、相关资质证书、专利 / 软著等。</w:t>
      </w:r>
    </w:p>
    <w:p w14:paraId="46673159">
      <w:pPr>
        <w:widowControl/>
        <w:spacing w:line="360" w:lineRule="auto"/>
        <w:ind w:left="-360" w:firstLine="480" w:firstLineChars="200"/>
        <w:rPr>
          <w:rFonts w:ascii="宋体" w:hAnsi="宋体" w:cs="Songti SC Regular"/>
          <w:sz w:val="24"/>
          <w:u w:val="none"/>
        </w:rPr>
      </w:pPr>
      <w:r>
        <w:rPr>
          <w:rFonts w:hint="eastAsia" w:ascii="宋体" w:hAnsi="宋体" w:cs="Songti SC Regular"/>
          <w:sz w:val="24"/>
          <w:u w:val="none"/>
        </w:rPr>
        <w:t>稳定性保障：承诺项目期间核心人员不随意更换，如需更换须经采购人同意并保证能力不降低。</w:t>
      </w:r>
    </w:p>
    <w:p w14:paraId="7FDD0B8E">
      <w:pPr>
        <w:pStyle w:val="5"/>
        <w:rPr>
          <w:rFonts w:ascii="宋体" w:hAnsi="宋体" w:cs="Songti SC Regular"/>
          <w:sz w:val="24"/>
          <w:u w:val="none"/>
        </w:rPr>
      </w:pPr>
      <w:r>
        <w:rPr>
          <w:rFonts w:hint="eastAsia" w:ascii="宋体" w:hAnsi="宋体" w:cs="Songti SC Regular"/>
          <w:sz w:val="24"/>
          <w:u w:val="none"/>
        </w:rPr>
        <w:t>四、安全培训方案</w:t>
      </w:r>
    </w:p>
    <w:p w14:paraId="5E1139D3">
      <w:pPr>
        <w:widowControl/>
        <w:spacing w:line="360" w:lineRule="auto"/>
        <w:ind w:left="-360"/>
        <w:rPr>
          <w:rFonts w:ascii="宋体" w:hAnsi="宋体" w:cs="Songti SC Regular"/>
          <w:sz w:val="24"/>
          <w:u w:val="none"/>
        </w:rPr>
      </w:pPr>
      <w:r>
        <w:rPr>
          <w:rFonts w:hint="eastAsia" w:ascii="宋体" w:hAnsi="宋体" w:cs="Songti SC Regular"/>
          <w:sz w:val="24"/>
          <w:u w:val="none"/>
        </w:rPr>
        <w:t>培训内容：包含安全管理制度、操作安全、网络安全、应急演练、风险防范、案例警示等。</w:t>
      </w:r>
    </w:p>
    <w:p w14:paraId="55E43B94">
      <w:pPr>
        <w:widowControl/>
        <w:spacing w:line="360" w:lineRule="auto"/>
        <w:ind w:left="-360" w:firstLine="480" w:firstLineChars="200"/>
        <w:rPr>
          <w:rFonts w:ascii="宋体" w:hAnsi="宋体" w:cs="Songti SC Regular"/>
          <w:sz w:val="24"/>
          <w:u w:val="none"/>
        </w:rPr>
      </w:pPr>
      <w:r>
        <w:rPr>
          <w:rFonts w:hint="eastAsia" w:ascii="宋体" w:hAnsi="宋体" w:cs="Songti SC Regular"/>
          <w:sz w:val="24"/>
          <w:u w:val="none"/>
        </w:rPr>
        <w:t>培训方式与对象：明确培训对象、培训形式（线上 / 线下 / 现场）、频次、课时、培训材料与课件。</w:t>
      </w:r>
    </w:p>
    <w:p w14:paraId="2FCE7422">
      <w:pPr>
        <w:widowControl/>
        <w:spacing w:line="360" w:lineRule="auto"/>
        <w:ind w:left="-360" w:firstLine="480" w:firstLineChars="200"/>
        <w:rPr>
          <w:rFonts w:ascii="宋体" w:hAnsi="宋体" w:cs="Songti SC Regular"/>
          <w:sz w:val="24"/>
          <w:u w:val="none"/>
        </w:rPr>
      </w:pPr>
      <w:r>
        <w:rPr>
          <w:rFonts w:hint="eastAsia" w:ascii="宋体" w:hAnsi="宋体" w:cs="Songti SC Regular"/>
          <w:sz w:val="24"/>
          <w:u w:val="none"/>
        </w:rPr>
        <w:t>培训计划与效果：提供培训计划、签到、培训总结。</w:t>
      </w:r>
    </w:p>
    <w:p w14:paraId="1E4A0E40">
      <w:pPr>
        <w:pStyle w:val="2"/>
        <w:framePr w:wrap="around"/>
        <w:rPr>
          <w:u w:val="none"/>
        </w:rPr>
      </w:pPr>
    </w:p>
    <w:p w14:paraId="1A11752F">
      <w:pPr>
        <w:pStyle w:val="5"/>
        <w:rPr>
          <w:rFonts w:ascii="宋体" w:hAnsi="宋体" w:cs="Songti SC Regular"/>
          <w:sz w:val="24"/>
          <w:u w:val="none"/>
        </w:rPr>
      </w:pPr>
      <w:r>
        <w:rPr>
          <w:rFonts w:hint="eastAsia" w:ascii="宋体" w:hAnsi="宋体" w:cs="Songti SC Regular"/>
          <w:sz w:val="24"/>
          <w:u w:val="none"/>
        </w:rPr>
        <w:t>五、售后服务方案</w:t>
      </w:r>
    </w:p>
    <w:p w14:paraId="2AC94DF0">
      <w:pPr>
        <w:widowControl/>
        <w:spacing w:line="360" w:lineRule="auto"/>
        <w:ind w:left="-360" w:firstLine="480" w:firstLineChars="200"/>
        <w:rPr>
          <w:rFonts w:ascii="宋体" w:hAnsi="宋体" w:cs="Songti SC Regular"/>
          <w:sz w:val="24"/>
        </w:rPr>
      </w:pPr>
      <w:r>
        <w:rPr>
          <w:rFonts w:hint="eastAsia" w:ascii="宋体" w:hAnsi="宋体" w:cs="Songti SC Regular"/>
          <w:sz w:val="24"/>
        </w:rPr>
        <w:t>服务范围与内容：运维范围、故障处理、版本升级、技术支持、咨询响应等服务内容。</w:t>
      </w:r>
    </w:p>
    <w:p w14:paraId="07BFBD11">
      <w:pPr>
        <w:widowControl/>
        <w:spacing w:line="360" w:lineRule="auto"/>
        <w:ind w:left="-360" w:firstLine="480" w:firstLineChars="200"/>
        <w:rPr>
          <w:rFonts w:ascii="宋体" w:hAnsi="宋体" w:cs="Songti SC Regular"/>
          <w:sz w:val="24"/>
        </w:rPr>
      </w:pPr>
      <w:r>
        <w:rPr>
          <w:rFonts w:hint="eastAsia" w:ascii="宋体" w:hAnsi="宋体" w:cs="Songti SC Regular"/>
          <w:sz w:val="24"/>
        </w:rPr>
        <w:t>响应与解决时效：明确7×24 小时响应方式、响应时限、到场时限、故障分级与解决时限。</w:t>
      </w:r>
    </w:p>
    <w:p w14:paraId="61C4F696">
      <w:pPr>
        <w:widowControl/>
        <w:spacing w:line="360" w:lineRule="auto"/>
        <w:ind w:left="-360" w:firstLine="480" w:firstLineChars="200"/>
        <w:rPr>
          <w:rFonts w:ascii="宋体" w:hAnsi="宋体" w:cs="Songti SC Regular"/>
          <w:sz w:val="24"/>
        </w:rPr>
      </w:pPr>
      <w:r>
        <w:rPr>
          <w:rFonts w:hint="eastAsia" w:ascii="宋体" w:hAnsi="宋体" w:cs="Songti SC Regular"/>
          <w:sz w:val="24"/>
        </w:rPr>
        <w:t>服务体系与保障：提供服务流程、应急保障、服务报告。</w:t>
      </w:r>
    </w:p>
    <w:p w14:paraId="5C34C849">
      <w:pPr>
        <w:widowControl/>
        <w:spacing w:line="360" w:lineRule="auto"/>
        <w:ind w:left="-360" w:firstLine="480" w:firstLineChars="200"/>
        <w:rPr>
          <w:rFonts w:ascii="宋体" w:hAnsi="宋体" w:cs="Songti SC Regular"/>
          <w:sz w:val="24"/>
        </w:rPr>
      </w:pPr>
      <w:r>
        <w:rPr>
          <w:rFonts w:hint="eastAsia" w:ascii="宋体" w:hAnsi="宋体" w:cs="Songti SC Regular"/>
          <w:sz w:val="24"/>
        </w:rPr>
        <w:t>交付与验收：明确服务交付物、服务满意度。</w:t>
      </w:r>
    </w:p>
    <w:p w14:paraId="6FF472A8">
      <w:pPr>
        <w:rPr>
          <w:rFonts w:ascii="宋体" w:hAnsi="宋体" w:cs="Songti SC Regular"/>
          <w:b/>
          <w:sz w:val="24"/>
          <w:szCs w:val="21"/>
        </w:rPr>
      </w:pPr>
      <w:r>
        <w:rPr>
          <w:rFonts w:hint="eastAsia" w:ascii="宋体" w:hAnsi="宋体" w:cs="Songti SC Regular"/>
          <w:b/>
          <w:sz w:val="24"/>
          <w:szCs w:val="21"/>
        </w:rPr>
        <w:br w:type="page"/>
      </w:r>
    </w:p>
    <w:p w14:paraId="0FDF8494">
      <w:pPr>
        <w:pStyle w:val="4"/>
        <w:numPr>
          <w:ilvl w:val="0"/>
          <w:numId w:val="8"/>
        </w:numPr>
        <w:spacing w:line="240" w:lineRule="auto"/>
        <w:rPr>
          <w:rFonts w:ascii="宋体" w:hAnsi="宋体" w:eastAsia="宋体" w:cs="Songti SC Regular"/>
          <w:sz w:val="24"/>
          <w:szCs w:val="21"/>
        </w:rPr>
      </w:pPr>
      <w:r>
        <w:rPr>
          <w:rFonts w:hint="eastAsia" w:ascii="宋体" w:hAnsi="宋体" w:eastAsia="宋体" w:cs="Songti SC Regular"/>
          <w:sz w:val="24"/>
          <w:szCs w:val="21"/>
        </w:rPr>
        <w:t>服务内容及要求</w:t>
      </w:r>
    </w:p>
    <w:p w14:paraId="0CEDEAD3">
      <w:pPr>
        <w:pStyle w:val="5"/>
        <w:rPr>
          <w:rFonts w:ascii="宋体" w:hAnsi="宋体" w:cs="Songti SC Regular"/>
          <w:sz w:val="24"/>
        </w:rPr>
      </w:pPr>
      <w:r>
        <w:rPr>
          <w:rFonts w:hint="eastAsia" w:ascii="宋体" w:hAnsi="宋体" w:cs="Songti SC Regular"/>
          <w:sz w:val="24"/>
        </w:rPr>
        <w:t>2.1采购标的需满足的技术规格要求</w:t>
      </w:r>
    </w:p>
    <w:tbl>
      <w:tblPr>
        <w:tblStyle w:val="24"/>
        <w:tblW w:w="4998" w:type="pct"/>
        <w:tblInd w:w="0" w:type="dxa"/>
        <w:tblLayout w:type="autofit"/>
        <w:tblCellMar>
          <w:top w:w="0" w:type="dxa"/>
          <w:left w:w="108" w:type="dxa"/>
          <w:bottom w:w="0" w:type="dxa"/>
          <w:right w:w="108" w:type="dxa"/>
        </w:tblCellMar>
      </w:tblPr>
      <w:tblGrid>
        <w:gridCol w:w="416"/>
        <w:gridCol w:w="773"/>
        <w:gridCol w:w="1257"/>
        <w:gridCol w:w="4054"/>
        <w:gridCol w:w="585"/>
        <w:gridCol w:w="718"/>
        <w:gridCol w:w="716"/>
      </w:tblGrid>
      <w:tr w14:paraId="252789F9">
        <w:tblPrEx>
          <w:tblCellMar>
            <w:top w:w="0" w:type="dxa"/>
            <w:left w:w="108" w:type="dxa"/>
            <w:bottom w:w="0" w:type="dxa"/>
            <w:right w:w="108" w:type="dxa"/>
          </w:tblCellMar>
        </w:tblPrEx>
        <w:trPr>
          <w:trHeight w:val="624"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657F4">
            <w:pPr>
              <w:widowControl/>
              <w:jc w:val="center"/>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序号</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8E110">
            <w:pPr>
              <w:widowControl/>
              <w:jc w:val="center"/>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明细项目名称</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F1035">
            <w:pPr>
              <w:widowControl/>
              <w:jc w:val="center"/>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模块主要内容</w:t>
            </w:r>
          </w:p>
        </w:tc>
        <w:tc>
          <w:tcPr>
            <w:tcW w:w="2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DA295">
            <w:pPr>
              <w:widowControl/>
              <w:jc w:val="center"/>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详细内容配置</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32C76">
            <w:pPr>
              <w:widowControl/>
              <w:jc w:val="center"/>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类别</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D67EF">
            <w:pPr>
              <w:widowControl/>
              <w:jc w:val="center"/>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单位</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91716">
            <w:pPr>
              <w:widowControl/>
              <w:jc w:val="center"/>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数量</w:t>
            </w:r>
          </w:p>
        </w:tc>
      </w:tr>
      <w:tr w14:paraId="56B7D6FB">
        <w:tblPrEx>
          <w:tblCellMar>
            <w:top w:w="0" w:type="dxa"/>
            <w:left w:w="108" w:type="dxa"/>
            <w:bottom w:w="0" w:type="dxa"/>
            <w:right w:w="108" w:type="dxa"/>
          </w:tblCellMar>
        </w:tblPrEx>
        <w:trPr>
          <w:trHeight w:val="62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ED45">
            <w:pPr>
              <w:jc w:val="center"/>
              <w:rPr>
                <w:rFonts w:ascii="宋体" w:hAnsi="宋体" w:cs="Songti SC Regular"/>
                <w:sz w:val="28"/>
                <w:szCs w:val="28"/>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6BC7">
            <w:pPr>
              <w:jc w:val="center"/>
              <w:rPr>
                <w:rFonts w:ascii="宋体" w:hAnsi="宋体" w:cs="Songti SC Regular"/>
                <w:sz w:val="28"/>
                <w:szCs w:val="28"/>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6093">
            <w:pPr>
              <w:jc w:val="center"/>
              <w:rPr>
                <w:rFonts w:ascii="宋体" w:hAnsi="宋体" w:cs="Songti SC Regular"/>
                <w:sz w:val="28"/>
                <w:szCs w:val="28"/>
              </w:rPr>
            </w:pPr>
          </w:p>
        </w:tc>
        <w:tc>
          <w:tcPr>
            <w:tcW w:w="2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B27C">
            <w:pPr>
              <w:jc w:val="center"/>
              <w:rPr>
                <w:rFonts w:ascii="宋体" w:hAnsi="宋体" w:cs="Songti SC Regular"/>
                <w:sz w:val="28"/>
                <w:szCs w:val="28"/>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FE2C">
            <w:pPr>
              <w:jc w:val="center"/>
              <w:rPr>
                <w:rFonts w:ascii="宋体" w:hAnsi="宋体" w:cs="Songti SC Regular"/>
                <w:sz w:val="28"/>
                <w:szCs w:val="28"/>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DCC3E">
            <w:pPr>
              <w:jc w:val="center"/>
              <w:rPr>
                <w:rFonts w:ascii="宋体" w:hAnsi="宋体" w:cs="Songti SC Regular"/>
                <w:sz w:val="28"/>
                <w:szCs w:val="28"/>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466F">
            <w:pPr>
              <w:jc w:val="center"/>
              <w:rPr>
                <w:rFonts w:ascii="宋体" w:hAnsi="宋体" w:cs="Songti SC Regular"/>
                <w:sz w:val="28"/>
                <w:szCs w:val="28"/>
              </w:rPr>
            </w:pPr>
          </w:p>
        </w:tc>
      </w:tr>
      <w:tr w14:paraId="46FCAC98">
        <w:tblPrEx>
          <w:tblCellMar>
            <w:top w:w="0" w:type="dxa"/>
            <w:left w:w="108" w:type="dxa"/>
            <w:bottom w:w="0" w:type="dxa"/>
            <w:right w:w="108" w:type="dxa"/>
          </w:tblCellMar>
        </w:tblPrEx>
        <w:trPr>
          <w:trHeight w:val="322" w:hRule="atLeast"/>
        </w:trPr>
        <w:tc>
          <w:tcPr>
            <w:tcW w:w="244" w:type="pct"/>
            <w:vMerge w:val="restart"/>
            <w:tcBorders>
              <w:top w:val="single" w:color="000000" w:sz="4" w:space="0"/>
              <w:left w:val="single" w:color="000000" w:sz="4" w:space="0"/>
              <w:bottom w:val="nil"/>
              <w:right w:val="single" w:color="000000" w:sz="4" w:space="0"/>
            </w:tcBorders>
            <w:shd w:val="clear" w:color="auto" w:fill="auto"/>
            <w:vAlign w:val="center"/>
          </w:tcPr>
          <w:p w14:paraId="65BF400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c>
          <w:tcPr>
            <w:tcW w:w="460" w:type="pct"/>
            <w:vMerge w:val="restart"/>
            <w:tcBorders>
              <w:top w:val="single" w:color="000000" w:sz="4" w:space="0"/>
              <w:left w:val="single" w:color="000000" w:sz="4" w:space="0"/>
              <w:bottom w:val="nil"/>
              <w:right w:val="single" w:color="000000" w:sz="4" w:space="0"/>
            </w:tcBorders>
            <w:shd w:val="clear" w:color="auto" w:fill="auto"/>
            <w:vAlign w:val="center"/>
          </w:tcPr>
          <w:p w14:paraId="750885D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大兴区教育网安全态势感知服务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6A8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提供态势感知平台1套</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0287">
            <w:pPr>
              <w:widowControl/>
              <w:jc w:val="left"/>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存储容量：≥21T，在带宽性能≥1Gbps，存储时长≥1200天，千兆电口≥4个；千兆光口≥2个；</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具备威胁检测和攻防对抗功能、事前事中事后全时间检测、情报关联和智能分析、深度挖掘和辅助决策、检测响应和安全闭环、威胁分析与处置服务。</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技术要求：</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支持安全态势的可视化呈现，产品内置（非自定义）综合态势大屏、分支安全态势、安全事件态势、通报预警态势大屏、物联网安全态势大屏、全球网络攻击态势、资产态势、（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2、支持基于ATT&amp;CK能力图谱将网络安全现状映射到模型的各个阶段，支持命中攻击技术统计展示，支持基于规则检测引擎、情报检测引擎、文件分析引擎、攻击行为分析引擎以及异常行为引擎查看攻击技术分布，支持针对具体攻击技术展示检测能力图谱以及受影响的风险资产。</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3、支持资产属性重新识别，当发现资产数据不准确时，可清空该资产属性，如主机名、备注、操作系统、标签、地理位置、硬件信息、应用软件信息、账号信息、责任人信息、服务与端口信息等，重新发起识别后，平台会自动补齐资产属性，可批量操作。</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4、支持跨三层取MAC地址，识别资产MAC地址，并能够解决不同资产IP冲突问题，以及DHCP场景IP变更的问题。</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5、支持资产自动识别和资产扫描功能，支持自动入库、手动入库、设置扫描目标等功能，扫描类型可选择存活性（ARP/TCP/ICMP）、服务/端口（常用/全局）、操作系统、应用识别等。</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6、支持责任人管理功能，可对资产进行全生命周期管理，包括自动识别资产、入库审核、离线资产识别、自动识别资产图库、手动导入资产退库、自定义资产名称等。针对自动识别资产退库功能，可设置全局退库时间，数据更新时间。支持主机资产分级管理，责任人管理。（需提供清晰可辨认截图证明并加盖投标人公章，且所投产品必须提供第三方权威机构关于“资产全生命周期管理”功能项相关的产品检测报告）</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7、支持自定义分支管理权限，分支管理员具备独立的管理页面，可设置分支管理员权限，如类型、责任人、管理范围、页面权限、设备权限等。</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8、支持DNS服务器日志导入，可以接入DNS服务器的日志，安全分析引擎将结合DNS服务器的日志，定位出DNS服务器代理风险外连场景下真实源IP，从而有效地进行风险处置闭环。支持对导入DNS服务器进行展示，展示内容至少包含日志源名称、日志源IP、接入类型、今日日志传输量、传输日志总量、最近同步时间、运营状态等。（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9、支持弱密码主动扫描，支持SMB、MySQL、Oracle、RDP、SSH、Redis、MongoDB、ElasticSearch、MSSQL等扫描协议，支持自定义扫描周期、发包频率、扫描时间段、扫描优先级、扫描对象等。弱密码检测规则支持高度自定义，包括规则名称、生效域名、规则配置、账号白名单、密码白名单、弱密码内容导入文件，其中规则配置至少支持密码长度、字符种类、字典序、密码与账号相同、web空密码等。</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10、支持web登录结果自定义，可根据登录行为检测是否登录成功，支持基于响应状态码、响应内容格式、URL、关键字、服务器IP地址、所属资产组等信息判定成功或失败的通用规则设置，支持机器学习引擎持续学习用户登录行为，生成登录成功规则模型。</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11、支持可视化的形式展示威胁的影响面，通过大数据分析和关联检索技术，可清晰直观看清失陷主机对其他主机的影响，评估受损情况，方便客户快速处置。支持通过首页搜索框输入IP/域名/URL/端口/通信对进行搜索，支持基于列表模式展示横向攻击、违规访问、风险访问、可疑行为、正常访问等详细信息，建立全方位的持续性的检测能力。支持入口点溯源功能，分析出首次失陷、疑似入口点、首次遭受攻击等信息，帮助管理人员快速找到攻击入口点。（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12、支持EBA实体行为分析功能，通过对这些对象进行持续的行为分析和行为画像构建，识别服务器异常，包括DGA解析请求、外联C&amp;C服务器、异常协议利用、下载可疑文件、异常横向访问等。</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13、支持勒索专项检测页面，帮助客户更好的应对日益严峻的勒索风险，支持对勒索主题的安全告警进行统一展示和管理，支持以勒索病毒的感染途径/方式为维度进行分类，包括勒索常用端口、勒索常用漏洞、RDP爆破、感染勒索病毒、黑客勒索攻击、勒索C&amp;C通信等维度，支持展示受害资产以及受害资产攻击数TOP5，支持以列表的形式展示勒索事件，包括最近发生时间、威胁描述、威胁定性、勒索风险、威胁等级、受害者IP、攻击次数等信息（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14、支持挖矿专项检测页面，帮助客户更好的应对日益严峻的挖矿风险，避免数据窃取和监管通报，支持基于规则的本地挖矿检测和基于主动探测技术的云端挖矿检测，以实现挖矿病毒的全面检测，支持挖矿实时检测播报本地和云端的挖矿检测分析结果，支持基于攻击阶段展示挖矿主机数量，便于掌握各阶段挖矿主机分布情况，支持以列表的形式展示挖矿事件，包括最近发生时间、威胁描述、威胁定性、挖矿阶段、威胁等级、受害者IP、攻击次数、威胁情报等信息（需提供清晰可辨认截图证明并加盖投标人公章，且所投产品必须提供第三方权威检测机构关于“挖矿专项检测”功能项相关的产品检测报告。）</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15、支持威胁定性引擎以分析告警的上下文关联、时序关系、历史告警发生的频率规律性，结合威胁情报与安全专家经验对当前的安全告警进行目的性确认，从而确认安全告警的优先级顺序，支持基于人工渗透、程序自动化、业务相关风险、其它4个维度对告警进行分类，帮助安全人员快速定位高危告警并及时处置。（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16、支持云端与本地威胁情报共享，实时收集同步攻击者IP，并详细展示情报列表，包括IOC、区域、来源、更新时间、剩余封锁时间、状态、操作等，并可对本地威胁情报及云端威胁情报联动同品牌防火墙实现自动封锁。</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17、支持综合安全风险、主机安全风险、脆弱性感知、外部威胁感知、工单报告、摘要报告、处置报告多种方式呈现，可快速生成月度、季度、年度报表，摘要报告支持至少三种导出方式，至少包含ppt、pdf、doc，满足客户不同场景的汇报需求。</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18、支持PPT格式导出摘要报告，用户可直接通过导出的PPT报告进行工作汇报，高效体现工作价值。（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ADD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DEC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C8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3ACA77D7">
        <w:tblPrEx>
          <w:tblCellMar>
            <w:top w:w="0" w:type="dxa"/>
            <w:left w:w="108" w:type="dxa"/>
            <w:bottom w:w="0" w:type="dxa"/>
            <w:right w:w="108" w:type="dxa"/>
          </w:tblCellMar>
        </w:tblPrEx>
        <w:trPr>
          <w:trHeight w:val="90" w:hRule="atLeast"/>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6676218D">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nil"/>
              <w:right w:val="single" w:color="000000" w:sz="4" w:space="0"/>
            </w:tcBorders>
            <w:shd w:val="clear" w:color="auto" w:fill="auto"/>
            <w:vAlign w:val="center"/>
          </w:tcPr>
          <w:p w14:paraId="5CF2125C">
            <w:pPr>
              <w:jc w:val="center"/>
              <w:rPr>
                <w:rFonts w:ascii="宋体" w:hAnsi="宋体" w:cs="Songti SC Regular"/>
                <w:sz w:val="20"/>
                <w:szCs w:val="20"/>
              </w:rPr>
            </w:pP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7421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提供潜伏威胁探针5套</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5110">
            <w:pPr>
              <w:widowControl/>
              <w:numPr>
                <w:ilvl w:val="0"/>
                <w:numId w:val="9"/>
              </w:numPr>
              <w:jc w:val="left"/>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硬件指标：千兆电口≥4个，万兆光口≥2个，网络层吞吐量：≥10Gbps（核心交换区）；具备产识别与脆弱性评估、多维度威胁检测、事前事中事后全方位检测、情报关联和智能分析、检测响应和安全闭环、威胁分析与处置服务、平台级联与数据共享。</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技术要求：</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支持命令注入检测、PHP代码检测、XSS攻击检测、Webshell上传检测、SQL注入检测、XXE攻击检测、JAVA代码检测、SQL非注入型检测、MYSQL解析增强、php反序列化检测等自定义配置启用，针对命令注入检测、SQL注入检测等类型支持自定义高检出、低误报模式。（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2、支持SQL注入、XSS攻击、网页木马、网站扫描、WEBSHELL、跨站请求伪造、系统命令注入、文件包含攻击、目录遍历攻击、信息泄露攻击、Web整站系统漏洞、自定义WAF规则、WAF云防护等网站攻击检测。</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3、支持敏感信息检测功能，内置身份证、MD5、手机号码、银行卡号、邮箱等敏感信息，可自定义敏感信息检测策略选择组合的敏感信息，可基于IP统计和连接统计2种方式进行命中次数统计（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#4、支持Database漏洞攻击、DNS漏洞攻击、FTP漏洞攻击、Mail漏洞攻击、Media漏洞攻击、Network Device、Shellcode漏洞攻击、System漏洞攻击、Telnet漏洞攻击、Tftp漏洞攻击、Web漏洞攻击、IPS云防护等服务漏洞攻击检测。（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5、支持FTP、IMAP、MS Sql、Mysql、Oracle、Discuz、Basic Authorization、Glassfish、POP3、RDP、Sip 、Jboss、Redis 、Ldap 、SMTP、SSH、Telnet、Tomcat、Sybase、Weblogic 、Wordpress 、VNC等73种协议暴力破解检测。</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6、支持检测出网络中的网络拓扑设备进行绘制，更直观可视化查看网络整体情况。</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7、支持基于IP和域名的旁路阻断，能够在实时镜像的流量中发现恶意IP并实现实时阻断，支持24小时/7天/最近30天/永久或者自定义时间阻断威胁。（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8、支持5种场景的日志传输模式,包含标准模式、精简模式、高级模式、局域网模式、自定义模式，适应不同应用场景需求。（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9、支持传输协议审计日志，包括https、http、DNS、邮件协议审计日志、SMB、AD域、WEB登录、FTP、TELNET、ICMP 、SNMP 、SSL 、SSH、SIP 、ONVIF 、NFS 、SOCKS 、dhcp、netbios_nbns、全流量元数据审计、数据库审计协议等。</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10、支持将流量还原的文件发送至沙盒分析；可支持安天追影高级鉴定系统第三方沙盒对接。</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11、内置URL库、IPS漏洞特征识别库、应用识别库、WEB应用防护识别库、僵尸网络识别库、实时漏洞分析识别库、白名单库。</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12、支持流量抓包分析，基于五元组灵活抓取数据包，可定义配置源IP、源端口、目的IP和目的端口、传输层协议以及标签类型（vlan、vxlan、mpls）选择添加抓包任务，接口额外提供标签选项。（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8B1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8E4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182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0D46ED1A">
        <w:tblPrEx>
          <w:tblCellMar>
            <w:top w:w="0" w:type="dxa"/>
            <w:left w:w="108" w:type="dxa"/>
            <w:bottom w:w="0" w:type="dxa"/>
            <w:right w:w="108" w:type="dxa"/>
          </w:tblCellMar>
        </w:tblPrEx>
        <w:trPr>
          <w:trHeight w:val="2846" w:hRule="atLeast"/>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04644262">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nil"/>
              <w:right w:val="single" w:color="000000" w:sz="4" w:space="0"/>
            </w:tcBorders>
            <w:shd w:val="clear" w:color="auto" w:fill="auto"/>
            <w:vAlign w:val="center"/>
          </w:tcPr>
          <w:p w14:paraId="155363D3">
            <w:pPr>
              <w:jc w:val="center"/>
              <w:rPr>
                <w:rFonts w:ascii="宋体" w:hAnsi="宋体" w:cs="Songti SC Regular"/>
                <w:sz w:val="20"/>
                <w:szCs w:val="20"/>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4E4C">
            <w:pPr>
              <w:jc w:val="center"/>
              <w:rPr>
                <w:rFonts w:ascii="宋体" w:hAnsi="宋体" w:cs="Songti SC Regular"/>
                <w:sz w:val="20"/>
                <w:szCs w:val="20"/>
              </w:rPr>
            </w:pPr>
          </w:p>
        </w:tc>
        <w:tc>
          <w:tcPr>
            <w:tcW w:w="2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D9FBD">
            <w:pPr>
              <w:widowControl/>
              <w:jc w:val="left"/>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硬件指标：千兆电口≥4个，千兆兆光口≥4个；网络层吞吐量：≥4Gbps（其他分支节点）。具备产识别与脆弱性评估、多维度威胁检测、事前事中事后全方位检测、情报关联和智能分析、检测响应和安全闭环、威胁分析与处置服务、平台级联与数据共享。</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技术要求：</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支持命令注入检测、PHP代码检测、XSS攻击检测、Webshell上传检测、SQL注入检测、XXE攻击检测、JAVA代码检测、SQL非注入型检测、MYSQL解析增强、php反序列化检测等自定义配置启用，针对命令注入检测、SQL注入检测等类型支持自定义高检出、低误报模式。（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2、支持SQL注入、XSS攻击、网页木马、网站扫描、WEBSHELL、跨站请求伪造、系统命令注入、文件包含攻击、目录遍历攻击、信息泄露攻击、Web整站系统漏洞、自定义WAF规则、WAF云防护等网站攻击检测。</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3、支持敏感信息检测功能，内置身份证、MD5、手机号码、银行卡号、邮箱等敏感信息，可自定义敏感信息检测策略选择组合的敏感信息，可基于IP统计和连接统计2种方式进行命中次数统计（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#4、支持Database漏洞攻击、DNS漏洞攻击、FTP漏洞攻击、Mail漏洞攻击、Media漏洞攻击、Network Device、Shellcode漏洞攻击、System漏洞攻击、Telnet漏洞攻击、Tftp漏洞攻击、Web漏洞攻击、IPS云防护等服务漏洞攻击检测。（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5、支持FTP、IMAP、MS Sql、Mysql、Oracle、Discuz、Basic Authorization、Glassfish、POP3、RDP、Sip 、Jboss、Redis 、Ldap 、SMTP、SSH、Telnet、Tomcat、Sybase、Weblogic 、Wordpress 、VNC等73种协议暴力破解检测。</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6、支持检测出网络中的网络拓扑设备进行绘制，更直观可视化查看网络整体情况。</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7、支持基于IP和域名的旁路阻断，能够在实时镜像的流量中发现恶意IP并实现实时阻断，支持24小时/7天/最近30天/永久或者自定义时间阻断威胁。（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8、支持5种场景的日志传输模式,包含标准模式、精简模式、高级模式、局域网模式、自定义模式，适应不同应用场景需求。（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9、支持传输协议审计日志，包括https、http、DNS、邮件协议审计日志、SMB、AD域、WEB登录、FTP、TELNET、ICMP 、SNMP 、SSL 、SSH、SIP 、ONVIF 、NFS 、SOCKS 、dhcp、netbios_nbns、全流量元数据审计、数据库审计协议等。</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10、支持将流量还原的文件发送至沙盒分析；可支持安天追影高级鉴定系统第三方沙盒对接。</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11、内置URL库、IPS漏洞特征识别库、应用识别库、WEB应用防护识别库、僵尸网络识别库、实时漏洞分析识别库、白名单库。</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12、支持流量抓包分析，基于五元组灵活抓取数据包，可定义配置源IP、源端口、目的IP和目的端口、传输层协议以及标签类型（vlan、vxlan、mpls）选择添加抓包任务，接口额外提供标签选项。（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5DF3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20F3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3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F561A">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4</w:t>
            </w:r>
          </w:p>
        </w:tc>
      </w:tr>
      <w:tr w14:paraId="4CCB05E9">
        <w:tblPrEx>
          <w:tblCellMar>
            <w:top w:w="0" w:type="dxa"/>
            <w:left w:w="108" w:type="dxa"/>
            <w:bottom w:w="0" w:type="dxa"/>
            <w:right w:w="108" w:type="dxa"/>
          </w:tblCellMar>
        </w:tblPrEx>
        <w:trPr>
          <w:trHeight w:val="450" w:hRule="atLeast"/>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7502C71F">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nil"/>
              <w:right w:val="single" w:color="000000" w:sz="4" w:space="0"/>
            </w:tcBorders>
            <w:shd w:val="clear" w:color="auto" w:fill="auto"/>
            <w:vAlign w:val="center"/>
          </w:tcPr>
          <w:p w14:paraId="069DF7D0">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8A4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联动模块</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9E77">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包含功能：设备联动处置授权14套</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03A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433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B5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14</w:t>
            </w:r>
          </w:p>
        </w:tc>
      </w:tr>
      <w:tr w14:paraId="046F1957">
        <w:tblPrEx>
          <w:tblCellMar>
            <w:top w:w="0" w:type="dxa"/>
            <w:left w:w="108" w:type="dxa"/>
            <w:bottom w:w="0" w:type="dxa"/>
            <w:right w:w="108" w:type="dxa"/>
          </w:tblCellMar>
        </w:tblPrEx>
        <w:trPr>
          <w:trHeight w:val="9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AE92CA">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2</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420C5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安全监控漏洞扫描服务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932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提供网络资产脆弱性扫描系统1套</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BFCB">
            <w:pPr>
              <w:widowControl/>
              <w:jc w:val="left"/>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需求说明：</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默认包含资产数≥50；最大可扩展授权数≥150</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漏扫和WEB漏扫不限IP数：不限制；接口: 千兆电口≥4个；千兆光口≥2个；</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具备资产发现、系统漏洞扫描、WEB漏洞扫描、弱口令扫描、基线配置核查、合规自检平台。</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技术要求：</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支持全局风险统计功能，通过扇形图、条状图、标签、表格等形式直观展示资产风险分布、漏洞风险等级分布、紧急漏洞、风险资产清单等信息，并可查看详情。（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2、支持从漏洞视角分类型呈现风险概览和详情信息，支持在线查看展示“系统漏洞”、“WEB漏洞”、“弱口令”和“基线风险”的名称、风险等级、漏洞数、最近发现时间，并可关联漏洞详情。漏洞详情可支持展示漏洞名称、漏洞类型、发现时间、影响资产、漏洞描述、漏洞影响、修复建议、CVE编号、CNNVD编号和举证信息。</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3、支持全面扫描、资产发现、系统漏洞扫描、弱口令扫描、WEB漏洞扫描、基线配置核查六种任务类型，其中全面扫描支持系统漏洞扫描、WEB漏洞扫描、弱口令扫描同时执行。（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4、支持操作系统、网络设备、数据库、中间件等漏洞扫描。支持国产数据库的漏洞扫描，包括达梦、人大金仓、南大通用等。</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5、系统漏洞扫描支持高级配置功能，可支持存活性探测配置、端口扫描策略配置、UDP扫描启用、低可信度漏洞扫描、web应用扫描启用等配置功能。</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6、系统漏洞扫描支持任务立即执行、指定时间执行和周期执行三种执行方式，且指定时间可以精确到分钟，周期执行可精确到每日、每周、每月和自定义周期等。（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7、内置不同的WEB漏洞模板，包括高可利用WEB漏洞、通用应用漏洞、SQL注入漏洞、XSS注入漏洞等类型，支持报表形式展示漏洞模板风险等级分布概览，支持报表形式展示漏洞模板详情，包括漏洞总数、漏洞名称、漏洞类型、风险等级等信息。</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8、WEB漏洞扫描支持高级配置功能，可支持fuzz测试启用、WEB访问策略、WEB爬行策略等配置功能。支持并发线程数、超时限制、目录深度、链接总数自定义配置。</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9、Web漏洞扫描支持任务立即执行、指定时间执行、周期执行三种执行方式，且指定时间可以精确到分钟，周期执行可精确到每日、每周、每月和自定义周期等。</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10、支持对Windows、Linux等操作系统、Oracel、MySQL、DB2、SQL Server、MySQL等数据库按照等保二级、等保三级要求实施基线配置核查。</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#11、</w:t>
            </w:r>
            <w:r>
              <w:rPr>
                <w:rFonts w:hint="eastAsia" w:ascii="宋体" w:hAnsi="宋体" w:cs="Songti SC Regular"/>
                <w:szCs w:val="21"/>
              </w:rPr>
              <w:t>支持从主机视角呈现当前关键资产的风险等级信息， 可从“高危”、“中危”、“低危”、“安全”四个等级划分漏洞风险等级，支持客户对于重要资产标记为“核心资产”， 便于根据资产价值确定修复优先级。</w:t>
            </w:r>
            <w:r>
              <w:rPr>
                <w:rFonts w:hint="eastAsia" w:ascii="宋体" w:hAnsi="宋体" w:cs="Songti SC Regular"/>
                <w:kern w:val="0"/>
                <w:sz w:val="20"/>
                <w:szCs w:val="20"/>
                <w:lang w:bidi="ar"/>
              </w:rPr>
              <w:t>（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12、支持离线基线配置核查功能，支持通过基线配置模板导出离线脚本、通过任务列表导入基线扫描结果等功能。</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13、提供检测结果综述分析，按照等保2.0的检测项要求，统计客户业务系统存在的不符合、部分符合、符合、待确认、不适用检测项，直观了解自身业务系统合规情况。</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14、按“一个中心、三重防护”的架构展示检测结果，每个检测结果呈现具体问题及整改建议，系统支持手动核查确认、整改后重新检测、以及手动导入全局分析和人工核查报告来对测评报告中的结果进行核查确认，其中手动核查确认支持单项核查确认和批量核查确认。（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15、产品支持对系统漏洞、WEB漏洞、基线配置、弱口令进行扫描和分析，可同时输出包含系统漏洞扫描、WEB漏洞扫描、基线配置核查、弱口令扫描结果的报表。（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p>
          <w:p w14:paraId="1EE5D385">
            <w:pPr>
              <w:widowControl/>
              <w:jc w:val="left"/>
              <w:textAlignment w:val="center"/>
              <w:rPr>
                <w:rFonts w:ascii="宋体" w:hAnsi="宋体" w:cs="Songti SC Regular"/>
                <w:kern w:val="0"/>
                <w:sz w:val="20"/>
                <w:szCs w:val="20"/>
                <w:lang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6A0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AC0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3AD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2793BED5">
        <w:tblPrEx>
          <w:tblCellMar>
            <w:top w:w="0" w:type="dxa"/>
            <w:left w:w="108" w:type="dxa"/>
            <w:bottom w:w="0" w:type="dxa"/>
            <w:right w:w="108" w:type="dxa"/>
          </w:tblCellMar>
        </w:tblPrEx>
        <w:trPr>
          <w:trHeight w:val="276"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BC50B">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317CD">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076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系统漏洞扫描服务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3ACF">
            <w:pPr>
              <w:widowControl/>
              <w:jc w:val="left"/>
              <w:textAlignment w:val="center"/>
              <w:rPr>
                <w:rFonts w:ascii="宋体" w:hAnsi="宋体" w:cs="Songti SC Regular"/>
                <w:sz w:val="20"/>
                <w:szCs w:val="20"/>
              </w:rPr>
            </w:pPr>
            <w:r>
              <w:rPr>
                <w:rStyle w:val="67"/>
                <w:rFonts w:hint="default" w:cs="Songti SC Regular"/>
                <w:color w:val="auto"/>
                <w:lang w:bidi="ar"/>
              </w:rPr>
              <w:t>对大兴区教育系统的信息系统进行系统漏洞扫描后的服务，服务频次：12次/年，总服务器不少于2</w:t>
            </w:r>
            <w:r>
              <w:rPr>
                <w:rStyle w:val="68"/>
                <w:rFonts w:hint="default" w:cs="Songti SC Regular"/>
                <w:color w:val="auto"/>
                <w:lang w:bidi="ar"/>
              </w:rPr>
              <w:t>00</w:t>
            </w:r>
            <w:r>
              <w:rPr>
                <w:rStyle w:val="67"/>
                <w:rFonts w:hint="default" w:cs="Songti SC Regular"/>
                <w:color w:val="auto"/>
                <w:lang w:bidi="ar"/>
              </w:rPr>
              <w:t>个，交付内容：交付《主机系统漏洞检测分析报告》</w:t>
            </w:r>
            <w:r>
              <w:rPr>
                <w:rStyle w:val="68"/>
                <w:rFonts w:hint="default" w:cs="Songti SC Regular"/>
                <w:color w:val="auto"/>
                <w:lang w:bidi="ar"/>
              </w:rPr>
              <w:t>12</w:t>
            </w:r>
            <w:r>
              <w:rPr>
                <w:rStyle w:val="67"/>
                <w:rFonts w:hint="default" w:cs="Songti SC Regular"/>
                <w:color w:val="auto"/>
                <w:lang w:bidi="ar"/>
              </w:rPr>
              <w:t>份。</w:t>
            </w:r>
            <w:r>
              <w:rPr>
                <w:rStyle w:val="67"/>
                <w:rFonts w:hint="default" w:cs="Songti SC Regular"/>
                <w:color w:val="auto"/>
                <w:lang w:bidi="ar"/>
              </w:rPr>
              <w:br w:type="textWrapping"/>
            </w:r>
            <w:r>
              <w:rPr>
                <w:rStyle w:val="67"/>
                <w:rFonts w:hint="default" w:cs="Songti SC Regular"/>
                <w:color w:val="auto"/>
                <w:lang w:bidi="ar"/>
              </w:rPr>
              <w:t>此项服务每次工作需</w:t>
            </w:r>
            <w:r>
              <w:rPr>
                <w:rStyle w:val="68"/>
                <w:rFonts w:hint="default" w:cs="Songti SC Regular"/>
                <w:color w:val="auto"/>
                <w:lang w:bidi="ar"/>
              </w:rPr>
              <w:t>24</w:t>
            </w:r>
            <w:r>
              <w:rPr>
                <w:rStyle w:val="67"/>
                <w:rFonts w:hint="default" w:cs="Songti SC Regular"/>
                <w:color w:val="auto"/>
                <w:lang w:bidi="ar"/>
              </w:rPr>
              <w:t>工时，服务频率：</w:t>
            </w:r>
            <w:r>
              <w:rPr>
                <w:rStyle w:val="68"/>
                <w:rFonts w:hint="default" w:cs="Songti SC Regular"/>
                <w:color w:val="auto"/>
                <w:lang w:bidi="ar"/>
              </w:rPr>
              <w:t>12</w:t>
            </w:r>
            <w:r>
              <w:rPr>
                <w:rStyle w:val="67"/>
                <w:rFonts w:hint="default" w:cs="Songti SC Regular"/>
                <w:color w:val="auto"/>
                <w:lang w:bidi="ar"/>
              </w:rPr>
              <w:t>次</w:t>
            </w:r>
            <w:r>
              <w:rPr>
                <w:rStyle w:val="68"/>
                <w:rFonts w:hint="default" w:cs="Songti SC Regular"/>
                <w:color w:val="auto"/>
                <w:lang w:bidi="ar"/>
              </w:rPr>
              <w:t>/</w:t>
            </w:r>
            <w:r>
              <w:rPr>
                <w:rStyle w:val="67"/>
                <w:rFonts w:hint="default" w:cs="Songti SC Regular"/>
                <w:color w:val="auto"/>
                <w:lang w:bidi="ar"/>
              </w:rPr>
              <w:t>年，需</w:t>
            </w:r>
            <w:r>
              <w:rPr>
                <w:rStyle w:val="68"/>
                <w:rFonts w:hint="default" w:cs="Songti SC Regular"/>
                <w:color w:val="auto"/>
                <w:lang w:bidi="ar"/>
              </w:rPr>
              <w:t>288</w:t>
            </w:r>
            <w:r>
              <w:rPr>
                <w:rStyle w:val="67"/>
                <w:rFonts w:hint="default" w:cs="Songti SC Regular"/>
                <w:color w:val="auto"/>
                <w:lang w:bidi="ar"/>
              </w:rPr>
              <w:t>工时，编写报告每次需要</w:t>
            </w:r>
            <w:r>
              <w:rPr>
                <w:rStyle w:val="68"/>
                <w:rFonts w:hint="default" w:cs="Songti SC Regular"/>
                <w:color w:val="auto"/>
                <w:lang w:bidi="ar"/>
              </w:rPr>
              <w:t>8</w:t>
            </w:r>
            <w:r>
              <w:rPr>
                <w:rStyle w:val="67"/>
                <w:rFonts w:hint="default" w:cs="Songti SC Regular"/>
                <w:color w:val="auto"/>
                <w:lang w:bidi="ar"/>
              </w:rPr>
              <w:t>工时，</w:t>
            </w:r>
            <w:r>
              <w:rPr>
                <w:rStyle w:val="68"/>
                <w:rFonts w:hint="default" w:cs="Songti SC Regular"/>
                <w:color w:val="auto"/>
                <w:lang w:bidi="ar"/>
              </w:rPr>
              <w:t>12</w:t>
            </w:r>
            <w:r>
              <w:rPr>
                <w:rStyle w:val="67"/>
                <w:rFonts w:hint="default" w:cs="Songti SC Regular"/>
                <w:color w:val="auto"/>
                <w:lang w:bidi="ar"/>
              </w:rPr>
              <w:t>个月需</w:t>
            </w:r>
            <w:r>
              <w:rPr>
                <w:rStyle w:val="68"/>
                <w:rFonts w:hint="default" w:cs="Songti SC Regular"/>
                <w:color w:val="auto"/>
                <w:lang w:bidi="ar"/>
              </w:rPr>
              <w:t>96</w:t>
            </w:r>
            <w:r>
              <w:rPr>
                <w:rStyle w:val="67"/>
                <w:rFonts w:hint="default" w:cs="Songti SC Regular"/>
                <w:color w:val="auto"/>
                <w:lang w:bidi="ar"/>
              </w:rPr>
              <w:t>工时，共计</w:t>
            </w:r>
            <w:r>
              <w:rPr>
                <w:rStyle w:val="68"/>
                <w:rFonts w:hint="default" w:cs="Songti SC Regular"/>
                <w:color w:val="auto"/>
                <w:lang w:bidi="ar"/>
              </w:rPr>
              <w:t>384</w:t>
            </w:r>
            <w:r>
              <w:rPr>
                <w:rStyle w:val="67"/>
                <w:rFonts w:hint="default" w:cs="Songti SC Regular"/>
                <w:color w:val="auto"/>
                <w:lang w:bidi="ar"/>
              </w:rPr>
              <w:t>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C28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配套安全服务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CE9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5D3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384</w:t>
            </w:r>
          </w:p>
        </w:tc>
      </w:tr>
      <w:tr w14:paraId="3F9E5D39">
        <w:tblPrEx>
          <w:tblCellMar>
            <w:top w:w="0" w:type="dxa"/>
            <w:left w:w="108" w:type="dxa"/>
            <w:bottom w:w="0" w:type="dxa"/>
            <w:right w:w="108" w:type="dxa"/>
          </w:tblCellMar>
        </w:tblPrEx>
        <w:trPr>
          <w:trHeight w:val="1662"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CCAC4">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BB5CC">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F88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WEB漏洞扫描服务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1279">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对大兴区教育系统的信息系统进行WEB漏洞扫描后的服务。服务频次：12次/年，交付内容：交付《Web漏洞检测分析报告》12份</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此项服务每次每系统需2.5工时，共10个业务系统，服务频率：12次/年，需300工时。编写报告每次需要4工时，12次需48工时，共计348工时。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B33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配套安全服务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A67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BFB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348</w:t>
            </w:r>
          </w:p>
        </w:tc>
      </w:tr>
      <w:tr w14:paraId="41DE7153">
        <w:tblPrEx>
          <w:tblCellMar>
            <w:top w:w="0" w:type="dxa"/>
            <w:left w:w="108" w:type="dxa"/>
            <w:bottom w:w="0" w:type="dxa"/>
            <w:right w:w="108" w:type="dxa"/>
          </w:tblCellMar>
        </w:tblPrEx>
        <w:trPr>
          <w:trHeight w:val="1782"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6B29F3">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352BBD">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D10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配置核查服务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759A">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对大兴区教育系统的信息系统进行安全评估，配置核查，出具整改报告。服务频次：每季度对重点服务器进行配置核查。交付内容：交付《配置核查分析报告》4份。</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此项服务每次共需8工时，服务频率：4次/年，共计32工时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704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配套安全服务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641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33A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32</w:t>
            </w:r>
          </w:p>
        </w:tc>
      </w:tr>
      <w:tr w14:paraId="5E6B9321">
        <w:tblPrEx>
          <w:tblCellMar>
            <w:top w:w="0" w:type="dxa"/>
            <w:left w:w="108" w:type="dxa"/>
            <w:bottom w:w="0" w:type="dxa"/>
            <w:right w:w="108" w:type="dxa"/>
          </w:tblCellMar>
        </w:tblPrEx>
        <w:trPr>
          <w:trHeight w:val="587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46F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129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服务器安全防护服务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53F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服务器安全防护软件</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4FC0">
            <w:pPr>
              <w:widowControl/>
              <w:jc w:val="left"/>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需求说明：</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400个服务器端授权；具备虚拟流量可视化、持续检测Web后门、暴力破解检测与响应、性能实时查看、僵尸网络检测</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技术要求：</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#1、提供勒索病毒整体防护体系入口，直观展示最近七天勒索病毒防护效果，包括已处置的勒索病毒数量、已阻止的勒索病毒行为次数、已阻止的未知进程操作次数、已阻止的暴力破解攻击次数 （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2、支持跳转链接至云端威胁情报中心，针对已发生的威胁提供详细的分析结果，包含威胁分析、网络行为、静态分析、分析环境和影响分析。</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3、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4、支持客户端的错峰升级，可根据实际情况控制客户端同时升级的最大数量，避免大量终端程序同时更新造成网络拥堵或I/O风暴</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5、具备自研的基于人工智能的检测引擎，支持无特征检测技术，有效应对恶意代码及其变种</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6、支持禁止黑客工具启动，包含：冰刃、xuetr、ProcessHacker、PCHunter、火绒剑、Mimikatz的自启动，可以防止黑客攻击</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7、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8、提供基于可信鉴定方式的进程防护方式，通过人工智能自学习机制，自动建立信任进程名单，阻断非可信进程的运行并提供配置指引，同时支持通过模板和手动的方式添加信任进程</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9、支持windows服务器RDP远程登录保护，可开启RDP远程登录二次认证，以防止黑客对服务器的入侵（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10、支持用户直接对勒索病毒的家族名、病毒名、加密文件后缀名执行链接查询，可通过直接上传加密文件的方式确定勒索病毒类型，如果能解密可以提供必要的解密工具</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11、支持对勒索入侵的主流方式RDP暴破做全方位保护，包括RDP登录校验、RDP文件加白二次校验等功能。</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12、支持流行Windows高危漏洞的轻补丁免疫防御，支持Windows补丁批量一键修复（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6B2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121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套授权/年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8C9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400</w:t>
            </w:r>
          </w:p>
        </w:tc>
      </w:tr>
      <w:tr w14:paraId="0B62EE51">
        <w:tblPrEx>
          <w:tblCellMar>
            <w:top w:w="0" w:type="dxa"/>
            <w:left w:w="108" w:type="dxa"/>
            <w:bottom w:w="0" w:type="dxa"/>
            <w:right w:w="108" w:type="dxa"/>
          </w:tblCellMar>
        </w:tblPrEx>
        <w:trPr>
          <w:trHeight w:val="319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4DE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720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上网行为管理服务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4BDA">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提供上网行为审计设备1套</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F2F1">
            <w:pPr>
              <w:widowControl/>
              <w:jc w:val="left"/>
              <w:textAlignment w:val="center"/>
              <w:rPr>
                <w:rFonts w:ascii="宋体" w:hAnsi="宋体" w:cs="Songti SC Regular"/>
                <w:kern w:val="0"/>
                <w:sz w:val="20"/>
                <w:szCs w:val="20"/>
                <w:lang w:bidi="ar"/>
              </w:rPr>
            </w:pPr>
            <w:r>
              <w:rPr>
                <w:rFonts w:hint="eastAsia" w:ascii="宋体" w:hAnsi="宋体" w:cs="Songti SC Regular"/>
                <w:kern w:val="0"/>
                <w:sz w:val="20"/>
                <w:szCs w:val="20"/>
                <w:lang w:bidi="ar"/>
              </w:rPr>
              <w:t>需求说明：</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网络层吞吐量≥60G；带宽性能≥30Gb；支持用户数≥20万；每秒新建连接数≥28万；最大并发连接数≥1800万；接口: 千兆电口≥4个、千兆光口≥4个、万兆光口≥8个；</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具备身份认证、上网行为控制、流量控制、安全防护、行为审计，含一年URL规则库；</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技术要求：</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1、支持终端用户账号绑定手机号码和微信号，绑定后可以通过手机验证码和微信扫码实现上网快捷登录认证；</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2、支持提供二维码和会议号，用户扫码或输入会议号认证上网；支持通过验证手机号码实名认证（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3、支持Windows终端调用管理员上传脚本/程序以满足个性化检查要求，可设置周期性运行或者运行一次，可设置以当前用户或SYSTEM用户权限执行，执行结果检查是否生效；</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4、支持Windows桌面水印，支持设置水印的内容、透明度、密度，水印效果预览，离线时继续生效；</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5、支持放通或封堵TCP\UDP端口、ICMP协议，可设置对所有IP或者指定IP执行，离线时继续生效（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6、支持对终端应用联网管控，可设置禁止或允许访问互联网，禁止或允许访问指定IP地址，离线时继续生效</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7、支持Windows终端外联行为检查，包括：连接外网检查、PPPoE拨号检查、双网卡行为检查、无线网卡检查、链接非法WIFI检查（可设置合法WIFI白名单）、4G网卡检查、否使用非法网关（可设置合法网关白名单），对不满足检查要求的终端强制断网，支持向管理员告警，并弹窗提示用户；</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8、支持自定义测试地址，检查终端是否能PING通，对不满足检查要求的终端强制断网，支持向管理员告警，并弹窗提示用户；</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9、告警事件中支持违规外联告警选项，用于对违规外联行为使用进行预警（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10、支持设置终端访问地址白名单或黑名单，写入终端防火墙ACL策略，管控规则可离线生效</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11、支持U盘和移动硬盘拷贝的文件内容以及插入和拔出行为的审计；（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12、支持允许用户登录Webmail收邮件，而禁止发送Webmail邮件的功能</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13、基于“流量”、“流速”、“时长”设置配额，当配额耗尽后，将用户加入到指定的流控黑名单惩罚通道中；用户指定应用上网流速超过预设阈值后，网关自动提醒该用户（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14、支持文件传输应用的外发附件审计，包括WinSCP、XFftp，FileZilla、SecureFX、OneDrive；</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15、支持远程应用的外发附件审计,包括Teamviewer、向日葵、Anydesk、RDP。</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16、支持与同品牌下一代防火墙系统实现认证联动，可以转发用户认证信息到下一代防火墙，实现单点登录（需提供清晰可辨认截图证明并加盖投标人公章，为确保功能真实有效，采购人有权要求中标方在中标后3日内提供样机进行逐条功能查验。测试不通过或技术参数指标不满足招标文件要求，用户单位不予签订中标合同同时通报给招标机构；相关责任和损失由中标方自行承担。）</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CE0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EC5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A09A">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1CD647A8">
        <w:tblPrEx>
          <w:tblCellMar>
            <w:top w:w="0" w:type="dxa"/>
            <w:left w:w="108" w:type="dxa"/>
            <w:bottom w:w="0" w:type="dxa"/>
            <w:right w:w="108" w:type="dxa"/>
          </w:tblCellMar>
        </w:tblPrEx>
        <w:trPr>
          <w:trHeight w:val="44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600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0A9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日志审计服务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F37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日志审计服务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F7B0">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对日志审计平台本身进行检查、策略优化、备份恢复等运维保障。</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完成日志审计设备配置对教育网网络设备、安全设备、服务器等所有已识别日志源的集中采集。制定合理的日志存储策略，满足至少6个月以上的原始日志在线留存要求。</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基于收集的日志，提供安全事件监控与初步分析服务。</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日志审计分析报告可提供日志存储概况、告警总览、 设备概况、数据分布、 审计事件总览、 关联事件总览、 日志统计；</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此项服务每次需2工时，每周3次，52周共计312工时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F94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C03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798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312</w:t>
            </w:r>
          </w:p>
        </w:tc>
      </w:tr>
      <w:tr w14:paraId="38E9A39D">
        <w:tblPrEx>
          <w:tblCellMar>
            <w:top w:w="0" w:type="dxa"/>
            <w:left w:w="108" w:type="dxa"/>
            <w:bottom w:w="0" w:type="dxa"/>
            <w:right w:w="108" w:type="dxa"/>
          </w:tblCellMar>
        </w:tblPrEx>
        <w:trPr>
          <w:trHeight w:val="304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7B04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6</w:t>
            </w:r>
          </w:p>
        </w:tc>
        <w:tc>
          <w:tcPr>
            <w:tcW w:w="460" w:type="pct"/>
            <w:vMerge w:val="restart"/>
            <w:tcBorders>
              <w:top w:val="nil"/>
              <w:left w:val="single" w:color="000000" w:sz="4" w:space="0"/>
              <w:bottom w:val="single" w:color="000000" w:sz="4" w:space="0"/>
              <w:right w:val="single" w:color="000000" w:sz="4" w:space="0"/>
            </w:tcBorders>
            <w:shd w:val="clear" w:color="auto" w:fill="auto"/>
            <w:vAlign w:val="center"/>
          </w:tcPr>
          <w:p w14:paraId="6783639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数据安全服务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A8F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数据安全服务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321F">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依据《中华人民共和国数据安全法》、《个人信息保护法》、《教育部教育数据管理办法》及北京市相关要求，协助完善或制定《数据分类分级管理办法》、《数据安全应急预案》等制度文件。</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结合数据库审计设备和服务器日志，分析异常数据访问行为。利用网络流量分析、威胁探针、态势感知，监测是否存在敏感数据发等异常外传行为。对照《数据安全法》、《个人信息保护法》、《网络安全等级保护制度》以及教育部相关规定，进行合规性差距分析，并提供整改建议。</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协助准备上级主管部门（如市教委、网信办、公安局）的数据安全专项检查材料。</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评估重要应用系统的数据风险，包括身份鉴别措施、API接口、文件上传点、数据输入点、数据加解密措施、数据验证、数据脱敏等应用过程。对应用系统、服务器、中间件等组件进行漏洞测试及验证。编写《数据安全风险评估报告》</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此项服务每次需2工时，每周1次，52周共计104工时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797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EE5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71D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104</w:t>
            </w:r>
          </w:p>
        </w:tc>
      </w:tr>
      <w:tr w14:paraId="7D37C6B4">
        <w:tblPrEx>
          <w:tblCellMar>
            <w:top w:w="0" w:type="dxa"/>
            <w:left w:w="108" w:type="dxa"/>
            <w:bottom w:w="0" w:type="dxa"/>
            <w:right w:w="108" w:type="dxa"/>
          </w:tblCellMar>
        </w:tblPrEx>
        <w:trPr>
          <w:trHeight w:val="432"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69074">
            <w:pPr>
              <w:jc w:val="center"/>
              <w:rPr>
                <w:rFonts w:ascii="宋体" w:hAnsi="宋体" w:cs="Songti SC Regular"/>
                <w:sz w:val="20"/>
                <w:szCs w:val="20"/>
              </w:rPr>
            </w:pPr>
          </w:p>
        </w:tc>
        <w:tc>
          <w:tcPr>
            <w:tcW w:w="460" w:type="pct"/>
            <w:vMerge w:val="continue"/>
            <w:tcBorders>
              <w:top w:val="nil"/>
              <w:left w:val="single" w:color="000000" w:sz="4" w:space="0"/>
              <w:bottom w:val="single" w:color="000000" w:sz="4" w:space="0"/>
              <w:right w:val="single" w:color="000000" w:sz="4" w:space="0"/>
            </w:tcBorders>
            <w:shd w:val="clear" w:color="auto" w:fill="auto"/>
            <w:vAlign w:val="center"/>
          </w:tcPr>
          <w:p w14:paraId="2650AADA">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38A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SSL证书服务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0EC6">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提供daxingedu.cn和dxedu.cn两个域名SSL通配符证书一年授权，确保系统安全防护能力和保障制度符合等级保护相应等级要求。</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8D1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3F9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38F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62B423CB">
        <w:tblPrEx>
          <w:tblCellMar>
            <w:top w:w="0" w:type="dxa"/>
            <w:left w:w="108" w:type="dxa"/>
            <w:bottom w:w="0" w:type="dxa"/>
            <w:right w:w="108" w:type="dxa"/>
          </w:tblCellMar>
        </w:tblPrEx>
        <w:trPr>
          <w:trHeight w:val="900" w:hRule="atLeast"/>
        </w:trPr>
        <w:tc>
          <w:tcPr>
            <w:tcW w:w="244" w:type="pct"/>
            <w:vMerge w:val="restart"/>
            <w:tcBorders>
              <w:top w:val="single" w:color="000000" w:sz="4" w:space="0"/>
              <w:left w:val="single" w:color="000000" w:sz="4" w:space="0"/>
              <w:bottom w:val="nil"/>
              <w:right w:val="single" w:color="000000" w:sz="4" w:space="0"/>
            </w:tcBorders>
            <w:shd w:val="clear" w:color="auto" w:fill="FFFFFF"/>
            <w:vAlign w:val="center"/>
          </w:tcPr>
          <w:p w14:paraId="5FCED93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7</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F9CC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安全运营服务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101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安全预警通告</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C487">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提供最新的安全动态、技术和定制的安全信息，包括实时安全漏洞通知、病毒、补丁升级、定期安全知识库更新等；服务频次：不低于12次。</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每次信息收集与报告准备需2工时，不少于24工时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532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A60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4B5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24</w:t>
            </w:r>
          </w:p>
        </w:tc>
      </w:tr>
      <w:tr w14:paraId="7BC915A6">
        <w:tblPrEx>
          <w:tblCellMar>
            <w:top w:w="0" w:type="dxa"/>
            <w:left w:w="108" w:type="dxa"/>
            <w:bottom w:w="0" w:type="dxa"/>
            <w:right w:w="108" w:type="dxa"/>
          </w:tblCellMar>
        </w:tblPrEx>
        <w:trPr>
          <w:trHeight w:val="1840" w:hRule="atLeast"/>
        </w:trPr>
        <w:tc>
          <w:tcPr>
            <w:tcW w:w="244" w:type="pct"/>
            <w:vMerge w:val="continue"/>
            <w:tcBorders>
              <w:top w:val="single" w:color="000000" w:sz="4" w:space="0"/>
              <w:left w:val="single" w:color="000000" w:sz="4" w:space="0"/>
              <w:bottom w:val="nil"/>
              <w:right w:val="single" w:color="000000" w:sz="4" w:space="0"/>
            </w:tcBorders>
            <w:shd w:val="clear" w:color="auto" w:fill="FFFFFF"/>
            <w:vAlign w:val="center"/>
          </w:tcPr>
          <w:p w14:paraId="33CDFEC2">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346B">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9B7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应急演练</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7069">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根据大兴区教育网特点，设计搭建网络及应用环境，进行模拟入侵及防御的应急演练活动。</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服务频次：2次/年</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交付内容：《应急演练报告》2份</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此项服务需2人配合，前期环境准备需2人*8工时，应急演练需2人*1工时，报告编写与总结需1人*1工时，每次需19工时，2次共计：38工时；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507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141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749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38</w:t>
            </w:r>
          </w:p>
        </w:tc>
      </w:tr>
      <w:tr w14:paraId="5364F933">
        <w:tblPrEx>
          <w:tblCellMar>
            <w:top w:w="0" w:type="dxa"/>
            <w:left w:w="108" w:type="dxa"/>
            <w:bottom w:w="0" w:type="dxa"/>
            <w:right w:w="108" w:type="dxa"/>
          </w:tblCellMar>
        </w:tblPrEx>
        <w:trPr>
          <w:trHeight w:val="1520" w:hRule="atLeast"/>
        </w:trPr>
        <w:tc>
          <w:tcPr>
            <w:tcW w:w="244" w:type="pct"/>
            <w:vMerge w:val="continue"/>
            <w:tcBorders>
              <w:top w:val="single" w:color="000000" w:sz="4" w:space="0"/>
              <w:left w:val="single" w:color="000000" w:sz="4" w:space="0"/>
              <w:bottom w:val="nil"/>
              <w:right w:val="single" w:color="000000" w:sz="4" w:space="0"/>
            </w:tcBorders>
            <w:shd w:val="clear" w:color="auto" w:fill="FFFFFF"/>
            <w:vAlign w:val="center"/>
          </w:tcPr>
          <w:p w14:paraId="6C5070DF">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06AF">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422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安全宣讲培训</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0FE3">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协助完成对区级管理人员、学校安全负责人、学校师生的网络安全宣传培训。培训信息安全政策法规、网络安全意识、信息安全保护手段；提供安全宣传资料、宣传海报、易拉宝、小册子、互动用品。</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服务频次：6次/年，提供讲师一名，现场支持人员2名</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交付内容：《安全宣传培训记录》6份</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4E0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74B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C5E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6</w:t>
            </w:r>
          </w:p>
        </w:tc>
      </w:tr>
      <w:tr w14:paraId="354683AA">
        <w:tblPrEx>
          <w:tblCellMar>
            <w:top w:w="0" w:type="dxa"/>
            <w:left w:w="108" w:type="dxa"/>
            <w:bottom w:w="0" w:type="dxa"/>
            <w:right w:w="108" w:type="dxa"/>
          </w:tblCellMar>
        </w:tblPrEx>
        <w:trPr>
          <w:trHeight w:val="1840" w:hRule="atLeast"/>
        </w:trPr>
        <w:tc>
          <w:tcPr>
            <w:tcW w:w="244" w:type="pct"/>
            <w:vMerge w:val="continue"/>
            <w:tcBorders>
              <w:top w:val="single" w:color="000000" w:sz="4" w:space="0"/>
              <w:left w:val="single" w:color="000000" w:sz="4" w:space="0"/>
              <w:bottom w:val="nil"/>
              <w:right w:val="single" w:color="000000" w:sz="4" w:space="0"/>
            </w:tcBorders>
            <w:shd w:val="clear" w:color="auto" w:fill="FFFFFF"/>
            <w:vAlign w:val="center"/>
          </w:tcPr>
          <w:p w14:paraId="63B90D24">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A0255">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521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安全运营报告</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3230">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每月对安全运营进行安全情况分析、处置、阶段性总结服务，并形成报告。定期阶段性安全运营情况总结，并形成报告，提交给用户。交付内容：《安全运营报告》12份，</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此项服务对报告进行编写，打印胶装成册</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提供上半年半年汇报，提供下半年全年安全运营情况汇报，每年提供两次总结性安全运营汇报，提供详细安全数据及总结性安全运营报告。</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交付内容：《阶段性安全运营汇报》文档2份；</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376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nil"/>
              <w:right w:val="single" w:color="000000" w:sz="4" w:space="0"/>
            </w:tcBorders>
            <w:shd w:val="clear" w:color="auto" w:fill="auto"/>
            <w:vAlign w:val="center"/>
          </w:tcPr>
          <w:p w14:paraId="139C32D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次</w:t>
            </w:r>
          </w:p>
        </w:tc>
        <w:tc>
          <w:tcPr>
            <w:tcW w:w="390" w:type="pct"/>
            <w:tcBorders>
              <w:top w:val="single" w:color="000000" w:sz="4" w:space="0"/>
              <w:left w:val="single" w:color="000000" w:sz="4" w:space="0"/>
              <w:bottom w:val="nil"/>
              <w:right w:val="single" w:color="000000" w:sz="4" w:space="0"/>
            </w:tcBorders>
            <w:shd w:val="clear" w:color="auto" w:fill="auto"/>
            <w:vAlign w:val="center"/>
          </w:tcPr>
          <w:p w14:paraId="6A57618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12</w:t>
            </w:r>
          </w:p>
        </w:tc>
      </w:tr>
      <w:tr w14:paraId="3303C663">
        <w:tblPrEx>
          <w:tblCellMar>
            <w:top w:w="0" w:type="dxa"/>
            <w:left w:w="108" w:type="dxa"/>
            <w:bottom w:w="0" w:type="dxa"/>
            <w:right w:w="108" w:type="dxa"/>
          </w:tblCellMar>
        </w:tblPrEx>
        <w:trPr>
          <w:trHeight w:val="2140" w:hRule="atLeast"/>
        </w:trPr>
        <w:tc>
          <w:tcPr>
            <w:tcW w:w="244" w:type="pct"/>
            <w:vMerge w:val="continue"/>
            <w:tcBorders>
              <w:top w:val="single" w:color="000000" w:sz="4" w:space="0"/>
              <w:left w:val="single" w:color="000000" w:sz="4" w:space="0"/>
              <w:bottom w:val="nil"/>
              <w:right w:val="single" w:color="000000" w:sz="4" w:space="0"/>
            </w:tcBorders>
            <w:shd w:val="clear" w:color="auto" w:fill="FFFFFF"/>
            <w:vAlign w:val="center"/>
          </w:tcPr>
          <w:p w14:paraId="6D35ECFE">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1BD1E">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F0A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学校端安全服务</w:t>
            </w:r>
          </w:p>
        </w:tc>
        <w:tc>
          <w:tcPr>
            <w:tcW w:w="2384" w:type="pct"/>
            <w:tcBorders>
              <w:top w:val="single" w:color="000000" w:sz="4" w:space="0"/>
              <w:left w:val="single" w:color="000000" w:sz="4" w:space="0"/>
              <w:bottom w:val="nil"/>
              <w:right w:val="single" w:color="000000" w:sz="4" w:space="0"/>
            </w:tcBorders>
            <w:shd w:val="clear" w:color="auto" w:fill="auto"/>
            <w:vAlign w:val="center"/>
          </w:tcPr>
          <w:p w14:paraId="092D1ED2">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通过网络安全等级保护差距分析工作与调研，了解学校网络安全建设情况，分析各教育网接入单位安全现状。通过对学校现状分析结果，给出网络安全建设意见建议。</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根据上级部门通告预警、日志分析平台、态势感知平台得到网络安全问题，如勒索病毒、挖矿病毒、篡改事件、webshell、僵尸网络等安全事件，指导相关学校对恶意文件、代码进行根除，学校无法独立完成的，派安全工程师上门协助解决，帮助学校快速恢复业务，消除或减轻影响。</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此项服务需制作网络安全问题整改报告、网络安全问题整改反馈单等，每次每校需8工时，共50所学校共计400工时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243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7E0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F4D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400</w:t>
            </w:r>
          </w:p>
        </w:tc>
      </w:tr>
      <w:tr w14:paraId="62D81A65">
        <w:tblPrEx>
          <w:tblCellMar>
            <w:top w:w="0" w:type="dxa"/>
            <w:left w:w="108" w:type="dxa"/>
            <w:bottom w:w="0" w:type="dxa"/>
            <w:right w:w="108" w:type="dxa"/>
          </w:tblCellMar>
        </w:tblPrEx>
        <w:trPr>
          <w:trHeight w:val="327" w:hRule="atLeast"/>
        </w:trPr>
        <w:tc>
          <w:tcPr>
            <w:tcW w:w="244" w:type="pct"/>
            <w:vMerge w:val="continue"/>
            <w:tcBorders>
              <w:top w:val="single" w:color="000000" w:sz="4" w:space="0"/>
              <w:left w:val="single" w:color="000000" w:sz="4" w:space="0"/>
              <w:bottom w:val="nil"/>
              <w:right w:val="single" w:color="000000" w:sz="4" w:space="0"/>
            </w:tcBorders>
            <w:shd w:val="clear" w:color="auto" w:fill="FFFFFF"/>
            <w:vAlign w:val="center"/>
          </w:tcPr>
          <w:p w14:paraId="32DE805C">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0C56">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FA9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设备巡检服务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20EF">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对1台安全态势感知、5台潜伏威胁探针、1台漏洞扫描设备、1台日志审计、2台出口防火墙、2台应用防火墙、3台接入防火墙、1台VPN、1台数据库审计、1套服务器安全软件平台等软硬件进行安全巡检，确保设备硬件与软件平台运行正常；</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工作内容：对网络安全运行状态监控，对安全设备运行日志进行分析；及时发现潜在风险点，确保设备平稳运行。</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此项服务每次需1.5工时，需365天，共计547.5工时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65D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9E7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D4B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547.5</w:t>
            </w:r>
          </w:p>
        </w:tc>
      </w:tr>
      <w:tr w14:paraId="38A6E075">
        <w:tblPrEx>
          <w:tblCellMar>
            <w:top w:w="0" w:type="dxa"/>
            <w:left w:w="108" w:type="dxa"/>
            <w:bottom w:w="0" w:type="dxa"/>
            <w:right w:w="108" w:type="dxa"/>
          </w:tblCellMar>
        </w:tblPrEx>
        <w:trPr>
          <w:trHeight w:val="2140" w:hRule="atLeast"/>
        </w:trPr>
        <w:tc>
          <w:tcPr>
            <w:tcW w:w="244" w:type="pct"/>
            <w:vMerge w:val="continue"/>
            <w:tcBorders>
              <w:top w:val="single" w:color="000000" w:sz="4" w:space="0"/>
              <w:left w:val="single" w:color="000000" w:sz="4" w:space="0"/>
              <w:bottom w:val="nil"/>
              <w:right w:val="single" w:color="000000" w:sz="4" w:space="0"/>
            </w:tcBorders>
            <w:shd w:val="clear" w:color="auto" w:fill="FFFFFF"/>
            <w:vAlign w:val="center"/>
          </w:tcPr>
          <w:p w14:paraId="17797653">
            <w:pPr>
              <w:jc w:val="center"/>
              <w:rPr>
                <w:rFonts w:ascii="宋体" w:hAnsi="宋体" w:cs="Songti SC Regular"/>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1BA1">
            <w:pPr>
              <w:jc w:val="center"/>
              <w:rPr>
                <w:rFonts w:ascii="宋体" w:hAnsi="宋体" w:cs="Songti SC Regular"/>
                <w:sz w:val="20"/>
                <w:szCs w:val="20"/>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C24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策略调整服务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3957">
            <w:pPr>
              <w:widowControl/>
              <w:jc w:val="left"/>
              <w:textAlignment w:val="center"/>
              <w:rPr>
                <w:rFonts w:ascii="宋体" w:hAnsi="宋体" w:cs="Songti SC Regular"/>
                <w:sz w:val="20"/>
                <w:szCs w:val="20"/>
              </w:rPr>
            </w:pPr>
            <w:r>
              <w:rPr>
                <w:rFonts w:hint="eastAsia" w:ascii="宋体" w:hAnsi="宋体" w:cs="Songti SC Regular"/>
                <w:kern w:val="0"/>
                <w:sz w:val="20"/>
                <w:szCs w:val="20"/>
                <w:lang w:bidi="ar"/>
              </w:rPr>
              <w:t>对1台安全态势感知设备、1台漏洞扫描设备、1台日志审计设备、2台出口防火墙、2台应用防火墙、3台接入防火墙、1台VPN、1台数据库审计、1套服务器安全防护平台根据需求随时完成策略调整服务。如：应用系统的对互联网的开放与关闭，VPN账号的新建、续期、权限变更与删除。</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策略调优服务：通过收到的各方安全预警通告、态势感知分析研判、对相关安全设备进行策略调优服务，应对、规避最新爆发的网络安全风险。</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交付内容：《安全策略调优报告》按月打印成册；</w:t>
            </w:r>
            <w:r>
              <w:rPr>
                <w:rFonts w:hint="eastAsia" w:ascii="宋体" w:hAnsi="宋体" w:cs="Songti SC Regular"/>
                <w:kern w:val="0"/>
                <w:sz w:val="20"/>
                <w:szCs w:val="20"/>
                <w:lang w:bidi="ar"/>
              </w:rPr>
              <w:br w:type="textWrapping"/>
            </w:r>
            <w:r>
              <w:rPr>
                <w:rFonts w:hint="eastAsia" w:ascii="宋体" w:hAnsi="宋体" w:cs="Songti SC Regular"/>
                <w:kern w:val="0"/>
                <w:sz w:val="20"/>
                <w:szCs w:val="20"/>
                <w:lang w:bidi="ar"/>
              </w:rPr>
              <w:t>此项服务每次需1工时，每周3次，52周共计156工时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C21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574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437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156</w:t>
            </w:r>
          </w:p>
        </w:tc>
      </w:tr>
    </w:tbl>
    <w:p w14:paraId="74FDB334">
      <w:pPr>
        <w:rPr>
          <w:rFonts w:ascii="宋体" w:hAnsi="宋体" w:cs="Songti SC Regular"/>
          <w:sz w:val="24"/>
        </w:rPr>
      </w:pPr>
    </w:p>
    <w:p w14:paraId="43D0D5C4">
      <w:pPr>
        <w:rPr>
          <w:rFonts w:ascii="宋体" w:hAnsi="宋体" w:cs="Songti SC Regular"/>
          <w:sz w:val="24"/>
        </w:rPr>
      </w:pPr>
    </w:p>
    <w:p w14:paraId="3DA58E0E">
      <w:pPr>
        <w:rPr>
          <w:rFonts w:ascii="宋体" w:hAnsi="宋体" w:cs="Songti SC Regular"/>
        </w:rPr>
      </w:pPr>
    </w:p>
    <w:p w14:paraId="13477E5D">
      <w:pPr>
        <w:rPr>
          <w:rFonts w:ascii="宋体" w:hAnsi="宋体" w:cs="Songti SC Regular"/>
        </w:rPr>
      </w:pPr>
    </w:p>
    <w:p w14:paraId="38C77001">
      <w:pPr>
        <w:rPr>
          <w:rFonts w:ascii="宋体" w:hAnsi="宋体" w:cs="Songti SC Regular"/>
        </w:rPr>
      </w:pPr>
    </w:p>
    <w:p w14:paraId="5620B55F">
      <w:pPr>
        <w:rPr>
          <w:rFonts w:ascii="宋体" w:hAnsi="宋体" w:cs="Songti SC Regular"/>
          <w:b/>
          <w:sz w:val="24"/>
        </w:rPr>
      </w:pPr>
      <w:r>
        <w:rPr>
          <w:rFonts w:hint="eastAsia" w:ascii="宋体" w:hAnsi="宋体" w:cs="Songti SC Regular"/>
          <w:b/>
          <w:sz w:val="24"/>
        </w:rPr>
        <w:br w:type="page"/>
      </w:r>
    </w:p>
    <w:p w14:paraId="3FDAE3A4">
      <w:pPr>
        <w:pStyle w:val="5"/>
        <w:rPr>
          <w:rFonts w:ascii="宋体" w:hAnsi="宋体" w:cs="Songti SC Regular"/>
          <w:sz w:val="24"/>
        </w:rPr>
      </w:pPr>
      <w:r>
        <w:rPr>
          <w:rFonts w:hint="eastAsia" w:ascii="宋体" w:hAnsi="宋体" w:cs="Songti SC Regular"/>
          <w:sz w:val="24"/>
        </w:rPr>
        <w:t>2.2采购标的需满足的服务标准、期限、效率等要求</w:t>
      </w:r>
    </w:p>
    <w:tbl>
      <w:tblPr>
        <w:tblStyle w:val="24"/>
        <w:tblW w:w="8745" w:type="dxa"/>
        <w:tblInd w:w="100" w:type="dxa"/>
        <w:tblLayout w:type="autofit"/>
        <w:tblCellMar>
          <w:top w:w="0" w:type="dxa"/>
          <w:left w:w="108" w:type="dxa"/>
          <w:bottom w:w="0" w:type="dxa"/>
          <w:right w:w="108" w:type="dxa"/>
        </w:tblCellMar>
      </w:tblPr>
      <w:tblGrid>
        <w:gridCol w:w="1019"/>
        <w:gridCol w:w="1883"/>
        <w:gridCol w:w="2130"/>
        <w:gridCol w:w="1673"/>
        <w:gridCol w:w="1020"/>
        <w:gridCol w:w="1020"/>
      </w:tblGrid>
      <w:tr w14:paraId="4C63652D">
        <w:tblPrEx>
          <w:tblCellMar>
            <w:top w:w="0" w:type="dxa"/>
            <w:left w:w="108" w:type="dxa"/>
            <w:bottom w:w="0" w:type="dxa"/>
            <w:right w:w="108" w:type="dxa"/>
          </w:tblCellMar>
        </w:tblPrEx>
        <w:trPr>
          <w:trHeight w:val="525" w:hRule="atLeast"/>
        </w:trPr>
        <w:tc>
          <w:tcPr>
            <w:tcW w:w="1019" w:type="dxa"/>
            <w:tcBorders>
              <w:top w:val="single" w:color="000000" w:sz="8" w:space="0"/>
              <w:left w:val="single" w:color="000000" w:sz="8" w:space="0"/>
              <w:bottom w:val="nil"/>
              <w:right w:val="single" w:color="000000" w:sz="8" w:space="0"/>
            </w:tcBorders>
            <w:shd w:val="clear" w:color="auto" w:fill="auto"/>
            <w:vAlign w:val="center"/>
          </w:tcPr>
          <w:p w14:paraId="4B5BD42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序号</w:t>
            </w:r>
          </w:p>
        </w:tc>
        <w:tc>
          <w:tcPr>
            <w:tcW w:w="1883" w:type="dxa"/>
            <w:tcBorders>
              <w:top w:val="single" w:color="000000" w:sz="8" w:space="0"/>
              <w:left w:val="nil"/>
              <w:bottom w:val="single" w:color="000000" w:sz="8" w:space="0"/>
              <w:right w:val="single" w:color="000000" w:sz="8" w:space="0"/>
            </w:tcBorders>
            <w:shd w:val="clear" w:color="auto" w:fill="auto"/>
            <w:vAlign w:val="center"/>
          </w:tcPr>
          <w:p w14:paraId="1CE6EA9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明细项目名称</w:t>
            </w:r>
          </w:p>
        </w:tc>
        <w:tc>
          <w:tcPr>
            <w:tcW w:w="2130" w:type="dxa"/>
            <w:tcBorders>
              <w:top w:val="single" w:color="000000" w:sz="8" w:space="0"/>
              <w:left w:val="nil"/>
              <w:bottom w:val="single" w:color="000000" w:sz="8" w:space="0"/>
              <w:right w:val="single" w:color="000000" w:sz="8" w:space="0"/>
            </w:tcBorders>
            <w:shd w:val="clear" w:color="auto" w:fill="auto"/>
            <w:vAlign w:val="center"/>
          </w:tcPr>
          <w:p w14:paraId="61C3219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模块主要内容（详细描述）</w:t>
            </w:r>
          </w:p>
        </w:tc>
        <w:tc>
          <w:tcPr>
            <w:tcW w:w="1673" w:type="dxa"/>
            <w:tcBorders>
              <w:top w:val="single" w:color="000000" w:sz="8" w:space="0"/>
              <w:left w:val="nil"/>
              <w:bottom w:val="single" w:color="000000" w:sz="8" w:space="0"/>
              <w:right w:val="single" w:color="000000" w:sz="8" w:space="0"/>
            </w:tcBorders>
            <w:shd w:val="clear" w:color="auto" w:fill="auto"/>
            <w:vAlign w:val="center"/>
          </w:tcPr>
          <w:p w14:paraId="15ED4DB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类别</w:t>
            </w:r>
          </w:p>
        </w:tc>
        <w:tc>
          <w:tcPr>
            <w:tcW w:w="1020" w:type="dxa"/>
            <w:tcBorders>
              <w:top w:val="single" w:color="000000" w:sz="8" w:space="0"/>
              <w:left w:val="nil"/>
              <w:bottom w:val="single" w:color="000000" w:sz="8" w:space="0"/>
              <w:right w:val="single" w:color="000000" w:sz="8" w:space="0"/>
            </w:tcBorders>
            <w:shd w:val="clear" w:color="auto" w:fill="auto"/>
            <w:vAlign w:val="center"/>
          </w:tcPr>
          <w:p w14:paraId="4BCA47F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单位</w:t>
            </w:r>
          </w:p>
        </w:tc>
        <w:tc>
          <w:tcPr>
            <w:tcW w:w="1020" w:type="dxa"/>
            <w:tcBorders>
              <w:top w:val="single" w:color="000000" w:sz="8" w:space="0"/>
              <w:left w:val="nil"/>
              <w:bottom w:val="single" w:color="000000" w:sz="8" w:space="0"/>
              <w:right w:val="single" w:color="000000" w:sz="8" w:space="0"/>
            </w:tcBorders>
            <w:shd w:val="clear" w:color="auto" w:fill="auto"/>
            <w:vAlign w:val="center"/>
          </w:tcPr>
          <w:p w14:paraId="2A38495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数量</w:t>
            </w:r>
          </w:p>
        </w:tc>
      </w:tr>
      <w:tr w14:paraId="74C75262">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D5AD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c>
          <w:tcPr>
            <w:tcW w:w="1883" w:type="dxa"/>
            <w:vMerge w:val="restart"/>
            <w:tcBorders>
              <w:top w:val="single" w:color="000000" w:sz="8" w:space="0"/>
              <w:left w:val="nil"/>
              <w:bottom w:val="single" w:color="000000" w:sz="8" w:space="0"/>
              <w:right w:val="single" w:color="000000" w:sz="8" w:space="0"/>
            </w:tcBorders>
            <w:shd w:val="clear" w:color="auto" w:fill="auto"/>
            <w:vAlign w:val="center"/>
          </w:tcPr>
          <w:p w14:paraId="1303E99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大兴区教育网安全态势感知服务</w:t>
            </w:r>
          </w:p>
        </w:tc>
        <w:tc>
          <w:tcPr>
            <w:tcW w:w="2130" w:type="dxa"/>
            <w:tcBorders>
              <w:top w:val="nil"/>
              <w:left w:val="nil"/>
              <w:bottom w:val="single" w:color="000000" w:sz="8" w:space="0"/>
              <w:right w:val="single" w:color="000000" w:sz="8" w:space="0"/>
            </w:tcBorders>
            <w:shd w:val="clear" w:color="auto" w:fill="auto"/>
            <w:vAlign w:val="center"/>
          </w:tcPr>
          <w:p w14:paraId="182511C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提供态势感知平台1套</w:t>
            </w:r>
          </w:p>
        </w:tc>
        <w:tc>
          <w:tcPr>
            <w:tcW w:w="1673" w:type="dxa"/>
            <w:tcBorders>
              <w:top w:val="nil"/>
              <w:left w:val="nil"/>
              <w:bottom w:val="single" w:color="000000" w:sz="8" w:space="0"/>
              <w:right w:val="single" w:color="000000" w:sz="8" w:space="0"/>
            </w:tcBorders>
            <w:shd w:val="clear" w:color="auto" w:fill="auto"/>
            <w:vAlign w:val="center"/>
          </w:tcPr>
          <w:p w14:paraId="6127196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1020" w:type="dxa"/>
            <w:tcBorders>
              <w:top w:val="nil"/>
              <w:left w:val="nil"/>
              <w:bottom w:val="single" w:color="000000" w:sz="8" w:space="0"/>
              <w:right w:val="single" w:color="000000" w:sz="8" w:space="0"/>
            </w:tcBorders>
            <w:shd w:val="clear" w:color="auto" w:fill="auto"/>
            <w:vAlign w:val="center"/>
          </w:tcPr>
          <w:p w14:paraId="3405E9F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1020" w:type="dxa"/>
            <w:tcBorders>
              <w:top w:val="nil"/>
              <w:left w:val="nil"/>
              <w:bottom w:val="single" w:color="000000" w:sz="8" w:space="0"/>
              <w:right w:val="single" w:color="000000" w:sz="8" w:space="0"/>
            </w:tcBorders>
            <w:shd w:val="clear" w:color="auto" w:fill="auto"/>
            <w:vAlign w:val="center"/>
          </w:tcPr>
          <w:p w14:paraId="61EDA45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68FFE910">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0683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2</w:t>
            </w:r>
          </w:p>
        </w:tc>
        <w:tc>
          <w:tcPr>
            <w:tcW w:w="1883" w:type="dxa"/>
            <w:vMerge w:val="continue"/>
            <w:tcBorders>
              <w:top w:val="single" w:color="000000" w:sz="8" w:space="0"/>
              <w:left w:val="nil"/>
              <w:bottom w:val="single" w:color="000000" w:sz="8" w:space="0"/>
              <w:right w:val="single" w:color="000000" w:sz="8" w:space="0"/>
            </w:tcBorders>
            <w:shd w:val="clear" w:color="auto" w:fill="auto"/>
            <w:vAlign w:val="center"/>
          </w:tcPr>
          <w:p w14:paraId="139A23E7">
            <w:pPr>
              <w:jc w:val="center"/>
              <w:rPr>
                <w:rFonts w:ascii="宋体" w:hAnsi="宋体" w:cs="Songti SC Regular"/>
                <w:sz w:val="20"/>
                <w:szCs w:val="20"/>
              </w:rPr>
            </w:pPr>
          </w:p>
        </w:tc>
        <w:tc>
          <w:tcPr>
            <w:tcW w:w="2130" w:type="dxa"/>
            <w:vMerge w:val="restart"/>
            <w:tcBorders>
              <w:top w:val="nil"/>
              <w:left w:val="nil"/>
              <w:bottom w:val="single" w:color="000000" w:sz="8" w:space="0"/>
              <w:right w:val="single" w:color="000000" w:sz="8" w:space="0"/>
            </w:tcBorders>
            <w:shd w:val="clear" w:color="auto" w:fill="auto"/>
            <w:vAlign w:val="center"/>
          </w:tcPr>
          <w:p w14:paraId="1B60115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提供潜伏威胁探针5套</w:t>
            </w:r>
          </w:p>
        </w:tc>
        <w:tc>
          <w:tcPr>
            <w:tcW w:w="1673" w:type="dxa"/>
            <w:tcBorders>
              <w:top w:val="nil"/>
              <w:left w:val="nil"/>
              <w:bottom w:val="single" w:color="000000" w:sz="8" w:space="0"/>
              <w:right w:val="single" w:color="000000" w:sz="8" w:space="0"/>
            </w:tcBorders>
            <w:shd w:val="clear" w:color="auto" w:fill="auto"/>
            <w:vAlign w:val="center"/>
          </w:tcPr>
          <w:p w14:paraId="4F84ECF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1020" w:type="dxa"/>
            <w:tcBorders>
              <w:top w:val="nil"/>
              <w:left w:val="nil"/>
              <w:bottom w:val="single" w:color="000000" w:sz="8" w:space="0"/>
              <w:right w:val="single" w:color="000000" w:sz="8" w:space="0"/>
            </w:tcBorders>
            <w:shd w:val="clear" w:color="auto" w:fill="auto"/>
            <w:vAlign w:val="center"/>
          </w:tcPr>
          <w:p w14:paraId="3983EE2A">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1020" w:type="dxa"/>
            <w:tcBorders>
              <w:top w:val="nil"/>
              <w:left w:val="nil"/>
              <w:bottom w:val="single" w:color="000000" w:sz="8" w:space="0"/>
              <w:right w:val="single" w:color="000000" w:sz="8" w:space="0"/>
            </w:tcBorders>
            <w:shd w:val="clear" w:color="auto" w:fill="auto"/>
            <w:vAlign w:val="center"/>
          </w:tcPr>
          <w:p w14:paraId="155495B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45407FCC">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D006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w:t>
            </w:r>
          </w:p>
        </w:tc>
        <w:tc>
          <w:tcPr>
            <w:tcW w:w="1883" w:type="dxa"/>
            <w:vMerge w:val="continue"/>
            <w:tcBorders>
              <w:top w:val="single" w:color="000000" w:sz="8" w:space="0"/>
              <w:left w:val="nil"/>
              <w:bottom w:val="single" w:color="000000" w:sz="8" w:space="0"/>
              <w:right w:val="single" w:color="000000" w:sz="8" w:space="0"/>
            </w:tcBorders>
            <w:shd w:val="clear" w:color="auto" w:fill="auto"/>
            <w:vAlign w:val="center"/>
          </w:tcPr>
          <w:p w14:paraId="6E243C7D">
            <w:pPr>
              <w:jc w:val="center"/>
              <w:rPr>
                <w:rFonts w:ascii="宋体" w:hAnsi="宋体" w:cs="Songti SC Regular"/>
                <w:sz w:val="20"/>
                <w:szCs w:val="20"/>
              </w:rPr>
            </w:pPr>
          </w:p>
        </w:tc>
        <w:tc>
          <w:tcPr>
            <w:tcW w:w="2130" w:type="dxa"/>
            <w:vMerge w:val="continue"/>
            <w:tcBorders>
              <w:top w:val="nil"/>
              <w:left w:val="nil"/>
              <w:bottom w:val="single" w:color="000000" w:sz="8" w:space="0"/>
              <w:right w:val="single" w:color="000000" w:sz="8" w:space="0"/>
            </w:tcBorders>
            <w:shd w:val="clear" w:color="auto" w:fill="auto"/>
            <w:vAlign w:val="center"/>
          </w:tcPr>
          <w:p w14:paraId="7F316A89">
            <w:pPr>
              <w:jc w:val="center"/>
              <w:rPr>
                <w:rFonts w:ascii="宋体" w:hAnsi="宋体" w:cs="Songti SC Regular"/>
                <w:sz w:val="20"/>
                <w:szCs w:val="20"/>
              </w:rPr>
            </w:pPr>
          </w:p>
        </w:tc>
        <w:tc>
          <w:tcPr>
            <w:tcW w:w="1673" w:type="dxa"/>
            <w:tcBorders>
              <w:top w:val="nil"/>
              <w:left w:val="nil"/>
              <w:bottom w:val="single" w:color="000000" w:sz="8" w:space="0"/>
              <w:right w:val="single" w:color="000000" w:sz="8" w:space="0"/>
            </w:tcBorders>
            <w:shd w:val="clear" w:color="auto" w:fill="auto"/>
            <w:vAlign w:val="center"/>
          </w:tcPr>
          <w:p w14:paraId="25D115F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1020" w:type="dxa"/>
            <w:tcBorders>
              <w:top w:val="nil"/>
              <w:left w:val="nil"/>
              <w:bottom w:val="single" w:color="000000" w:sz="8" w:space="0"/>
              <w:right w:val="single" w:color="000000" w:sz="8" w:space="0"/>
            </w:tcBorders>
            <w:shd w:val="clear" w:color="auto" w:fill="auto"/>
            <w:vAlign w:val="center"/>
          </w:tcPr>
          <w:p w14:paraId="6144528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1020" w:type="dxa"/>
            <w:tcBorders>
              <w:top w:val="nil"/>
              <w:left w:val="nil"/>
              <w:bottom w:val="single" w:color="000000" w:sz="8" w:space="0"/>
              <w:right w:val="single" w:color="000000" w:sz="8" w:space="0"/>
            </w:tcBorders>
            <w:shd w:val="clear" w:color="auto" w:fill="auto"/>
            <w:vAlign w:val="center"/>
          </w:tcPr>
          <w:p w14:paraId="151E44C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4</w:t>
            </w:r>
          </w:p>
        </w:tc>
      </w:tr>
      <w:tr w14:paraId="5AA32A6C">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38D3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4</w:t>
            </w:r>
          </w:p>
        </w:tc>
        <w:tc>
          <w:tcPr>
            <w:tcW w:w="1883" w:type="dxa"/>
            <w:vMerge w:val="continue"/>
            <w:tcBorders>
              <w:top w:val="single" w:color="000000" w:sz="8" w:space="0"/>
              <w:left w:val="nil"/>
              <w:bottom w:val="single" w:color="000000" w:sz="8" w:space="0"/>
              <w:right w:val="single" w:color="000000" w:sz="8" w:space="0"/>
            </w:tcBorders>
            <w:shd w:val="clear" w:color="auto" w:fill="auto"/>
            <w:vAlign w:val="center"/>
          </w:tcPr>
          <w:p w14:paraId="29FDB4ED">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0512AD2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联动模块</w:t>
            </w:r>
          </w:p>
        </w:tc>
        <w:tc>
          <w:tcPr>
            <w:tcW w:w="1673" w:type="dxa"/>
            <w:tcBorders>
              <w:top w:val="nil"/>
              <w:left w:val="nil"/>
              <w:bottom w:val="single" w:color="000000" w:sz="8" w:space="0"/>
              <w:right w:val="single" w:color="000000" w:sz="8" w:space="0"/>
            </w:tcBorders>
            <w:shd w:val="clear" w:color="auto" w:fill="auto"/>
            <w:vAlign w:val="center"/>
          </w:tcPr>
          <w:p w14:paraId="388AA9A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1020" w:type="dxa"/>
            <w:tcBorders>
              <w:top w:val="nil"/>
              <w:left w:val="nil"/>
              <w:bottom w:val="single" w:color="000000" w:sz="8" w:space="0"/>
              <w:right w:val="single" w:color="000000" w:sz="8" w:space="0"/>
            </w:tcBorders>
            <w:shd w:val="clear" w:color="auto" w:fill="auto"/>
            <w:vAlign w:val="center"/>
          </w:tcPr>
          <w:p w14:paraId="3A9C6E9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1020" w:type="dxa"/>
            <w:tcBorders>
              <w:top w:val="nil"/>
              <w:left w:val="nil"/>
              <w:bottom w:val="single" w:color="000000" w:sz="8" w:space="0"/>
              <w:right w:val="single" w:color="000000" w:sz="8" w:space="0"/>
            </w:tcBorders>
            <w:shd w:val="clear" w:color="auto" w:fill="auto"/>
            <w:vAlign w:val="center"/>
          </w:tcPr>
          <w:p w14:paraId="1E4BBD2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14</w:t>
            </w:r>
          </w:p>
        </w:tc>
      </w:tr>
      <w:tr w14:paraId="70986E27">
        <w:tblPrEx>
          <w:tblCellMar>
            <w:top w:w="0" w:type="dxa"/>
            <w:left w:w="108" w:type="dxa"/>
            <w:bottom w:w="0" w:type="dxa"/>
            <w:right w:w="108" w:type="dxa"/>
          </w:tblCellMar>
        </w:tblPrEx>
        <w:trPr>
          <w:trHeight w:val="525"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F5B1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5</w:t>
            </w:r>
          </w:p>
        </w:tc>
        <w:tc>
          <w:tcPr>
            <w:tcW w:w="1883" w:type="dxa"/>
            <w:vMerge w:val="restart"/>
            <w:tcBorders>
              <w:top w:val="single" w:color="000000" w:sz="8" w:space="0"/>
              <w:left w:val="nil"/>
              <w:bottom w:val="single" w:color="000000" w:sz="8" w:space="0"/>
              <w:right w:val="single" w:color="000000" w:sz="8" w:space="0"/>
            </w:tcBorders>
            <w:shd w:val="clear" w:color="auto" w:fill="auto"/>
            <w:vAlign w:val="center"/>
          </w:tcPr>
          <w:p w14:paraId="3C770DE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安全监控漏洞扫描服务</w:t>
            </w:r>
          </w:p>
        </w:tc>
        <w:tc>
          <w:tcPr>
            <w:tcW w:w="2130" w:type="dxa"/>
            <w:tcBorders>
              <w:top w:val="nil"/>
              <w:left w:val="nil"/>
              <w:bottom w:val="single" w:color="000000" w:sz="8" w:space="0"/>
              <w:right w:val="single" w:color="000000" w:sz="8" w:space="0"/>
            </w:tcBorders>
            <w:shd w:val="clear" w:color="auto" w:fill="auto"/>
            <w:vAlign w:val="center"/>
          </w:tcPr>
          <w:p w14:paraId="3E5D0A6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提供网络资产脆弱性扫描系统1套</w:t>
            </w:r>
          </w:p>
        </w:tc>
        <w:tc>
          <w:tcPr>
            <w:tcW w:w="1673" w:type="dxa"/>
            <w:tcBorders>
              <w:top w:val="nil"/>
              <w:left w:val="nil"/>
              <w:bottom w:val="single" w:color="000000" w:sz="8" w:space="0"/>
              <w:right w:val="single" w:color="000000" w:sz="8" w:space="0"/>
            </w:tcBorders>
            <w:shd w:val="clear" w:color="auto" w:fill="auto"/>
            <w:vAlign w:val="center"/>
          </w:tcPr>
          <w:p w14:paraId="1264965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1020" w:type="dxa"/>
            <w:tcBorders>
              <w:top w:val="nil"/>
              <w:left w:val="nil"/>
              <w:bottom w:val="single" w:color="000000" w:sz="8" w:space="0"/>
              <w:right w:val="single" w:color="000000" w:sz="8" w:space="0"/>
            </w:tcBorders>
            <w:shd w:val="clear" w:color="auto" w:fill="auto"/>
            <w:vAlign w:val="center"/>
          </w:tcPr>
          <w:p w14:paraId="37E9472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1020" w:type="dxa"/>
            <w:tcBorders>
              <w:top w:val="nil"/>
              <w:left w:val="nil"/>
              <w:bottom w:val="single" w:color="000000" w:sz="8" w:space="0"/>
              <w:right w:val="single" w:color="000000" w:sz="8" w:space="0"/>
            </w:tcBorders>
            <w:shd w:val="clear" w:color="auto" w:fill="auto"/>
            <w:vAlign w:val="center"/>
          </w:tcPr>
          <w:p w14:paraId="0B5C579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231308C3">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6C08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6</w:t>
            </w:r>
          </w:p>
        </w:tc>
        <w:tc>
          <w:tcPr>
            <w:tcW w:w="1883" w:type="dxa"/>
            <w:vMerge w:val="continue"/>
            <w:tcBorders>
              <w:top w:val="single" w:color="000000" w:sz="8" w:space="0"/>
              <w:left w:val="nil"/>
              <w:bottom w:val="single" w:color="000000" w:sz="8" w:space="0"/>
              <w:right w:val="single" w:color="000000" w:sz="8" w:space="0"/>
            </w:tcBorders>
            <w:shd w:val="clear" w:color="auto" w:fill="auto"/>
            <w:vAlign w:val="center"/>
          </w:tcPr>
          <w:p w14:paraId="3DD41C42">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0D4CF27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系统漏洞扫描服务</w:t>
            </w:r>
          </w:p>
        </w:tc>
        <w:tc>
          <w:tcPr>
            <w:tcW w:w="1673" w:type="dxa"/>
            <w:tcBorders>
              <w:top w:val="nil"/>
              <w:left w:val="nil"/>
              <w:bottom w:val="single" w:color="000000" w:sz="8" w:space="0"/>
              <w:right w:val="single" w:color="000000" w:sz="8" w:space="0"/>
            </w:tcBorders>
            <w:shd w:val="clear" w:color="auto" w:fill="auto"/>
            <w:vAlign w:val="center"/>
          </w:tcPr>
          <w:p w14:paraId="5BFD59B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配套安全服务</w:t>
            </w:r>
          </w:p>
        </w:tc>
        <w:tc>
          <w:tcPr>
            <w:tcW w:w="1020" w:type="dxa"/>
            <w:tcBorders>
              <w:top w:val="nil"/>
              <w:left w:val="nil"/>
              <w:bottom w:val="single" w:color="000000" w:sz="8" w:space="0"/>
              <w:right w:val="single" w:color="000000" w:sz="8" w:space="0"/>
            </w:tcBorders>
            <w:shd w:val="clear" w:color="auto" w:fill="auto"/>
            <w:vAlign w:val="center"/>
          </w:tcPr>
          <w:p w14:paraId="2168006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nil"/>
              <w:left w:val="nil"/>
              <w:bottom w:val="single" w:color="000000" w:sz="8" w:space="0"/>
              <w:right w:val="single" w:color="000000" w:sz="8" w:space="0"/>
            </w:tcBorders>
            <w:shd w:val="clear" w:color="auto" w:fill="auto"/>
            <w:vAlign w:val="center"/>
          </w:tcPr>
          <w:p w14:paraId="2DE41C0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384</w:t>
            </w:r>
          </w:p>
        </w:tc>
      </w:tr>
      <w:tr w14:paraId="6330590B">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3F5B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7</w:t>
            </w:r>
          </w:p>
        </w:tc>
        <w:tc>
          <w:tcPr>
            <w:tcW w:w="1883" w:type="dxa"/>
            <w:vMerge w:val="continue"/>
            <w:tcBorders>
              <w:top w:val="single" w:color="000000" w:sz="8" w:space="0"/>
              <w:left w:val="nil"/>
              <w:bottom w:val="single" w:color="000000" w:sz="8" w:space="0"/>
              <w:right w:val="single" w:color="000000" w:sz="8" w:space="0"/>
            </w:tcBorders>
            <w:shd w:val="clear" w:color="auto" w:fill="auto"/>
            <w:vAlign w:val="center"/>
          </w:tcPr>
          <w:p w14:paraId="4636FF6B">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46F188B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WEB漏洞扫描服务</w:t>
            </w:r>
          </w:p>
        </w:tc>
        <w:tc>
          <w:tcPr>
            <w:tcW w:w="1673" w:type="dxa"/>
            <w:tcBorders>
              <w:top w:val="nil"/>
              <w:left w:val="nil"/>
              <w:bottom w:val="single" w:color="000000" w:sz="8" w:space="0"/>
              <w:right w:val="single" w:color="000000" w:sz="8" w:space="0"/>
            </w:tcBorders>
            <w:shd w:val="clear" w:color="auto" w:fill="auto"/>
            <w:vAlign w:val="center"/>
          </w:tcPr>
          <w:p w14:paraId="3B16639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配套安全服务</w:t>
            </w:r>
          </w:p>
        </w:tc>
        <w:tc>
          <w:tcPr>
            <w:tcW w:w="1020" w:type="dxa"/>
            <w:tcBorders>
              <w:top w:val="nil"/>
              <w:left w:val="nil"/>
              <w:bottom w:val="single" w:color="000000" w:sz="8" w:space="0"/>
              <w:right w:val="single" w:color="000000" w:sz="8" w:space="0"/>
            </w:tcBorders>
            <w:shd w:val="clear" w:color="auto" w:fill="auto"/>
            <w:vAlign w:val="center"/>
          </w:tcPr>
          <w:p w14:paraId="64F8726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nil"/>
              <w:left w:val="nil"/>
              <w:bottom w:val="single" w:color="000000" w:sz="8" w:space="0"/>
              <w:right w:val="single" w:color="000000" w:sz="8" w:space="0"/>
            </w:tcBorders>
            <w:shd w:val="clear" w:color="auto" w:fill="auto"/>
            <w:vAlign w:val="center"/>
          </w:tcPr>
          <w:p w14:paraId="2A49904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348</w:t>
            </w:r>
          </w:p>
        </w:tc>
      </w:tr>
      <w:tr w14:paraId="0265673E">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4DAC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8</w:t>
            </w:r>
          </w:p>
        </w:tc>
        <w:tc>
          <w:tcPr>
            <w:tcW w:w="1883" w:type="dxa"/>
            <w:vMerge w:val="continue"/>
            <w:tcBorders>
              <w:top w:val="single" w:color="000000" w:sz="8" w:space="0"/>
              <w:left w:val="nil"/>
              <w:bottom w:val="single" w:color="000000" w:sz="8" w:space="0"/>
              <w:right w:val="single" w:color="000000" w:sz="8" w:space="0"/>
            </w:tcBorders>
            <w:shd w:val="clear" w:color="auto" w:fill="auto"/>
            <w:vAlign w:val="center"/>
          </w:tcPr>
          <w:p w14:paraId="10D8FD33">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6F76544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配置核查服务</w:t>
            </w:r>
          </w:p>
        </w:tc>
        <w:tc>
          <w:tcPr>
            <w:tcW w:w="1673" w:type="dxa"/>
            <w:tcBorders>
              <w:top w:val="nil"/>
              <w:left w:val="nil"/>
              <w:bottom w:val="single" w:color="000000" w:sz="8" w:space="0"/>
              <w:right w:val="single" w:color="000000" w:sz="8" w:space="0"/>
            </w:tcBorders>
            <w:shd w:val="clear" w:color="auto" w:fill="auto"/>
            <w:vAlign w:val="center"/>
          </w:tcPr>
          <w:p w14:paraId="298B53C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配套安全服务</w:t>
            </w:r>
          </w:p>
        </w:tc>
        <w:tc>
          <w:tcPr>
            <w:tcW w:w="1020" w:type="dxa"/>
            <w:tcBorders>
              <w:top w:val="nil"/>
              <w:left w:val="nil"/>
              <w:bottom w:val="single" w:color="000000" w:sz="8" w:space="0"/>
              <w:right w:val="single" w:color="000000" w:sz="8" w:space="0"/>
            </w:tcBorders>
            <w:shd w:val="clear" w:color="auto" w:fill="auto"/>
            <w:vAlign w:val="center"/>
          </w:tcPr>
          <w:p w14:paraId="611AA1A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nil"/>
              <w:left w:val="nil"/>
              <w:bottom w:val="single" w:color="000000" w:sz="8" w:space="0"/>
              <w:right w:val="single" w:color="000000" w:sz="8" w:space="0"/>
            </w:tcBorders>
            <w:shd w:val="clear" w:color="auto" w:fill="auto"/>
            <w:vAlign w:val="center"/>
          </w:tcPr>
          <w:p w14:paraId="55B7AC9A">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32</w:t>
            </w:r>
          </w:p>
        </w:tc>
      </w:tr>
      <w:tr w14:paraId="162657AB">
        <w:tblPrEx>
          <w:tblCellMar>
            <w:top w:w="0" w:type="dxa"/>
            <w:left w:w="108" w:type="dxa"/>
            <w:bottom w:w="0" w:type="dxa"/>
            <w:right w:w="108" w:type="dxa"/>
          </w:tblCellMar>
        </w:tblPrEx>
        <w:trPr>
          <w:trHeight w:val="525"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65A1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9</w:t>
            </w:r>
          </w:p>
        </w:tc>
        <w:tc>
          <w:tcPr>
            <w:tcW w:w="1883" w:type="dxa"/>
            <w:tcBorders>
              <w:top w:val="nil"/>
              <w:left w:val="nil"/>
              <w:bottom w:val="single" w:color="000000" w:sz="8" w:space="0"/>
              <w:right w:val="single" w:color="000000" w:sz="8" w:space="0"/>
            </w:tcBorders>
            <w:shd w:val="clear" w:color="auto" w:fill="auto"/>
            <w:vAlign w:val="center"/>
          </w:tcPr>
          <w:p w14:paraId="4B2AF06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服务器安全防护服务</w:t>
            </w:r>
          </w:p>
        </w:tc>
        <w:tc>
          <w:tcPr>
            <w:tcW w:w="2130" w:type="dxa"/>
            <w:tcBorders>
              <w:top w:val="nil"/>
              <w:left w:val="nil"/>
              <w:bottom w:val="single" w:color="000000" w:sz="8" w:space="0"/>
              <w:right w:val="single" w:color="000000" w:sz="8" w:space="0"/>
            </w:tcBorders>
            <w:shd w:val="clear" w:color="auto" w:fill="auto"/>
            <w:vAlign w:val="center"/>
          </w:tcPr>
          <w:p w14:paraId="4955C4A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服务器安全防护软件</w:t>
            </w:r>
          </w:p>
        </w:tc>
        <w:tc>
          <w:tcPr>
            <w:tcW w:w="1673" w:type="dxa"/>
            <w:tcBorders>
              <w:top w:val="nil"/>
              <w:left w:val="nil"/>
              <w:bottom w:val="single" w:color="000000" w:sz="8" w:space="0"/>
              <w:right w:val="single" w:color="000000" w:sz="8" w:space="0"/>
            </w:tcBorders>
            <w:shd w:val="clear" w:color="auto" w:fill="auto"/>
            <w:vAlign w:val="center"/>
          </w:tcPr>
          <w:p w14:paraId="7A650C8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1020" w:type="dxa"/>
            <w:tcBorders>
              <w:top w:val="nil"/>
              <w:left w:val="nil"/>
              <w:bottom w:val="single" w:color="000000" w:sz="8" w:space="0"/>
              <w:right w:val="single" w:color="000000" w:sz="8" w:space="0"/>
            </w:tcBorders>
            <w:shd w:val="clear" w:color="auto" w:fill="auto"/>
            <w:vAlign w:val="center"/>
          </w:tcPr>
          <w:p w14:paraId="119EB88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套授权/年</w:t>
            </w:r>
          </w:p>
        </w:tc>
        <w:tc>
          <w:tcPr>
            <w:tcW w:w="1020" w:type="dxa"/>
            <w:tcBorders>
              <w:top w:val="nil"/>
              <w:left w:val="nil"/>
              <w:bottom w:val="single" w:color="000000" w:sz="8" w:space="0"/>
              <w:right w:val="single" w:color="000000" w:sz="8" w:space="0"/>
            </w:tcBorders>
            <w:shd w:val="clear" w:color="auto" w:fill="auto"/>
            <w:vAlign w:val="center"/>
          </w:tcPr>
          <w:p w14:paraId="1119643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400</w:t>
            </w:r>
          </w:p>
        </w:tc>
      </w:tr>
      <w:tr w14:paraId="31E41F52">
        <w:tblPrEx>
          <w:tblCellMar>
            <w:top w:w="0" w:type="dxa"/>
            <w:left w:w="108" w:type="dxa"/>
            <w:bottom w:w="0" w:type="dxa"/>
            <w:right w:w="108" w:type="dxa"/>
          </w:tblCellMar>
        </w:tblPrEx>
        <w:trPr>
          <w:trHeight w:val="525"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DEBC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10</w:t>
            </w:r>
          </w:p>
        </w:tc>
        <w:tc>
          <w:tcPr>
            <w:tcW w:w="18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9FA2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上网行为管理服务</w:t>
            </w:r>
          </w:p>
        </w:tc>
        <w:tc>
          <w:tcPr>
            <w:tcW w:w="2130" w:type="dxa"/>
            <w:tcBorders>
              <w:top w:val="nil"/>
              <w:left w:val="nil"/>
              <w:bottom w:val="single" w:color="000000" w:sz="8" w:space="0"/>
              <w:right w:val="single" w:color="000000" w:sz="8" w:space="0"/>
            </w:tcBorders>
            <w:shd w:val="clear" w:color="auto" w:fill="auto"/>
            <w:vAlign w:val="center"/>
          </w:tcPr>
          <w:p w14:paraId="080F202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提供上网行为审计设备1套</w:t>
            </w:r>
          </w:p>
        </w:tc>
        <w:tc>
          <w:tcPr>
            <w:tcW w:w="1673" w:type="dxa"/>
            <w:tcBorders>
              <w:top w:val="nil"/>
              <w:left w:val="nil"/>
              <w:bottom w:val="single" w:color="000000" w:sz="8" w:space="0"/>
              <w:right w:val="single" w:color="000000" w:sz="8" w:space="0"/>
            </w:tcBorders>
            <w:shd w:val="clear" w:color="auto" w:fill="auto"/>
            <w:vAlign w:val="center"/>
          </w:tcPr>
          <w:p w14:paraId="475184E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安全组件</w:t>
            </w:r>
          </w:p>
        </w:tc>
        <w:tc>
          <w:tcPr>
            <w:tcW w:w="1020" w:type="dxa"/>
            <w:tcBorders>
              <w:top w:val="nil"/>
              <w:left w:val="nil"/>
              <w:bottom w:val="single" w:color="000000" w:sz="8" w:space="0"/>
              <w:right w:val="single" w:color="000000" w:sz="8" w:space="0"/>
            </w:tcBorders>
            <w:shd w:val="clear" w:color="auto" w:fill="auto"/>
            <w:vAlign w:val="center"/>
          </w:tcPr>
          <w:p w14:paraId="1D63B09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套/年</w:t>
            </w:r>
          </w:p>
        </w:tc>
        <w:tc>
          <w:tcPr>
            <w:tcW w:w="1020" w:type="dxa"/>
            <w:tcBorders>
              <w:top w:val="nil"/>
              <w:left w:val="nil"/>
              <w:bottom w:val="single" w:color="000000" w:sz="8" w:space="0"/>
              <w:right w:val="single" w:color="000000" w:sz="8" w:space="0"/>
            </w:tcBorders>
            <w:shd w:val="clear" w:color="auto" w:fill="auto"/>
            <w:vAlign w:val="center"/>
          </w:tcPr>
          <w:p w14:paraId="147A463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6636E6D3">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24BE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11</w:t>
            </w:r>
          </w:p>
        </w:tc>
        <w:tc>
          <w:tcPr>
            <w:tcW w:w="1883" w:type="dxa"/>
            <w:tcBorders>
              <w:top w:val="nil"/>
              <w:left w:val="nil"/>
              <w:bottom w:val="single" w:color="000000" w:sz="8" w:space="0"/>
              <w:right w:val="single" w:color="000000" w:sz="8" w:space="0"/>
            </w:tcBorders>
            <w:shd w:val="clear" w:color="auto" w:fill="auto"/>
            <w:vAlign w:val="center"/>
          </w:tcPr>
          <w:p w14:paraId="6275CE5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日志审计服务</w:t>
            </w:r>
          </w:p>
        </w:tc>
        <w:tc>
          <w:tcPr>
            <w:tcW w:w="2130" w:type="dxa"/>
            <w:tcBorders>
              <w:top w:val="nil"/>
              <w:left w:val="nil"/>
              <w:bottom w:val="single" w:color="000000" w:sz="8" w:space="0"/>
              <w:right w:val="single" w:color="000000" w:sz="8" w:space="0"/>
            </w:tcBorders>
            <w:shd w:val="clear" w:color="auto" w:fill="auto"/>
            <w:vAlign w:val="center"/>
          </w:tcPr>
          <w:p w14:paraId="5C79535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日志审计服务</w:t>
            </w:r>
          </w:p>
        </w:tc>
        <w:tc>
          <w:tcPr>
            <w:tcW w:w="1673" w:type="dxa"/>
            <w:tcBorders>
              <w:top w:val="nil"/>
              <w:left w:val="nil"/>
              <w:bottom w:val="single" w:color="000000" w:sz="8" w:space="0"/>
              <w:right w:val="single" w:color="000000" w:sz="8" w:space="0"/>
            </w:tcBorders>
            <w:shd w:val="clear" w:color="auto" w:fill="auto"/>
            <w:vAlign w:val="center"/>
          </w:tcPr>
          <w:p w14:paraId="357E2C5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配套安全服务</w:t>
            </w:r>
          </w:p>
        </w:tc>
        <w:tc>
          <w:tcPr>
            <w:tcW w:w="1020" w:type="dxa"/>
            <w:tcBorders>
              <w:top w:val="nil"/>
              <w:left w:val="nil"/>
              <w:bottom w:val="single" w:color="000000" w:sz="8" w:space="0"/>
              <w:right w:val="single" w:color="000000" w:sz="8" w:space="0"/>
            </w:tcBorders>
            <w:shd w:val="clear" w:color="auto" w:fill="auto"/>
            <w:vAlign w:val="center"/>
          </w:tcPr>
          <w:p w14:paraId="4478886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nil"/>
              <w:left w:val="nil"/>
              <w:bottom w:val="single" w:color="000000" w:sz="8" w:space="0"/>
              <w:right w:val="single" w:color="000000" w:sz="8" w:space="0"/>
            </w:tcBorders>
            <w:shd w:val="clear" w:color="auto" w:fill="auto"/>
            <w:vAlign w:val="center"/>
          </w:tcPr>
          <w:p w14:paraId="5F15E67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312</w:t>
            </w:r>
          </w:p>
        </w:tc>
      </w:tr>
      <w:tr w14:paraId="3B229398">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2221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12</w:t>
            </w:r>
          </w:p>
        </w:tc>
        <w:tc>
          <w:tcPr>
            <w:tcW w:w="1883" w:type="dxa"/>
            <w:vMerge w:val="restart"/>
            <w:tcBorders>
              <w:top w:val="single" w:color="000000" w:sz="8" w:space="0"/>
              <w:left w:val="nil"/>
              <w:bottom w:val="single" w:color="000000" w:sz="8" w:space="0"/>
              <w:right w:val="single" w:color="000000" w:sz="8" w:space="0"/>
            </w:tcBorders>
            <w:shd w:val="clear" w:color="auto" w:fill="auto"/>
            <w:vAlign w:val="center"/>
          </w:tcPr>
          <w:p w14:paraId="7B21B1DA">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数据安全服务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B0E39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数据安全服务</w:t>
            </w:r>
          </w:p>
        </w:tc>
        <w:tc>
          <w:tcPr>
            <w:tcW w:w="1673" w:type="dxa"/>
            <w:tcBorders>
              <w:top w:val="nil"/>
              <w:left w:val="nil"/>
              <w:bottom w:val="single" w:color="000000" w:sz="8" w:space="0"/>
              <w:right w:val="single" w:color="000000" w:sz="8" w:space="0"/>
            </w:tcBorders>
            <w:shd w:val="clear" w:color="auto" w:fill="auto"/>
            <w:vAlign w:val="center"/>
          </w:tcPr>
          <w:p w14:paraId="5B1716C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配套安全服务</w:t>
            </w:r>
          </w:p>
        </w:tc>
        <w:tc>
          <w:tcPr>
            <w:tcW w:w="1020" w:type="dxa"/>
            <w:tcBorders>
              <w:top w:val="nil"/>
              <w:left w:val="nil"/>
              <w:bottom w:val="single" w:color="000000" w:sz="8" w:space="0"/>
              <w:right w:val="single" w:color="000000" w:sz="8" w:space="0"/>
            </w:tcBorders>
            <w:shd w:val="clear" w:color="auto" w:fill="auto"/>
            <w:vAlign w:val="center"/>
          </w:tcPr>
          <w:p w14:paraId="1FD0C53A">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nil"/>
              <w:left w:val="nil"/>
              <w:bottom w:val="single" w:color="000000" w:sz="8" w:space="0"/>
              <w:right w:val="single" w:color="000000" w:sz="8" w:space="0"/>
            </w:tcBorders>
            <w:shd w:val="clear" w:color="auto" w:fill="auto"/>
            <w:vAlign w:val="center"/>
          </w:tcPr>
          <w:p w14:paraId="272B171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104</w:t>
            </w:r>
          </w:p>
        </w:tc>
      </w:tr>
      <w:tr w14:paraId="437B76E6">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502D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13</w:t>
            </w:r>
          </w:p>
        </w:tc>
        <w:tc>
          <w:tcPr>
            <w:tcW w:w="1883" w:type="dxa"/>
            <w:vMerge w:val="continue"/>
            <w:tcBorders>
              <w:top w:val="single" w:color="000000" w:sz="8" w:space="0"/>
              <w:left w:val="nil"/>
              <w:bottom w:val="single" w:color="000000" w:sz="8" w:space="0"/>
              <w:right w:val="single" w:color="000000" w:sz="8" w:space="0"/>
            </w:tcBorders>
            <w:shd w:val="clear" w:color="auto" w:fill="auto"/>
            <w:vAlign w:val="center"/>
          </w:tcPr>
          <w:p w14:paraId="61C9C22C">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142AFF4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SSL证书服务</w:t>
            </w:r>
          </w:p>
        </w:tc>
        <w:tc>
          <w:tcPr>
            <w:tcW w:w="1673" w:type="dxa"/>
            <w:tcBorders>
              <w:top w:val="nil"/>
              <w:left w:val="nil"/>
              <w:bottom w:val="single" w:color="000000" w:sz="8" w:space="0"/>
              <w:right w:val="single" w:color="000000" w:sz="8" w:space="0"/>
            </w:tcBorders>
            <w:shd w:val="clear" w:color="auto" w:fill="auto"/>
            <w:vAlign w:val="center"/>
          </w:tcPr>
          <w:p w14:paraId="50912DB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配套安全服务</w:t>
            </w:r>
          </w:p>
        </w:tc>
        <w:tc>
          <w:tcPr>
            <w:tcW w:w="1020" w:type="dxa"/>
            <w:tcBorders>
              <w:top w:val="nil"/>
              <w:left w:val="nil"/>
              <w:bottom w:val="single" w:color="000000" w:sz="8" w:space="0"/>
              <w:right w:val="single" w:color="000000" w:sz="8" w:space="0"/>
            </w:tcBorders>
            <w:shd w:val="clear" w:color="auto" w:fill="auto"/>
            <w:vAlign w:val="center"/>
          </w:tcPr>
          <w:p w14:paraId="6C93081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年</w:t>
            </w:r>
          </w:p>
        </w:tc>
        <w:tc>
          <w:tcPr>
            <w:tcW w:w="1020" w:type="dxa"/>
            <w:tcBorders>
              <w:top w:val="nil"/>
              <w:left w:val="nil"/>
              <w:bottom w:val="single" w:color="000000" w:sz="8" w:space="0"/>
              <w:right w:val="single" w:color="000000" w:sz="8" w:space="0"/>
            </w:tcBorders>
            <w:shd w:val="clear" w:color="auto" w:fill="auto"/>
            <w:vAlign w:val="center"/>
          </w:tcPr>
          <w:p w14:paraId="5FAB237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w:t>
            </w:r>
          </w:p>
        </w:tc>
      </w:tr>
      <w:tr w14:paraId="4CD0CFB5">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D2F0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14</w:t>
            </w:r>
          </w:p>
        </w:tc>
        <w:tc>
          <w:tcPr>
            <w:tcW w:w="1883" w:type="dxa"/>
            <w:vMerge w:val="restart"/>
            <w:tcBorders>
              <w:top w:val="nil"/>
              <w:left w:val="nil"/>
              <w:bottom w:val="single" w:color="000000" w:sz="8" w:space="0"/>
              <w:right w:val="single" w:color="000000" w:sz="8" w:space="0"/>
            </w:tcBorders>
            <w:shd w:val="clear" w:color="auto" w:fill="auto"/>
            <w:vAlign w:val="center"/>
          </w:tcPr>
          <w:p w14:paraId="2D51A80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安全运营服务</w:t>
            </w:r>
          </w:p>
        </w:tc>
        <w:tc>
          <w:tcPr>
            <w:tcW w:w="2130" w:type="dxa"/>
            <w:tcBorders>
              <w:top w:val="nil"/>
              <w:left w:val="nil"/>
              <w:bottom w:val="single" w:color="000000" w:sz="8" w:space="0"/>
              <w:right w:val="single" w:color="000000" w:sz="8" w:space="0"/>
            </w:tcBorders>
            <w:shd w:val="clear" w:color="auto" w:fill="auto"/>
            <w:vAlign w:val="center"/>
          </w:tcPr>
          <w:p w14:paraId="30A742C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安全预警通告</w:t>
            </w:r>
          </w:p>
        </w:tc>
        <w:tc>
          <w:tcPr>
            <w:tcW w:w="1673" w:type="dxa"/>
            <w:tcBorders>
              <w:top w:val="nil"/>
              <w:left w:val="nil"/>
              <w:bottom w:val="single" w:color="000000" w:sz="8" w:space="0"/>
              <w:right w:val="single" w:color="000000" w:sz="8" w:space="0"/>
            </w:tcBorders>
            <w:shd w:val="clear" w:color="auto" w:fill="auto"/>
            <w:vAlign w:val="center"/>
          </w:tcPr>
          <w:p w14:paraId="1BBA5F6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1020" w:type="dxa"/>
            <w:tcBorders>
              <w:top w:val="nil"/>
              <w:left w:val="nil"/>
              <w:bottom w:val="single" w:color="000000" w:sz="8" w:space="0"/>
              <w:right w:val="single" w:color="000000" w:sz="8" w:space="0"/>
            </w:tcBorders>
            <w:shd w:val="clear" w:color="auto" w:fill="auto"/>
            <w:vAlign w:val="center"/>
          </w:tcPr>
          <w:p w14:paraId="57EBD83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nil"/>
              <w:left w:val="nil"/>
              <w:bottom w:val="single" w:color="000000" w:sz="8" w:space="0"/>
              <w:right w:val="single" w:color="000000" w:sz="8" w:space="0"/>
            </w:tcBorders>
            <w:shd w:val="clear" w:color="auto" w:fill="auto"/>
            <w:vAlign w:val="center"/>
          </w:tcPr>
          <w:p w14:paraId="0DD2032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24</w:t>
            </w:r>
          </w:p>
        </w:tc>
      </w:tr>
      <w:tr w14:paraId="0A35B339">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D1DF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15</w:t>
            </w:r>
          </w:p>
        </w:tc>
        <w:tc>
          <w:tcPr>
            <w:tcW w:w="1883" w:type="dxa"/>
            <w:vMerge w:val="continue"/>
            <w:tcBorders>
              <w:top w:val="nil"/>
              <w:left w:val="nil"/>
              <w:bottom w:val="single" w:color="000000" w:sz="8" w:space="0"/>
              <w:right w:val="single" w:color="000000" w:sz="8" w:space="0"/>
            </w:tcBorders>
            <w:shd w:val="clear" w:color="auto" w:fill="auto"/>
            <w:vAlign w:val="center"/>
          </w:tcPr>
          <w:p w14:paraId="4F340E1C">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1B0E1F8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应急演练</w:t>
            </w:r>
          </w:p>
        </w:tc>
        <w:tc>
          <w:tcPr>
            <w:tcW w:w="1673" w:type="dxa"/>
            <w:tcBorders>
              <w:top w:val="nil"/>
              <w:left w:val="nil"/>
              <w:bottom w:val="single" w:color="000000" w:sz="8" w:space="0"/>
              <w:right w:val="single" w:color="000000" w:sz="8" w:space="0"/>
            </w:tcBorders>
            <w:shd w:val="clear" w:color="auto" w:fill="auto"/>
            <w:vAlign w:val="center"/>
          </w:tcPr>
          <w:p w14:paraId="07DCDA0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1020" w:type="dxa"/>
            <w:tcBorders>
              <w:top w:val="nil"/>
              <w:left w:val="nil"/>
              <w:bottom w:val="single" w:color="000000" w:sz="8" w:space="0"/>
              <w:right w:val="single" w:color="000000" w:sz="8" w:space="0"/>
            </w:tcBorders>
            <w:shd w:val="clear" w:color="auto" w:fill="auto"/>
            <w:vAlign w:val="center"/>
          </w:tcPr>
          <w:p w14:paraId="3EA54A2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nil"/>
              <w:left w:val="nil"/>
              <w:bottom w:val="single" w:color="000000" w:sz="8" w:space="0"/>
              <w:right w:val="single" w:color="000000" w:sz="8" w:space="0"/>
            </w:tcBorders>
            <w:shd w:val="clear" w:color="auto" w:fill="auto"/>
            <w:vAlign w:val="center"/>
          </w:tcPr>
          <w:p w14:paraId="6619E366">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38</w:t>
            </w:r>
          </w:p>
        </w:tc>
      </w:tr>
      <w:tr w14:paraId="7505C832">
        <w:tblPrEx>
          <w:tblCellMar>
            <w:top w:w="0" w:type="dxa"/>
            <w:left w:w="108" w:type="dxa"/>
            <w:bottom w:w="0" w:type="dxa"/>
            <w:right w:w="108" w:type="dxa"/>
          </w:tblCellMar>
        </w:tblPrEx>
        <w:trPr>
          <w:trHeight w:val="285"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94C2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16</w:t>
            </w:r>
          </w:p>
        </w:tc>
        <w:tc>
          <w:tcPr>
            <w:tcW w:w="1883" w:type="dxa"/>
            <w:vMerge w:val="continue"/>
            <w:tcBorders>
              <w:top w:val="nil"/>
              <w:left w:val="nil"/>
              <w:bottom w:val="single" w:color="000000" w:sz="8" w:space="0"/>
              <w:right w:val="single" w:color="000000" w:sz="8" w:space="0"/>
            </w:tcBorders>
            <w:shd w:val="clear" w:color="auto" w:fill="auto"/>
            <w:vAlign w:val="center"/>
          </w:tcPr>
          <w:p w14:paraId="505B41B8">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57F5099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学校端安全服务</w:t>
            </w:r>
          </w:p>
        </w:tc>
        <w:tc>
          <w:tcPr>
            <w:tcW w:w="1673" w:type="dxa"/>
            <w:tcBorders>
              <w:top w:val="nil"/>
              <w:left w:val="nil"/>
              <w:bottom w:val="single" w:color="000000" w:sz="8" w:space="0"/>
              <w:right w:val="single" w:color="000000" w:sz="8" w:space="0"/>
            </w:tcBorders>
            <w:shd w:val="clear" w:color="auto" w:fill="auto"/>
            <w:vAlign w:val="center"/>
          </w:tcPr>
          <w:p w14:paraId="6E7E705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1020" w:type="dxa"/>
            <w:tcBorders>
              <w:top w:val="single" w:color="000000" w:sz="8" w:space="0"/>
              <w:left w:val="nil"/>
              <w:bottom w:val="single" w:color="000000" w:sz="8" w:space="0"/>
              <w:right w:val="single" w:color="000000" w:sz="8" w:space="0"/>
            </w:tcBorders>
            <w:shd w:val="clear" w:color="auto" w:fill="auto"/>
            <w:vAlign w:val="center"/>
          </w:tcPr>
          <w:p w14:paraId="03A9F06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single" w:color="000000" w:sz="8" w:space="0"/>
              <w:left w:val="nil"/>
              <w:bottom w:val="single" w:color="000000" w:sz="8" w:space="0"/>
              <w:right w:val="single" w:color="000000" w:sz="8" w:space="0"/>
            </w:tcBorders>
            <w:shd w:val="clear" w:color="auto" w:fill="auto"/>
            <w:vAlign w:val="center"/>
          </w:tcPr>
          <w:p w14:paraId="2977D3D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400</w:t>
            </w:r>
          </w:p>
        </w:tc>
      </w:tr>
      <w:tr w14:paraId="7CD9CF99">
        <w:tblPrEx>
          <w:tblCellMar>
            <w:top w:w="0" w:type="dxa"/>
            <w:left w:w="108" w:type="dxa"/>
            <w:bottom w:w="0" w:type="dxa"/>
            <w:right w:w="108" w:type="dxa"/>
          </w:tblCellMar>
        </w:tblPrEx>
        <w:trPr>
          <w:trHeight w:val="285"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E2D1B">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17</w:t>
            </w:r>
          </w:p>
        </w:tc>
        <w:tc>
          <w:tcPr>
            <w:tcW w:w="1883" w:type="dxa"/>
            <w:vMerge w:val="continue"/>
            <w:tcBorders>
              <w:top w:val="nil"/>
              <w:left w:val="nil"/>
              <w:bottom w:val="single" w:color="000000" w:sz="8" w:space="0"/>
              <w:right w:val="single" w:color="000000" w:sz="8" w:space="0"/>
            </w:tcBorders>
            <w:shd w:val="clear" w:color="auto" w:fill="auto"/>
            <w:vAlign w:val="center"/>
          </w:tcPr>
          <w:p w14:paraId="5B756A41">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427A2CC9">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设备巡检</w:t>
            </w:r>
          </w:p>
        </w:tc>
        <w:tc>
          <w:tcPr>
            <w:tcW w:w="1673" w:type="dxa"/>
            <w:tcBorders>
              <w:top w:val="nil"/>
              <w:left w:val="nil"/>
              <w:bottom w:val="single" w:color="000000" w:sz="8" w:space="0"/>
              <w:right w:val="single" w:color="000000" w:sz="8" w:space="0"/>
            </w:tcBorders>
            <w:shd w:val="clear" w:color="auto" w:fill="auto"/>
            <w:vAlign w:val="center"/>
          </w:tcPr>
          <w:p w14:paraId="6414E77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1020" w:type="dxa"/>
            <w:tcBorders>
              <w:top w:val="single" w:color="000000" w:sz="8" w:space="0"/>
              <w:left w:val="nil"/>
              <w:bottom w:val="single" w:color="000000" w:sz="8" w:space="0"/>
              <w:right w:val="single" w:color="000000" w:sz="8" w:space="0"/>
            </w:tcBorders>
            <w:shd w:val="clear" w:color="auto" w:fill="auto"/>
            <w:vAlign w:val="center"/>
          </w:tcPr>
          <w:p w14:paraId="10FFE4B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single" w:color="000000" w:sz="8" w:space="0"/>
              <w:left w:val="nil"/>
              <w:bottom w:val="single" w:color="000000" w:sz="8" w:space="0"/>
              <w:right w:val="single" w:color="000000" w:sz="8" w:space="0"/>
            </w:tcBorders>
            <w:shd w:val="clear" w:color="auto" w:fill="auto"/>
            <w:vAlign w:val="center"/>
          </w:tcPr>
          <w:p w14:paraId="43F72F2E">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547.5</w:t>
            </w:r>
          </w:p>
        </w:tc>
      </w:tr>
      <w:tr w14:paraId="79A7BADC">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E2342">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18</w:t>
            </w:r>
          </w:p>
        </w:tc>
        <w:tc>
          <w:tcPr>
            <w:tcW w:w="1883" w:type="dxa"/>
            <w:vMerge w:val="continue"/>
            <w:tcBorders>
              <w:top w:val="nil"/>
              <w:left w:val="nil"/>
              <w:bottom w:val="single" w:color="000000" w:sz="8" w:space="0"/>
              <w:right w:val="single" w:color="000000" w:sz="8" w:space="0"/>
            </w:tcBorders>
            <w:shd w:val="clear" w:color="auto" w:fill="auto"/>
            <w:vAlign w:val="center"/>
          </w:tcPr>
          <w:p w14:paraId="129B6C6D">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6F9B561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策略调整服务</w:t>
            </w:r>
          </w:p>
        </w:tc>
        <w:tc>
          <w:tcPr>
            <w:tcW w:w="1673" w:type="dxa"/>
            <w:tcBorders>
              <w:top w:val="nil"/>
              <w:left w:val="nil"/>
              <w:bottom w:val="single" w:color="000000" w:sz="8" w:space="0"/>
              <w:right w:val="single" w:color="000000" w:sz="8" w:space="0"/>
            </w:tcBorders>
            <w:shd w:val="clear" w:color="auto" w:fill="auto"/>
            <w:vAlign w:val="center"/>
          </w:tcPr>
          <w:p w14:paraId="35423E3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1020" w:type="dxa"/>
            <w:tcBorders>
              <w:top w:val="single" w:color="000000" w:sz="8" w:space="0"/>
              <w:left w:val="nil"/>
              <w:bottom w:val="single" w:color="000000" w:sz="8" w:space="0"/>
              <w:right w:val="single" w:color="000000" w:sz="8" w:space="0"/>
            </w:tcBorders>
            <w:shd w:val="clear" w:color="auto" w:fill="auto"/>
            <w:vAlign w:val="center"/>
          </w:tcPr>
          <w:p w14:paraId="4959B50C">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工时/年</w:t>
            </w:r>
          </w:p>
        </w:tc>
        <w:tc>
          <w:tcPr>
            <w:tcW w:w="1020" w:type="dxa"/>
            <w:tcBorders>
              <w:top w:val="single" w:color="000000" w:sz="8" w:space="0"/>
              <w:left w:val="nil"/>
              <w:bottom w:val="single" w:color="000000" w:sz="8" w:space="0"/>
              <w:right w:val="single" w:color="000000" w:sz="8" w:space="0"/>
            </w:tcBorders>
            <w:shd w:val="clear" w:color="auto" w:fill="auto"/>
            <w:vAlign w:val="center"/>
          </w:tcPr>
          <w:p w14:paraId="11836AD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156</w:t>
            </w:r>
          </w:p>
        </w:tc>
      </w:tr>
      <w:tr w14:paraId="1FA9D5E3">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87F8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19</w:t>
            </w:r>
          </w:p>
        </w:tc>
        <w:tc>
          <w:tcPr>
            <w:tcW w:w="1883" w:type="dxa"/>
            <w:vMerge w:val="continue"/>
            <w:tcBorders>
              <w:top w:val="nil"/>
              <w:left w:val="nil"/>
              <w:bottom w:val="single" w:color="000000" w:sz="8" w:space="0"/>
              <w:right w:val="single" w:color="000000" w:sz="8" w:space="0"/>
            </w:tcBorders>
            <w:shd w:val="clear" w:color="auto" w:fill="auto"/>
            <w:vAlign w:val="center"/>
          </w:tcPr>
          <w:p w14:paraId="6B0271AE">
            <w:pPr>
              <w:jc w:val="center"/>
              <w:rPr>
                <w:rFonts w:ascii="宋体" w:hAnsi="宋体" w:cs="Songti SC Regular"/>
                <w:sz w:val="20"/>
                <w:szCs w:val="20"/>
              </w:rPr>
            </w:pPr>
          </w:p>
        </w:tc>
        <w:tc>
          <w:tcPr>
            <w:tcW w:w="2130" w:type="dxa"/>
            <w:tcBorders>
              <w:top w:val="nil"/>
              <w:left w:val="nil"/>
              <w:bottom w:val="single" w:color="000000" w:sz="8" w:space="0"/>
              <w:right w:val="single" w:color="000000" w:sz="8" w:space="0"/>
            </w:tcBorders>
            <w:shd w:val="clear" w:color="auto" w:fill="auto"/>
            <w:vAlign w:val="center"/>
          </w:tcPr>
          <w:p w14:paraId="57D00D28">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安全宣讲培训</w:t>
            </w:r>
          </w:p>
        </w:tc>
        <w:tc>
          <w:tcPr>
            <w:tcW w:w="1673" w:type="dxa"/>
            <w:tcBorders>
              <w:top w:val="nil"/>
              <w:left w:val="nil"/>
              <w:bottom w:val="single" w:color="000000" w:sz="8" w:space="0"/>
              <w:right w:val="single" w:color="000000" w:sz="8" w:space="0"/>
            </w:tcBorders>
            <w:shd w:val="clear" w:color="auto" w:fill="auto"/>
            <w:vAlign w:val="center"/>
          </w:tcPr>
          <w:p w14:paraId="6395959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1020" w:type="dxa"/>
            <w:tcBorders>
              <w:top w:val="nil"/>
              <w:left w:val="nil"/>
              <w:bottom w:val="single" w:color="000000" w:sz="8" w:space="0"/>
              <w:right w:val="single" w:color="000000" w:sz="8" w:space="0"/>
            </w:tcBorders>
            <w:shd w:val="clear" w:color="auto" w:fill="auto"/>
            <w:vAlign w:val="center"/>
          </w:tcPr>
          <w:p w14:paraId="7C97B3F0">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次</w:t>
            </w:r>
          </w:p>
        </w:tc>
        <w:tc>
          <w:tcPr>
            <w:tcW w:w="1020" w:type="dxa"/>
            <w:tcBorders>
              <w:top w:val="nil"/>
              <w:left w:val="nil"/>
              <w:bottom w:val="single" w:color="000000" w:sz="8" w:space="0"/>
              <w:right w:val="single" w:color="000000" w:sz="8" w:space="0"/>
            </w:tcBorders>
            <w:shd w:val="clear" w:color="auto" w:fill="auto"/>
            <w:vAlign w:val="center"/>
          </w:tcPr>
          <w:p w14:paraId="62DEFD5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6</w:t>
            </w:r>
          </w:p>
        </w:tc>
      </w:tr>
      <w:tr w14:paraId="45AC3D12">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F32CA">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20</w:t>
            </w:r>
          </w:p>
        </w:tc>
        <w:tc>
          <w:tcPr>
            <w:tcW w:w="1883" w:type="dxa"/>
            <w:vMerge w:val="continue"/>
            <w:tcBorders>
              <w:top w:val="nil"/>
              <w:left w:val="nil"/>
              <w:bottom w:val="single" w:color="000000" w:sz="8" w:space="0"/>
              <w:right w:val="single" w:color="000000" w:sz="8" w:space="0"/>
            </w:tcBorders>
            <w:shd w:val="clear" w:color="auto" w:fill="auto"/>
            <w:vAlign w:val="center"/>
          </w:tcPr>
          <w:p w14:paraId="17CC5A9C">
            <w:pPr>
              <w:jc w:val="center"/>
              <w:rPr>
                <w:rFonts w:ascii="宋体" w:hAnsi="宋体" w:cs="Songti SC Regular"/>
                <w:sz w:val="20"/>
                <w:szCs w:val="20"/>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CC36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安全运营报告</w:t>
            </w:r>
          </w:p>
        </w:tc>
        <w:tc>
          <w:tcPr>
            <w:tcW w:w="16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0164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2E0C1">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次</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532D7">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12</w:t>
            </w:r>
          </w:p>
        </w:tc>
      </w:tr>
      <w:tr w14:paraId="587BE81A">
        <w:tblPrEx>
          <w:tblCellMar>
            <w:top w:w="0" w:type="dxa"/>
            <w:left w:w="108" w:type="dxa"/>
            <w:bottom w:w="0" w:type="dxa"/>
            <w:right w:w="108" w:type="dxa"/>
          </w:tblCellMar>
        </w:tblPrEx>
        <w:trPr>
          <w:trHeight w:val="270" w:hRule="atLeast"/>
        </w:trPr>
        <w:tc>
          <w:tcPr>
            <w:tcW w:w="10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FA2A5">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21</w:t>
            </w:r>
          </w:p>
        </w:tc>
        <w:tc>
          <w:tcPr>
            <w:tcW w:w="1883" w:type="dxa"/>
            <w:vMerge w:val="continue"/>
            <w:tcBorders>
              <w:top w:val="nil"/>
              <w:left w:val="nil"/>
              <w:bottom w:val="single" w:color="000000" w:sz="8" w:space="0"/>
              <w:right w:val="single" w:color="000000" w:sz="8" w:space="0"/>
            </w:tcBorders>
            <w:shd w:val="clear" w:color="auto" w:fill="auto"/>
            <w:vAlign w:val="center"/>
          </w:tcPr>
          <w:p w14:paraId="1BFF7C3E">
            <w:pPr>
              <w:jc w:val="center"/>
              <w:rPr>
                <w:rFonts w:ascii="宋体" w:hAnsi="宋体" w:cs="Songti SC Regular"/>
                <w:sz w:val="20"/>
                <w:szCs w:val="20"/>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E2A5F">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阶段性安全运营汇报</w:t>
            </w:r>
          </w:p>
        </w:tc>
        <w:tc>
          <w:tcPr>
            <w:tcW w:w="16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C3BCD">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安全服务</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F17A4">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次</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AC533">
            <w:pPr>
              <w:widowControl/>
              <w:jc w:val="center"/>
              <w:textAlignment w:val="center"/>
              <w:rPr>
                <w:rFonts w:ascii="宋体" w:hAnsi="宋体" w:cs="Songti SC Regular"/>
                <w:sz w:val="20"/>
                <w:szCs w:val="20"/>
              </w:rPr>
            </w:pPr>
            <w:r>
              <w:rPr>
                <w:rFonts w:hint="eastAsia" w:ascii="宋体" w:hAnsi="宋体" w:cs="Songti SC Regular"/>
                <w:kern w:val="0"/>
                <w:sz w:val="20"/>
                <w:szCs w:val="20"/>
                <w:lang w:bidi="ar"/>
              </w:rPr>
              <w:t>2</w:t>
            </w:r>
          </w:p>
        </w:tc>
      </w:tr>
    </w:tbl>
    <w:p w14:paraId="24841E97">
      <w:pPr>
        <w:rPr>
          <w:rFonts w:ascii="宋体" w:hAnsi="宋体" w:cs="Songti SC Regular"/>
        </w:rPr>
      </w:pPr>
    </w:p>
    <w:p w14:paraId="7B9644F8">
      <w:pPr>
        <w:pStyle w:val="5"/>
        <w:rPr>
          <w:rFonts w:ascii="宋体" w:hAnsi="宋体" w:cs="Songti SC Regular"/>
          <w:sz w:val="24"/>
          <w:u w:val="none"/>
        </w:rPr>
      </w:pPr>
      <w:r>
        <w:rPr>
          <w:rFonts w:hint="eastAsia" w:ascii="宋体" w:hAnsi="宋体" w:cs="Songti SC Regular"/>
          <w:sz w:val="24"/>
          <w:u w:val="none"/>
        </w:rPr>
        <w:t>2.3为落实政府采购政策需满足的要求</w:t>
      </w:r>
    </w:p>
    <w:p w14:paraId="4EE0CE30">
      <w:pPr>
        <w:spacing w:line="360" w:lineRule="auto"/>
        <w:ind w:firstLine="480" w:firstLineChars="200"/>
        <w:rPr>
          <w:rFonts w:ascii="宋体" w:hAnsi="宋体" w:cs="Songti SC Regular"/>
          <w:sz w:val="24"/>
          <w:u w:val="none"/>
        </w:rPr>
      </w:pPr>
      <w:r>
        <w:rPr>
          <w:rFonts w:hint="eastAsia" w:ascii="宋体" w:hAnsi="宋体" w:cs="Songti SC Regular"/>
          <w:iCs/>
          <w:kern w:val="0"/>
          <w:sz w:val="24"/>
          <w:u w:val="none"/>
        </w:rPr>
        <w:t>数据中心相关设备和服务应优先采用国家鼓励的先进技术、工艺、产品和装备，不得使用国家公布的淘汰或禁止的技术、工艺、产品、装备及相关物质。</w:t>
      </w:r>
    </w:p>
    <w:p w14:paraId="2152D717">
      <w:pPr>
        <w:pStyle w:val="5"/>
        <w:rPr>
          <w:rFonts w:ascii="宋体" w:hAnsi="宋体" w:cs="Songti SC Regular"/>
          <w:sz w:val="24"/>
          <w:u w:val="none"/>
        </w:rPr>
      </w:pPr>
      <w:r>
        <w:rPr>
          <w:rFonts w:hint="eastAsia" w:ascii="宋体" w:hAnsi="宋体" w:cs="Songti SC Regular"/>
          <w:sz w:val="24"/>
          <w:u w:val="none"/>
        </w:rPr>
        <w:t>2.4采购标的的其他技术、服务等要求</w:t>
      </w:r>
    </w:p>
    <w:p w14:paraId="0212440F">
      <w:pPr>
        <w:spacing w:line="360" w:lineRule="auto"/>
        <w:rPr>
          <w:rFonts w:ascii="宋体" w:hAnsi="宋体" w:cs="Songti SC Regular"/>
          <w:iCs/>
          <w:kern w:val="0"/>
          <w:sz w:val="24"/>
          <w:u w:val="none"/>
        </w:rPr>
      </w:pPr>
      <w:r>
        <w:rPr>
          <w:rFonts w:hint="eastAsia" w:ascii="宋体" w:hAnsi="宋体" w:cs="Songti SC Regular"/>
          <w:iCs/>
          <w:kern w:val="0"/>
          <w:sz w:val="24"/>
          <w:u w:val="none"/>
        </w:rPr>
        <w:t>2.4.1服务要求</w:t>
      </w:r>
    </w:p>
    <w:p w14:paraId="11C9977E">
      <w:pPr>
        <w:spacing w:line="360" w:lineRule="auto"/>
        <w:ind w:firstLine="480" w:firstLineChars="200"/>
        <w:rPr>
          <w:rFonts w:ascii="宋体" w:hAnsi="宋体" w:cs="Songti SC Regular"/>
          <w:iCs/>
          <w:kern w:val="0"/>
          <w:sz w:val="24"/>
        </w:rPr>
      </w:pPr>
      <w:r>
        <w:rPr>
          <w:rFonts w:hint="eastAsia" w:ascii="宋体" w:hAnsi="宋体" w:cs="Songti SC Regular"/>
          <w:iCs/>
          <w:kern w:val="0"/>
          <w:sz w:val="24"/>
        </w:rPr>
        <w:t>提供1名专业的安全服务人员进行7x24小时驻场服务。本项目服务人员要求从事专职安全服务工作满2年，从事服务教育行业安全服务满2年，熟练操作服务工具，处置过学校安全事件，具有具备CISP等相关安全证书。驻场人员承担北京市大兴区教育网安全设备日常运维及部署、协助制定网络安全规范与方案、协助优化现有网络安全架构、定期评估网络安全风险、网络安全故障排查及安全应急响应和项目管理汇报等工作。同时配备远程专家团队支持。</w:t>
      </w:r>
    </w:p>
    <w:p w14:paraId="1C7EB5B9">
      <w:pPr>
        <w:spacing w:line="360" w:lineRule="auto"/>
        <w:rPr>
          <w:rFonts w:ascii="宋体" w:hAnsi="宋体" w:cs="Songti SC Regular"/>
          <w:iCs/>
          <w:kern w:val="0"/>
          <w:sz w:val="24"/>
        </w:rPr>
      </w:pPr>
      <w:r>
        <w:rPr>
          <w:rFonts w:hint="eastAsia" w:ascii="宋体" w:hAnsi="宋体" w:cs="Songti SC Regular"/>
          <w:iCs/>
          <w:kern w:val="0"/>
          <w:sz w:val="24"/>
        </w:rPr>
        <w:t>2.4.</w:t>
      </w:r>
      <w:r>
        <w:rPr>
          <w:rFonts w:ascii="宋体" w:hAnsi="宋体" w:cs="Songti SC Regular"/>
          <w:iCs/>
          <w:kern w:val="0"/>
          <w:sz w:val="24"/>
        </w:rPr>
        <w:t>2</w:t>
      </w:r>
      <w:r>
        <w:rPr>
          <w:rFonts w:hint="eastAsia" w:ascii="宋体" w:hAnsi="宋体" w:cs="Songti SC Regular"/>
          <w:iCs/>
          <w:kern w:val="0"/>
          <w:sz w:val="24"/>
        </w:rPr>
        <w:t>服务时间要求：</w:t>
      </w:r>
    </w:p>
    <w:p w14:paraId="440E2C42">
      <w:pPr>
        <w:spacing w:line="360" w:lineRule="auto"/>
        <w:ind w:firstLine="480" w:firstLineChars="200"/>
        <w:rPr>
          <w:rFonts w:ascii="宋体" w:hAnsi="宋体" w:cs="Songti SC Regular"/>
          <w:iCs/>
          <w:kern w:val="0"/>
          <w:sz w:val="24"/>
        </w:rPr>
      </w:pPr>
      <w:r>
        <w:rPr>
          <w:rFonts w:hint="eastAsia" w:ascii="宋体" w:hAnsi="宋体" w:cs="Songti SC Regular"/>
          <w:iCs/>
          <w:kern w:val="0"/>
          <w:sz w:val="24"/>
        </w:rPr>
        <w:t>(1）在7x24 小时工作时间内设置由专人职守的热线电话，接听内部的服务请求，并记录服务台事件处理结果。</w:t>
      </w:r>
    </w:p>
    <w:p w14:paraId="6EC4C6B3">
      <w:pPr>
        <w:spacing w:line="360" w:lineRule="auto"/>
        <w:ind w:firstLine="480" w:firstLineChars="200"/>
        <w:rPr>
          <w:rFonts w:ascii="宋体" w:hAnsi="宋体" w:cs="Songti SC Regular"/>
          <w:iCs/>
          <w:kern w:val="0"/>
          <w:sz w:val="24"/>
        </w:rPr>
      </w:pPr>
      <w:r>
        <w:rPr>
          <w:rFonts w:hint="eastAsia" w:ascii="宋体" w:hAnsi="宋体" w:cs="Songti SC Regular"/>
          <w:iCs/>
          <w:kern w:val="0"/>
          <w:sz w:val="24"/>
        </w:rPr>
        <w:t>(2）在非工作时间设置有专人7x24 小时接听的移动电话热线，用于解决内部的网络安全问题以及接听7x24小时发网络安全情况。</w:t>
      </w:r>
    </w:p>
    <w:p w14:paraId="0E07C25B">
      <w:pPr>
        <w:spacing w:line="360" w:lineRule="auto"/>
        <w:rPr>
          <w:rFonts w:ascii="宋体" w:hAnsi="宋体" w:cs="Songti SC Regular"/>
          <w:iCs/>
          <w:kern w:val="0"/>
          <w:sz w:val="24"/>
        </w:rPr>
      </w:pPr>
      <w:r>
        <w:rPr>
          <w:rFonts w:hint="eastAsia" w:ascii="宋体" w:hAnsi="宋体" w:cs="Songti SC Regular"/>
          <w:iCs/>
          <w:kern w:val="0"/>
          <w:sz w:val="24"/>
        </w:rPr>
        <w:t>2.4.</w:t>
      </w:r>
      <w:r>
        <w:rPr>
          <w:rFonts w:ascii="宋体" w:hAnsi="宋体" w:cs="Songti SC Regular"/>
          <w:iCs/>
          <w:kern w:val="0"/>
          <w:sz w:val="24"/>
        </w:rPr>
        <w:t>3</w:t>
      </w:r>
      <w:r>
        <w:rPr>
          <w:rFonts w:hint="eastAsia" w:ascii="宋体" w:hAnsi="宋体" w:cs="Songti SC Regular"/>
          <w:iCs/>
          <w:kern w:val="0"/>
          <w:sz w:val="24"/>
        </w:rPr>
        <w:t>重大活动保障要求</w:t>
      </w:r>
    </w:p>
    <w:p w14:paraId="5AB7E450">
      <w:pPr>
        <w:spacing w:line="360" w:lineRule="auto"/>
        <w:ind w:firstLine="480" w:firstLineChars="200"/>
        <w:rPr>
          <w:rFonts w:ascii="宋体" w:hAnsi="宋体" w:cs="Songti SC Regular"/>
          <w:iCs/>
          <w:kern w:val="0"/>
          <w:sz w:val="24"/>
        </w:rPr>
      </w:pPr>
      <w:r>
        <w:rPr>
          <w:rFonts w:hint="eastAsia" w:ascii="宋体" w:hAnsi="宋体" w:cs="Songti SC Regular"/>
          <w:iCs/>
          <w:kern w:val="0"/>
          <w:sz w:val="24"/>
        </w:rPr>
        <w:t>国家重大活动期间及中高考等大型考试期间等特殊时期，网络安全服务单位需7*24对业务进行网络安全保障。</w:t>
      </w:r>
    </w:p>
    <w:p w14:paraId="5BBEC74C">
      <w:pPr>
        <w:spacing w:line="360" w:lineRule="auto"/>
        <w:ind w:firstLine="480" w:firstLineChars="200"/>
        <w:rPr>
          <w:rFonts w:ascii="宋体" w:hAnsi="宋体" w:cs="Songti SC Regular"/>
          <w:iCs/>
          <w:kern w:val="0"/>
          <w:sz w:val="24"/>
        </w:rPr>
      </w:pPr>
      <w:r>
        <w:rPr>
          <w:rFonts w:hint="eastAsia" w:ascii="宋体" w:hAnsi="宋体" w:cs="Songti SC Regular"/>
          <w:iCs/>
          <w:kern w:val="0"/>
          <w:sz w:val="24"/>
        </w:rPr>
        <w:t>要求网络安全服务单位对可能出现的特殊时期，如自然灾害、重大社会事件、停电、设备损毁等进行应急服务和抢修。就保障大兴区教育网安全，提出相应的技术措施和管理措施。</w:t>
      </w:r>
    </w:p>
    <w:p w14:paraId="40F0A093">
      <w:pPr>
        <w:spacing w:line="360" w:lineRule="auto"/>
        <w:ind w:firstLine="480" w:firstLineChars="200"/>
        <w:rPr>
          <w:rFonts w:ascii="宋体" w:hAnsi="宋体" w:cs="Songti SC Regular"/>
          <w:iCs/>
          <w:kern w:val="0"/>
          <w:sz w:val="24"/>
        </w:rPr>
      </w:pPr>
      <w:r>
        <w:rPr>
          <w:rFonts w:hint="eastAsia" w:ascii="宋体" w:hAnsi="宋体" w:cs="Songti SC Regular"/>
          <w:iCs/>
          <w:kern w:val="0"/>
          <w:sz w:val="24"/>
        </w:rPr>
        <w:t>突发事件发生时，网络安全服务人员应迅速赶往突发事件现场，立即对现场进行处理并及时向业主通报处理过程及结果。网络安全服务单位必须进行全天24小时值守，保障大兴区教育网安全。</w:t>
      </w:r>
    </w:p>
    <w:p w14:paraId="6A4D0BCE">
      <w:pPr>
        <w:spacing w:line="360" w:lineRule="auto"/>
        <w:rPr>
          <w:rFonts w:ascii="宋体" w:hAnsi="宋体" w:cs="Songti SC Regular"/>
          <w:iCs/>
          <w:kern w:val="0"/>
          <w:sz w:val="24"/>
        </w:rPr>
      </w:pPr>
      <w:r>
        <w:rPr>
          <w:rFonts w:hint="eastAsia" w:ascii="宋体" w:hAnsi="宋体" w:cs="Songti SC Regular"/>
          <w:iCs/>
          <w:kern w:val="0"/>
          <w:sz w:val="24"/>
        </w:rPr>
        <w:t>2.4.</w:t>
      </w:r>
      <w:r>
        <w:rPr>
          <w:rFonts w:ascii="宋体" w:hAnsi="宋体" w:cs="Songti SC Regular"/>
          <w:iCs/>
          <w:kern w:val="0"/>
          <w:sz w:val="24"/>
        </w:rPr>
        <w:t>4</w:t>
      </w:r>
      <w:r>
        <w:rPr>
          <w:rFonts w:hint="eastAsia" w:ascii="宋体" w:hAnsi="宋体" w:cs="Songti SC Regular"/>
          <w:iCs/>
          <w:kern w:val="0"/>
          <w:sz w:val="24"/>
        </w:rPr>
        <w:t>行为规范要求</w:t>
      </w:r>
    </w:p>
    <w:p w14:paraId="28CAC6F6">
      <w:pPr>
        <w:spacing w:line="360" w:lineRule="auto"/>
        <w:rPr>
          <w:rFonts w:ascii="宋体" w:hAnsi="宋体" w:cs="Songti SC Regular"/>
          <w:iCs/>
          <w:kern w:val="0"/>
          <w:sz w:val="24"/>
        </w:rPr>
      </w:pPr>
      <w:r>
        <w:rPr>
          <w:rFonts w:hint="eastAsia" w:ascii="宋体" w:hAnsi="宋体" w:cs="Songti SC Regular"/>
          <w:iCs/>
          <w:kern w:val="0"/>
          <w:sz w:val="24"/>
        </w:rPr>
        <w:t>(1)</w:t>
      </w:r>
      <w:r>
        <w:rPr>
          <w:rFonts w:hint="eastAsia" w:ascii="宋体" w:hAnsi="宋体" w:cs="Songti SC Regular"/>
          <w:iCs/>
          <w:kern w:val="0"/>
          <w:sz w:val="24"/>
        </w:rPr>
        <w:tab/>
      </w:r>
      <w:r>
        <w:rPr>
          <w:rFonts w:hint="eastAsia" w:ascii="宋体" w:hAnsi="宋体" w:cs="Songti SC Regular"/>
          <w:iCs/>
          <w:kern w:val="0"/>
          <w:sz w:val="24"/>
        </w:rPr>
        <w:t>遵守各项规章制度，严格按照相应的规章制度办事。</w:t>
      </w:r>
    </w:p>
    <w:p w14:paraId="063F9F24">
      <w:pPr>
        <w:spacing w:line="360" w:lineRule="auto"/>
        <w:rPr>
          <w:rFonts w:ascii="宋体" w:hAnsi="宋体" w:cs="Songti SC Regular"/>
          <w:iCs/>
          <w:kern w:val="0"/>
          <w:sz w:val="24"/>
        </w:rPr>
      </w:pPr>
      <w:r>
        <w:rPr>
          <w:rFonts w:hint="eastAsia" w:ascii="宋体" w:hAnsi="宋体" w:cs="Songti SC Regular"/>
          <w:iCs/>
          <w:kern w:val="0"/>
          <w:sz w:val="24"/>
        </w:rPr>
        <w:t>(2)</w:t>
      </w:r>
      <w:r>
        <w:rPr>
          <w:rFonts w:hint="eastAsia" w:ascii="宋体" w:hAnsi="宋体" w:cs="Songti SC Regular"/>
          <w:iCs/>
          <w:kern w:val="0"/>
          <w:sz w:val="24"/>
        </w:rPr>
        <w:tab/>
      </w:r>
      <w:r>
        <w:rPr>
          <w:rFonts w:hint="eastAsia" w:ascii="宋体" w:hAnsi="宋体" w:cs="Songti SC Regular"/>
          <w:iCs/>
          <w:kern w:val="0"/>
          <w:sz w:val="24"/>
        </w:rPr>
        <w:t>与运行维护体系其他部门和环节协同工作，密切配合，共同开展技术支持工作。</w:t>
      </w:r>
    </w:p>
    <w:p w14:paraId="51C8DE66">
      <w:pPr>
        <w:spacing w:line="360" w:lineRule="auto"/>
        <w:rPr>
          <w:rFonts w:ascii="宋体" w:hAnsi="宋体" w:cs="Songti SC Regular"/>
          <w:iCs/>
          <w:kern w:val="0"/>
          <w:sz w:val="24"/>
        </w:rPr>
      </w:pPr>
      <w:r>
        <w:rPr>
          <w:rFonts w:hint="eastAsia" w:ascii="宋体" w:hAnsi="宋体" w:cs="Songti SC Regular"/>
          <w:iCs/>
          <w:kern w:val="0"/>
          <w:sz w:val="24"/>
        </w:rPr>
        <w:t>(3)</w:t>
      </w:r>
      <w:r>
        <w:rPr>
          <w:rFonts w:hint="eastAsia" w:ascii="宋体" w:hAnsi="宋体" w:cs="Songti SC Regular"/>
          <w:iCs/>
          <w:kern w:val="0"/>
          <w:sz w:val="24"/>
        </w:rPr>
        <w:tab/>
      </w:r>
      <w:r>
        <w:rPr>
          <w:rFonts w:hint="eastAsia" w:ascii="宋体" w:hAnsi="宋体" w:cs="Songti SC Regular"/>
          <w:iCs/>
          <w:kern w:val="0"/>
          <w:sz w:val="24"/>
        </w:rPr>
        <w:t>出现疑难技术、业务问题和重大紧急情况时，及时向负责人报告。</w:t>
      </w:r>
    </w:p>
    <w:p w14:paraId="2208E358">
      <w:pPr>
        <w:spacing w:line="360" w:lineRule="auto"/>
        <w:rPr>
          <w:rFonts w:ascii="宋体" w:hAnsi="宋体" w:cs="Songti SC Regular"/>
          <w:iCs/>
          <w:kern w:val="0"/>
          <w:sz w:val="24"/>
        </w:rPr>
      </w:pPr>
      <w:r>
        <w:rPr>
          <w:rFonts w:hint="eastAsia" w:ascii="宋体" w:hAnsi="宋体" w:cs="Songti SC Regular"/>
          <w:iCs/>
          <w:kern w:val="0"/>
          <w:sz w:val="24"/>
        </w:rPr>
        <w:t>(4)</w:t>
      </w:r>
      <w:r>
        <w:rPr>
          <w:rFonts w:hint="eastAsia" w:ascii="宋体" w:hAnsi="宋体" w:cs="Songti SC Regular"/>
          <w:iCs/>
          <w:kern w:val="0"/>
          <w:sz w:val="24"/>
        </w:rPr>
        <w:tab/>
      </w:r>
      <w:r>
        <w:rPr>
          <w:rFonts w:hint="eastAsia" w:ascii="宋体" w:hAnsi="宋体" w:cs="Songti SC Regular"/>
          <w:iCs/>
          <w:kern w:val="0"/>
          <w:sz w:val="24"/>
        </w:rPr>
        <w:t>现场技术支持时要精神饱满，穿着得体，谈吐文明，举止庄重。接听电话时要文明礼貌，语言清晰明了，语气和善。</w:t>
      </w:r>
    </w:p>
    <w:p w14:paraId="4A067D36">
      <w:pPr>
        <w:spacing w:line="360" w:lineRule="auto"/>
        <w:rPr>
          <w:rFonts w:ascii="宋体" w:hAnsi="宋体" w:cs="Songti SC Regular"/>
          <w:iCs/>
          <w:kern w:val="0"/>
          <w:sz w:val="24"/>
        </w:rPr>
      </w:pPr>
      <w:r>
        <w:rPr>
          <w:rFonts w:hint="eastAsia" w:ascii="宋体" w:hAnsi="宋体" w:cs="Songti SC Regular"/>
          <w:iCs/>
          <w:kern w:val="0"/>
          <w:sz w:val="24"/>
        </w:rPr>
        <w:t>(5)</w:t>
      </w:r>
      <w:r>
        <w:rPr>
          <w:rFonts w:hint="eastAsia" w:ascii="宋体" w:hAnsi="宋体" w:cs="Songti SC Regular"/>
          <w:iCs/>
          <w:kern w:val="0"/>
          <w:sz w:val="24"/>
        </w:rPr>
        <w:tab/>
      </w:r>
      <w:r>
        <w:rPr>
          <w:rFonts w:hint="eastAsia" w:ascii="宋体" w:hAnsi="宋体" w:cs="Songti SC Regular"/>
          <w:iCs/>
          <w:kern w:val="0"/>
          <w:sz w:val="24"/>
        </w:rPr>
        <w:t>遵守保密原则。对被支持单位的网络、主机、系统软件、应用软件等的密码、核心参数、业务数据等负有保密责任，不得随意复制和传播。</w:t>
      </w:r>
    </w:p>
    <w:p w14:paraId="75FE5D13">
      <w:pPr>
        <w:spacing w:line="360" w:lineRule="auto"/>
        <w:rPr>
          <w:rFonts w:ascii="宋体" w:hAnsi="宋体" w:cs="Songti SC Regular"/>
          <w:iCs/>
          <w:kern w:val="0"/>
          <w:sz w:val="24"/>
        </w:rPr>
      </w:pPr>
      <w:r>
        <w:rPr>
          <w:rFonts w:hint="eastAsia" w:ascii="宋体" w:hAnsi="宋体" w:cs="Songti SC Regular"/>
          <w:iCs/>
          <w:kern w:val="0"/>
          <w:sz w:val="24"/>
        </w:rPr>
        <w:t>2.4.</w:t>
      </w:r>
      <w:r>
        <w:rPr>
          <w:rFonts w:ascii="宋体" w:hAnsi="宋体" w:cs="Songti SC Regular"/>
          <w:iCs/>
          <w:kern w:val="0"/>
          <w:sz w:val="24"/>
        </w:rPr>
        <w:t>5</w:t>
      </w:r>
      <w:r>
        <w:rPr>
          <w:rFonts w:hint="eastAsia" w:ascii="宋体" w:hAnsi="宋体" w:cs="Songti SC Regular"/>
          <w:iCs/>
          <w:kern w:val="0"/>
          <w:sz w:val="24"/>
        </w:rPr>
        <w:t>现场服务支持要求</w:t>
      </w:r>
    </w:p>
    <w:p w14:paraId="3A45A7A6">
      <w:pPr>
        <w:spacing w:line="360" w:lineRule="auto"/>
        <w:rPr>
          <w:rFonts w:ascii="宋体" w:hAnsi="宋体" w:cs="Songti SC Regular"/>
          <w:iCs/>
          <w:kern w:val="0"/>
          <w:sz w:val="24"/>
        </w:rPr>
      </w:pPr>
      <w:r>
        <w:rPr>
          <w:rFonts w:hint="eastAsia" w:ascii="宋体" w:hAnsi="宋体" w:cs="Songti SC Regular"/>
          <w:iCs/>
          <w:kern w:val="0"/>
          <w:sz w:val="24"/>
        </w:rPr>
        <w:t>网络安全服务人员要做到耐心、细心、热心的服务。工作要做到事事有记录、事事有反馈、重大问题及时汇报。严格遵守工作作息时间，严格按照服务工作流程操作。</w:t>
      </w:r>
    </w:p>
    <w:p w14:paraId="1D3D6DFD">
      <w:pPr>
        <w:spacing w:line="360" w:lineRule="auto"/>
        <w:rPr>
          <w:rFonts w:ascii="宋体" w:hAnsi="宋体" w:cs="Songti SC Regular"/>
          <w:iCs/>
          <w:kern w:val="0"/>
          <w:sz w:val="24"/>
        </w:rPr>
      </w:pPr>
      <w:r>
        <w:rPr>
          <w:rFonts w:hint="eastAsia" w:ascii="宋体" w:hAnsi="宋体" w:cs="Songti SC Regular"/>
          <w:iCs/>
          <w:kern w:val="0"/>
          <w:sz w:val="24"/>
        </w:rPr>
        <w:t>(1)</w:t>
      </w:r>
      <w:r>
        <w:rPr>
          <w:rFonts w:hint="eastAsia" w:ascii="宋体" w:hAnsi="宋体" w:cs="Songti SC Regular"/>
          <w:iCs/>
          <w:kern w:val="0"/>
          <w:sz w:val="24"/>
        </w:rPr>
        <w:tab/>
      </w:r>
      <w:r>
        <w:rPr>
          <w:rFonts w:hint="eastAsia" w:ascii="宋体" w:hAnsi="宋体" w:cs="Songti SC Regular"/>
          <w:iCs/>
          <w:kern w:val="0"/>
          <w:sz w:val="24"/>
        </w:rPr>
        <w:t>现场服务工程师应着装整洁、言行礼貌大方，技术专业，操作熟练、严谨、规范；现场支持时必须遵守单位的相关规章制度。</w:t>
      </w:r>
    </w:p>
    <w:p w14:paraId="58B13EDA">
      <w:pPr>
        <w:spacing w:line="360" w:lineRule="auto"/>
        <w:rPr>
          <w:rFonts w:ascii="宋体" w:hAnsi="宋体" w:cs="Songti SC Regular"/>
          <w:iCs/>
          <w:kern w:val="0"/>
          <w:sz w:val="24"/>
        </w:rPr>
      </w:pPr>
      <w:r>
        <w:rPr>
          <w:rFonts w:hint="eastAsia" w:ascii="宋体" w:hAnsi="宋体" w:cs="Songti SC Regular"/>
          <w:iCs/>
          <w:kern w:val="0"/>
          <w:sz w:val="24"/>
        </w:rPr>
        <w:t>(2)</w:t>
      </w:r>
      <w:r>
        <w:rPr>
          <w:rFonts w:hint="eastAsia" w:ascii="宋体" w:hAnsi="宋体" w:cs="Songti SC Regular"/>
          <w:iCs/>
          <w:kern w:val="0"/>
          <w:sz w:val="24"/>
        </w:rPr>
        <w:tab/>
      </w:r>
      <w:r>
        <w:rPr>
          <w:rFonts w:hint="eastAsia" w:ascii="宋体" w:hAnsi="宋体" w:cs="Songti SC Regular"/>
          <w:iCs/>
          <w:kern w:val="0"/>
          <w:sz w:val="24"/>
        </w:rPr>
        <w:t xml:space="preserve">现场服务工程师在进行现场服务工作时必须在保证数据和系统安全的前提下开展工作。 </w:t>
      </w:r>
    </w:p>
    <w:p w14:paraId="22C51706">
      <w:pPr>
        <w:spacing w:line="360" w:lineRule="auto"/>
        <w:rPr>
          <w:rFonts w:ascii="宋体" w:hAnsi="宋体" w:cs="Songti SC Regular"/>
          <w:iCs/>
          <w:kern w:val="0"/>
          <w:sz w:val="24"/>
        </w:rPr>
      </w:pPr>
      <w:r>
        <w:rPr>
          <w:rFonts w:hint="eastAsia" w:ascii="宋体" w:hAnsi="宋体" w:cs="Songti SC Regular"/>
          <w:iCs/>
          <w:kern w:val="0"/>
          <w:sz w:val="24"/>
        </w:rPr>
        <w:t>(3)</w:t>
      </w:r>
      <w:r>
        <w:rPr>
          <w:rFonts w:hint="eastAsia" w:ascii="宋体" w:hAnsi="宋体" w:cs="Songti SC Regular"/>
          <w:iCs/>
          <w:kern w:val="0"/>
          <w:sz w:val="24"/>
        </w:rPr>
        <w:tab/>
      </w:r>
      <w:r>
        <w:rPr>
          <w:rFonts w:hint="eastAsia" w:ascii="宋体" w:hAnsi="宋体" w:cs="Songti SC Regular"/>
          <w:iCs/>
          <w:kern w:val="0"/>
          <w:sz w:val="24"/>
        </w:rPr>
        <w:t>现场服务时出现暂时无法解决的故障或其他新的故障时，应告知用户并及时上报负责人，寻找其他解决途径。</w:t>
      </w:r>
    </w:p>
    <w:p w14:paraId="7E11153F">
      <w:pPr>
        <w:spacing w:line="360" w:lineRule="auto"/>
        <w:rPr>
          <w:rFonts w:ascii="宋体" w:hAnsi="宋体" w:cs="Songti SC Regular"/>
          <w:iCs/>
          <w:kern w:val="0"/>
          <w:sz w:val="24"/>
        </w:rPr>
      </w:pPr>
      <w:r>
        <w:rPr>
          <w:rFonts w:hint="eastAsia" w:ascii="宋体" w:hAnsi="宋体" w:cs="Songti SC Regular"/>
          <w:iCs/>
          <w:kern w:val="0"/>
          <w:sz w:val="24"/>
        </w:rPr>
        <w:t>(4)</w:t>
      </w:r>
      <w:r>
        <w:rPr>
          <w:rFonts w:hint="eastAsia" w:ascii="宋体" w:hAnsi="宋体" w:cs="Songti SC Regular"/>
          <w:iCs/>
          <w:kern w:val="0"/>
          <w:sz w:val="24"/>
        </w:rPr>
        <w:tab/>
      </w:r>
      <w:r>
        <w:rPr>
          <w:rFonts w:hint="eastAsia" w:ascii="宋体" w:hAnsi="宋体" w:cs="Songti SC Regular"/>
          <w:iCs/>
          <w:kern w:val="0"/>
          <w:sz w:val="24"/>
        </w:rPr>
        <w:t>问题解决后，现场服务工程师要详细记录问题的发生时间、地点、提出人和问题描述，并形成书面文档，必要时应向用户介绍问题出现的原因及预防方法和解决技巧。</w:t>
      </w:r>
    </w:p>
    <w:p w14:paraId="70690A72">
      <w:pPr>
        <w:spacing w:line="360" w:lineRule="auto"/>
        <w:rPr>
          <w:rFonts w:ascii="宋体" w:hAnsi="宋体" w:cs="Songti SC Regular"/>
          <w:iCs/>
          <w:kern w:val="0"/>
          <w:sz w:val="24"/>
        </w:rPr>
      </w:pPr>
      <w:r>
        <w:rPr>
          <w:rFonts w:hint="eastAsia" w:ascii="宋体" w:hAnsi="宋体" w:cs="Songti SC Regular"/>
          <w:iCs/>
          <w:kern w:val="0"/>
          <w:sz w:val="24"/>
        </w:rPr>
        <w:t>2.4.</w:t>
      </w:r>
      <w:r>
        <w:rPr>
          <w:rFonts w:ascii="宋体" w:hAnsi="宋体" w:cs="Songti SC Regular"/>
          <w:iCs/>
          <w:kern w:val="0"/>
          <w:sz w:val="24"/>
        </w:rPr>
        <w:t>6</w:t>
      </w:r>
      <w:r>
        <w:rPr>
          <w:rFonts w:hint="eastAsia" w:ascii="宋体" w:hAnsi="宋体" w:cs="Songti SC Regular"/>
          <w:iCs/>
          <w:kern w:val="0"/>
          <w:sz w:val="24"/>
        </w:rPr>
        <w:t xml:space="preserve"> 保密要求</w:t>
      </w:r>
    </w:p>
    <w:p w14:paraId="08C29B4C">
      <w:pPr>
        <w:spacing w:line="360" w:lineRule="auto"/>
        <w:rPr>
          <w:rFonts w:ascii="宋体" w:hAnsi="宋体" w:cs="Songti SC Regular"/>
          <w:iCs/>
          <w:kern w:val="0"/>
          <w:sz w:val="24"/>
        </w:rPr>
      </w:pPr>
      <w:r>
        <w:rPr>
          <w:rFonts w:hint="eastAsia" w:ascii="宋体" w:hAnsi="宋体" w:cs="Songti SC Regular"/>
          <w:iCs/>
          <w:kern w:val="0"/>
          <w:sz w:val="24"/>
        </w:rPr>
        <w:t>(1)</w:t>
      </w:r>
      <w:r>
        <w:rPr>
          <w:rFonts w:hint="eastAsia" w:ascii="宋体" w:hAnsi="宋体" w:cs="Songti SC Regular"/>
          <w:iCs/>
          <w:kern w:val="0"/>
          <w:sz w:val="24"/>
        </w:rPr>
        <w:tab/>
      </w:r>
      <w:r>
        <w:rPr>
          <w:rFonts w:hint="eastAsia" w:ascii="宋体" w:hAnsi="宋体" w:cs="Songti SC Regular"/>
          <w:iCs/>
          <w:kern w:val="0"/>
          <w:sz w:val="24"/>
        </w:rPr>
        <w:t>针对大兴教育网的保密信息，如内部安全设备、服务器、应用系统等产生的各种信息及数据。</w:t>
      </w:r>
    </w:p>
    <w:p w14:paraId="2CCC6B08">
      <w:pPr>
        <w:spacing w:line="360" w:lineRule="auto"/>
        <w:rPr>
          <w:rFonts w:ascii="宋体" w:hAnsi="宋体" w:cs="Songti SC Regular"/>
          <w:iCs/>
          <w:kern w:val="0"/>
          <w:sz w:val="24"/>
        </w:rPr>
      </w:pPr>
      <w:r>
        <w:rPr>
          <w:rFonts w:hint="eastAsia" w:ascii="宋体" w:hAnsi="宋体" w:cs="Songti SC Regular"/>
          <w:iCs/>
          <w:kern w:val="0"/>
          <w:sz w:val="24"/>
        </w:rPr>
        <w:t>(2)</w:t>
      </w:r>
      <w:r>
        <w:rPr>
          <w:rFonts w:hint="eastAsia" w:ascii="宋体" w:hAnsi="宋体" w:cs="Songti SC Regular"/>
          <w:iCs/>
          <w:kern w:val="0"/>
          <w:sz w:val="24"/>
        </w:rPr>
        <w:tab/>
      </w:r>
      <w:r>
        <w:rPr>
          <w:rFonts w:hint="eastAsia" w:ascii="宋体" w:hAnsi="宋体" w:cs="Songti SC Regular"/>
          <w:iCs/>
          <w:kern w:val="0"/>
          <w:sz w:val="24"/>
        </w:rPr>
        <w:t>IP地址分配；</w:t>
      </w:r>
    </w:p>
    <w:p w14:paraId="3932E321">
      <w:pPr>
        <w:spacing w:line="360" w:lineRule="auto"/>
        <w:rPr>
          <w:rFonts w:ascii="宋体" w:hAnsi="宋体" w:cs="Songti SC Regular"/>
          <w:iCs/>
          <w:kern w:val="0"/>
          <w:sz w:val="24"/>
        </w:rPr>
      </w:pPr>
      <w:r>
        <w:rPr>
          <w:rFonts w:hint="eastAsia" w:ascii="宋体" w:hAnsi="宋体" w:cs="Songti SC Regular"/>
          <w:iCs/>
          <w:kern w:val="0"/>
          <w:sz w:val="24"/>
        </w:rPr>
        <w:t>(3)</w:t>
      </w:r>
      <w:r>
        <w:rPr>
          <w:rFonts w:hint="eastAsia" w:ascii="宋体" w:hAnsi="宋体" w:cs="Songti SC Regular"/>
          <w:iCs/>
          <w:kern w:val="0"/>
          <w:sz w:val="24"/>
        </w:rPr>
        <w:tab/>
      </w:r>
      <w:r>
        <w:rPr>
          <w:rFonts w:hint="eastAsia" w:ascii="宋体" w:hAnsi="宋体" w:cs="Songti SC Regular"/>
          <w:iCs/>
          <w:kern w:val="0"/>
          <w:sz w:val="24"/>
        </w:rPr>
        <w:t>网络拓扑结构；</w:t>
      </w:r>
    </w:p>
    <w:p w14:paraId="70403EEE">
      <w:pPr>
        <w:spacing w:line="360" w:lineRule="auto"/>
        <w:rPr>
          <w:rFonts w:ascii="宋体" w:hAnsi="宋体" w:cs="Songti SC Regular"/>
          <w:iCs/>
          <w:kern w:val="0"/>
          <w:sz w:val="24"/>
        </w:rPr>
      </w:pPr>
      <w:r>
        <w:rPr>
          <w:rFonts w:hint="eastAsia" w:ascii="宋体" w:hAnsi="宋体" w:cs="Songti SC Regular"/>
          <w:iCs/>
          <w:kern w:val="0"/>
          <w:sz w:val="24"/>
        </w:rPr>
        <w:t>(4)</w:t>
      </w:r>
      <w:r>
        <w:rPr>
          <w:rFonts w:hint="eastAsia" w:ascii="宋体" w:hAnsi="宋体" w:cs="Songti SC Regular"/>
          <w:iCs/>
          <w:kern w:val="0"/>
          <w:sz w:val="24"/>
        </w:rPr>
        <w:tab/>
      </w:r>
      <w:r>
        <w:rPr>
          <w:rFonts w:hint="eastAsia" w:ascii="宋体" w:hAnsi="宋体" w:cs="Songti SC Regular"/>
          <w:iCs/>
          <w:kern w:val="0"/>
          <w:sz w:val="24"/>
        </w:rPr>
        <w:t>有关服务器系统（包括硬件和软件）和应用系统的信息；</w:t>
      </w:r>
    </w:p>
    <w:p w14:paraId="6BBB1769">
      <w:pPr>
        <w:spacing w:line="360" w:lineRule="auto"/>
        <w:rPr>
          <w:rFonts w:ascii="宋体" w:hAnsi="宋体" w:cs="Songti SC Regular"/>
          <w:iCs/>
          <w:kern w:val="0"/>
          <w:sz w:val="24"/>
        </w:rPr>
      </w:pPr>
      <w:r>
        <w:rPr>
          <w:rFonts w:hint="eastAsia" w:ascii="宋体" w:hAnsi="宋体" w:cs="Songti SC Regular"/>
          <w:iCs/>
          <w:kern w:val="0"/>
          <w:sz w:val="24"/>
        </w:rPr>
        <w:t>(5)</w:t>
      </w:r>
      <w:r>
        <w:rPr>
          <w:rFonts w:hint="eastAsia" w:ascii="宋体" w:hAnsi="宋体" w:cs="Songti SC Regular"/>
          <w:iCs/>
          <w:kern w:val="0"/>
          <w:sz w:val="24"/>
        </w:rPr>
        <w:tab/>
      </w:r>
      <w:r>
        <w:rPr>
          <w:rFonts w:hint="eastAsia" w:ascii="宋体" w:hAnsi="宋体" w:cs="Songti SC Regular"/>
          <w:iCs/>
          <w:kern w:val="0"/>
          <w:sz w:val="24"/>
        </w:rPr>
        <w:t>其他与电子政务平台有关的信息；</w:t>
      </w:r>
    </w:p>
    <w:p w14:paraId="037E072B">
      <w:pPr>
        <w:spacing w:line="360" w:lineRule="auto"/>
        <w:rPr>
          <w:rFonts w:ascii="宋体" w:hAnsi="宋体" w:cs="Songti SC Regular"/>
          <w:iCs/>
          <w:kern w:val="0"/>
          <w:sz w:val="24"/>
        </w:rPr>
      </w:pPr>
      <w:r>
        <w:rPr>
          <w:rFonts w:hint="eastAsia" w:ascii="宋体" w:hAnsi="宋体" w:cs="Songti SC Regular"/>
          <w:iCs/>
          <w:kern w:val="0"/>
          <w:sz w:val="24"/>
        </w:rPr>
        <w:t>(6)</w:t>
      </w:r>
      <w:r>
        <w:rPr>
          <w:rFonts w:hint="eastAsia" w:ascii="宋体" w:hAnsi="宋体" w:cs="Songti SC Regular"/>
          <w:iCs/>
          <w:kern w:val="0"/>
          <w:sz w:val="24"/>
        </w:rPr>
        <w:tab/>
      </w:r>
      <w:r>
        <w:rPr>
          <w:rFonts w:hint="eastAsia" w:ascii="宋体" w:hAnsi="宋体" w:cs="Songti SC Regular"/>
          <w:iCs/>
          <w:kern w:val="0"/>
          <w:sz w:val="24"/>
        </w:rPr>
        <w:t>系统登陆密码；在项目讨论过程中，信息提供方和接受方之间所有往来的书面资料，电子文档资料及访谈记录等与本项目相关的信息，都将被视为保密信息。</w:t>
      </w:r>
    </w:p>
    <w:p w14:paraId="14E59F04">
      <w:pPr>
        <w:spacing w:line="360" w:lineRule="auto"/>
        <w:rPr>
          <w:rFonts w:ascii="宋体" w:hAnsi="宋体" w:cs="Songti SC Regular"/>
          <w:iCs/>
          <w:kern w:val="0"/>
          <w:sz w:val="24"/>
        </w:rPr>
      </w:pPr>
      <w:r>
        <w:rPr>
          <w:rFonts w:hint="eastAsia" w:ascii="宋体" w:hAnsi="宋体" w:cs="Songti SC Regular"/>
          <w:iCs/>
          <w:kern w:val="0"/>
          <w:sz w:val="24"/>
        </w:rPr>
        <w:t>(7)</w:t>
      </w:r>
      <w:r>
        <w:rPr>
          <w:rFonts w:hint="eastAsia" w:ascii="宋体" w:hAnsi="宋体" w:cs="Songti SC Regular"/>
          <w:iCs/>
          <w:kern w:val="0"/>
          <w:sz w:val="24"/>
        </w:rPr>
        <w:tab/>
      </w:r>
      <w:r>
        <w:rPr>
          <w:rFonts w:hint="eastAsia" w:ascii="宋体" w:hAnsi="宋体" w:cs="Songti SC Regular"/>
          <w:iCs/>
          <w:kern w:val="0"/>
          <w:sz w:val="24"/>
        </w:rPr>
        <w:t>为避免在计算机信息网络安全评估项目中发生泄密事件，给计算机信息网络带来不必要的损失，分别从项目和资料进行保密控制，确保项目的正常进行。</w:t>
      </w:r>
    </w:p>
    <w:p w14:paraId="48121E3D">
      <w:pPr>
        <w:spacing w:line="360" w:lineRule="auto"/>
        <w:rPr>
          <w:rFonts w:ascii="宋体" w:hAnsi="宋体" w:cs="Songti SC Regular"/>
          <w:iCs/>
          <w:kern w:val="0"/>
          <w:sz w:val="24"/>
        </w:rPr>
      </w:pPr>
      <w:r>
        <w:rPr>
          <w:rFonts w:hint="eastAsia" w:ascii="宋体" w:hAnsi="宋体" w:cs="Songti SC Regular"/>
          <w:iCs/>
          <w:kern w:val="0"/>
          <w:sz w:val="24"/>
        </w:rPr>
        <w:t>(8)</w:t>
      </w:r>
      <w:r>
        <w:rPr>
          <w:rFonts w:hint="eastAsia" w:ascii="宋体" w:hAnsi="宋体" w:cs="Songti SC Regular"/>
          <w:iCs/>
          <w:kern w:val="0"/>
          <w:sz w:val="24"/>
        </w:rPr>
        <w:tab/>
      </w:r>
      <w:r>
        <w:rPr>
          <w:rFonts w:hint="eastAsia" w:ascii="宋体" w:hAnsi="宋体" w:cs="Songti SC Regular"/>
          <w:iCs/>
          <w:kern w:val="0"/>
          <w:sz w:val="24"/>
        </w:rPr>
        <w:t>项目保密</w:t>
      </w:r>
    </w:p>
    <w:p w14:paraId="7A1EF66E">
      <w:pPr>
        <w:spacing w:line="360" w:lineRule="auto"/>
        <w:rPr>
          <w:rFonts w:ascii="宋体" w:hAnsi="宋体" w:cs="Songti SC Regular"/>
          <w:iCs/>
          <w:kern w:val="0"/>
          <w:sz w:val="24"/>
        </w:rPr>
      </w:pPr>
      <w:r>
        <w:rPr>
          <w:rFonts w:hint="eastAsia" w:ascii="宋体" w:hAnsi="宋体" w:cs="Songti SC Regular"/>
          <w:iCs/>
          <w:kern w:val="0"/>
          <w:sz w:val="24"/>
        </w:rPr>
        <w:t>(9)</w:t>
      </w:r>
      <w:r>
        <w:rPr>
          <w:rFonts w:hint="eastAsia" w:ascii="宋体" w:hAnsi="宋体" w:cs="Songti SC Regular"/>
          <w:iCs/>
          <w:kern w:val="0"/>
          <w:sz w:val="24"/>
        </w:rPr>
        <w:tab/>
      </w:r>
      <w:r>
        <w:rPr>
          <w:rFonts w:hint="eastAsia" w:ascii="宋体" w:hAnsi="宋体" w:cs="Songti SC Regular"/>
          <w:iCs/>
          <w:kern w:val="0"/>
          <w:sz w:val="24"/>
        </w:rPr>
        <w:t>双方单位签订项目保密协议，项目实施单位与安全服务人员签订保密承诺书，明确双方的保密义务、职责和违约处罚，根据的需要确定保密内容和期限。</w:t>
      </w:r>
    </w:p>
    <w:p w14:paraId="10E0C5DC">
      <w:pPr>
        <w:spacing w:line="360" w:lineRule="auto"/>
        <w:rPr>
          <w:rFonts w:ascii="宋体" w:hAnsi="宋体" w:cs="Songti SC Regular"/>
          <w:sz w:val="24"/>
        </w:rPr>
      </w:pPr>
      <w:r>
        <w:rPr>
          <w:rFonts w:hint="eastAsia" w:ascii="宋体" w:hAnsi="宋体" w:cs="Songti SC Regular"/>
          <w:iCs/>
          <w:kern w:val="0"/>
          <w:sz w:val="24"/>
        </w:rPr>
        <w:t>(10)对于双方互相提交的文档资料，部分涉及计算机信息系统需保密的电子文档仅限于提供给签立保密协议的核心项目组成员；对于进行解密处理的电子文档仅限于项目组内使用，受项目保密协议约束。</w:t>
      </w:r>
    </w:p>
    <w:p w14:paraId="1A1351FB">
      <w:pPr>
        <w:pStyle w:val="5"/>
        <w:rPr>
          <w:rFonts w:ascii="宋体" w:hAnsi="宋体" w:cs="Songti SC Regular"/>
          <w:sz w:val="24"/>
          <w:u w:val="none"/>
        </w:rPr>
      </w:pPr>
      <w:r>
        <w:rPr>
          <w:rFonts w:hint="eastAsia" w:ascii="宋体" w:hAnsi="宋体" w:cs="Songti SC Regular"/>
          <w:sz w:val="24"/>
          <w:u w:val="none"/>
        </w:rPr>
        <w:t>2.5需由供应商提供设计方案、解决方案或者组织方案的采购项目，应当说明采购标的的功能、应用场景、目标等基本要求</w:t>
      </w:r>
    </w:p>
    <w:p w14:paraId="723CC17A">
      <w:pPr>
        <w:pStyle w:val="23"/>
        <w:spacing w:line="360" w:lineRule="auto"/>
        <w:ind w:left="0" w:leftChars="0" w:firstLine="0" w:firstLineChars="0"/>
        <w:rPr>
          <w:rFonts w:ascii="宋体" w:hAnsi="宋体" w:cs="Songti SC Regular"/>
        </w:rPr>
      </w:pPr>
      <w:r>
        <w:rPr>
          <w:rFonts w:hint="eastAsia" w:ascii="宋体" w:hAnsi="宋体" w:cs="Songti SC Regular"/>
        </w:rPr>
        <w:t>采购标的功能：</w:t>
      </w:r>
    </w:p>
    <w:p w14:paraId="1FD76779">
      <w:pPr>
        <w:pStyle w:val="23"/>
        <w:spacing w:line="360" w:lineRule="auto"/>
        <w:ind w:left="0" w:leftChars="0"/>
        <w:rPr>
          <w:rFonts w:ascii="宋体" w:hAnsi="宋体" w:cs="Songti SC Regular"/>
          <w:bCs/>
        </w:rPr>
      </w:pPr>
      <w:r>
        <w:rPr>
          <w:rFonts w:hint="eastAsia" w:ascii="宋体" w:hAnsi="宋体" w:cs="Songti SC Regular"/>
          <w:bCs/>
        </w:rPr>
        <w:t>采用规范化的运维管理，专业的安全数据分析和事件处置方法，通过可信、可控和可量化的高质量安全服务，建立北京市大兴区教育网网络安全运维体系，全面加强大兴区教育网网络安全、系统安全、信息安全、应用安全、数据安全、终端安全，保障终端、网络、系统和服务器安全，加强系统和应用软件安全管理和升级维护，从而更好的全面提高大兴区教育网网络和信息安全保障水平，保障大兴区教育网信息系统的各项业务应用以及业务数据的安全可靠。主要包括：(1)教育网安全态势感知（2）安全监控漏洞扫描服务(3)服务器安全防护服务(4)上网行为管理服务(5)日志审计服务(6)数据安全服务安全运营服务(7)安全运营服务</w:t>
      </w:r>
    </w:p>
    <w:p w14:paraId="25A95411">
      <w:pPr>
        <w:rPr>
          <w:rFonts w:ascii="宋体" w:hAnsi="宋体" w:cs="Songti SC Regular"/>
          <w:bCs/>
          <w:sz w:val="24"/>
        </w:rPr>
      </w:pPr>
      <w:r>
        <w:rPr>
          <w:rFonts w:hint="eastAsia" w:ascii="宋体" w:hAnsi="宋体" w:cs="Songti SC Regular"/>
          <w:bCs/>
          <w:sz w:val="24"/>
        </w:rPr>
        <w:t>应用场景：</w:t>
      </w:r>
    </w:p>
    <w:p w14:paraId="6C0AD21C">
      <w:pPr>
        <w:widowControl/>
        <w:snapToGrid w:val="0"/>
        <w:spacing w:line="360" w:lineRule="auto"/>
        <w:ind w:firstLine="480" w:firstLineChars="200"/>
        <w:jc w:val="left"/>
        <w:rPr>
          <w:rFonts w:ascii="宋体" w:hAnsi="宋体" w:cs="Songti SC Regular"/>
          <w:sz w:val="24"/>
          <w:highlight w:val="green"/>
        </w:rPr>
      </w:pPr>
      <w:r>
        <w:rPr>
          <w:rFonts w:hint="eastAsia" w:ascii="宋体" w:hAnsi="宋体" w:cs="Songti SC Regular"/>
          <w:bCs/>
          <w:sz w:val="24"/>
        </w:rPr>
        <w:t>北京市大兴区教师进修学校拟通过网络级数据安全整体保障项目的开展，根据大兴区教育网安全服务实际业务需求及相关法律法规要求，优化和完善网络安全、数据安全管理体系，并采取全面的技术、管理评估，评估相关重要系统和数据的安全性状况，完善大兴</w:t>
      </w:r>
      <w:r>
        <w:rPr>
          <w:rFonts w:hint="eastAsia" w:ascii="宋体" w:hAnsi="宋体" w:cs="Songti SC Regular"/>
          <w:iCs/>
          <w:kern w:val="0"/>
          <w:sz w:val="24"/>
        </w:rPr>
        <w:t>区教育网安全状况，确保大兴区教育网的安全稳定运行及数据资产的安全。</w:t>
      </w:r>
    </w:p>
    <w:p w14:paraId="762B7660">
      <w:pPr>
        <w:widowControl/>
        <w:snapToGrid w:val="0"/>
        <w:spacing w:line="360" w:lineRule="auto"/>
        <w:jc w:val="left"/>
        <w:rPr>
          <w:rFonts w:ascii="宋体" w:hAnsi="宋体" w:cs="Songti SC Regular"/>
          <w:bCs/>
          <w:sz w:val="24"/>
        </w:rPr>
      </w:pPr>
      <w:r>
        <w:rPr>
          <w:rFonts w:hint="eastAsia" w:ascii="宋体" w:hAnsi="宋体" w:cs="Songti SC Regular"/>
          <w:bCs/>
          <w:sz w:val="24"/>
        </w:rPr>
        <w:t>项目目标：</w:t>
      </w:r>
    </w:p>
    <w:p w14:paraId="7C694AF7">
      <w:pPr>
        <w:widowControl/>
        <w:snapToGrid w:val="0"/>
        <w:ind w:firstLine="480" w:firstLineChars="200"/>
        <w:jc w:val="left"/>
        <w:rPr>
          <w:rFonts w:ascii="宋体" w:hAnsi="宋体" w:cs="Songti SC Regular"/>
          <w:bCs/>
          <w:sz w:val="24"/>
        </w:rPr>
      </w:pPr>
      <w:r>
        <w:rPr>
          <w:rFonts w:hint="eastAsia" w:ascii="宋体" w:hAnsi="宋体" w:cs="Songti SC Regular"/>
          <w:bCs/>
          <w:sz w:val="24"/>
        </w:rPr>
        <w:t>通过外购安全专家服务和人员，协助大兴区教育网定期检查信息系统中是否存在安全隐患、跟踪并获得相应的漏洞补丁、及时修复信息系统安全问题。降低信息系统中安全隐患被非法利用的可能性或在被利用后能及时加以响应。</w:t>
      </w:r>
    </w:p>
    <w:p w14:paraId="1D8E9CF7">
      <w:pPr>
        <w:widowControl/>
        <w:snapToGrid w:val="0"/>
        <w:ind w:firstLine="480" w:firstLineChars="200"/>
        <w:jc w:val="left"/>
        <w:rPr>
          <w:rFonts w:ascii="宋体" w:hAnsi="宋体" w:cs="Songti SC Regular"/>
          <w:bCs/>
          <w:sz w:val="24"/>
        </w:rPr>
      </w:pPr>
    </w:p>
    <w:p w14:paraId="09EC324B">
      <w:pPr>
        <w:pStyle w:val="31"/>
        <w:numPr>
          <w:numId w:val="0"/>
        </w:numPr>
        <w:adjustRightInd w:val="0"/>
        <w:spacing w:line="360" w:lineRule="atLeast"/>
        <w:ind w:leftChars="0"/>
        <w:jc w:val="left"/>
        <w:textAlignment w:val="baseline"/>
        <w:rPr>
          <w:rFonts w:hint="eastAsia" w:ascii="黑体" w:hAnsi="黑体" w:eastAsia="黑体" w:cs="黑体"/>
          <w:b w:val="0"/>
          <w:bCs/>
          <w:sz w:val="32"/>
          <w:szCs w:val="32"/>
          <w:lang w:val="en-US" w:eastAsia="zh-CN"/>
        </w:rPr>
      </w:pPr>
    </w:p>
    <w:p w14:paraId="0AB24BC2">
      <w:pPr>
        <w:keepNext w:val="0"/>
        <w:keepLines w:val="0"/>
        <w:pageBreakBefore w:val="0"/>
        <w:numPr>
          <w:ilvl w:val="0"/>
          <w:numId w:val="0"/>
        </w:numPr>
        <w:kinsoku/>
        <w:overflowPunct/>
        <w:topLinePunct w:val="0"/>
        <w:autoSpaceDE/>
        <w:autoSpaceDN/>
        <w:bidi w:val="0"/>
        <w:adjustRightInd w:val="0"/>
        <w:snapToGrid/>
        <w:spacing w:line="560" w:lineRule="exact"/>
        <w:ind w:leftChars="0"/>
        <w:jc w:val="left"/>
        <w:textAlignment w:val="baseline"/>
        <w:rPr>
          <w:rFonts w:hint="eastAsia" w:ascii="宋体" w:hAnsi="宋体" w:cstheme="minorEastAsia"/>
          <w:sz w:val="24"/>
        </w:rPr>
      </w:pPr>
    </w:p>
    <w:p w14:paraId="3D6C8638">
      <w:pPr>
        <w:numPr>
          <w:ilvl w:val="0"/>
          <w:numId w:val="0"/>
        </w:numPr>
        <w:adjustRightInd w:val="0"/>
        <w:spacing w:line="360" w:lineRule="auto"/>
        <w:ind w:leftChars="0"/>
        <w:jc w:val="left"/>
        <w:textAlignment w:val="baseline"/>
        <w:outlineLvl w:val="0"/>
        <w:rPr>
          <w:rFonts w:ascii="仿宋" w:hAnsi="仿宋" w:eastAsia="仿宋" w:cs="仿宋"/>
          <w:szCs w:val="21"/>
        </w:rPr>
      </w:pPr>
    </w:p>
    <w:p w14:paraId="27FBF7BC">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ongti SC Regular">
    <w:altName w:val="Malgun Gothic Semilight"/>
    <w:panose1 w:val="00000000000000000000"/>
    <w:charset w:val="86"/>
    <w:family w:val="auto"/>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CFC03"/>
    <w:multiLevelType w:val="singleLevel"/>
    <w:tmpl w:val="8EFCFC03"/>
    <w:lvl w:ilvl="0" w:tentative="0">
      <w:start w:val="5"/>
      <w:numFmt w:val="decimal"/>
      <w:suff w:val="space"/>
      <w:lvlText w:val="%1."/>
      <w:lvlJc w:val="left"/>
    </w:lvl>
  </w:abstractNum>
  <w:abstractNum w:abstractNumId="1">
    <w:nsid w:val="A76AB08B"/>
    <w:multiLevelType w:val="singleLevel"/>
    <w:tmpl w:val="A76AB08B"/>
    <w:lvl w:ilvl="0" w:tentative="0">
      <w:start w:val="1"/>
      <w:numFmt w:val="decimal"/>
      <w:suff w:val="space"/>
      <w:lvlText w:val="%1."/>
      <w:lvlJc w:val="left"/>
    </w:lvl>
  </w:abstractNum>
  <w:abstractNum w:abstractNumId="2">
    <w:nsid w:val="B2BA5D1D"/>
    <w:multiLevelType w:val="singleLevel"/>
    <w:tmpl w:val="B2BA5D1D"/>
    <w:lvl w:ilvl="0" w:tentative="0">
      <w:start w:val="2"/>
      <w:numFmt w:val="decimal"/>
      <w:suff w:val="space"/>
      <w:lvlText w:val="%1."/>
      <w:lvlJc w:val="left"/>
    </w:lvl>
  </w:abstractNum>
  <w:abstractNum w:abstractNumId="3">
    <w:nsid w:val="CFFB42F5"/>
    <w:multiLevelType w:val="multilevel"/>
    <w:tmpl w:val="CFFB42F5"/>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E4B01F8"/>
    <w:multiLevelType w:val="multilevel"/>
    <w:tmpl w:val="0E4B01F8"/>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7B0377"/>
    <w:multiLevelType w:val="multilevel"/>
    <w:tmpl w:val="6C7B0377"/>
    <w:lvl w:ilvl="0" w:tentative="0">
      <w:start w:val="1"/>
      <w:numFmt w:val="decimal"/>
      <w:pStyle w:val="56"/>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CE8AAF"/>
    <w:multiLevelType w:val="singleLevel"/>
    <w:tmpl w:val="6FCE8AAF"/>
    <w:lvl w:ilvl="0" w:tentative="0">
      <w:start w:val="1"/>
      <w:numFmt w:val="decimal"/>
      <w:suff w:val="nothing"/>
      <w:lvlText w:val="%1、"/>
      <w:lvlJc w:val="left"/>
    </w:lvl>
  </w:abstractNum>
  <w:abstractNum w:abstractNumId="8">
    <w:nsid w:val="777EF897"/>
    <w:multiLevelType w:val="multilevel"/>
    <w:tmpl w:val="777EF897"/>
    <w:lvl w:ilvl="0" w:tentative="0">
      <w:start w:val="1"/>
      <w:numFmt w:val="decimal"/>
      <w:suff w:val="space"/>
      <w:lvlText w:val="%1."/>
      <w:lvlJc w:val="left"/>
      <w:pPr>
        <w:tabs>
          <w:tab w:val="left" w:pos="839"/>
        </w:tabs>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4"/>
  </w:num>
  <w:num w:numId="2">
    <w:abstractNumId w:val="6"/>
  </w:num>
  <w:num w:numId="3">
    <w:abstractNumId w:val="5"/>
  </w:num>
  <w:num w:numId="4">
    <w:abstractNumId w:val="1"/>
  </w:num>
  <w:num w:numId="5">
    <w:abstractNumId w:val="0"/>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7D089B"/>
    <w:rsid w:val="051B1C90"/>
    <w:rsid w:val="05525D17"/>
    <w:rsid w:val="056221F7"/>
    <w:rsid w:val="05DA19E4"/>
    <w:rsid w:val="061C58CD"/>
    <w:rsid w:val="064E5119"/>
    <w:rsid w:val="0685119E"/>
    <w:rsid w:val="068837E7"/>
    <w:rsid w:val="070E75C2"/>
    <w:rsid w:val="072C6DB4"/>
    <w:rsid w:val="07680C20"/>
    <w:rsid w:val="07701404"/>
    <w:rsid w:val="079B1DF6"/>
    <w:rsid w:val="07B643D7"/>
    <w:rsid w:val="086D0162"/>
    <w:rsid w:val="0895489E"/>
    <w:rsid w:val="08AD23E7"/>
    <w:rsid w:val="09182FE0"/>
    <w:rsid w:val="09844DFA"/>
    <w:rsid w:val="098F6BCE"/>
    <w:rsid w:val="09A03A5A"/>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383867"/>
    <w:rsid w:val="0FE21939"/>
    <w:rsid w:val="10685515"/>
    <w:rsid w:val="10B574E7"/>
    <w:rsid w:val="11C750BC"/>
    <w:rsid w:val="11D279F6"/>
    <w:rsid w:val="11DD1597"/>
    <w:rsid w:val="127E5268"/>
    <w:rsid w:val="13397399"/>
    <w:rsid w:val="13C86069"/>
    <w:rsid w:val="14422D9D"/>
    <w:rsid w:val="149B4377"/>
    <w:rsid w:val="14E54849"/>
    <w:rsid w:val="152D09DB"/>
    <w:rsid w:val="157911A1"/>
    <w:rsid w:val="15EF0AA4"/>
    <w:rsid w:val="160F159D"/>
    <w:rsid w:val="162B0FD3"/>
    <w:rsid w:val="16773DCA"/>
    <w:rsid w:val="16D26A99"/>
    <w:rsid w:val="170908A0"/>
    <w:rsid w:val="17BA3F75"/>
    <w:rsid w:val="188E6EF0"/>
    <w:rsid w:val="19743C90"/>
    <w:rsid w:val="19DE19EF"/>
    <w:rsid w:val="1A073E3A"/>
    <w:rsid w:val="1C5B1EE6"/>
    <w:rsid w:val="1CBD279E"/>
    <w:rsid w:val="1CC93180"/>
    <w:rsid w:val="1CD22645"/>
    <w:rsid w:val="1D1075D0"/>
    <w:rsid w:val="1D3A7205"/>
    <w:rsid w:val="1D8B5D8C"/>
    <w:rsid w:val="1D954F84"/>
    <w:rsid w:val="1E6827FE"/>
    <w:rsid w:val="1F791EFD"/>
    <w:rsid w:val="1F87370A"/>
    <w:rsid w:val="1F892470"/>
    <w:rsid w:val="1FDE5624"/>
    <w:rsid w:val="201B3873"/>
    <w:rsid w:val="20215D46"/>
    <w:rsid w:val="20631369"/>
    <w:rsid w:val="20E0409A"/>
    <w:rsid w:val="20F269E1"/>
    <w:rsid w:val="20FB74C6"/>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03F4C"/>
    <w:rsid w:val="277C3713"/>
    <w:rsid w:val="27AB44D6"/>
    <w:rsid w:val="280332F2"/>
    <w:rsid w:val="28335AC5"/>
    <w:rsid w:val="283D3F26"/>
    <w:rsid w:val="28BC340C"/>
    <w:rsid w:val="29283E39"/>
    <w:rsid w:val="2ABA0257"/>
    <w:rsid w:val="2AFD0BD7"/>
    <w:rsid w:val="2B1F711E"/>
    <w:rsid w:val="2B722EEE"/>
    <w:rsid w:val="2B757959"/>
    <w:rsid w:val="2B80590A"/>
    <w:rsid w:val="2BA30E48"/>
    <w:rsid w:val="2C736DD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3E0CB7"/>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4D13A2"/>
    <w:rsid w:val="39A94DE8"/>
    <w:rsid w:val="3B8B7C9A"/>
    <w:rsid w:val="3BA45DC3"/>
    <w:rsid w:val="3C521864"/>
    <w:rsid w:val="3CE06E98"/>
    <w:rsid w:val="3CEA1EDD"/>
    <w:rsid w:val="3D8023C0"/>
    <w:rsid w:val="3DD661D1"/>
    <w:rsid w:val="3E3C2DB6"/>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DD6D76"/>
    <w:rsid w:val="41E462E6"/>
    <w:rsid w:val="42280F83"/>
    <w:rsid w:val="42407E9D"/>
    <w:rsid w:val="42F06B1A"/>
    <w:rsid w:val="4306320C"/>
    <w:rsid w:val="43081F14"/>
    <w:rsid w:val="430A3B9B"/>
    <w:rsid w:val="43581D9C"/>
    <w:rsid w:val="439A4851"/>
    <w:rsid w:val="446E21B9"/>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AE2E30"/>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0501C3"/>
    <w:rsid w:val="501E4192"/>
    <w:rsid w:val="506F4EF7"/>
    <w:rsid w:val="50751F1F"/>
    <w:rsid w:val="508A2CFE"/>
    <w:rsid w:val="50CF1E29"/>
    <w:rsid w:val="50DA5C62"/>
    <w:rsid w:val="512B54B7"/>
    <w:rsid w:val="51717EBA"/>
    <w:rsid w:val="519C47D9"/>
    <w:rsid w:val="51D106C4"/>
    <w:rsid w:val="52382FC4"/>
    <w:rsid w:val="525A6FB5"/>
    <w:rsid w:val="52643C20"/>
    <w:rsid w:val="52AF18BE"/>
    <w:rsid w:val="53655F65"/>
    <w:rsid w:val="539909F3"/>
    <w:rsid w:val="54090123"/>
    <w:rsid w:val="54164D75"/>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CCD7CBB"/>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8F30D1A"/>
    <w:rsid w:val="691A2C75"/>
    <w:rsid w:val="69C434A7"/>
    <w:rsid w:val="69CF70F6"/>
    <w:rsid w:val="69E05224"/>
    <w:rsid w:val="69E2008A"/>
    <w:rsid w:val="6A2A4A17"/>
    <w:rsid w:val="6AA64EED"/>
    <w:rsid w:val="6AEF2AFE"/>
    <w:rsid w:val="6B2F3761"/>
    <w:rsid w:val="6BBB38D5"/>
    <w:rsid w:val="6C713CF1"/>
    <w:rsid w:val="6C837C4E"/>
    <w:rsid w:val="6C8742D0"/>
    <w:rsid w:val="6CC55C96"/>
    <w:rsid w:val="6D5307FC"/>
    <w:rsid w:val="6D7E320D"/>
    <w:rsid w:val="6DE15942"/>
    <w:rsid w:val="6E115632"/>
    <w:rsid w:val="6E1164D9"/>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2FC0892"/>
    <w:rsid w:val="740F4EB7"/>
    <w:rsid w:val="742C1313"/>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AD75F1"/>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styleId="7">
    <w:name w:val="Normal Indent"/>
    <w:basedOn w:val="1"/>
    <w:unhideWhenUsed/>
    <w:qFormat/>
    <w:uiPriority w:val="0"/>
    <w:pPr>
      <w:ind w:firstLine="420" w:firstLineChars="200"/>
    </w:pPr>
  </w:style>
  <w:style w:type="paragraph" w:styleId="8">
    <w:name w:val="Document Map"/>
    <w:basedOn w:val="1"/>
    <w:unhideWhenUsed/>
    <w:qFormat/>
    <w:uiPriority w:val="99"/>
    <w:rPr>
      <w:rFonts w:ascii="Microsoft YaHei UI" w:eastAsia="Microsoft YaHei UI"/>
      <w:sz w:val="18"/>
      <w:szCs w:val="18"/>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unhideWhenUsed/>
    <w:qFormat/>
    <w:uiPriority w:val="99"/>
    <w:pPr>
      <w:jc w:val="left"/>
    </w:pPr>
  </w:style>
  <w:style w:type="paragraph" w:styleId="11">
    <w:name w:val="Body Text"/>
    <w:basedOn w:val="1"/>
    <w:next w:val="12"/>
    <w:unhideWhenUsed/>
    <w:qFormat/>
    <w:uiPriority w:val="99"/>
    <w:pPr>
      <w:spacing w:after="12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
    <w:qFormat/>
    <w:uiPriority w:val="99"/>
    <w:pPr>
      <w:spacing w:after="120"/>
      <w:ind w:left="420" w:leftChars="200"/>
    </w:p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7">
    <w:name w:val="Plain Text"/>
    <w:basedOn w:val="1"/>
    <w:next w:val="1"/>
    <w:link w:val="36"/>
    <w:qFormat/>
    <w:uiPriority w:val="0"/>
    <w:rPr>
      <w:rFonts w:ascii="宋体" w:hAnsi="Courier New" w:eastAsia="等线" w:cs="黑体"/>
      <w:szCs w:val="22"/>
    </w:rPr>
  </w:style>
  <w:style w:type="paragraph" w:styleId="18">
    <w:name w:val="Body Text Indent 2"/>
    <w:basedOn w:val="1"/>
    <w:qFormat/>
    <w:uiPriority w:val="0"/>
    <w:pPr>
      <w:spacing w:after="120" w:line="480" w:lineRule="auto"/>
      <w:ind w:leftChars="200"/>
    </w:pPr>
    <w:rPr>
      <w:rFonts w:ascii="宋体" w:hAnsi="宋体"/>
      <w:sz w:val="21"/>
      <w:szCs w:val="20"/>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3">
    <w:name w:val="Body Text First Indent 2"/>
    <w:basedOn w:val="13"/>
    <w:qFormat/>
    <w:uiPriority w:val="99"/>
    <w:pPr>
      <w:ind w:firstLine="420" w:firstLineChars="200"/>
    </w:p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basedOn w:val="26"/>
    <w:unhideWhenUsed/>
    <w:qFormat/>
    <w:uiPriority w:val="99"/>
    <w:rPr>
      <w:color w:val="0563C1"/>
      <w:u w:val="single"/>
    </w:rPr>
  </w:style>
  <w:style w:type="paragraph" w:customStyle="1" w:styleId="29">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customStyle="1" w:styleId="30">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1">
    <w:name w:val="List Paragraph"/>
    <w:basedOn w:val="1"/>
    <w:qFormat/>
    <w:uiPriority w:val="34"/>
    <w:pPr>
      <w:ind w:firstLine="420" w:firstLineChars="200"/>
    </w:pPr>
  </w:style>
  <w:style w:type="paragraph" w:customStyle="1" w:styleId="32">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3">
    <w:name w:val="标题 1 字符"/>
    <w:basedOn w:val="26"/>
    <w:link w:val="3"/>
    <w:qFormat/>
    <w:uiPriority w:val="9"/>
    <w:rPr>
      <w:rFonts w:ascii="Times New Roman" w:hAnsi="Times New Roman" w:eastAsia="宋体" w:cs="Times New Roman"/>
      <w:b/>
      <w:bCs/>
      <w:kern w:val="44"/>
      <w:sz w:val="44"/>
      <w:szCs w:val="44"/>
    </w:rPr>
  </w:style>
  <w:style w:type="character" w:customStyle="1" w:styleId="34">
    <w:name w:val="标题 2 字符"/>
    <w:basedOn w:val="26"/>
    <w:link w:val="4"/>
    <w:qFormat/>
    <w:uiPriority w:val="0"/>
    <w:rPr>
      <w:rFonts w:ascii="Arial" w:hAnsi="Arial" w:eastAsia="黑体" w:cs="Arial"/>
      <w:b/>
      <w:bCs/>
      <w:sz w:val="32"/>
      <w:szCs w:val="32"/>
    </w:rPr>
  </w:style>
  <w:style w:type="character" w:customStyle="1" w:styleId="35">
    <w:name w:val="纯文本 字符"/>
    <w:basedOn w:val="26"/>
    <w:semiHidden/>
    <w:qFormat/>
    <w:uiPriority w:val="99"/>
    <w:rPr>
      <w:rFonts w:ascii="等线" w:hAnsi="Courier New" w:cs="Courier New"/>
      <w:szCs w:val="21"/>
    </w:rPr>
  </w:style>
  <w:style w:type="character" w:customStyle="1" w:styleId="36">
    <w:name w:val="纯文本 字符1"/>
    <w:basedOn w:val="26"/>
    <w:link w:val="17"/>
    <w:qFormat/>
    <w:uiPriority w:val="0"/>
    <w:rPr>
      <w:rFonts w:ascii="宋体" w:hAnsi="Courier New"/>
    </w:rPr>
  </w:style>
  <w:style w:type="character" w:customStyle="1" w:styleId="37">
    <w:name w:val="font112"/>
    <w:qFormat/>
    <w:uiPriority w:val="0"/>
    <w:rPr>
      <w:rFonts w:hint="eastAsia" w:ascii="宋体" w:hAnsi="宋体" w:eastAsia="宋体" w:cs="宋体"/>
      <w:b/>
      <w:color w:val="000000"/>
      <w:sz w:val="22"/>
      <w:szCs w:val="22"/>
      <w:u w:val="none"/>
    </w:rPr>
  </w:style>
  <w:style w:type="character" w:customStyle="1" w:styleId="38">
    <w:name w:val="font121"/>
    <w:qFormat/>
    <w:uiPriority w:val="0"/>
    <w:rPr>
      <w:rFonts w:hint="eastAsia" w:ascii="宋体" w:hAnsi="宋体" w:eastAsia="宋体" w:cs="宋体"/>
      <w:color w:val="000000"/>
      <w:sz w:val="24"/>
      <w:szCs w:val="24"/>
      <w:u w:val="none"/>
    </w:rPr>
  </w:style>
  <w:style w:type="paragraph" w:customStyle="1" w:styleId="39">
    <w:name w:val="列出段落1"/>
    <w:basedOn w:val="1"/>
    <w:qFormat/>
    <w:uiPriority w:val="34"/>
    <w:pPr>
      <w:widowControl/>
      <w:ind w:firstLine="420" w:firstLineChars="200"/>
      <w:jc w:val="left"/>
    </w:pPr>
    <w:rPr>
      <w:rFonts w:eastAsia="宋体"/>
      <w:kern w:val="0"/>
      <w:sz w:val="22"/>
      <w:szCs w:val="22"/>
    </w:rPr>
  </w:style>
  <w:style w:type="paragraph" w:customStyle="1" w:styleId="40">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41">
    <w:name w:val="标题1"/>
    <w:basedOn w:val="22"/>
    <w:qFormat/>
    <w:uiPriority w:val="0"/>
    <w:pPr>
      <w:spacing w:after="240"/>
    </w:pPr>
    <w:rPr>
      <w:rFonts w:ascii="Arial" w:hAnsi="Arial" w:cs="Times New Roman"/>
      <w:bCs w:val="0"/>
      <w:spacing w:val="2"/>
      <w:sz w:val="24"/>
      <w:szCs w:val="20"/>
      <w:lang w:val="zh-CN"/>
    </w:rPr>
  </w:style>
  <w:style w:type="character" w:customStyle="1" w:styleId="42">
    <w:name w:val="标题 1 Char Char Char Char"/>
    <w:qFormat/>
    <w:uiPriority w:val="0"/>
    <w:rPr>
      <w:rFonts w:eastAsia="宋体"/>
      <w:b/>
      <w:bCs/>
      <w:kern w:val="44"/>
      <w:sz w:val="44"/>
      <w:szCs w:val="44"/>
      <w:lang w:val="en-US" w:eastAsia="zh-CN" w:bidi="ar-SA"/>
    </w:rPr>
  </w:style>
  <w:style w:type="paragraph" w:customStyle="1" w:styleId="43">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4">
    <w:name w:val="列表段落1"/>
    <w:basedOn w:val="1"/>
    <w:qFormat/>
    <w:uiPriority w:val="99"/>
    <w:pPr>
      <w:ind w:firstLine="420" w:firstLineChars="200"/>
    </w:pPr>
  </w:style>
  <w:style w:type="character" w:customStyle="1" w:styleId="45">
    <w:name w:val="font11"/>
    <w:basedOn w:val="26"/>
    <w:qFormat/>
    <w:uiPriority w:val="0"/>
    <w:rPr>
      <w:rFonts w:hint="eastAsia" w:ascii="宋体" w:hAnsi="宋体" w:eastAsia="宋体" w:cs="宋体"/>
      <w:color w:val="FF0000"/>
      <w:sz w:val="20"/>
      <w:szCs w:val="20"/>
      <w:u w:val="none"/>
    </w:rPr>
  </w:style>
  <w:style w:type="character" w:customStyle="1" w:styleId="46">
    <w:name w:val="font21"/>
    <w:basedOn w:val="26"/>
    <w:qFormat/>
    <w:uiPriority w:val="0"/>
    <w:rPr>
      <w:rFonts w:hint="eastAsia" w:ascii="宋体" w:hAnsi="宋体" w:eastAsia="宋体" w:cs="宋体"/>
      <w:color w:val="000000"/>
      <w:sz w:val="20"/>
      <w:szCs w:val="20"/>
      <w:u w:val="none"/>
    </w:rPr>
  </w:style>
  <w:style w:type="paragraph" w:customStyle="1" w:styleId="47">
    <w:name w:val="~S1实施方案正文"/>
    <w:basedOn w:val="1"/>
    <w:qFormat/>
    <w:uiPriority w:val="99"/>
    <w:pPr>
      <w:spacing w:line="360" w:lineRule="auto"/>
      <w:ind w:firstLine="200" w:firstLineChars="200"/>
      <w:jc w:val="left"/>
    </w:pPr>
    <w:rPr>
      <w:rFonts w:ascii="仿宋" w:eastAsia="仿宋"/>
      <w:sz w:val="30"/>
    </w:rPr>
  </w:style>
  <w:style w:type="paragraph" w:customStyle="1" w:styleId="48">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9">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50">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1">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3">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4">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5">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6">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7">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8">
    <w:name w:val="网格型1"/>
    <w:basedOn w:val="2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60">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1">
    <w:name w:val="标书正文1"/>
    <w:basedOn w:val="1"/>
    <w:qFormat/>
    <w:uiPriority w:val="0"/>
    <w:pPr>
      <w:spacing w:line="520" w:lineRule="exact"/>
      <w:ind w:firstLine="640" w:firstLineChars="200"/>
    </w:pPr>
  </w:style>
  <w:style w:type="table" w:customStyle="1" w:styleId="62">
    <w:name w:val="Table Normal"/>
    <w:qFormat/>
    <w:uiPriority w:val="0"/>
    <w:tblPr>
      <w:tblCellMar>
        <w:top w:w="0" w:type="dxa"/>
        <w:left w:w="0" w:type="dxa"/>
        <w:bottom w:w="0" w:type="dxa"/>
        <w:right w:w="0" w:type="dxa"/>
      </w:tblCellMar>
    </w:tblPr>
  </w:style>
  <w:style w:type="paragraph" w:customStyle="1" w:styleId="63">
    <w:name w:val="4 级标题"/>
    <w:basedOn w:val="6"/>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4">
    <w:name w:val="列出段落2"/>
    <w:basedOn w:val="1"/>
    <w:qFormat/>
    <w:uiPriority w:val="99"/>
    <w:pPr>
      <w:ind w:firstLine="420" w:firstLineChars="200"/>
    </w:pPr>
    <w:rPr>
      <w:rFonts w:ascii="Calibri" w:hAnsi="Calibri"/>
      <w:szCs w:val="22"/>
    </w:rPr>
  </w:style>
  <w:style w:type="paragraph" w:customStyle="1" w:styleId="65">
    <w:name w:val="Table Text"/>
    <w:basedOn w:val="1"/>
    <w:semiHidden/>
    <w:qFormat/>
    <w:uiPriority w:val="0"/>
    <w:rPr>
      <w:rFonts w:ascii="Arial" w:hAnsi="Arial" w:eastAsia="Arial" w:cs="Arial"/>
      <w:sz w:val="21"/>
      <w:szCs w:val="21"/>
      <w:lang w:val="en-US" w:eastAsia="en-US" w:bidi="ar-SA"/>
    </w:rPr>
  </w:style>
  <w:style w:type="paragraph" w:customStyle="1" w:styleId="66">
    <w:name w:val="列表段落11"/>
    <w:basedOn w:val="1"/>
    <w:qFormat/>
    <w:uiPriority w:val="34"/>
    <w:pPr>
      <w:ind w:firstLine="420" w:firstLineChars="200"/>
    </w:pPr>
    <w:rPr>
      <w:rFonts w:ascii="Calibri" w:hAnsi="Calibri" w:cs="黑体"/>
      <w:szCs w:val="22"/>
    </w:rPr>
  </w:style>
  <w:style w:type="character" w:customStyle="1" w:styleId="67">
    <w:name w:val="font51"/>
    <w:basedOn w:val="26"/>
    <w:qFormat/>
    <w:uiPriority w:val="0"/>
    <w:rPr>
      <w:rFonts w:hint="eastAsia" w:ascii="宋体" w:hAnsi="宋体" w:eastAsia="宋体" w:cs="宋体"/>
      <w:color w:val="000000"/>
      <w:sz w:val="20"/>
      <w:szCs w:val="20"/>
      <w:u w:val="none"/>
    </w:rPr>
  </w:style>
  <w:style w:type="character" w:customStyle="1" w:styleId="68">
    <w:name w:val="font3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3003</Words>
  <Characters>3252</Characters>
  <Lines>235</Lines>
  <Paragraphs>66</Paragraphs>
  <TotalTime>0</TotalTime>
  <ScaleCrop>false</ScaleCrop>
  <LinksUpToDate>false</LinksUpToDate>
  <CharactersWithSpaces>3420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像猫一样睡着</cp:lastModifiedBy>
  <dcterms:modified xsi:type="dcterms:W3CDTF">2026-06-26T01:40:18Z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5BA4057880A64D059B7CBA94E9A1F9D7_13</vt:lpwstr>
  </property>
  <property fmtid="{D5CDD505-2E9C-101B-9397-08002B2CF9AE}" pid="4" name="KSOTemplateDocerSaveRecord">
    <vt:lpwstr>eyJoZGlkIjoiZjkwZTJkNzIzMmFhMWM4YWIwYWQ5Yzg2YTMxYmExOWIiLCJ1c2VySWQiOiIxODIwMDAwNzM3In0=</vt:lpwstr>
  </property>
</Properties>
</file>