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63D7">
      <w:pPr>
        <w:spacing w:line="360" w:lineRule="auto"/>
        <w:jc w:val="center"/>
        <w:outlineLvl w:val="0"/>
        <w:rPr>
          <w:rFonts w:ascii="仿宋" w:hAnsi="仿宋" w:eastAsia="仿宋" w:cs="仿宋"/>
          <w:b/>
          <w:sz w:val="36"/>
          <w:szCs w:val="36"/>
        </w:rPr>
      </w:pPr>
      <w:bookmarkStart w:id="1" w:name="_GoBack"/>
      <w:bookmarkEnd w:id="1"/>
      <w:bookmarkStart w:id="0" w:name="_Toc99301424"/>
      <w:r>
        <w:rPr>
          <w:rFonts w:hint="eastAsia" w:ascii="仿宋" w:hAnsi="仿宋" w:eastAsia="仿宋" w:cs="仿宋"/>
          <w:b/>
          <w:sz w:val="36"/>
          <w:szCs w:val="36"/>
        </w:rPr>
        <w:t xml:space="preserve">   采购需求</w:t>
      </w:r>
      <w:bookmarkEnd w:id="0"/>
    </w:p>
    <w:p w14:paraId="0A643F38">
      <w:pPr>
        <w:pStyle w:val="4"/>
        <w:numPr>
          <w:ilvl w:val="0"/>
          <w:numId w:val="1"/>
        </w:numPr>
        <w:spacing w:line="360" w:lineRule="auto"/>
        <w:ind w:firstLineChars="0"/>
        <w:contextualSpacing/>
        <w:rPr>
          <w:rFonts w:ascii="仿宋" w:hAnsi="仿宋" w:eastAsia="仿宋" w:cs="仿宋"/>
          <w:b/>
          <w:sz w:val="24"/>
          <w:szCs w:val="24"/>
        </w:rPr>
      </w:pPr>
      <w:r>
        <w:rPr>
          <w:rFonts w:hint="eastAsia" w:ascii="仿宋" w:hAnsi="仿宋" w:eastAsia="仿宋" w:cs="仿宋"/>
          <w:b/>
          <w:sz w:val="24"/>
          <w:szCs w:val="24"/>
        </w:rPr>
        <w:t>采购标的</w:t>
      </w:r>
    </w:p>
    <w:p w14:paraId="2630A737">
      <w:pPr>
        <w:spacing w:line="360" w:lineRule="auto"/>
        <w:contextualSpacing/>
        <w:rPr>
          <w:rFonts w:ascii="仿宋" w:hAnsi="仿宋" w:eastAsia="仿宋" w:cs="仿宋"/>
          <w:bCs/>
          <w:sz w:val="24"/>
        </w:rPr>
      </w:pPr>
      <w:r>
        <w:rPr>
          <w:rFonts w:hint="eastAsia" w:ascii="仿宋" w:hAnsi="仿宋" w:eastAsia="仿宋" w:cs="仿宋"/>
          <w:bCs/>
          <w:sz w:val="24"/>
        </w:rPr>
        <w:t>1. 采购标的</w:t>
      </w:r>
    </w:p>
    <w:tbl>
      <w:tblPr>
        <w:tblStyle w:val="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0"/>
        <w:gridCol w:w="3765"/>
        <w:gridCol w:w="1889"/>
        <w:gridCol w:w="1889"/>
      </w:tblGrid>
      <w:tr w14:paraId="16863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63" w:type="pct"/>
            <w:vAlign w:val="center"/>
          </w:tcPr>
          <w:p w14:paraId="15E829AC">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rPr>
            </w:pPr>
            <w:r>
              <w:rPr>
                <w:rFonts w:hint="eastAsia" w:ascii="仿宋" w:hAnsi="仿宋" w:eastAsia="仿宋" w:cs="仿宋"/>
                <w:b/>
                <w:bCs/>
                <w:kern w:val="0"/>
                <w:sz w:val="24"/>
              </w:rPr>
              <w:t>包号</w:t>
            </w:r>
          </w:p>
        </w:tc>
        <w:tc>
          <w:tcPr>
            <w:tcW w:w="2264" w:type="pct"/>
            <w:vAlign w:val="center"/>
          </w:tcPr>
          <w:p w14:paraId="6677517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rPr>
            </w:pPr>
            <w:r>
              <w:rPr>
                <w:rFonts w:hint="eastAsia" w:ascii="仿宋" w:hAnsi="仿宋" w:eastAsia="仿宋" w:cs="仿宋"/>
                <w:b/>
                <w:bCs/>
                <w:kern w:val="0"/>
                <w:sz w:val="24"/>
              </w:rPr>
              <w:t>标的名称</w:t>
            </w:r>
          </w:p>
        </w:tc>
        <w:tc>
          <w:tcPr>
            <w:tcW w:w="1136" w:type="pct"/>
            <w:vAlign w:val="center"/>
          </w:tcPr>
          <w:p w14:paraId="7BF74D2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服务期</w:t>
            </w:r>
          </w:p>
        </w:tc>
        <w:tc>
          <w:tcPr>
            <w:tcW w:w="1136" w:type="pct"/>
            <w:vAlign w:val="center"/>
          </w:tcPr>
          <w:p w14:paraId="0BAF7484">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数量</w:t>
            </w:r>
          </w:p>
        </w:tc>
      </w:tr>
      <w:tr w14:paraId="2954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463" w:type="pct"/>
            <w:vAlign w:val="center"/>
          </w:tcPr>
          <w:p w14:paraId="0E67A451">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rPr>
            </w:pPr>
            <w:r>
              <w:rPr>
                <w:rFonts w:hint="eastAsia" w:ascii="仿宋" w:hAnsi="仿宋" w:eastAsia="仿宋" w:cs="仿宋"/>
                <w:kern w:val="0"/>
                <w:sz w:val="24"/>
              </w:rPr>
              <w:t>1</w:t>
            </w:r>
          </w:p>
        </w:tc>
        <w:tc>
          <w:tcPr>
            <w:tcW w:w="2264" w:type="pct"/>
            <w:vAlign w:val="center"/>
          </w:tcPr>
          <w:p w14:paraId="5153EBB1">
            <w:pPr>
              <w:keepNext w:val="0"/>
              <w:keepLines w:val="0"/>
              <w:widowControl/>
              <w:suppressLineNumbers w:val="0"/>
              <w:autoSpaceDE w:val="0"/>
              <w:autoSpaceDN w:val="0"/>
              <w:spacing w:before="0" w:beforeAutospacing="0" w:after="0" w:afterAutospacing="0"/>
              <w:ind w:left="0" w:right="0"/>
              <w:jc w:val="center"/>
              <w:textAlignment w:val="center"/>
              <w:rPr>
                <w:rFonts w:hint="default" w:ascii="仿宋" w:hAnsi="仿宋" w:eastAsia="仿宋" w:cs="仿宋"/>
                <w:kern w:val="0"/>
                <w:sz w:val="24"/>
              </w:rPr>
            </w:pPr>
            <w:r>
              <w:rPr>
                <w:rFonts w:hint="eastAsia" w:ascii="仿宋" w:hAnsi="仿宋" w:eastAsia="仿宋" w:cs="仿宋"/>
                <w:kern w:val="0"/>
                <w:sz w:val="24"/>
              </w:rPr>
              <w:t>新生儿重症联合免疫缺陷</w:t>
            </w:r>
          </w:p>
        </w:tc>
        <w:tc>
          <w:tcPr>
            <w:tcW w:w="2063" w:type="dxa"/>
            <w:vAlign w:val="center"/>
          </w:tcPr>
          <w:p w14:paraId="7EB5FB93">
            <w:pPr>
              <w:keepNext w:val="0"/>
              <w:keepLines w:val="0"/>
              <w:widowControl w:val="0"/>
              <w:suppressLineNumbers w:val="0"/>
              <w:autoSpaceDE w:val="0"/>
              <w:autoSpaceDN w:val="0"/>
              <w:spacing w:before="0" w:beforeAutospacing="0" w:after="0" w:afterAutospacing="0"/>
              <w:ind w:left="0" w:leftChars="0" w:right="0" w:rightChars="0"/>
              <w:jc w:val="center"/>
              <w:rPr>
                <w:rFonts w:hint="default" w:ascii="仿宋" w:hAnsi="仿宋" w:eastAsia="仿宋" w:cs="仿宋"/>
                <w:kern w:val="0"/>
                <w:sz w:val="24"/>
              </w:rPr>
            </w:pPr>
            <w:r>
              <w:rPr>
                <w:rFonts w:hint="eastAsia" w:ascii="仿宋" w:hAnsi="仿宋" w:eastAsia="仿宋" w:cs="仿宋"/>
                <w:kern w:val="0"/>
                <w:sz w:val="24"/>
                <w:szCs w:val="24"/>
                <w:lang w:val="en-US" w:eastAsia="zh-CN" w:bidi="ar"/>
              </w:rPr>
              <w:t>1年</w:t>
            </w:r>
          </w:p>
        </w:tc>
        <w:tc>
          <w:tcPr>
            <w:tcW w:w="2063" w:type="dxa"/>
            <w:vAlign w:val="center"/>
          </w:tcPr>
          <w:p w14:paraId="29FA3A20">
            <w:pPr>
              <w:keepNext w:val="0"/>
              <w:keepLines w:val="0"/>
              <w:widowControl w:val="0"/>
              <w:suppressLineNumbers w:val="0"/>
              <w:autoSpaceDE w:val="0"/>
              <w:autoSpaceDN w:val="0"/>
              <w:spacing w:before="0" w:beforeAutospacing="0" w:after="0" w:afterAutospacing="0"/>
              <w:ind w:left="0" w:leftChars="0" w:right="0" w:rightChars="0"/>
              <w:jc w:val="center"/>
              <w:rPr>
                <w:rFonts w:hint="default"/>
              </w:rPr>
            </w:pPr>
            <w:r>
              <w:rPr>
                <w:rFonts w:hint="eastAsia" w:ascii="仿宋" w:hAnsi="仿宋" w:eastAsia="仿宋" w:cs="仿宋"/>
                <w:kern w:val="0"/>
                <w:sz w:val="24"/>
                <w:szCs w:val="24"/>
                <w:lang w:val="en-US" w:eastAsia="zh-CN" w:bidi="ar"/>
              </w:rPr>
              <w:t>年检测量4500例</w:t>
            </w:r>
          </w:p>
        </w:tc>
      </w:tr>
    </w:tbl>
    <w:p w14:paraId="09BEFFD1">
      <w:pPr>
        <w:spacing w:line="360" w:lineRule="auto"/>
        <w:ind w:firstLine="482"/>
        <w:contextualSpacing/>
        <w:rPr>
          <w:rFonts w:ascii="仿宋" w:hAnsi="仿宋" w:eastAsia="仿宋" w:cs="仿宋"/>
          <w:b/>
          <w:sz w:val="24"/>
        </w:rPr>
      </w:pPr>
    </w:p>
    <w:p w14:paraId="548B81EC">
      <w:pPr>
        <w:pStyle w:val="4"/>
        <w:numPr>
          <w:ilvl w:val="0"/>
          <w:numId w:val="1"/>
        </w:numPr>
        <w:spacing w:line="360" w:lineRule="auto"/>
        <w:ind w:firstLineChars="0"/>
        <w:contextualSpacing/>
        <w:rPr>
          <w:rFonts w:ascii="仿宋" w:hAnsi="仿宋" w:eastAsia="仿宋" w:cs="仿宋"/>
          <w:b/>
          <w:sz w:val="24"/>
          <w:szCs w:val="24"/>
        </w:rPr>
      </w:pPr>
      <w:r>
        <w:rPr>
          <w:rFonts w:hint="eastAsia" w:ascii="仿宋" w:hAnsi="仿宋" w:eastAsia="仿宋" w:cs="仿宋"/>
          <w:b/>
          <w:sz w:val="24"/>
          <w:szCs w:val="24"/>
        </w:rPr>
        <w:t>商务要求</w:t>
      </w:r>
    </w:p>
    <w:p w14:paraId="54D61897">
      <w:pPr>
        <w:spacing w:line="360" w:lineRule="auto"/>
        <w:contextualSpacing/>
        <w:rPr>
          <w:rFonts w:ascii="仿宋" w:hAnsi="仿宋" w:eastAsia="仿宋" w:cs="仿宋"/>
          <w:sz w:val="24"/>
        </w:rPr>
      </w:pPr>
      <w:r>
        <w:rPr>
          <w:rFonts w:hint="eastAsia" w:ascii="仿宋" w:hAnsi="仿宋" w:eastAsia="仿宋" w:cs="仿宋"/>
          <w:sz w:val="24"/>
        </w:rPr>
        <w:t>1. 交付（实施）的时间（期限）和地点（范围）</w:t>
      </w:r>
    </w:p>
    <w:p w14:paraId="1CDCE781">
      <w:pPr>
        <w:spacing w:line="360" w:lineRule="auto"/>
        <w:ind w:firstLine="421"/>
        <w:contextualSpacing/>
        <w:rPr>
          <w:rFonts w:ascii="仿宋" w:hAnsi="仿宋" w:eastAsia="仿宋" w:cs="仿宋"/>
          <w:sz w:val="24"/>
        </w:rPr>
      </w:pPr>
      <w:r>
        <w:rPr>
          <w:rFonts w:hint="eastAsia" w:ascii="仿宋" w:hAnsi="仿宋" w:eastAsia="仿宋" w:cs="仿宋"/>
          <w:sz w:val="24"/>
        </w:rPr>
        <w:t>1.1服务时间：按采购人要求。</w:t>
      </w:r>
    </w:p>
    <w:p w14:paraId="44E4056B">
      <w:pPr>
        <w:spacing w:line="360" w:lineRule="auto"/>
        <w:ind w:firstLine="421"/>
        <w:contextualSpacing/>
        <w:rPr>
          <w:rFonts w:ascii="仿宋" w:hAnsi="仿宋" w:eastAsia="仿宋" w:cs="仿宋"/>
          <w:sz w:val="24"/>
        </w:rPr>
      </w:pPr>
      <w:r>
        <w:rPr>
          <w:rFonts w:hint="eastAsia" w:ascii="仿宋" w:hAnsi="仿宋" w:eastAsia="仿宋" w:cs="仿宋"/>
          <w:sz w:val="24"/>
        </w:rPr>
        <w:t>1.2服务地点：采购人指定地点。</w:t>
      </w:r>
    </w:p>
    <w:p w14:paraId="47A96AD5">
      <w:pPr>
        <w:spacing w:line="360" w:lineRule="auto"/>
        <w:contextualSpacing/>
        <w:rPr>
          <w:rFonts w:ascii="仿宋" w:hAnsi="仿宋" w:eastAsia="仿宋" w:cs="仿宋"/>
          <w:sz w:val="24"/>
        </w:rPr>
      </w:pPr>
      <w:r>
        <w:rPr>
          <w:rFonts w:hint="eastAsia" w:ascii="仿宋" w:hAnsi="仿宋" w:eastAsia="仿宋" w:cs="仿宋"/>
          <w:sz w:val="24"/>
        </w:rPr>
        <w:t>2. 付款条件（进度和方式）：以最终合同签为准</w:t>
      </w:r>
    </w:p>
    <w:p w14:paraId="3902E554">
      <w:pPr>
        <w:pStyle w:val="4"/>
        <w:numPr>
          <w:ilvl w:val="0"/>
          <w:numId w:val="1"/>
        </w:numPr>
        <w:spacing w:line="360" w:lineRule="auto"/>
        <w:ind w:firstLineChars="0"/>
        <w:contextualSpacing/>
        <w:rPr>
          <w:rFonts w:ascii="仿宋" w:hAnsi="仿宋" w:eastAsia="仿宋" w:cs="仿宋"/>
          <w:b/>
          <w:sz w:val="24"/>
          <w:szCs w:val="24"/>
        </w:rPr>
      </w:pPr>
      <w:r>
        <w:rPr>
          <w:rFonts w:hint="eastAsia" w:ascii="仿宋" w:hAnsi="仿宋" w:eastAsia="仿宋" w:cs="仿宋"/>
          <w:b/>
          <w:sz w:val="24"/>
          <w:szCs w:val="24"/>
        </w:rPr>
        <w:t>技术要求</w:t>
      </w:r>
    </w:p>
    <w:p w14:paraId="64D06CE5">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项目内涵：新生儿T细胞和B细胞免疫缺陷疾病、脊髓性肌萎缩症（SMA）</w:t>
      </w:r>
    </w:p>
    <w:p w14:paraId="63AC8D58">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报告周期要求：实验室收到样本后7个工作日之内出具检测结果</w:t>
      </w:r>
    </w:p>
    <w:p w14:paraId="5FF1CD57">
      <w:pPr>
        <w:pStyle w:val="4"/>
        <w:numPr>
          <w:ilvl w:val="0"/>
          <w:numId w:val="0"/>
        </w:numPr>
        <w:spacing w:line="360" w:lineRule="auto"/>
        <w:ind w:leftChars="0"/>
        <w:contextualSpacing/>
        <w:rPr>
          <w:rFonts w:ascii="仿宋" w:hAnsi="仿宋" w:eastAsia="仿宋" w:cs="仿宋"/>
          <w:b w:val="0"/>
          <w:bCs/>
          <w:sz w:val="24"/>
          <w:szCs w:val="24"/>
        </w:rPr>
      </w:pPr>
      <w:r>
        <w:rPr>
          <w:rFonts w:hint="eastAsia" w:ascii="仿宋" w:hAnsi="仿宋" w:eastAsia="仿宋" w:cs="仿宋"/>
          <w:b w:val="0"/>
          <w:bCs/>
          <w:sz w:val="24"/>
          <w:szCs w:val="24"/>
        </w:rPr>
        <w:t>样本类型：足跟血干血斑（直径≥8mm，不少于2个血斑）</w:t>
      </w:r>
    </w:p>
    <w:p w14:paraId="120616FE">
      <w:pPr>
        <w:pStyle w:val="4"/>
        <w:numPr>
          <w:ilvl w:val="0"/>
          <w:numId w:val="0"/>
        </w:numPr>
        <w:spacing w:line="360" w:lineRule="auto"/>
        <w:ind w:leftChars="0"/>
        <w:contextualSpacing/>
        <w:rPr>
          <w:rFonts w:hint="eastAsia" w:ascii="仿宋" w:hAnsi="仿宋" w:eastAsia="仿宋" w:cs="仿宋"/>
          <w:b/>
          <w:bCs w:val="0"/>
          <w:sz w:val="24"/>
          <w:szCs w:val="24"/>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一</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、项目基本要求</w:t>
      </w:r>
    </w:p>
    <w:p w14:paraId="34F4F729">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本招标项目属于技术检测服务类型，故对服务基础条款做如下要求说明：</w:t>
      </w:r>
    </w:p>
    <w:p w14:paraId="2C15F769">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1、投标方需使用合理、有效的技术手段及生物标志物保质、保量、按时完成本项目检测服务；</w:t>
      </w:r>
    </w:p>
    <w:p w14:paraId="36F4F2A2">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2、对检测结果提示“异常”的样本，投标人应进行样本重新采集以及复核。</w:t>
      </w:r>
    </w:p>
    <w:p w14:paraId="1DF6718F">
      <w:pPr>
        <w:pStyle w:val="4"/>
        <w:numPr>
          <w:ilvl w:val="0"/>
          <w:numId w:val="0"/>
        </w:numPr>
        <w:spacing w:line="360" w:lineRule="auto"/>
        <w:ind w:leftChars="0"/>
        <w:contextualSpacing/>
        <w:rPr>
          <w:rFonts w:hint="eastAsia" w:ascii="仿宋" w:hAnsi="仿宋" w:eastAsia="仿宋" w:cs="仿宋"/>
          <w:b/>
          <w:bCs w:val="0"/>
          <w:sz w:val="24"/>
          <w:szCs w:val="24"/>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二</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、技术要求</w:t>
      </w:r>
    </w:p>
    <w:p w14:paraId="020FBDEE">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1、投标人实验室符合国家卫计委《医疗机构临床实验室管理办法》等法律法规要求；</w:t>
      </w:r>
    </w:p>
    <w:p w14:paraId="23BA6E29">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2、投标人保证按国家检测规范进行操作，并对标本的检测报告承担相应的责任；</w:t>
      </w:r>
    </w:p>
    <w:p w14:paraId="23BD80FE">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3、投标人具有由国家认证认可监督管理部门批准设立的认证机构颁发并在有效期内的质量管理体系认证证书；</w:t>
      </w:r>
    </w:p>
    <w:p w14:paraId="6CFC1B6C">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4、投标人具备完善的售后服务能力；</w:t>
      </w:r>
    </w:p>
    <w:p w14:paraId="79A8EF24">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5、投标人检验实验室需拥有专业的检验技术人员，可提供专业的医学检验服务，为项目配备不少于5人的专业检验服务队伍；</w:t>
      </w:r>
    </w:p>
    <w:p w14:paraId="3B102C81">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6、投标人需提供免费服务电话、微信查询等多种渠道供采购方相关临床部门进行业务咨询、报告查询、账单查询统计等工作。</w:t>
      </w:r>
    </w:p>
    <w:p w14:paraId="3FBE7B12">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7、被委托实验室的质量要求：</w:t>
      </w:r>
    </w:p>
    <w:p w14:paraId="0408879A">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（1）投标人对采购人送检的合格样本结果进行负责，对于按照投标人取材要求进行取材的合格样本，若因投标人原因导致检测结果存在质量问题，由投标人承担相关责任。</w:t>
      </w:r>
    </w:p>
    <w:p w14:paraId="2FE8D861">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（2）投标人对开展的项目进行室内质控，定期进行质控分析，及时对失控进行处理，保证检验结果的质量。</w:t>
      </w:r>
    </w:p>
    <w:p w14:paraId="23AC7924">
      <w:pPr>
        <w:pStyle w:val="4"/>
        <w:numPr>
          <w:ilvl w:val="0"/>
          <w:numId w:val="0"/>
        </w:numPr>
        <w:spacing w:line="360" w:lineRule="auto"/>
        <w:ind w:leftChars="0"/>
        <w:contextualSpacing/>
        <w:rPr>
          <w:rFonts w:hint="eastAsia" w:ascii="仿宋" w:hAnsi="仿宋" w:eastAsia="仿宋" w:cs="仿宋"/>
          <w:b/>
          <w:bCs w:val="0"/>
          <w:sz w:val="24"/>
          <w:szCs w:val="24"/>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三</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、服务要求</w:t>
      </w:r>
    </w:p>
    <w:p w14:paraId="3D4C5200">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1、免费提供本次招标服务项目所需要的足跟血采集卡、知情同意书、申请单等。</w:t>
      </w:r>
    </w:p>
    <w:p w14:paraId="399EAA8F">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2、未经采购人同意，不得将采购人标本用于他用。</w:t>
      </w:r>
    </w:p>
    <w:p w14:paraId="26CE2ED5">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3、有为用户保密的义务，未经同意不得向第三方泄露委托检验的项目、检验的内容、检验的结果。</w:t>
      </w:r>
    </w:p>
    <w:p w14:paraId="67966C58">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4、检测样本、检测数据的所有权、使用权为用户所有，未经许可不得挪作它用。能够按照国家、按用户要求妥善保存及销毁检验后样本。</w:t>
      </w:r>
    </w:p>
    <w:p w14:paraId="2AAB4EEC">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5、投标人必须保证检验结果的公正性，不受任何诱使或压力的对检验结果进行修正及更改。</w:t>
      </w:r>
    </w:p>
    <w:p w14:paraId="25298D85">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6、投标人须针对参与本项目的医务人员组织开展专项培训，内容应涵盖项目背景、开展意义、样本采集与保存规范、检测结果获取及报告解读等操作要点，确保项目规范有序开展执行。</w:t>
      </w:r>
    </w:p>
    <w:p w14:paraId="30B8F0EB">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7、报告出具时间自样本到达检验实验室开始计算，不超过7个工作日。</w:t>
      </w:r>
    </w:p>
    <w:p w14:paraId="41034E66">
      <w:pPr>
        <w:pStyle w:val="4"/>
        <w:numPr>
          <w:ilvl w:val="0"/>
          <w:numId w:val="0"/>
        </w:numPr>
        <w:spacing w:line="360" w:lineRule="auto"/>
        <w:ind w:leftChars="0"/>
        <w:contextualSpacing/>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（四）</w:t>
      </w:r>
      <w:r>
        <w:rPr>
          <w:rFonts w:hint="eastAsia" w:ascii="仿宋" w:hAnsi="仿宋" w:eastAsia="仿宋" w:cs="仿宋"/>
          <w:b/>
          <w:bCs w:val="0"/>
          <w:sz w:val="24"/>
          <w:szCs w:val="24"/>
        </w:rPr>
        <w:t>、本项目需执行的国家相关标准、行业标准及规范</w:t>
      </w:r>
    </w:p>
    <w:p w14:paraId="46D8B949">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1、本项目需严格满足现行国家相关规范和要求。</w:t>
      </w:r>
    </w:p>
    <w:p w14:paraId="45D1823E">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《医疗机构临床实验室管理办法》</w:t>
      </w:r>
    </w:p>
    <w:p w14:paraId="7D72B4D2">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《医学检验实验室管理暂行办法》</w:t>
      </w:r>
    </w:p>
    <w:p w14:paraId="4A72465B">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2、技术规范（含行业共识、指南）</w:t>
      </w:r>
    </w:p>
    <w:p w14:paraId="2A9F3DD3">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《原发性联合免疫缺陷病诊疗指南（2019年版）》</w:t>
      </w:r>
    </w:p>
    <w:p w14:paraId="02EAD651">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《X连锁无丙种球蛋白血症诊疗指南（2019年版）》</w:t>
      </w:r>
    </w:p>
    <w:p w14:paraId="3FE83BE4">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《新生儿疾病筛查滤纸血片采集和递送及保存专家共识》</w:t>
      </w:r>
    </w:p>
    <w:p w14:paraId="193429FE">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《重症联合免疫缺陷新生儿筛查阳性患儿的诊断与免疫重建和再生育专家共识》</w:t>
      </w:r>
    </w:p>
    <w:p w14:paraId="5D3CAE09">
      <w:pPr>
        <w:pStyle w:val="4"/>
        <w:numPr>
          <w:ilvl w:val="0"/>
          <w:numId w:val="0"/>
        </w:numPr>
        <w:spacing w:line="360" w:lineRule="auto"/>
        <w:ind w:leftChars="0"/>
        <w:contextualSpacing/>
        <w:rPr>
          <w:rFonts w:hint="eastAsia" w:ascii="仿宋" w:hAnsi="仿宋" w:eastAsia="仿宋" w:cs="仿宋"/>
          <w:b w:val="0"/>
          <w:bCs/>
          <w:sz w:val="24"/>
          <w:szCs w:val="24"/>
        </w:rPr>
      </w:pPr>
      <w:r>
        <w:rPr>
          <w:rFonts w:hint="eastAsia" w:ascii="仿宋" w:hAnsi="仿宋" w:eastAsia="仿宋" w:cs="仿宋"/>
          <w:b w:val="0"/>
          <w:bCs/>
          <w:sz w:val="24"/>
          <w:szCs w:val="24"/>
        </w:rPr>
        <w:t>《脊髓性肌萎缩症新生儿筛查专家共识（2023版）》</w:t>
      </w:r>
    </w:p>
    <w:p w14:paraId="1036396F">
      <w:pPr>
        <w:pStyle w:val="4"/>
        <w:numPr>
          <w:ilvl w:val="0"/>
          <w:numId w:val="0"/>
        </w:numPr>
        <w:spacing w:line="360" w:lineRule="auto"/>
        <w:ind w:leftChars="0"/>
        <w:contextualSpacing/>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五</w:t>
      </w:r>
      <w:r>
        <w:rPr>
          <w:rFonts w:hint="eastAsia" w:ascii="仿宋" w:hAnsi="仿宋" w:eastAsia="仿宋" w:cs="仿宋"/>
          <w:b/>
          <w:bCs w:val="0"/>
          <w:sz w:val="24"/>
          <w:szCs w:val="24"/>
          <w:lang w:eastAsia="zh-CN"/>
        </w:rPr>
        <w:t>）、技术参数</w:t>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690"/>
        <w:gridCol w:w="5051"/>
      </w:tblGrid>
      <w:tr w14:paraId="1B8D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1C948430">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1.</w:t>
            </w:r>
          </w:p>
        </w:tc>
        <w:tc>
          <w:tcPr>
            <w:tcW w:w="1578" w:type="pct"/>
            <w:vAlign w:val="center"/>
          </w:tcPr>
          <w:p w14:paraId="1B32FAE8">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检测目的</w:t>
            </w:r>
          </w:p>
        </w:tc>
        <w:tc>
          <w:tcPr>
            <w:tcW w:w="2963" w:type="pct"/>
            <w:vAlign w:val="center"/>
          </w:tcPr>
          <w:p w14:paraId="41EACF9E">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用以早期判断SCID、XLA和SMA的发病风险</w:t>
            </w:r>
          </w:p>
        </w:tc>
      </w:tr>
      <w:tr w14:paraId="4812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3DF4CEAB">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2.</w:t>
            </w:r>
          </w:p>
        </w:tc>
        <w:tc>
          <w:tcPr>
            <w:tcW w:w="1578" w:type="pct"/>
            <w:vAlign w:val="center"/>
          </w:tcPr>
          <w:p w14:paraId="6E7E587E">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检测平台</w:t>
            </w:r>
          </w:p>
        </w:tc>
        <w:tc>
          <w:tcPr>
            <w:tcW w:w="2963" w:type="pct"/>
            <w:vAlign w:val="center"/>
          </w:tcPr>
          <w:p w14:paraId="08AB8631">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荧光定量PCR检测平台</w:t>
            </w:r>
          </w:p>
        </w:tc>
      </w:tr>
      <w:tr w14:paraId="2163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69E8D675">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3.</w:t>
            </w:r>
          </w:p>
        </w:tc>
        <w:tc>
          <w:tcPr>
            <w:tcW w:w="1578" w:type="pct"/>
            <w:vAlign w:val="center"/>
          </w:tcPr>
          <w:p w14:paraId="0B5C66B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检测靶标</w:t>
            </w:r>
          </w:p>
        </w:tc>
        <w:tc>
          <w:tcPr>
            <w:tcW w:w="2963" w:type="pct"/>
            <w:vAlign w:val="center"/>
          </w:tcPr>
          <w:p w14:paraId="07F0FBA4">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TREC，KREC，SMN1基因</w:t>
            </w:r>
          </w:p>
        </w:tc>
      </w:tr>
      <w:tr w14:paraId="476B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54A39F83">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4.</w:t>
            </w:r>
          </w:p>
        </w:tc>
        <w:tc>
          <w:tcPr>
            <w:tcW w:w="1578" w:type="pct"/>
            <w:vAlign w:val="center"/>
          </w:tcPr>
          <w:p w14:paraId="65BB3F9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TREC检测限</w:t>
            </w:r>
          </w:p>
        </w:tc>
        <w:tc>
          <w:tcPr>
            <w:tcW w:w="2963" w:type="pct"/>
            <w:vAlign w:val="center"/>
          </w:tcPr>
          <w:p w14:paraId="6DD3C0E6">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20 copies/µL</w:t>
            </w:r>
          </w:p>
        </w:tc>
      </w:tr>
      <w:tr w14:paraId="2623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3A2D464B">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5.</w:t>
            </w:r>
          </w:p>
        </w:tc>
        <w:tc>
          <w:tcPr>
            <w:tcW w:w="1578" w:type="pct"/>
            <w:vAlign w:val="center"/>
          </w:tcPr>
          <w:p w14:paraId="49143C01">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KREC检测限</w:t>
            </w:r>
          </w:p>
        </w:tc>
        <w:tc>
          <w:tcPr>
            <w:tcW w:w="2963" w:type="pct"/>
            <w:vAlign w:val="center"/>
          </w:tcPr>
          <w:p w14:paraId="4816A26B">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10 copies/µL</w:t>
            </w:r>
          </w:p>
        </w:tc>
      </w:tr>
      <w:tr w14:paraId="4E3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69D36989">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6.</w:t>
            </w:r>
          </w:p>
        </w:tc>
        <w:tc>
          <w:tcPr>
            <w:tcW w:w="1578" w:type="pct"/>
            <w:vAlign w:val="center"/>
          </w:tcPr>
          <w:p w14:paraId="218A0D36">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SMN1检测限</w:t>
            </w:r>
          </w:p>
        </w:tc>
        <w:tc>
          <w:tcPr>
            <w:tcW w:w="2963" w:type="pct"/>
            <w:vAlign w:val="center"/>
          </w:tcPr>
          <w:p w14:paraId="42FE4BAD">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5 ng/µL</w:t>
            </w:r>
          </w:p>
        </w:tc>
      </w:tr>
      <w:tr w14:paraId="100B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28054154">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7.</w:t>
            </w:r>
          </w:p>
        </w:tc>
        <w:tc>
          <w:tcPr>
            <w:tcW w:w="1578" w:type="pct"/>
            <w:vAlign w:val="center"/>
          </w:tcPr>
          <w:p w14:paraId="202736F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检测灵敏度</w:t>
            </w:r>
          </w:p>
        </w:tc>
        <w:tc>
          <w:tcPr>
            <w:tcW w:w="2963" w:type="pct"/>
            <w:vAlign w:val="center"/>
          </w:tcPr>
          <w:p w14:paraId="5C8648A7">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≥99%</w:t>
            </w:r>
          </w:p>
        </w:tc>
      </w:tr>
      <w:tr w14:paraId="1388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55666605">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8.</w:t>
            </w:r>
          </w:p>
        </w:tc>
        <w:tc>
          <w:tcPr>
            <w:tcW w:w="1578" w:type="pct"/>
            <w:vAlign w:val="center"/>
          </w:tcPr>
          <w:p w14:paraId="6E87847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检测特异性</w:t>
            </w:r>
          </w:p>
        </w:tc>
        <w:tc>
          <w:tcPr>
            <w:tcW w:w="2963" w:type="pct"/>
            <w:vAlign w:val="center"/>
          </w:tcPr>
          <w:p w14:paraId="1A866DA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≥99%</w:t>
            </w:r>
          </w:p>
        </w:tc>
      </w:tr>
      <w:tr w14:paraId="2CAD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771CD417">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9.</w:t>
            </w:r>
          </w:p>
        </w:tc>
        <w:tc>
          <w:tcPr>
            <w:tcW w:w="1578" w:type="pct"/>
            <w:vAlign w:val="center"/>
          </w:tcPr>
          <w:p w14:paraId="490DD759">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样本类型</w:t>
            </w:r>
          </w:p>
        </w:tc>
        <w:tc>
          <w:tcPr>
            <w:tcW w:w="2963" w:type="pct"/>
            <w:vAlign w:val="center"/>
          </w:tcPr>
          <w:p w14:paraId="4FCB10B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足跟血干血斑</w:t>
            </w:r>
          </w:p>
        </w:tc>
      </w:tr>
      <w:tr w14:paraId="52AE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329F85E7">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10.</w:t>
            </w:r>
          </w:p>
        </w:tc>
        <w:tc>
          <w:tcPr>
            <w:tcW w:w="1578" w:type="pct"/>
            <w:vAlign w:val="center"/>
          </w:tcPr>
          <w:p w14:paraId="1666A59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报告时间</w:t>
            </w:r>
          </w:p>
        </w:tc>
        <w:tc>
          <w:tcPr>
            <w:tcW w:w="2963" w:type="pct"/>
            <w:vAlign w:val="center"/>
          </w:tcPr>
          <w:p w14:paraId="2D17DC1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≤7个工作日</w:t>
            </w:r>
          </w:p>
        </w:tc>
      </w:tr>
      <w:tr w14:paraId="258E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58F5D45C">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11.</w:t>
            </w:r>
          </w:p>
        </w:tc>
        <w:tc>
          <w:tcPr>
            <w:tcW w:w="1578" w:type="pct"/>
            <w:vAlign w:val="center"/>
          </w:tcPr>
          <w:p w14:paraId="5653B240">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遗传咨询</w:t>
            </w:r>
          </w:p>
        </w:tc>
        <w:tc>
          <w:tcPr>
            <w:tcW w:w="2963" w:type="pct"/>
            <w:vAlign w:val="center"/>
          </w:tcPr>
          <w:p w14:paraId="5ACFD44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有</w:t>
            </w:r>
          </w:p>
        </w:tc>
      </w:tr>
      <w:tr w14:paraId="3F7F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046DBF8F">
            <w:pPr>
              <w:keepNext w:val="0"/>
              <w:keepLines w:val="0"/>
              <w:numPr>
                <w:ilvl w:val="-1"/>
                <w:numId w:val="0"/>
              </w:numPr>
              <w:suppressLineNumbers w:val="0"/>
              <w:spacing w:before="0" w:beforeAutospacing="0" w:after="0" w:afterAutospacing="0" w:line="240" w:lineRule="auto"/>
              <w:ind w:left="0" w:right="0" w:firstLine="0"/>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12.</w:t>
            </w:r>
          </w:p>
        </w:tc>
        <w:tc>
          <w:tcPr>
            <w:tcW w:w="1578" w:type="pct"/>
            <w:vAlign w:val="center"/>
          </w:tcPr>
          <w:p w14:paraId="2C509EF9">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阳性样本复检</w:t>
            </w:r>
          </w:p>
        </w:tc>
        <w:tc>
          <w:tcPr>
            <w:tcW w:w="2963" w:type="pct"/>
            <w:vAlign w:val="center"/>
          </w:tcPr>
          <w:p w14:paraId="386F6B67">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免费</w:t>
            </w:r>
          </w:p>
        </w:tc>
      </w:tr>
    </w:tbl>
    <w:p w14:paraId="42CB74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768C8"/>
    <w:rsid w:val="3B276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2026-06-09T03:22:00Z</dcterms:created>
  <dc:creator>王崴</dc:creator>
  <cp:lastModifiedBy>王崴</cp:lastModifiedBy>
  <dcterms:modified xsi:type="dcterms:W3CDTF">2026-06-09T03:23:36Z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97D0C2849B7F4FB6B0998664C1CC1DCD_11</vt:lpwstr>
  </property>
  <property fmtid="{D5CDD505-2E9C-101B-9397-08002B2CF9AE}" pid="4" name="KSOTemplateDocerSaveRecord">
    <vt:lpwstr>eyJoZGlkIjoiMDcyMmFjNmZjM2U5ODcyZjQ5NTE0NjNjMjU2OTE5OTIiLCJ1c2VySWQiOiI4NDYxOTIwMTUifQ==</vt:lpwstr>
  </property>
</Properties>
</file>