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4"/>
          <w:szCs w:val="24"/>
        </w:rPr>
      </w:pPr>
      <w:bookmarkStart w:id="0" w:name="_Toc35393789"/>
      <w:bookmarkStart w:id="1" w:name="_Toc28359001"/>
      <w:r>
        <w:rPr>
          <w:rFonts w:hint="eastAsia" w:ascii="宋体" w:hAnsi="宋体" w:eastAsia="宋体" w:cs="宋体"/>
          <w:sz w:val="24"/>
          <w:szCs w:val="24"/>
        </w:rPr>
        <w:t>招标公告</w:t>
      </w:r>
      <w:bookmarkEnd w:id="0"/>
      <w:bookmarkEnd w:id="1"/>
    </w:p>
    <w:p w14:paraId="6D9E0346">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第六医院义齿加工服务采购项目</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http://zbcg-bjzc.zhongcy.com/</w:t>
      </w:r>
      <w:r>
        <w:rPr>
          <w:rFonts w:hint="eastAsia" w:ascii="宋体" w:hAnsi="宋体" w:eastAsia="宋体" w:cs="宋体"/>
          <w:sz w:val="24"/>
          <w:szCs w:val="24"/>
          <w:highlight w:val="none"/>
          <w:u w:val="single"/>
        </w:rPr>
        <w:t>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年</w:t>
      </w:r>
      <w:r>
        <w:rPr>
          <w:rFonts w:hint="eastAsia" w:ascii="宋体" w:hAnsi="宋体" w:cs="宋体"/>
          <w:sz w:val="24"/>
          <w:szCs w:val="24"/>
          <w:highlight w:val="none"/>
          <w:u w:val="single"/>
          <w:lang w:val="en-US" w:eastAsia="zh-CN"/>
        </w:rPr>
        <w:t>7</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2</w:t>
      </w:r>
      <w:r>
        <w:rPr>
          <w:rFonts w:hint="eastAsia" w:ascii="宋体" w:hAnsi="宋体" w:eastAsia="宋体" w:cs="宋体"/>
          <w:sz w:val="24"/>
          <w:szCs w:val="24"/>
          <w:highlight w:val="none"/>
          <w:u w:val="single"/>
          <w:lang w:eastAsia="zh-CN"/>
        </w:rPr>
        <w:t>日</w:t>
      </w:r>
      <w:r>
        <w:rPr>
          <w:rFonts w:hint="eastAsia" w:ascii="宋体" w:hAnsi="宋体" w:cs="宋体"/>
          <w:sz w:val="24"/>
          <w:szCs w:val="24"/>
          <w:highlight w:val="none"/>
          <w:u w:val="single"/>
          <w:lang w:val="en-US" w:eastAsia="zh-CN"/>
        </w:rPr>
        <w:t>下</w:t>
      </w:r>
      <w:r>
        <w:rPr>
          <w:rFonts w:hint="eastAsia" w:ascii="宋体" w:hAnsi="宋体" w:eastAsia="宋体" w:cs="宋体"/>
          <w:sz w:val="24"/>
          <w:szCs w:val="24"/>
          <w:highlight w:val="none"/>
          <w:u w:val="single"/>
          <w:lang w:eastAsia="zh-CN"/>
        </w:rPr>
        <w:t>午</w:t>
      </w:r>
      <w:r>
        <w:rPr>
          <w:rFonts w:hint="eastAsia" w:ascii="宋体" w:hAnsi="宋体" w:cs="宋体"/>
          <w:sz w:val="24"/>
          <w:szCs w:val="24"/>
          <w:highlight w:val="none"/>
          <w:u w:val="single"/>
          <w:lang w:val="en-US" w:eastAsia="zh-CN"/>
        </w:rPr>
        <w:t>13</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spacing w:line="360" w:lineRule="auto"/>
        <w:rPr>
          <w:rFonts w:hint="eastAsia" w:ascii="宋体" w:hAnsi="宋体" w:eastAsia="宋体" w:cs="宋体"/>
          <w:sz w:val="24"/>
          <w:szCs w:val="24"/>
        </w:rPr>
      </w:pPr>
      <w:bookmarkStart w:id="29" w:name="_GoBack"/>
      <w:bookmarkEnd w:id="29"/>
    </w:p>
    <w:p w14:paraId="65CE4E48">
      <w:pPr>
        <w:pStyle w:val="3"/>
        <w:spacing w:before="0" w:line="360" w:lineRule="auto"/>
        <w:rPr>
          <w:rFonts w:hint="eastAsia" w:ascii="宋体" w:hAnsi="宋体" w:eastAsia="宋体" w:cs="宋体"/>
          <w:b w:val="0"/>
          <w:sz w:val="24"/>
          <w:szCs w:val="24"/>
        </w:rPr>
      </w:pPr>
      <w:bookmarkStart w:id="2" w:name="_Toc28359079"/>
      <w:bookmarkStart w:id="3" w:name="_Toc35393790"/>
      <w:bookmarkStart w:id="4" w:name="_Toc28359002"/>
      <w:bookmarkStart w:id="5" w:name="_Toc35393621"/>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eastAsia="宋体" w:cs="宋体"/>
          <w:sz w:val="24"/>
          <w:szCs w:val="24"/>
          <w:lang w:eastAsia="zh-CN"/>
        </w:rPr>
        <w:t>0686-26310I044838Z</w:t>
      </w:r>
    </w:p>
    <w:p w14:paraId="47304DCF">
      <w:pPr>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cs="宋体"/>
          <w:sz w:val="24"/>
          <w:szCs w:val="24"/>
          <w:lang w:eastAsia="zh-CN"/>
        </w:rPr>
        <w:t>第六医院义齿加工服务采购项目</w:t>
      </w:r>
    </w:p>
    <w:p w14:paraId="343D5C26">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3.项目预算金额：</w:t>
      </w:r>
      <w:r>
        <w:rPr>
          <w:rFonts w:hint="eastAsia" w:ascii="宋体" w:hAnsi="宋体" w:cs="宋体"/>
          <w:sz w:val="24"/>
          <w:szCs w:val="24"/>
          <w:lang w:val="en-US" w:eastAsia="zh-CN"/>
        </w:rPr>
        <w:t>150</w:t>
      </w:r>
      <w:r>
        <w:rPr>
          <w:rFonts w:hint="eastAsia" w:ascii="宋体" w:hAnsi="宋体" w:eastAsia="宋体" w:cs="宋体"/>
          <w:sz w:val="24"/>
          <w:szCs w:val="24"/>
          <w:lang w:eastAsia="zh-CN"/>
        </w:rPr>
        <w:t>万元；</w:t>
      </w:r>
    </w:p>
    <w:p w14:paraId="50C0B7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tbl>
      <w:tblPr>
        <w:tblStyle w:val="13"/>
        <w:tblW w:w="46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152"/>
        <w:gridCol w:w="2763"/>
        <w:gridCol w:w="1306"/>
        <w:gridCol w:w="2891"/>
      </w:tblGrid>
      <w:tr w14:paraId="61C7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03" w:type="pct"/>
            <w:noWrap w:val="0"/>
            <w:vAlign w:val="center"/>
          </w:tcPr>
          <w:p w14:paraId="02031DFC">
            <w:pPr>
              <w:widowControl/>
              <w:jc w:val="center"/>
              <w:rPr>
                <w:rFonts w:hint="eastAsia"/>
                <w:sz w:val="24"/>
                <w:highlight w:val="none"/>
              </w:rPr>
            </w:pPr>
            <w:r>
              <w:rPr>
                <w:rFonts w:hint="eastAsia"/>
                <w:sz w:val="24"/>
                <w:highlight w:val="none"/>
              </w:rPr>
              <w:t>包号</w:t>
            </w:r>
          </w:p>
        </w:tc>
        <w:tc>
          <w:tcPr>
            <w:tcW w:w="1085" w:type="pct"/>
            <w:noWrap w:val="0"/>
            <w:vAlign w:val="center"/>
          </w:tcPr>
          <w:p w14:paraId="78393EE1">
            <w:pPr>
              <w:widowControl/>
              <w:jc w:val="center"/>
              <w:rPr>
                <w:rFonts w:hint="eastAsia"/>
                <w:sz w:val="24"/>
                <w:highlight w:val="none"/>
              </w:rPr>
            </w:pPr>
            <w:r>
              <w:rPr>
                <w:rFonts w:hint="eastAsia"/>
                <w:sz w:val="24"/>
                <w:highlight w:val="none"/>
              </w:rPr>
              <w:t>标的名称</w:t>
            </w:r>
          </w:p>
        </w:tc>
        <w:tc>
          <w:tcPr>
            <w:tcW w:w="1393" w:type="pct"/>
            <w:noWrap w:val="0"/>
            <w:vAlign w:val="center"/>
          </w:tcPr>
          <w:p w14:paraId="141F140C">
            <w:pPr>
              <w:widowControl/>
              <w:jc w:val="center"/>
              <w:rPr>
                <w:rFonts w:hint="eastAsia"/>
                <w:sz w:val="24"/>
                <w:highlight w:val="none"/>
                <w:lang w:eastAsia="zh-CN"/>
              </w:rPr>
            </w:pPr>
            <w:r>
              <w:rPr>
                <w:rFonts w:hint="eastAsia"/>
                <w:sz w:val="24"/>
                <w:highlight w:val="none"/>
                <w:lang w:eastAsia="zh-CN"/>
              </w:rPr>
              <w:t>分包预算金额</w:t>
            </w:r>
          </w:p>
          <w:p w14:paraId="19D003C3">
            <w:pPr>
              <w:widowControl/>
              <w:jc w:val="center"/>
              <w:rPr>
                <w:rFonts w:hint="eastAsia"/>
                <w:sz w:val="24"/>
                <w:highlight w:val="none"/>
                <w:lang w:eastAsia="zh-CN"/>
              </w:rPr>
            </w:pPr>
            <w:r>
              <w:rPr>
                <w:rFonts w:hint="eastAsia"/>
                <w:sz w:val="24"/>
                <w:highlight w:val="none"/>
                <w:lang w:eastAsia="zh-CN"/>
              </w:rPr>
              <w:t>（万元）</w:t>
            </w:r>
          </w:p>
        </w:tc>
        <w:tc>
          <w:tcPr>
            <w:tcW w:w="658" w:type="pct"/>
            <w:noWrap w:val="0"/>
            <w:vAlign w:val="center"/>
          </w:tcPr>
          <w:p w14:paraId="41B2BFE3">
            <w:pPr>
              <w:widowControl/>
              <w:jc w:val="center"/>
              <w:rPr>
                <w:rFonts w:hint="eastAsia"/>
                <w:sz w:val="24"/>
                <w:highlight w:val="none"/>
              </w:rPr>
            </w:pPr>
            <w:r>
              <w:rPr>
                <w:rFonts w:hint="eastAsia"/>
                <w:sz w:val="24"/>
                <w:highlight w:val="none"/>
              </w:rPr>
              <w:t>数量</w:t>
            </w:r>
          </w:p>
        </w:tc>
        <w:tc>
          <w:tcPr>
            <w:tcW w:w="1458" w:type="pct"/>
            <w:noWrap w:val="0"/>
            <w:vAlign w:val="center"/>
          </w:tcPr>
          <w:p w14:paraId="66698E9E">
            <w:pPr>
              <w:widowControl/>
              <w:jc w:val="center"/>
              <w:rPr>
                <w:rFonts w:hint="eastAsia"/>
                <w:sz w:val="24"/>
                <w:highlight w:val="none"/>
                <w:lang w:eastAsia="zh-CN"/>
              </w:rPr>
            </w:pPr>
            <w:r>
              <w:rPr>
                <w:rFonts w:hint="eastAsia"/>
                <w:sz w:val="24"/>
                <w:highlight w:val="none"/>
                <w:lang w:eastAsia="zh-CN"/>
              </w:rPr>
              <w:t>简要技术需求或服务要求</w:t>
            </w:r>
          </w:p>
        </w:tc>
      </w:tr>
      <w:tr w14:paraId="52B3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403" w:type="pct"/>
            <w:noWrap/>
            <w:vAlign w:val="center"/>
          </w:tcPr>
          <w:p w14:paraId="335DC56C">
            <w:pPr>
              <w:jc w:val="center"/>
              <w:rPr>
                <w:rFonts w:hint="eastAsia"/>
                <w:sz w:val="24"/>
                <w:szCs w:val="24"/>
                <w:highlight w:val="none"/>
              </w:rPr>
            </w:pPr>
            <w:r>
              <w:rPr>
                <w:rFonts w:hint="eastAsia"/>
                <w:sz w:val="24"/>
                <w:szCs w:val="24"/>
                <w:highlight w:val="none"/>
              </w:rPr>
              <w:t>1</w:t>
            </w:r>
          </w:p>
        </w:tc>
        <w:tc>
          <w:tcPr>
            <w:tcW w:w="1085" w:type="pct"/>
            <w:noWrap w:val="0"/>
            <w:vAlign w:val="center"/>
          </w:tcPr>
          <w:p w14:paraId="5B5D054D">
            <w:pPr>
              <w:jc w:val="center"/>
              <w:rPr>
                <w:rFonts w:hint="eastAsia"/>
                <w:sz w:val="24"/>
                <w:szCs w:val="24"/>
                <w:highlight w:val="none"/>
                <w:lang w:eastAsia="zh-CN"/>
              </w:rPr>
            </w:pPr>
            <w:r>
              <w:rPr>
                <w:rFonts w:hint="eastAsia"/>
                <w:highlight w:val="none"/>
                <w:lang w:eastAsia="zh-CN"/>
              </w:rPr>
              <w:t>义齿加工服务</w:t>
            </w:r>
          </w:p>
        </w:tc>
        <w:tc>
          <w:tcPr>
            <w:tcW w:w="1393" w:type="pct"/>
            <w:noWrap/>
            <w:vAlign w:val="center"/>
          </w:tcPr>
          <w:p w14:paraId="71C209F1">
            <w:pPr>
              <w:widowControl/>
              <w:jc w:val="center"/>
              <w:rPr>
                <w:rFonts w:hint="default"/>
                <w:b w:val="0"/>
                <w:bCs w:val="0"/>
                <w:sz w:val="24"/>
                <w:szCs w:val="24"/>
                <w:highlight w:val="none"/>
                <w:lang w:val="en-US" w:eastAsia="zh-CN"/>
              </w:rPr>
            </w:pPr>
            <w:r>
              <w:rPr>
                <w:rFonts w:hint="eastAsia"/>
                <w:b w:val="0"/>
                <w:bCs w:val="0"/>
                <w:sz w:val="24"/>
                <w:highlight w:val="none"/>
                <w:lang w:val="en-US" w:eastAsia="zh-CN"/>
              </w:rPr>
              <w:t>约为150万元，具体以实际发生为准，据实结算</w:t>
            </w:r>
          </w:p>
        </w:tc>
        <w:tc>
          <w:tcPr>
            <w:tcW w:w="658" w:type="pct"/>
            <w:noWrap/>
            <w:vAlign w:val="center"/>
          </w:tcPr>
          <w:p w14:paraId="44844D18">
            <w:pPr>
              <w:widowControl/>
              <w:jc w:val="center"/>
              <w:rPr>
                <w:rFonts w:hint="eastAsia"/>
                <w:b w:val="0"/>
                <w:bCs w:val="0"/>
                <w:sz w:val="24"/>
                <w:szCs w:val="24"/>
                <w:highlight w:val="none"/>
              </w:rPr>
            </w:pPr>
            <w:r>
              <w:rPr>
                <w:rFonts w:hint="eastAsia"/>
                <w:b w:val="0"/>
                <w:bCs w:val="0"/>
                <w:sz w:val="24"/>
                <w:szCs w:val="24"/>
                <w:highlight w:val="none"/>
              </w:rPr>
              <w:t>1项</w:t>
            </w:r>
          </w:p>
        </w:tc>
        <w:tc>
          <w:tcPr>
            <w:tcW w:w="1458" w:type="pct"/>
            <w:noWrap w:val="0"/>
            <w:vAlign w:val="center"/>
          </w:tcPr>
          <w:p w14:paraId="44C67DD5">
            <w:pPr>
              <w:widowControl/>
              <w:jc w:val="center"/>
              <w:rPr>
                <w:rFonts w:hint="default"/>
                <w:b w:val="0"/>
                <w:bCs w:val="0"/>
                <w:sz w:val="24"/>
                <w:szCs w:val="24"/>
                <w:highlight w:val="none"/>
                <w:lang w:val="en-US" w:eastAsia="zh-CN"/>
              </w:rPr>
            </w:pPr>
            <w:r>
              <w:rPr>
                <w:rFonts w:hint="eastAsia"/>
                <w:b w:val="0"/>
                <w:bCs w:val="0"/>
                <w:sz w:val="24"/>
                <w:szCs w:val="24"/>
                <w:highlight w:val="none"/>
                <w:lang w:val="en-US" w:eastAsia="zh-CN"/>
              </w:rPr>
              <w:t>详见“采购需求”</w:t>
            </w:r>
          </w:p>
        </w:tc>
      </w:tr>
    </w:tbl>
    <w:p w14:paraId="0EBD191F">
      <w:pPr>
        <w:pStyle w:val="17"/>
        <w:spacing w:line="360" w:lineRule="auto"/>
        <w:rPr>
          <w:rFonts w:hint="eastAsia" w:ascii="宋体" w:hAnsi="宋体" w:eastAsia="宋体" w:cs="宋体"/>
          <w:sz w:val="24"/>
          <w:szCs w:val="24"/>
          <w:lang w:val="en-US" w:eastAsia="zh-CN"/>
        </w:rPr>
      </w:pPr>
    </w:p>
    <w:p w14:paraId="13FE7BCD">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z w:val="24"/>
          <w:szCs w:val="24"/>
          <w:lang w:eastAsia="zh-CN"/>
        </w:rPr>
        <w:t>详见《采购需求》</w:t>
      </w:r>
    </w:p>
    <w:p w14:paraId="73F773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本项目是否接受联合体投标：□是</w:t>
      </w:r>
      <w:r>
        <w:rPr>
          <w:rFonts w:hint="eastAsia" w:ascii="宋体" w:hAnsi="宋体" w:eastAsia="宋体" w:cs="宋体"/>
          <w:sz w:val="24"/>
          <w:szCs w:val="24"/>
          <w:lang w:eastAsia="zh-CN"/>
        </w:rPr>
        <w:tab/>
      </w:r>
      <w:r>
        <w:rPr>
          <w:rFonts w:hint="eastAsia" w:ascii="宋体" w:hAnsi="宋体" w:eastAsia="宋体" w:cs="宋体"/>
          <w:sz w:val="24"/>
          <w:szCs w:val="24"/>
          <w:lang w:eastAsia="zh-CN"/>
        </w:rPr>
        <w:t>■否。</w:t>
      </w:r>
    </w:p>
    <w:p w14:paraId="6DC1024A">
      <w:pPr>
        <w:pStyle w:val="3"/>
        <w:spacing w:line="360" w:lineRule="auto"/>
        <w:rPr>
          <w:rFonts w:hint="eastAsia" w:ascii="宋体" w:hAnsi="宋体" w:eastAsia="宋体" w:cs="宋体"/>
          <w:b w:val="0"/>
          <w:sz w:val="24"/>
          <w:szCs w:val="24"/>
        </w:rPr>
      </w:pPr>
      <w:bookmarkStart w:id="7" w:name="_Toc35393622"/>
      <w:bookmarkStart w:id="8" w:name="_Toc28359080"/>
      <w:bookmarkStart w:id="9" w:name="_Toc35393791"/>
      <w:bookmarkStart w:id="10" w:name="_Toc28359003"/>
      <w:r>
        <w:rPr>
          <w:rFonts w:hint="eastAsia" w:ascii="宋体" w:hAnsi="宋体" w:eastAsia="宋体" w:cs="宋体"/>
          <w:b w:val="0"/>
          <w:sz w:val="24"/>
          <w:szCs w:val="24"/>
        </w:rPr>
        <w:t>二、申请人的资格要求：</w:t>
      </w:r>
      <w:bookmarkEnd w:id="7"/>
      <w:bookmarkEnd w:id="8"/>
      <w:bookmarkEnd w:id="9"/>
      <w:bookmarkEnd w:id="10"/>
    </w:p>
    <w:p w14:paraId="18258B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C231543">
      <w:pPr>
        <w:spacing w:line="360" w:lineRule="auto"/>
        <w:ind w:firstLine="480" w:firstLineChars="200"/>
        <w:rPr>
          <w:rFonts w:hint="eastAsia" w:ascii="宋体" w:hAnsi="宋体" w:eastAsia="宋体" w:cs="宋体"/>
          <w:sz w:val="24"/>
          <w:szCs w:val="24"/>
        </w:rPr>
      </w:pPr>
      <w:bookmarkStart w:id="11" w:name="_Toc28359081"/>
      <w:bookmarkStart w:id="12" w:name="_Toc28359004"/>
      <w:r>
        <w:rPr>
          <w:rFonts w:hint="eastAsia" w:ascii="宋体" w:hAnsi="宋体" w:eastAsia="宋体" w:cs="宋体"/>
          <w:sz w:val="24"/>
          <w:szCs w:val="24"/>
        </w:rPr>
        <w:t>2.落实政府采购政策需满足的资格要求：</w:t>
      </w:r>
    </w:p>
    <w:p w14:paraId="529292F1">
      <w:pPr>
        <w:pStyle w:val="54"/>
        <w:keepNext w:val="0"/>
        <w:keepLines w:val="0"/>
        <w:pageBreakBefore w:val="0"/>
        <w:widowControl w:val="0"/>
        <w:numPr>
          <w:ilvl w:val="1"/>
          <w:numId w:val="0"/>
        </w:numPr>
        <w:tabs>
          <w:tab w:val="left" w:pos="1201"/>
          <w:tab w:val="left" w:pos="8160"/>
        </w:tabs>
        <w:kinsoku/>
        <w:wordWrap/>
        <w:overflowPunct/>
        <w:topLinePunct w:val="0"/>
        <w:autoSpaceDE w:val="0"/>
        <w:autoSpaceDN w:val="0"/>
        <w:bidi w:val="0"/>
        <w:adjustRightInd/>
        <w:spacing w:before="0" w:line="384" w:lineRule="auto"/>
        <w:ind w:firstLine="480" w:firstLineChars="200"/>
        <w:textAlignment w:val="auto"/>
        <w:outlineLvl w:val="9"/>
        <w:rPr>
          <w:rFonts w:hint="eastAsia" w:ascii="宋体" w:hAnsi="宋体" w:eastAsia="宋体" w:cs="宋体"/>
          <w:spacing w:val="0"/>
          <w:sz w:val="24"/>
          <w:szCs w:val="24"/>
          <w:lang w:eastAsia="zh-CN"/>
        </w:rPr>
      </w:pPr>
      <w:bookmarkStart w:id="13" w:name="_Toc35393623"/>
      <w:bookmarkStart w:id="14" w:name="_Toc35393792"/>
      <w:r>
        <w:rPr>
          <w:rFonts w:hint="eastAsia" w:ascii="宋体" w:hAnsi="宋体" w:eastAsia="宋体" w:cs="宋体"/>
          <w:spacing w:val="0"/>
          <w:sz w:val="24"/>
          <w:szCs w:val="24"/>
          <w:lang w:eastAsia="zh-CN"/>
        </w:rPr>
        <w:t>2.1</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中小企业政策</w:t>
      </w:r>
    </w:p>
    <w:p w14:paraId="5A18B596">
      <w:pPr>
        <w:pStyle w:val="5"/>
        <w:keepNext w:val="0"/>
        <w:keepLines w:val="0"/>
        <w:pageBreakBefore w:val="0"/>
        <w:widowControl w:val="0"/>
        <w:tabs>
          <w:tab w:val="left" w:pos="567"/>
        </w:tabs>
        <w:kinsoku/>
        <w:wordWrap/>
        <w:overflowPunct/>
        <w:topLinePunct w:val="0"/>
        <w:autoSpaceDE w:val="0"/>
        <w:autoSpaceDN w:val="0"/>
        <w:bidi w:val="0"/>
        <w:adjustRightInd/>
        <w:snapToGrid/>
        <w:spacing w:before="0" w:line="384" w:lineRule="auto"/>
        <w:ind w:left="615"/>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□本项目不专门面向中小企业预留采购份额。</w:t>
      </w:r>
    </w:p>
    <w:p w14:paraId="5B9CE3AA">
      <w:pPr>
        <w:pStyle w:val="5"/>
        <w:keepNext w:val="0"/>
        <w:keepLines w:val="0"/>
        <w:pageBreakBefore w:val="0"/>
        <w:widowControl w:val="0"/>
        <w:tabs>
          <w:tab w:val="left" w:pos="567"/>
        </w:tabs>
        <w:kinsoku/>
        <w:wordWrap/>
        <w:overflowPunct/>
        <w:topLinePunct w:val="0"/>
        <w:autoSpaceDE w:val="0"/>
        <w:autoSpaceDN w:val="0"/>
        <w:bidi w:val="0"/>
        <w:adjustRightInd/>
        <w:snapToGrid/>
        <w:spacing w:before="0" w:line="384" w:lineRule="auto"/>
        <w:ind w:left="615"/>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■本项目专门面向  □中小   ■小微企业采购。即：提供的服务全部由符合政策要求的</w:t>
      </w:r>
      <w:r>
        <w:rPr>
          <w:rFonts w:hint="eastAsia" w:ascii="宋体" w:hAnsi="宋体" w:eastAsia="宋体" w:cs="宋体"/>
          <w:spacing w:val="0"/>
          <w:sz w:val="24"/>
          <w:szCs w:val="24"/>
          <w:lang w:val="en-US" w:eastAsia="zh-CN"/>
        </w:rPr>
        <w:t>小微</w:t>
      </w:r>
      <w:r>
        <w:rPr>
          <w:rFonts w:hint="eastAsia" w:ascii="宋体" w:hAnsi="宋体" w:eastAsia="宋体" w:cs="宋体"/>
          <w:spacing w:val="0"/>
          <w:sz w:val="24"/>
          <w:szCs w:val="24"/>
          <w:lang w:eastAsia="zh-CN"/>
        </w:rPr>
        <w:t>企业承接。</w:t>
      </w:r>
    </w:p>
    <w:p w14:paraId="1C2A5C28">
      <w:pPr>
        <w:pStyle w:val="5"/>
        <w:keepNext w:val="0"/>
        <w:keepLines w:val="0"/>
        <w:pageBreakBefore w:val="0"/>
        <w:widowControl w:val="0"/>
        <w:tabs>
          <w:tab w:val="left" w:pos="567"/>
        </w:tabs>
        <w:kinsoku/>
        <w:wordWrap/>
        <w:overflowPunct/>
        <w:topLinePunct w:val="0"/>
        <w:autoSpaceDE w:val="0"/>
        <w:autoSpaceDN w:val="0"/>
        <w:bidi w:val="0"/>
        <w:adjustRightInd/>
        <w:snapToGrid/>
        <w:spacing w:before="0" w:line="384" w:lineRule="auto"/>
        <w:ind w:left="615"/>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eastAsia="zh-CN"/>
        </w:rPr>
        <w:t>□本项目预留部分采购项目预算专门面向中小企业采购。对于预留份额，提供的服务由符合政策要求的中小企业承接。预留份额通过以下措施进行：</w:t>
      </w:r>
      <w:r>
        <w:rPr>
          <w:rFonts w:hint="eastAsia" w:ascii="宋体" w:hAnsi="宋体" w:eastAsia="宋体" w:cs="宋体"/>
          <w:spacing w:val="0"/>
          <w:sz w:val="24"/>
          <w:szCs w:val="24"/>
          <w:u w:val="single"/>
          <w:lang w:eastAsia="zh-CN"/>
        </w:rPr>
        <w:t xml:space="preserve">        </w:t>
      </w:r>
      <w:r>
        <w:rPr>
          <w:rFonts w:hint="eastAsia" w:ascii="宋体" w:hAnsi="宋体" w:eastAsia="宋体" w:cs="宋体"/>
          <w:spacing w:val="0"/>
          <w:sz w:val="24"/>
          <w:szCs w:val="24"/>
          <w:lang w:eastAsia="zh-CN"/>
        </w:rPr>
        <w:t>。</w:t>
      </w:r>
    </w:p>
    <w:p w14:paraId="3568981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其它落实政府采购政策的资格要求：/。</w:t>
      </w:r>
    </w:p>
    <w:p w14:paraId="6D90DA2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46F0CE88">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firstLine="480" w:firstLineChars="200"/>
        <w:textAlignment w:val="auto"/>
        <w:outlineLvl w:val="9"/>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3.1</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本项目是否接受分支机构参与投标：</w:t>
      </w:r>
      <w:r>
        <w:rPr>
          <w:rFonts w:hint="eastAsia" w:ascii="宋体" w:hAnsi="宋体" w:eastAsia="宋体" w:cs="宋体"/>
          <w:b/>
          <w:color w:val="000000"/>
          <w:spacing w:val="0"/>
          <w:sz w:val="24"/>
          <w:szCs w:val="24"/>
          <w:lang w:eastAsia="zh-CN"/>
        </w:rPr>
        <w:t>□</w:t>
      </w:r>
      <w:r>
        <w:rPr>
          <w:rFonts w:hint="eastAsia" w:ascii="宋体" w:hAnsi="宋体" w:eastAsia="宋体" w:cs="宋体"/>
          <w:spacing w:val="0"/>
          <w:sz w:val="24"/>
          <w:szCs w:val="24"/>
          <w:lang w:eastAsia="zh-CN"/>
        </w:rPr>
        <w:t xml:space="preserve">是   </w:t>
      </w:r>
      <w:r>
        <w:rPr>
          <w:rFonts w:hint="eastAsia" w:ascii="宋体" w:hAnsi="宋体" w:eastAsia="宋体" w:cs="宋体"/>
          <w:b/>
          <w:color w:val="000000"/>
          <w:spacing w:val="0"/>
          <w:sz w:val="24"/>
          <w:szCs w:val="24"/>
          <w:lang w:eastAsia="zh-CN"/>
        </w:rPr>
        <w:t>■</w:t>
      </w:r>
      <w:r>
        <w:rPr>
          <w:rFonts w:hint="eastAsia" w:ascii="宋体" w:hAnsi="宋体" w:eastAsia="宋体" w:cs="宋体"/>
          <w:spacing w:val="0"/>
          <w:sz w:val="24"/>
          <w:szCs w:val="24"/>
          <w:lang w:eastAsia="zh-CN"/>
        </w:rPr>
        <w:t>否；</w:t>
      </w:r>
    </w:p>
    <w:p w14:paraId="49FDC77A">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firstLine="480" w:firstLineChars="200"/>
        <w:textAlignment w:val="auto"/>
        <w:outlineLvl w:val="9"/>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3.2</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本项目是否属于政府购买服务：</w:t>
      </w:r>
    </w:p>
    <w:p w14:paraId="38EC3672">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firstLine="482" w:firstLineChars="200"/>
        <w:textAlignment w:val="auto"/>
        <w:outlineLvl w:val="9"/>
        <w:rPr>
          <w:rFonts w:hint="eastAsia" w:ascii="宋体" w:hAnsi="宋体" w:eastAsia="宋体" w:cs="宋体"/>
          <w:spacing w:val="0"/>
          <w:sz w:val="24"/>
          <w:szCs w:val="24"/>
          <w:lang w:eastAsia="zh-CN"/>
        </w:rPr>
      </w:pPr>
      <w:r>
        <w:rPr>
          <w:rFonts w:hint="eastAsia" w:ascii="宋体" w:hAnsi="宋体" w:eastAsia="宋体" w:cs="宋体"/>
          <w:b/>
          <w:color w:val="000000"/>
          <w:spacing w:val="0"/>
          <w:sz w:val="24"/>
          <w:szCs w:val="24"/>
          <w:lang w:eastAsia="zh-CN"/>
        </w:rPr>
        <w:t>■</w:t>
      </w:r>
      <w:r>
        <w:rPr>
          <w:rFonts w:hint="eastAsia" w:ascii="宋体" w:hAnsi="宋体" w:eastAsia="宋体" w:cs="宋体"/>
          <w:b/>
          <w:color w:val="000000"/>
          <w:spacing w:val="0"/>
          <w:sz w:val="24"/>
          <w:szCs w:val="24"/>
          <w:lang w:val="en-US" w:eastAsia="zh-CN"/>
        </w:rPr>
        <w:t xml:space="preserve"> </w:t>
      </w:r>
      <w:r>
        <w:rPr>
          <w:rFonts w:hint="eastAsia" w:ascii="宋体" w:hAnsi="宋体" w:eastAsia="宋体" w:cs="宋体"/>
          <w:spacing w:val="0"/>
          <w:sz w:val="24"/>
          <w:szCs w:val="24"/>
          <w:lang w:eastAsia="zh-CN"/>
        </w:rPr>
        <w:t>否</w:t>
      </w:r>
    </w:p>
    <w:p w14:paraId="17C9BFB7">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firstLine="482" w:firstLineChars="200"/>
        <w:textAlignment w:val="auto"/>
        <w:outlineLvl w:val="9"/>
        <w:rPr>
          <w:rFonts w:hint="eastAsia" w:ascii="宋体" w:hAnsi="宋体" w:eastAsia="宋体" w:cs="宋体"/>
          <w:spacing w:val="0"/>
          <w:sz w:val="24"/>
          <w:szCs w:val="24"/>
          <w:lang w:eastAsia="zh-CN"/>
        </w:rPr>
      </w:pPr>
      <w:r>
        <w:rPr>
          <w:rFonts w:hint="eastAsia" w:ascii="宋体" w:hAnsi="宋体" w:eastAsia="宋体" w:cs="宋体"/>
          <w:b/>
          <w:color w:val="000000"/>
          <w:spacing w:val="0"/>
          <w:sz w:val="24"/>
          <w:szCs w:val="24"/>
          <w:lang w:eastAsia="zh-CN"/>
        </w:rPr>
        <w:t>□</w:t>
      </w:r>
      <w:r>
        <w:rPr>
          <w:rFonts w:hint="eastAsia" w:ascii="宋体" w:hAnsi="宋体" w:eastAsia="宋体" w:cs="宋体"/>
          <w:b/>
          <w:color w:val="000000"/>
          <w:spacing w:val="0"/>
          <w:sz w:val="24"/>
          <w:szCs w:val="24"/>
          <w:lang w:val="en-US" w:eastAsia="zh-CN"/>
        </w:rPr>
        <w:t xml:space="preserve"> </w:t>
      </w:r>
      <w:r>
        <w:rPr>
          <w:rFonts w:hint="eastAsia" w:ascii="宋体" w:hAnsi="宋体" w:eastAsia="宋体" w:cs="宋体"/>
          <w:spacing w:val="0"/>
          <w:sz w:val="24"/>
          <w:szCs w:val="24"/>
          <w:lang w:eastAsia="zh-CN"/>
        </w:rPr>
        <w:t>是，公益一类事业单位、使用事业编制且由财政拨款保障的群团组织，不得作为承接主体；</w:t>
      </w:r>
    </w:p>
    <w:p w14:paraId="6CBA93D2">
      <w:pPr>
        <w:pStyle w:val="54"/>
        <w:keepNext w:val="0"/>
        <w:keepLines w:val="0"/>
        <w:pageBreakBefore w:val="0"/>
        <w:widowControl w:val="0"/>
        <w:numPr>
          <w:ilvl w:val="1"/>
          <w:numId w:val="0"/>
        </w:numPr>
        <w:tabs>
          <w:tab w:val="left" w:pos="1041"/>
          <w:tab w:val="left" w:pos="4520"/>
        </w:tabs>
        <w:kinsoku/>
        <w:wordWrap/>
        <w:overflowPunct/>
        <w:topLinePunct w:val="0"/>
        <w:autoSpaceDE w:val="0"/>
        <w:autoSpaceDN w:val="0"/>
        <w:bidi w:val="0"/>
        <w:spacing w:before="0" w:line="560" w:lineRule="exact"/>
        <w:ind w:firstLine="480" w:firstLineChars="200"/>
        <w:textAlignment w:val="auto"/>
        <w:outlineLvl w:val="9"/>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3.3</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其他特定资格要求：</w:t>
      </w:r>
      <w:r>
        <w:rPr>
          <w:rFonts w:hint="eastAsia"/>
          <w:sz w:val="24"/>
          <w:szCs w:val="24"/>
          <w:lang w:eastAsia="zh-CN"/>
        </w:rPr>
        <w:t>投标产品属于医疗器械的，供应商如为代理商，应具有合法的医疗器械经营资格；供应商如为制造商，使用自身生产的产品投标时，应具有合法的医疗器械生产资格。</w:t>
      </w:r>
    </w:p>
    <w:p w14:paraId="7F827E0E">
      <w:pPr>
        <w:pStyle w:val="3"/>
        <w:spacing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5780B92E">
      <w:pPr>
        <w:spacing w:line="360" w:lineRule="auto"/>
        <w:ind w:firstLine="480" w:firstLineChars="200"/>
        <w:rPr>
          <w:rFonts w:hint="eastAsia" w:ascii="宋体" w:hAnsi="宋体" w:eastAsia="宋体" w:cs="宋体"/>
          <w:sz w:val="24"/>
          <w:szCs w:val="24"/>
          <w:highlight w:val="none"/>
        </w:rPr>
      </w:pPr>
      <w:bookmarkStart w:id="15" w:name="_Toc28359005"/>
      <w:bookmarkStart w:id="16" w:name="_Toc28359082"/>
      <w:bookmarkStart w:id="17" w:name="_Toc35393793"/>
      <w:bookmarkStart w:id="18" w:name="_Toc35393624"/>
      <w:r>
        <w:rPr>
          <w:rFonts w:hint="eastAsia" w:ascii="宋体" w:hAnsi="宋体" w:eastAsia="宋体" w:cs="宋体"/>
          <w:sz w:val="24"/>
          <w:szCs w:val="24"/>
        </w:rPr>
        <w:t>1.时</w:t>
      </w:r>
      <w:r>
        <w:rPr>
          <w:rFonts w:hint="eastAsia" w:ascii="宋体" w:hAnsi="宋体" w:eastAsia="宋体" w:cs="宋体"/>
          <w:sz w:val="24"/>
          <w:szCs w:val="24"/>
          <w:highlight w:val="none"/>
        </w:rPr>
        <w:t>间：</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16</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2.地点：北京市政府采购电子交易平台</w:t>
      </w:r>
      <w:r>
        <w:rPr>
          <w:rFonts w:hint="eastAsia" w:ascii="宋体" w:hAnsi="宋体" w:eastAsia="宋体" w:cs="宋体"/>
          <w:sz w:val="24"/>
          <w:szCs w:val="24"/>
          <w:lang w:val="en-US" w:eastAsia="zh-CN"/>
        </w:rPr>
        <w:t>。</w:t>
      </w:r>
    </w:p>
    <w:p w14:paraId="2B9414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3.方式：供应商使用 CA 数字证书或电子营业执照登录北京市政府采购电子交易平台（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"http://zbcg-bjzc.zhongcy.com/bjczj-portal-site/index.html%23/home" \h </w:instrText>
      </w:r>
      <w:r>
        <w:rPr>
          <w:rFonts w:hint="eastAsia" w:ascii="宋体" w:hAnsi="宋体" w:eastAsia="宋体" w:cs="宋体"/>
          <w:sz w:val="24"/>
          <w:szCs w:val="24"/>
        </w:rPr>
        <w:fldChar w:fldCharType="separate"/>
      </w:r>
      <w:r>
        <w:rPr>
          <w:rFonts w:hint="eastAsia" w:ascii="宋体" w:hAnsi="宋体" w:eastAsia="宋体" w:cs="宋体"/>
          <w:sz w:val="24"/>
          <w:szCs w:val="24"/>
        </w:rPr>
        <w:t>http</w:t>
      </w:r>
      <w:r>
        <w:rPr>
          <w:rFonts w:hint="eastAsia" w:ascii="宋体" w:hAnsi="宋体" w:eastAsia="宋体" w:cs="宋体"/>
          <w:sz w:val="24"/>
          <w:szCs w:val="24"/>
          <w:lang w:eastAsia="zh-CN"/>
        </w:rPr>
        <w:t>：</w:t>
      </w:r>
      <w:r>
        <w:rPr>
          <w:rFonts w:hint="eastAsia" w:ascii="宋体" w:hAnsi="宋体" w:eastAsia="宋体" w:cs="宋体"/>
          <w:sz w:val="24"/>
          <w:szCs w:val="24"/>
        </w:rPr>
        <w:t>//zbcg-bjzc.zhongcy.com/bjczj-portal-site/index.html#/home</w:t>
      </w:r>
      <w:r>
        <w:rPr>
          <w:rFonts w:hint="eastAsia" w:ascii="宋体" w:hAnsi="宋体" w:eastAsia="宋体" w:cs="宋体"/>
          <w:sz w:val="24"/>
          <w:szCs w:val="24"/>
        </w:rPr>
        <w:fldChar w:fldCharType="end"/>
      </w:r>
      <w:r>
        <w:rPr>
          <w:rFonts w:hint="eastAsia" w:ascii="宋体" w:hAnsi="宋体" w:eastAsia="宋体" w:cs="宋体"/>
          <w:sz w:val="24"/>
          <w:szCs w:val="24"/>
        </w:rPr>
        <w:t>）获取电子版招标文件。</w:t>
      </w:r>
    </w:p>
    <w:p w14:paraId="604CDE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4.售价：0元。</w:t>
      </w:r>
    </w:p>
    <w:p w14:paraId="47AD5CA7">
      <w:pPr>
        <w:pStyle w:val="3"/>
        <w:spacing w:line="360" w:lineRule="auto"/>
        <w:rPr>
          <w:rFonts w:hint="eastAsia" w:ascii="宋体" w:hAnsi="宋体" w:eastAsia="宋体" w:cs="宋体"/>
          <w:b w:val="0"/>
          <w:sz w:val="24"/>
          <w:szCs w:val="24"/>
        </w:rPr>
      </w:pPr>
      <w:r>
        <w:rPr>
          <w:rFonts w:hint="eastAsia" w:ascii="宋体" w:hAnsi="宋体" w:eastAsia="宋体" w:cs="宋体"/>
          <w:b w:val="0"/>
          <w:sz w:val="24"/>
          <w:szCs w:val="24"/>
        </w:rPr>
        <w:t>四、提交投标文件</w:t>
      </w:r>
      <w:bookmarkEnd w:id="15"/>
      <w:bookmarkEnd w:id="16"/>
      <w:r>
        <w:rPr>
          <w:rFonts w:hint="eastAsia" w:ascii="宋体" w:hAnsi="宋体" w:eastAsia="宋体" w:cs="宋体"/>
          <w:b w:val="0"/>
          <w:sz w:val="24"/>
          <w:szCs w:val="24"/>
        </w:rPr>
        <w:t>截止时间、开标时间和地点</w:t>
      </w:r>
      <w:bookmarkEnd w:id="17"/>
      <w:bookmarkEnd w:id="18"/>
    </w:p>
    <w:p w14:paraId="5B5360F3">
      <w:pPr>
        <w:spacing w:line="360" w:lineRule="auto"/>
        <w:ind w:firstLine="360" w:firstLineChars="150"/>
        <w:rPr>
          <w:rFonts w:hint="eastAsia" w:ascii="宋体" w:hAnsi="宋体" w:eastAsia="宋体" w:cs="宋体"/>
          <w:bCs/>
          <w:sz w:val="24"/>
          <w:szCs w:val="24"/>
          <w:highlight w:val="none"/>
        </w:rPr>
      </w:pPr>
      <w:bookmarkStart w:id="19" w:name="_Toc28359084"/>
      <w:bookmarkStart w:id="20" w:name="_Toc35393794"/>
      <w:bookmarkStart w:id="21" w:name="_Toc35393625"/>
      <w:bookmarkStart w:id="22" w:name="_Toc28359007"/>
      <w:r>
        <w:rPr>
          <w:rFonts w:hint="eastAsia" w:ascii="宋体" w:hAnsi="宋体" w:eastAsia="宋体" w:cs="宋体"/>
          <w:bCs/>
          <w:sz w:val="24"/>
          <w:szCs w:val="24"/>
        </w:rPr>
        <w:t>投标截止时间、开标时</w:t>
      </w:r>
      <w:r>
        <w:rPr>
          <w:rFonts w:hint="eastAsia" w:ascii="宋体" w:hAnsi="宋体" w:eastAsia="宋体" w:cs="宋体"/>
          <w:bCs/>
          <w:sz w:val="24"/>
          <w:szCs w:val="24"/>
          <w:highlight w:val="none"/>
        </w:rPr>
        <w:t>间：</w:t>
      </w:r>
      <w:r>
        <w:rPr>
          <w:rFonts w:hint="eastAsia" w:ascii="宋体" w:hAnsi="宋体" w:eastAsia="宋体" w:cs="宋体"/>
          <w:bCs/>
          <w:sz w:val="24"/>
          <w:szCs w:val="24"/>
          <w:highlight w:val="none"/>
          <w:lang w:eastAsia="zh-CN"/>
        </w:rPr>
        <w:t>202</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eastAsia="zh-CN"/>
        </w:rPr>
        <w:t>年</w:t>
      </w:r>
      <w:r>
        <w:rPr>
          <w:rFonts w:hint="eastAsia" w:ascii="宋体" w:hAnsi="宋体" w:cs="宋体"/>
          <w:bCs/>
          <w:sz w:val="24"/>
          <w:szCs w:val="24"/>
          <w:highlight w:val="none"/>
          <w:lang w:val="en-US" w:eastAsia="zh-CN"/>
        </w:rPr>
        <w:t>7</w:t>
      </w:r>
      <w:r>
        <w:rPr>
          <w:rFonts w:hint="eastAsia" w:ascii="宋体" w:hAnsi="宋体" w:eastAsia="宋体" w:cs="宋体"/>
          <w:bCs/>
          <w:sz w:val="24"/>
          <w:szCs w:val="24"/>
          <w:highlight w:val="none"/>
          <w:lang w:eastAsia="zh-CN"/>
        </w:rPr>
        <w:t>月</w:t>
      </w:r>
      <w:r>
        <w:rPr>
          <w:rFonts w:hint="eastAsia" w:ascii="宋体" w:hAnsi="宋体" w:cs="宋体"/>
          <w:bCs/>
          <w:sz w:val="24"/>
          <w:szCs w:val="24"/>
          <w:highlight w:val="none"/>
          <w:lang w:val="en-US" w:eastAsia="zh-CN"/>
        </w:rPr>
        <w:t>2</w:t>
      </w:r>
      <w:r>
        <w:rPr>
          <w:rFonts w:hint="eastAsia" w:ascii="宋体" w:hAnsi="宋体" w:eastAsia="宋体" w:cs="宋体"/>
          <w:bCs/>
          <w:sz w:val="24"/>
          <w:szCs w:val="24"/>
          <w:highlight w:val="none"/>
          <w:lang w:eastAsia="zh-CN"/>
        </w:rPr>
        <w:t>日</w:t>
      </w:r>
      <w:r>
        <w:rPr>
          <w:rFonts w:hint="eastAsia" w:ascii="宋体" w:hAnsi="宋体" w:cs="宋体"/>
          <w:bCs/>
          <w:sz w:val="24"/>
          <w:szCs w:val="24"/>
          <w:highlight w:val="none"/>
          <w:lang w:val="en-US" w:eastAsia="zh-CN"/>
        </w:rPr>
        <w:t>下</w:t>
      </w:r>
      <w:r>
        <w:rPr>
          <w:rFonts w:hint="eastAsia" w:ascii="宋体" w:hAnsi="宋体" w:eastAsia="宋体" w:cs="宋体"/>
          <w:bCs/>
          <w:sz w:val="24"/>
          <w:szCs w:val="24"/>
          <w:highlight w:val="none"/>
          <w:lang w:val="en-US" w:eastAsia="zh-CN"/>
        </w:rPr>
        <w:t>午</w:t>
      </w:r>
      <w:r>
        <w:rPr>
          <w:rFonts w:hint="eastAsia" w:ascii="宋体" w:hAnsi="宋体" w:cs="宋体"/>
          <w:bCs/>
          <w:sz w:val="24"/>
          <w:szCs w:val="24"/>
          <w:highlight w:val="none"/>
          <w:lang w:val="en-US" w:eastAsia="zh-CN"/>
        </w:rPr>
        <w:t>13</w:t>
      </w:r>
      <w:r>
        <w:rPr>
          <w:rFonts w:hint="eastAsia" w:ascii="宋体" w:hAnsi="宋体" w:eastAsia="宋体" w:cs="宋体"/>
          <w:bCs/>
          <w:sz w:val="24"/>
          <w:szCs w:val="24"/>
          <w:highlight w:val="none"/>
          <w:lang w:eastAsia="zh-CN"/>
        </w:rPr>
        <w:t>时30分</w:t>
      </w:r>
      <w:r>
        <w:rPr>
          <w:rFonts w:hint="eastAsia" w:ascii="宋体" w:hAnsi="宋体" w:eastAsia="宋体" w:cs="宋体"/>
          <w:bCs/>
          <w:sz w:val="24"/>
          <w:szCs w:val="24"/>
          <w:highlight w:val="none"/>
        </w:rPr>
        <w:t>（北京时间）。</w:t>
      </w:r>
    </w:p>
    <w:p w14:paraId="143BE43D">
      <w:pPr>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1F50E26">
      <w:pPr>
        <w:spacing w:line="360" w:lineRule="auto"/>
        <w:ind w:firstLine="360" w:firstLineChars="150"/>
        <w:rPr>
          <w:rFonts w:hint="eastAsia" w:ascii="宋体" w:hAnsi="宋体" w:eastAsia="宋体" w:cs="宋体"/>
          <w:bCs/>
          <w:sz w:val="24"/>
          <w:szCs w:val="24"/>
        </w:rPr>
      </w:pPr>
    </w:p>
    <w:p w14:paraId="56E1BB06">
      <w:pPr>
        <w:spacing w:line="360" w:lineRule="auto"/>
        <w:rPr>
          <w:rFonts w:hint="eastAsia" w:ascii="宋体" w:hAnsi="宋体" w:eastAsia="宋体" w:cs="宋体"/>
          <w:sz w:val="24"/>
          <w:szCs w:val="24"/>
        </w:rPr>
      </w:pPr>
      <w:r>
        <w:rPr>
          <w:rFonts w:hint="eastAsia" w:ascii="宋体" w:hAnsi="宋体" w:eastAsia="宋体" w:cs="宋体"/>
          <w:sz w:val="24"/>
          <w:szCs w:val="24"/>
        </w:rPr>
        <w:t>五、公告期限</w:t>
      </w:r>
      <w:bookmarkEnd w:id="19"/>
      <w:bookmarkEnd w:id="20"/>
      <w:bookmarkEnd w:id="21"/>
      <w:bookmarkEnd w:id="22"/>
    </w:p>
    <w:p w14:paraId="404CEDC5">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3"/>
        <w:numPr>
          <w:ilvl w:val="0"/>
          <w:numId w:val="1"/>
        </w:numPr>
        <w:spacing w:line="240" w:lineRule="auto"/>
        <w:rPr>
          <w:rFonts w:hint="eastAsia" w:ascii="宋体" w:hAnsi="宋体" w:eastAsia="宋体" w:cs="宋体"/>
          <w:kern w:val="0"/>
          <w:sz w:val="24"/>
          <w:szCs w:val="24"/>
        </w:rPr>
      </w:pPr>
      <w:bookmarkStart w:id="23" w:name="_Toc35393626"/>
      <w:bookmarkStart w:id="24" w:name="_Toc35393795"/>
      <w:r>
        <w:rPr>
          <w:rFonts w:hint="eastAsia" w:ascii="宋体" w:hAnsi="宋体" w:eastAsia="宋体" w:cs="宋体"/>
          <w:b w:val="0"/>
          <w:sz w:val="24"/>
          <w:szCs w:val="24"/>
        </w:rPr>
        <w:t>其他补充事宜</w:t>
      </w:r>
      <w:bookmarkEnd w:id="23"/>
      <w:bookmarkEnd w:id="24"/>
      <w:bookmarkStart w:id="25" w:name="_Toc28359085"/>
      <w:bookmarkStart w:id="26" w:name="_Toc35393627"/>
      <w:bookmarkStart w:id="27" w:name="_Toc28359008"/>
      <w:bookmarkStart w:id="28" w:name="_Toc35393796"/>
    </w:p>
    <w:p w14:paraId="7876ECBA">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71E7EABA">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5545B32E">
      <w:pPr>
        <w:widowControl w:val="0"/>
        <w:numPr>
          <w:ilvl w:val="0"/>
          <w:numId w:val="3"/>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356C56DD">
      <w:pPr>
        <w:widowControl w:val="0"/>
        <w:numPr>
          <w:ilvl w:val="0"/>
          <w:numId w:val="3"/>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45F4C62D">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7E0830F8">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264105E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5C288512">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5241CFB5">
      <w:pPr>
        <w:widowControl w:val="0"/>
        <w:numPr>
          <w:ilvl w:val="0"/>
          <w:numId w:val="5"/>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4427BF31">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08FE12BF">
      <w:pPr>
        <w:widowControl w:val="0"/>
        <w:numPr>
          <w:ilvl w:val="0"/>
          <w:numId w:val="6"/>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5548B965">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78FE0108">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107CCD71">
      <w:pPr>
        <w:tabs>
          <w:tab w:val="left" w:pos="3469"/>
          <w:tab w:val="left" w:pos="5579"/>
          <w:tab w:val="left" w:pos="8166"/>
        </w:tabs>
        <w:autoSpaceDE w:val="0"/>
        <w:autoSpaceDN w:val="0"/>
        <w:spacing w:line="560" w:lineRule="exact"/>
        <w:ind w:right="169"/>
        <w:jc w:val="left"/>
        <w:rPr>
          <w:rFonts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7BEE467A">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7719B98B">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05BBF7A8">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6B02A994">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6055285C">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3B1E5DE5">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2684E578">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02624B73">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0B6306DB">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7F4FCAB1">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72B102DB">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5C8F43B7">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084F90E6">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45B6E6B6">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4BE1DD1D">
      <w:pPr>
        <w:autoSpaceDE w:val="0"/>
        <w:autoSpaceDN w:val="0"/>
        <w:adjustRightInd w:val="0"/>
        <w:snapToGrid w:val="0"/>
        <w:spacing w:line="560" w:lineRule="exact"/>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39FFC1ED">
      <w:pPr>
        <w:autoSpaceDE w:val="0"/>
        <w:autoSpaceDN w:val="0"/>
        <w:adjustRightInd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3A52CA72">
      <w:pPr>
        <w:widowControl/>
        <w:autoSpaceDE w:val="0"/>
        <w:autoSpaceDN w:val="0"/>
        <w:snapToGrid w:val="0"/>
        <w:spacing w:line="560" w:lineRule="exact"/>
        <w:jc w:val="left"/>
        <w:rPr>
          <w:rFonts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p>
    <w:p w14:paraId="1112CD10">
      <w:pPr>
        <w:widowControl/>
        <w:autoSpaceDE w:val="0"/>
        <w:autoSpaceDN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68B0F14B">
      <w:pPr>
        <w:widowControl/>
        <w:autoSpaceDE w:val="0"/>
        <w:autoSpaceDN w:val="0"/>
        <w:snapToGrid w:val="0"/>
        <w:spacing w:line="560" w:lineRule="exact"/>
        <w:jc w:val="left"/>
        <w:rPr>
          <w:rFonts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0E6669AA">
      <w:pPr>
        <w:widowControl w:val="0"/>
        <w:autoSpaceDE w:val="0"/>
        <w:autoSpaceDN w:val="0"/>
        <w:spacing w:line="560" w:lineRule="exact"/>
        <w:ind w:firstLine="480" w:firstLineChars="200"/>
        <w:rPr>
          <w:rFonts w:hint="eastAsia" w:ascii="宋体" w:hAnsi="宋体" w:eastAsia="宋体" w:cs="宋体"/>
          <w:sz w:val="24"/>
          <w:szCs w:val="24"/>
          <w:highlight w:val="none"/>
          <w:lang w:val="zh-TW" w:eastAsia="zh-CN" w:bidi="ar"/>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sz w:val="24"/>
          <w:lang w:bidi="ar"/>
        </w:rPr>
        <w:t>或电子营业执照</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56CBB9C">
      <w:pPr>
        <w:widowControl w:val="0"/>
        <w:autoSpaceDE w:val="0"/>
        <w:autoSpaceDN w:val="0"/>
        <w:spacing w:line="560" w:lineRule="exact"/>
        <w:rPr>
          <w:rFonts w:hint="eastAsia" w:ascii="宋体" w:hAnsi="宋体" w:eastAsia="宋体" w:cs="宋体"/>
          <w:sz w:val="24"/>
          <w:szCs w:val="24"/>
          <w:highlight w:val="none"/>
          <w:lang w:val="en-US" w:eastAsia="zh-CN" w:bidi="ar"/>
        </w:rPr>
      </w:pPr>
      <w:r>
        <w:rPr>
          <w:rFonts w:hint="eastAsia" w:ascii="宋体" w:hAnsi="宋体" w:cs="宋体"/>
          <w:sz w:val="24"/>
          <w:highlight w:val="none"/>
          <w:lang w:val="en-US" w:eastAsia="zh-CN"/>
        </w:rPr>
        <w:t xml:space="preserve">5 </w:t>
      </w:r>
      <w:r>
        <w:rPr>
          <w:rFonts w:hint="eastAsia" w:ascii="宋体" w:hAnsi="宋体" w:eastAsia="宋体" w:cs="宋体"/>
          <w:sz w:val="24"/>
          <w:highlight w:val="none"/>
        </w:rPr>
        <w:t>本项目投标保证金响应要求政策，参与本项目的供应商递交保证金时需提交投标担保函（</w:t>
      </w:r>
      <w:r>
        <w:rPr>
          <w:rFonts w:hint="eastAsia"/>
          <w:sz w:val="24"/>
          <w:highlight w:val="none"/>
        </w:rPr>
        <w:t>保险）替代现金方式，以此之外方式递交保证金的，需由供应商出具说明函。</w:t>
      </w:r>
    </w:p>
    <w:p w14:paraId="0E201EF2">
      <w:pPr>
        <w:tabs>
          <w:tab w:val="left" w:pos="360"/>
          <w:tab w:val="left" w:pos="794"/>
        </w:tabs>
        <w:spacing w:before="156" w:beforeLines="5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称：北京市第六医院</w:t>
      </w:r>
    </w:p>
    <w:p w14:paraId="4BC84F73">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址：北京市东城区交道口北二条36号</w:t>
      </w:r>
    </w:p>
    <w:p w14:paraId="06EAE1F3">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联系方式：010-64035566</w:t>
      </w:r>
    </w:p>
    <w:p w14:paraId="7AD6606F">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联系方式：010-85343456</w:t>
      </w:r>
    </w:p>
    <w:p w14:paraId="65C45605">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16C7C80E">
      <w:pPr>
        <w:spacing w:line="360" w:lineRule="auto"/>
        <w:ind w:firstLine="720" w:firstLineChars="300"/>
        <w:rPr>
          <w:rFonts w:hint="default"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电话：010-85343456、010-85343</w:t>
      </w:r>
      <w:r>
        <w:rPr>
          <w:rFonts w:hint="eastAsia" w:ascii="宋体" w:hAnsi="宋体" w:cs="宋体"/>
          <w:bCs/>
          <w:sz w:val="24"/>
          <w:szCs w:val="24"/>
          <w:u w:val="single"/>
          <w:lang w:val="en-US" w:eastAsia="zh-CN"/>
        </w:rPr>
        <w:t>434</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abstractNum w:abstractNumId="1">
    <w:nsid w:val="68A6D2A6"/>
    <w:multiLevelType w:val="singleLevel"/>
    <w:tmpl w:val="68A6D2A6"/>
    <w:lvl w:ilvl="0" w:tentative="0">
      <w:start w:val="2"/>
      <w:numFmt w:val="decimal"/>
      <w:suff w:val="nothing"/>
      <w:lvlText w:val="%1."/>
      <w:lvlJc w:val="left"/>
    </w:lvl>
  </w:abstractNum>
  <w:abstractNum w:abstractNumId="2">
    <w:nsid w:val="68A6D2C1"/>
    <w:multiLevelType w:val="singleLevel"/>
    <w:tmpl w:val="68A6D2C1"/>
    <w:lvl w:ilvl="0" w:tentative="0">
      <w:start w:val="1"/>
      <w:numFmt w:val="decimal"/>
      <w:suff w:val="nothing"/>
      <w:lvlText w:val="（%1）"/>
      <w:lvlJc w:val="left"/>
    </w:lvl>
  </w:abstractNum>
  <w:abstractNum w:abstractNumId="3">
    <w:nsid w:val="68A6D345"/>
    <w:multiLevelType w:val="singleLevel"/>
    <w:tmpl w:val="68A6D345"/>
    <w:lvl w:ilvl="0" w:tentative="0">
      <w:start w:val="1"/>
      <w:numFmt w:val="decimal"/>
      <w:suff w:val="nothing"/>
      <w:lvlText w:val="%1)"/>
      <w:lvlJc w:val="left"/>
    </w:lvl>
  </w:abstractNum>
  <w:abstractNum w:abstractNumId="4">
    <w:nsid w:val="68A6D371"/>
    <w:multiLevelType w:val="singleLevel"/>
    <w:tmpl w:val="68A6D371"/>
    <w:lvl w:ilvl="0" w:tentative="0">
      <w:start w:val="3"/>
      <w:numFmt w:val="decimal"/>
      <w:suff w:val="nothing"/>
      <w:lvlText w:val="%1)"/>
      <w:lvlJc w:val="left"/>
    </w:lvl>
  </w:abstractNum>
  <w:abstractNum w:abstractNumId="5">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757B9E"/>
    <w:rsid w:val="0078768E"/>
    <w:rsid w:val="0091581F"/>
    <w:rsid w:val="00A94DCD"/>
    <w:rsid w:val="00BF4BC5"/>
    <w:rsid w:val="00D65262"/>
    <w:rsid w:val="00DB1EA0"/>
    <w:rsid w:val="00F92BA9"/>
    <w:rsid w:val="01CA1639"/>
    <w:rsid w:val="027F5EA8"/>
    <w:rsid w:val="033967FA"/>
    <w:rsid w:val="03D14D65"/>
    <w:rsid w:val="03EE0393"/>
    <w:rsid w:val="03F36EDF"/>
    <w:rsid w:val="041C6F4E"/>
    <w:rsid w:val="044D466E"/>
    <w:rsid w:val="04923431"/>
    <w:rsid w:val="04B24EC3"/>
    <w:rsid w:val="04E11CA6"/>
    <w:rsid w:val="06475B39"/>
    <w:rsid w:val="068C3E93"/>
    <w:rsid w:val="07A1571D"/>
    <w:rsid w:val="07A54001"/>
    <w:rsid w:val="07FC3326"/>
    <w:rsid w:val="082D45E6"/>
    <w:rsid w:val="0854278F"/>
    <w:rsid w:val="08F875BE"/>
    <w:rsid w:val="090D2269"/>
    <w:rsid w:val="09D07DA9"/>
    <w:rsid w:val="0AF376E5"/>
    <w:rsid w:val="0B3B3792"/>
    <w:rsid w:val="0B616D1D"/>
    <w:rsid w:val="0B6F14A8"/>
    <w:rsid w:val="0BA430E7"/>
    <w:rsid w:val="0C107490"/>
    <w:rsid w:val="0C5E0EEA"/>
    <w:rsid w:val="0E0B286D"/>
    <w:rsid w:val="0E4C6701"/>
    <w:rsid w:val="0F6E05DA"/>
    <w:rsid w:val="0FB87AA7"/>
    <w:rsid w:val="0FE614C3"/>
    <w:rsid w:val="103E71C0"/>
    <w:rsid w:val="11FC595E"/>
    <w:rsid w:val="12A51AA6"/>
    <w:rsid w:val="130E27A5"/>
    <w:rsid w:val="13400495"/>
    <w:rsid w:val="134C1D1E"/>
    <w:rsid w:val="13EA45AA"/>
    <w:rsid w:val="13F86009"/>
    <w:rsid w:val="141D78B9"/>
    <w:rsid w:val="15065107"/>
    <w:rsid w:val="153C0833"/>
    <w:rsid w:val="158C674C"/>
    <w:rsid w:val="169F376F"/>
    <w:rsid w:val="17CF0DE0"/>
    <w:rsid w:val="182A3BC2"/>
    <w:rsid w:val="18335BC8"/>
    <w:rsid w:val="19F03C9C"/>
    <w:rsid w:val="1A3C3D20"/>
    <w:rsid w:val="1B0442B0"/>
    <w:rsid w:val="1B4048D1"/>
    <w:rsid w:val="1B866B59"/>
    <w:rsid w:val="1C4972F3"/>
    <w:rsid w:val="1CCA710D"/>
    <w:rsid w:val="1DE324AD"/>
    <w:rsid w:val="1E1411A7"/>
    <w:rsid w:val="1E366767"/>
    <w:rsid w:val="1ED35AA3"/>
    <w:rsid w:val="1EE17DC8"/>
    <w:rsid w:val="1FF478B9"/>
    <w:rsid w:val="205C14B5"/>
    <w:rsid w:val="20931C4F"/>
    <w:rsid w:val="2113111A"/>
    <w:rsid w:val="21457417"/>
    <w:rsid w:val="2224601B"/>
    <w:rsid w:val="230456A7"/>
    <w:rsid w:val="239B2179"/>
    <w:rsid w:val="23E7405F"/>
    <w:rsid w:val="24FA6740"/>
    <w:rsid w:val="250F7ADC"/>
    <w:rsid w:val="256C4FCA"/>
    <w:rsid w:val="25B76FF0"/>
    <w:rsid w:val="25F33BB6"/>
    <w:rsid w:val="25FF1B34"/>
    <w:rsid w:val="26647BE9"/>
    <w:rsid w:val="26AD7506"/>
    <w:rsid w:val="27401BB2"/>
    <w:rsid w:val="285212FE"/>
    <w:rsid w:val="28AF15F0"/>
    <w:rsid w:val="291C4B35"/>
    <w:rsid w:val="29CC1252"/>
    <w:rsid w:val="2A3A313B"/>
    <w:rsid w:val="2A874528"/>
    <w:rsid w:val="2B8B3E61"/>
    <w:rsid w:val="2BCA04EF"/>
    <w:rsid w:val="2EC63CEE"/>
    <w:rsid w:val="3014442E"/>
    <w:rsid w:val="303E35CF"/>
    <w:rsid w:val="31886C6D"/>
    <w:rsid w:val="31F50738"/>
    <w:rsid w:val="3262685B"/>
    <w:rsid w:val="32627B42"/>
    <w:rsid w:val="329434F6"/>
    <w:rsid w:val="33526100"/>
    <w:rsid w:val="337E053C"/>
    <w:rsid w:val="33A1236A"/>
    <w:rsid w:val="34D07ED2"/>
    <w:rsid w:val="34DD22D5"/>
    <w:rsid w:val="3569702C"/>
    <w:rsid w:val="35CE7811"/>
    <w:rsid w:val="36151C5B"/>
    <w:rsid w:val="36A06E2F"/>
    <w:rsid w:val="36CB4904"/>
    <w:rsid w:val="36D81DC5"/>
    <w:rsid w:val="387B69BA"/>
    <w:rsid w:val="390377C3"/>
    <w:rsid w:val="391F00CC"/>
    <w:rsid w:val="3D0657A9"/>
    <w:rsid w:val="3D7344A5"/>
    <w:rsid w:val="3DA90D42"/>
    <w:rsid w:val="3DE82C26"/>
    <w:rsid w:val="3F302C3B"/>
    <w:rsid w:val="3FB2282A"/>
    <w:rsid w:val="3FFC4BE3"/>
    <w:rsid w:val="40331F2C"/>
    <w:rsid w:val="406C5459"/>
    <w:rsid w:val="40E6314D"/>
    <w:rsid w:val="40FD2E2B"/>
    <w:rsid w:val="416318D6"/>
    <w:rsid w:val="425D1A0B"/>
    <w:rsid w:val="43CA6B8D"/>
    <w:rsid w:val="440700DA"/>
    <w:rsid w:val="44825E1E"/>
    <w:rsid w:val="459660BA"/>
    <w:rsid w:val="46050649"/>
    <w:rsid w:val="46853538"/>
    <w:rsid w:val="46AF7F09"/>
    <w:rsid w:val="46CA2B46"/>
    <w:rsid w:val="46D52298"/>
    <w:rsid w:val="471D6BB8"/>
    <w:rsid w:val="47CD2118"/>
    <w:rsid w:val="48A87680"/>
    <w:rsid w:val="494E49AA"/>
    <w:rsid w:val="4B9E1324"/>
    <w:rsid w:val="4BB5041C"/>
    <w:rsid w:val="4C6F0B7D"/>
    <w:rsid w:val="4C9F5D25"/>
    <w:rsid w:val="4CAB781B"/>
    <w:rsid w:val="4D21520B"/>
    <w:rsid w:val="4D771C1E"/>
    <w:rsid w:val="4D9C11A0"/>
    <w:rsid w:val="4E212C99"/>
    <w:rsid w:val="4E3C38DE"/>
    <w:rsid w:val="4E524648"/>
    <w:rsid w:val="4EB8286A"/>
    <w:rsid w:val="4EBA744A"/>
    <w:rsid w:val="4FC96956"/>
    <w:rsid w:val="50B018E0"/>
    <w:rsid w:val="50C8175A"/>
    <w:rsid w:val="512C73D2"/>
    <w:rsid w:val="5186480E"/>
    <w:rsid w:val="52C23F57"/>
    <w:rsid w:val="52EF249C"/>
    <w:rsid w:val="531E6325"/>
    <w:rsid w:val="53457C95"/>
    <w:rsid w:val="53A86942"/>
    <w:rsid w:val="53D23BDF"/>
    <w:rsid w:val="548D63DA"/>
    <w:rsid w:val="567B02F2"/>
    <w:rsid w:val="56C00491"/>
    <w:rsid w:val="5814071D"/>
    <w:rsid w:val="59413C36"/>
    <w:rsid w:val="594828CF"/>
    <w:rsid w:val="59513E7A"/>
    <w:rsid w:val="59D625D1"/>
    <w:rsid w:val="5A1132D4"/>
    <w:rsid w:val="5A59165A"/>
    <w:rsid w:val="5B4857A8"/>
    <w:rsid w:val="5BC0634E"/>
    <w:rsid w:val="5C69757C"/>
    <w:rsid w:val="5D1E5447"/>
    <w:rsid w:val="5D412535"/>
    <w:rsid w:val="5D5B3753"/>
    <w:rsid w:val="5DBE13B2"/>
    <w:rsid w:val="5E127261"/>
    <w:rsid w:val="5E5D38C4"/>
    <w:rsid w:val="5E921868"/>
    <w:rsid w:val="5F100B70"/>
    <w:rsid w:val="61B431F8"/>
    <w:rsid w:val="623460E6"/>
    <w:rsid w:val="62AC0550"/>
    <w:rsid w:val="62CA27A3"/>
    <w:rsid w:val="63DB4629"/>
    <w:rsid w:val="643D1F77"/>
    <w:rsid w:val="64793376"/>
    <w:rsid w:val="64CD637E"/>
    <w:rsid w:val="65EE2A50"/>
    <w:rsid w:val="66940DD7"/>
    <w:rsid w:val="66DD3ED2"/>
    <w:rsid w:val="677A75D3"/>
    <w:rsid w:val="68DF504F"/>
    <w:rsid w:val="68E02922"/>
    <w:rsid w:val="69725190"/>
    <w:rsid w:val="69A54848"/>
    <w:rsid w:val="6A373141"/>
    <w:rsid w:val="6A750670"/>
    <w:rsid w:val="6AFC5C0F"/>
    <w:rsid w:val="6B2262B4"/>
    <w:rsid w:val="6BCE04E9"/>
    <w:rsid w:val="6C3D7821"/>
    <w:rsid w:val="6D372F2F"/>
    <w:rsid w:val="6E3E598E"/>
    <w:rsid w:val="6FE040E6"/>
    <w:rsid w:val="704B58F8"/>
    <w:rsid w:val="70E632A0"/>
    <w:rsid w:val="71EE7763"/>
    <w:rsid w:val="71F92EA9"/>
    <w:rsid w:val="72F23D89"/>
    <w:rsid w:val="73364194"/>
    <w:rsid w:val="73723423"/>
    <w:rsid w:val="74057A00"/>
    <w:rsid w:val="74294E24"/>
    <w:rsid w:val="74AE2CAA"/>
    <w:rsid w:val="750652A7"/>
    <w:rsid w:val="7506570B"/>
    <w:rsid w:val="7522503C"/>
    <w:rsid w:val="758F7BEE"/>
    <w:rsid w:val="75B2173C"/>
    <w:rsid w:val="76A9682B"/>
    <w:rsid w:val="7747264E"/>
    <w:rsid w:val="7789082B"/>
    <w:rsid w:val="77C65F49"/>
    <w:rsid w:val="78B910A6"/>
    <w:rsid w:val="793730E3"/>
    <w:rsid w:val="79420F92"/>
    <w:rsid w:val="798538CB"/>
    <w:rsid w:val="7A4A0D23"/>
    <w:rsid w:val="7AE57ADF"/>
    <w:rsid w:val="7B6C6499"/>
    <w:rsid w:val="7BD323FA"/>
    <w:rsid w:val="7C436FF0"/>
    <w:rsid w:val="7DAE0B2D"/>
    <w:rsid w:val="7DD524BB"/>
    <w:rsid w:val="7DE07A10"/>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6"/>
    <w:qFormat/>
    <w:uiPriority w:val="0"/>
    <w:pPr>
      <w:spacing w:after="120"/>
    </w:pPr>
    <w:rPr>
      <w:szCs w:val="24"/>
    </w:rPr>
  </w:style>
  <w:style w:type="paragraph" w:styleId="6">
    <w:name w:val="Title"/>
    <w:basedOn w:val="1"/>
    <w:next w:val="1"/>
    <w:qFormat/>
    <w:uiPriority w:val="0"/>
    <w:pPr>
      <w:jc w:val="center"/>
      <w:outlineLvl w:val="0"/>
    </w:pPr>
    <w:rPr>
      <w:b/>
      <w:sz w:val="32"/>
      <w:szCs w:val="20"/>
    </w:rPr>
  </w:style>
  <w:style w:type="paragraph" w:styleId="7">
    <w:name w:val="Body Text Indent"/>
    <w:basedOn w:val="1"/>
    <w:qFormat/>
    <w:uiPriority w:val="0"/>
    <w:pPr>
      <w:spacing w:after="120"/>
      <w:ind w:left="420" w:leftChars="200"/>
    </w:pPr>
    <w:rPr>
      <w:szCs w:val="24"/>
    </w:rPr>
  </w:style>
  <w:style w:type="paragraph" w:styleId="8">
    <w:name w:val="Plain Text"/>
    <w:basedOn w:val="1"/>
    <w:qFormat/>
    <w:uiPriority w:val="0"/>
    <w:rPr>
      <w:rFonts w:ascii="宋体" w:hAnsi="Courier New" w:eastAsiaTheme="minorEastAsia" w:cstheme="minorBidi"/>
      <w:szCs w:val="22"/>
    </w:rPr>
  </w:style>
  <w:style w:type="paragraph" w:styleId="9">
    <w:name w:val="toc 8"/>
    <w:basedOn w:val="1"/>
    <w:next w:val="1"/>
    <w:qFormat/>
    <w:uiPriority w:val="0"/>
    <w:pPr>
      <w:ind w:left="2940" w:leftChars="1400"/>
    </w:pPr>
  </w:style>
  <w:style w:type="paragraph" w:styleId="10">
    <w:name w:val="toc 2"/>
    <w:basedOn w:val="1"/>
    <w:next w:val="1"/>
    <w:qFormat/>
    <w:uiPriority w:val="0"/>
    <w:pPr>
      <w:ind w:left="420" w:leftChars="200"/>
    </w:pPr>
  </w:style>
  <w:style w:type="paragraph" w:styleId="11">
    <w:name w:val="Body Text 2"/>
    <w:basedOn w:val="1"/>
    <w:qFormat/>
    <w:uiPriority w:val="0"/>
    <w:pPr>
      <w:spacing w:after="120" w:line="480" w:lineRule="auto"/>
    </w:pPr>
    <w:rPr>
      <w:rFonts w:ascii="Times New Roman" w:hAnsi="Times New Roman" w:eastAsia="宋体" w:cs="Times New Roman"/>
    </w:rPr>
  </w:style>
  <w:style w:type="paragraph" w:styleId="12">
    <w:name w:val="Body Text First Indent 2"/>
    <w:basedOn w:val="7"/>
    <w:unhideWhenUsed/>
    <w:qFormat/>
    <w:uiPriority w:val="99"/>
    <w:pPr>
      <w:ind w:firstLine="420" w:firstLineChars="200"/>
    </w:pPr>
  </w:style>
  <w:style w:type="character" w:styleId="15">
    <w:name w:val="FollowedHyperlink"/>
    <w:basedOn w:val="14"/>
    <w:qFormat/>
    <w:uiPriority w:val="0"/>
    <w:rPr>
      <w:color w:val="2490F8"/>
      <w:u w:val="single"/>
    </w:rPr>
  </w:style>
  <w:style w:type="character" w:styleId="16">
    <w:name w:val="Hyperlink"/>
    <w:basedOn w:val="14"/>
    <w:qFormat/>
    <w:uiPriority w:val="0"/>
    <w:rPr>
      <w:color w:val="2490F8"/>
      <w:u w:val="single"/>
    </w:rPr>
  </w:style>
  <w:style w:type="paragraph" w:customStyle="1" w:styleId="1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
    <w:name w:val="首行缩进"/>
    <w:basedOn w:val="1"/>
    <w:qFormat/>
    <w:uiPriority w:val="0"/>
    <w:pPr>
      <w:spacing w:line="360" w:lineRule="auto"/>
      <w:ind w:firstLine="480" w:firstLineChars="200"/>
    </w:pPr>
    <w:rPr>
      <w:rFonts w:ascii="宋体" w:hAnsi="宋体" w:cs="宋体"/>
      <w:kern w:val="0"/>
      <w:sz w:val="24"/>
    </w:rPr>
  </w:style>
  <w:style w:type="paragraph" w:customStyle="1" w:styleId="19">
    <w:name w:val="表格文字"/>
    <w:basedOn w:val="1"/>
    <w:qFormat/>
    <w:uiPriority w:val="0"/>
    <w:pPr>
      <w:spacing w:before="25" w:after="25"/>
      <w:jc w:val="left"/>
    </w:pPr>
    <w:rPr>
      <w:bCs/>
      <w:spacing w:val="10"/>
      <w:kern w:val="0"/>
      <w:sz w:val="24"/>
    </w:rPr>
  </w:style>
  <w:style w:type="paragraph" w:customStyle="1" w:styleId="20">
    <w:name w:val="列表段落1"/>
    <w:basedOn w:val="1"/>
    <w:qFormat/>
    <w:uiPriority w:val="34"/>
    <w:pPr>
      <w:ind w:firstLine="420" w:firstLineChars="200"/>
    </w:pPr>
  </w:style>
  <w:style w:type="paragraph" w:customStyle="1" w:styleId="21">
    <w:name w:val="正文3"/>
    <w:qFormat/>
    <w:uiPriority w:val="0"/>
    <w:pPr>
      <w:jc w:val="both"/>
    </w:pPr>
    <w:rPr>
      <w:rFonts w:ascii="Calibri" w:hAnsi="Calibri" w:eastAsia="宋体" w:cs="Times New Roman"/>
      <w:kern w:val="2"/>
      <w:sz w:val="21"/>
      <w:szCs w:val="21"/>
      <w:lang w:val="en-US" w:eastAsia="zh-CN" w:bidi="ar-SA"/>
    </w:rPr>
  </w:style>
  <w:style w:type="character" w:customStyle="1" w:styleId="22">
    <w:name w:val="font21"/>
    <w:basedOn w:val="14"/>
    <w:qFormat/>
    <w:uiPriority w:val="0"/>
    <w:rPr>
      <w:rFonts w:ascii="Tahoma" w:hAnsi="Tahoma" w:eastAsia="Tahoma" w:cs="Tahoma"/>
      <w:color w:val="000000"/>
      <w:sz w:val="22"/>
      <w:szCs w:val="22"/>
      <w:u w:val="none"/>
    </w:rPr>
  </w:style>
  <w:style w:type="character" w:customStyle="1" w:styleId="23">
    <w:name w:val="drapbtn"/>
    <w:basedOn w:val="14"/>
    <w:qFormat/>
    <w:uiPriority w:val="0"/>
  </w:style>
  <w:style w:type="character" w:customStyle="1" w:styleId="24">
    <w:name w:val="button"/>
    <w:basedOn w:val="14"/>
    <w:qFormat/>
    <w:uiPriority w:val="0"/>
  </w:style>
  <w:style w:type="character" w:customStyle="1" w:styleId="25">
    <w:name w:val="iconline2"/>
    <w:basedOn w:val="14"/>
    <w:qFormat/>
    <w:uiPriority w:val="0"/>
  </w:style>
  <w:style w:type="character" w:customStyle="1" w:styleId="26">
    <w:name w:val="icontext3"/>
    <w:basedOn w:val="14"/>
    <w:qFormat/>
    <w:uiPriority w:val="0"/>
  </w:style>
  <w:style w:type="character" w:customStyle="1" w:styleId="27">
    <w:name w:val="after"/>
    <w:basedOn w:val="14"/>
    <w:qFormat/>
    <w:uiPriority w:val="0"/>
    <w:rPr>
      <w:sz w:val="0"/>
      <w:szCs w:val="0"/>
    </w:rPr>
  </w:style>
  <w:style w:type="character" w:customStyle="1" w:styleId="28">
    <w:name w:val="pagechatarealistclose_box"/>
    <w:basedOn w:val="14"/>
    <w:qFormat/>
    <w:uiPriority w:val="0"/>
  </w:style>
  <w:style w:type="character" w:customStyle="1" w:styleId="29">
    <w:name w:val="pagechatarealistclose_box1"/>
    <w:basedOn w:val="14"/>
    <w:qFormat/>
    <w:uiPriority w:val="0"/>
  </w:style>
  <w:style w:type="character" w:customStyle="1" w:styleId="30">
    <w:name w:val="cy"/>
    <w:basedOn w:val="14"/>
    <w:qFormat/>
    <w:uiPriority w:val="0"/>
  </w:style>
  <w:style w:type="character" w:customStyle="1" w:styleId="31">
    <w:name w:val="hilite5"/>
    <w:basedOn w:val="14"/>
    <w:qFormat/>
    <w:uiPriority w:val="0"/>
    <w:rPr>
      <w:color w:val="FFFFFF"/>
      <w:shd w:val="clear" w:fill="666666"/>
    </w:rPr>
  </w:style>
  <w:style w:type="character" w:customStyle="1" w:styleId="32">
    <w:name w:val="layui-layer-tabnow"/>
    <w:basedOn w:val="14"/>
    <w:qFormat/>
    <w:uiPriority w:val="0"/>
    <w:rPr>
      <w:bdr w:val="single" w:color="CCCCCC" w:sz="6" w:space="0"/>
      <w:shd w:val="clear" w:fill="FFFFFF"/>
    </w:rPr>
  </w:style>
  <w:style w:type="character" w:customStyle="1" w:styleId="33">
    <w:name w:val="cdropright"/>
    <w:basedOn w:val="14"/>
    <w:qFormat/>
    <w:uiPriority w:val="0"/>
  </w:style>
  <w:style w:type="character" w:customStyle="1" w:styleId="34">
    <w:name w:val="ico1651"/>
    <w:basedOn w:val="14"/>
    <w:qFormat/>
    <w:uiPriority w:val="0"/>
  </w:style>
  <w:style w:type="character" w:customStyle="1" w:styleId="35">
    <w:name w:val="ico1652"/>
    <w:basedOn w:val="14"/>
    <w:qFormat/>
    <w:uiPriority w:val="0"/>
  </w:style>
  <w:style w:type="character" w:customStyle="1" w:styleId="36">
    <w:name w:val="associateddata"/>
    <w:basedOn w:val="14"/>
    <w:qFormat/>
    <w:uiPriority w:val="0"/>
    <w:rPr>
      <w:shd w:val="clear" w:fill="50A6F9"/>
    </w:rPr>
  </w:style>
  <w:style w:type="character" w:customStyle="1" w:styleId="37">
    <w:name w:val="cdropleft"/>
    <w:basedOn w:val="14"/>
    <w:qFormat/>
    <w:uiPriority w:val="0"/>
  </w:style>
  <w:style w:type="character" w:customStyle="1" w:styleId="38">
    <w:name w:val="active7"/>
    <w:basedOn w:val="14"/>
    <w:qFormat/>
    <w:uiPriority w:val="0"/>
    <w:rPr>
      <w:shd w:val="clear" w:fill="EC3535"/>
    </w:rPr>
  </w:style>
  <w:style w:type="character" w:customStyle="1" w:styleId="39">
    <w:name w:val="active8"/>
    <w:basedOn w:val="14"/>
    <w:qFormat/>
    <w:uiPriority w:val="0"/>
    <w:rPr>
      <w:color w:val="00FF00"/>
      <w:shd w:val="clear" w:fill="111111"/>
    </w:rPr>
  </w:style>
  <w:style w:type="character" w:customStyle="1" w:styleId="40">
    <w:name w:val="icontext2"/>
    <w:basedOn w:val="14"/>
    <w:qFormat/>
    <w:uiPriority w:val="0"/>
  </w:style>
  <w:style w:type="character" w:customStyle="1" w:styleId="41">
    <w:name w:val="tmpztreemove_arrow"/>
    <w:basedOn w:val="14"/>
    <w:qFormat/>
    <w:uiPriority w:val="0"/>
  </w:style>
  <w:style w:type="character" w:customStyle="1" w:styleId="42">
    <w:name w:val="icontext1"/>
    <w:basedOn w:val="14"/>
    <w:qFormat/>
    <w:uiPriority w:val="0"/>
  </w:style>
  <w:style w:type="character" w:customStyle="1" w:styleId="43">
    <w:name w:val="icontext11"/>
    <w:basedOn w:val="14"/>
    <w:qFormat/>
    <w:uiPriority w:val="0"/>
  </w:style>
  <w:style w:type="character" w:customStyle="1" w:styleId="44">
    <w:name w:val="icontext12"/>
    <w:basedOn w:val="14"/>
    <w:qFormat/>
    <w:uiPriority w:val="0"/>
  </w:style>
  <w:style w:type="character" w:customStyle="1" w:styleId="45">
    <w:name w:val="w32"/>
    <w:basedOn w:val="14"/>
    <w:qFormat/>
    <w:uiPriority w:val="0"/>
  </w:style>
  <w:style w:type="character" w:customStyle="1" w:styleId="46">
    <w:name w:val="first-child"/>
    <w:basedOn w:val="14"/>
    <w:qFormat/>
    <w:uiPriority w:val="0"/>
  </w:style>
  <w:style w:type="character" w:customStyle="1" w:styleId="47">
    <w:name w:val="ico1654"/>
    <w:basedOn w:val="14"/>
    <w:qFormat/>
    <w:uiPriority w:val="0"/>
  </w:style>
  <w:style w:type="character" w:customStyle="1" w:styleId="48">
    <w:name w:val="active"/>
    <w:basedOn w:val="14"/>
    <w:qFormat/>
    <w:uiPriority w:val="0"/>
    <w:rPr>
      <w:color w:val="00FF00"/>
      <w:shd w:val="clear" w:fill="111111"/>
    </w:rPr>
  </w:style>
  <w:style w:type="character" w:customStyle="1" w:styleId="49">
    <w:name w:val="active1"/>
    <w:basedOn w:val="14"/>
    <w:qFormat/>
    <w:uiPriority w:val="0"/>
    <w:rPr>
      <w:shd w:val="clear" w:fill="EC3535"/>
    </w:rPr>
  </w:style>
  <w:style w:type="character" w:customStyle="1" w:styleId="50">
    <w:name w:val="hilite6"/>
    <w:basedOn w:val="14"/>
    <w:qFormat/>
    <w:uiPriority w:val="0"/>
    <w:rPr>
      <w:color w:val="FFFFFF"/>
      <w:shd w:val="clear" w:fill="666666"/>
    </w:rPr>
  </w:style>
  <w:style w:type="paragraph" w:customStyle="1" w:styleId="51">
    <w:name w:val="Table Paragraph"/>
    <w:basedOn w:val="1"/>
    <w:qFormat/>
    <w:uiPriority w:val="1"/>
    <w:rPr>
      <w:rFonts w:ascii="宋体" w:hAnsi="宋体" w:eastAsia="宋体" w:cs="宋体"/>
    </w:rPr>
  </w:style>
  <w:style w:type="paragraph" w:customStyle="1" w:styleId="52">
    <w:name w:val="List Paragraph"/>
    <w:basedOn w:val="1"/>
    <w:qFormat/>
    <w:uiPriority w:val="1"/>
    <w:pPr>
      <w:spacing w:before="134"/>
      <w:ind w:left="1196" w:hanging="720"/>
    </w:pPr>
    <w:rPr>
      <w:rFonts w:ascii="宋体" w:hAnsi="宋体" w:eastAsia="宋体"/>
      <w:sz w:val="20"/>
    </w:rPr>
  </w:style>
  <w:style w:type="character" w:customStyle="1" w:styleId="53">
    <w:name w:val="font11"/>
    <w:basedOn w:val="14"/>
    <w:qFormat/>
    <w:uiPriority w:val="0"/>
    <w:rPr>
      <w:rFonts w:hint="eastAsia" w:ascii="宋体" w:hAnsi="宋体" w:eastAsia="宋体" w:cs="宋体"/>
      <w:color w:val="000000"/>
      <w:sz w:val="21"/>
      <w:szCs w:val="21"/>
      <w:u w:val="none"/>
    </w:rPr>
  </w:style>
  <w:style w:type="paragraph" w:customStyle="1" w:styleId="54">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2496</Words>
  <Characters>2878</Characters>
  <Lines>18</Lines>
  <Paragraphs>5</Paragraphs>
  <TotalTime>4</TotalTime>
  <ScaleCrop>false</ScaleCrop>
  <LinksUpToDate>false</LinksUpToDate>
  <CharactersWithSpaces>2949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2026-06-09T02:02:23Z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D9A0057E7F0A472DB1593BA7B327B349_13</vt:lpwstr>
  </property>
  <property fmtid="{D5CDD505-2E9C-101B-9397-08002B2CF9AE}" pid="4" name="KSOTemplateDocerSaveRecord">
    <vt:lpwstr>eyJoZGlkIjoiNTU3MWFmY2JmYjBmNTA2M2Q0ZWY5MzgxYzE5YjliMzUiLCJ1c2VySWQiOiI4NDYxOTIwMTUifQ==</vt:lpwstr>
  </property>
</Properties>
</file>