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3C" w:rsidRPr="009D4B3C" w:rsidRDefault="009D4B3C" w:rsidP="009D4B3C">
      <w:pPr>
        <w:snapToGrid w:val="0"/>
        <w:spacing w:line="360" w:lineRule="auto"/>
        <w:jc w:val="center"/>
        <w:outlineLvl w:val="0"/>
        <w:rPr>
          <w:rFonts w:ascii="仿宋" w:eastAsia="仿宋" w:hAnsi="仿宋" w:cs="仿宋"/>
          <w:b/>
          <w:sz w:val="40"/>
          <w:szCs w:val="40"/>
        </w:rPr>
      </w:pPr>
      <w:bookmarkStart w:id="0" w:name="_Toc99301424"/>
      <w:r w:rsidRPr="009D4B3C">
        <w:rPr>
          <w:rFonts w:ascii="仿宋" w:eastAsia="仿宋" w:hAnsi="仿宋" w:cs="仿宋" w:hint="eastAsia"/>
          <w:b/>
          <w:sz w:val="40"/>
          <w:szCs w:val="40"/>
        </w:rPr>
        <w:t>第五章   采购需求</w:t>
      </w:r>
      <w:bookmarkEnd w:id="0"/>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一、采购标的</w:t>
      </w:r>
    </w:p>
    <w:p w:rsidR="009D4B3C" w:rsidRPr="009D4B3C" w:rsidRDefault="009D4B3C" w:rsidP="009D4B3C">
      <w:pPr>
        <w:spacing w:line="360" w:lineRule="auto"/>
        <w:contextualSpacing/>
        <w:rPr>
          <w:rFonts w:ascii="仿宋" w:eastAsia="仿宋" w:hAnsi="仿宋" w:cs="宋体"/>
          <w:b/>
          <w:bCs/>
          <w:sz w:val="24"/>
          <w:szCs w:val="24"/>
        </w:rPr>
      </w:pPr>
      <w:r w:rsidRPr="009D4B3C">
        <w:rPr>
          <w:rFonts w:ascii="仿宋" w:eastAsia="仿宋" w:hAnsi="仿宋" w:cs="宋体" w:hint="eastAsia"/>
          <w:b/>
          <w:bCs/>
          <w:sz w:val="24"/>
          <w:szCs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1418"/>
        <w:gridCol w:w="2693"/>
      </w:tblGrid>
      <w:tr w:rsidR="009D4B3C" w:rsidRPr="009D4B3C" w:rsidTr="0072121E">
        <w:trPr>
          <w:trHeight w:val="539"/>
        </w:trPr>
        <w:tc>
          <w:tcPr>
            <w:tcW w:w="817" w:type="dxa"/>
            <w:vAlign w:val="center"/>
          </w:tcPr>
          <w:p w:rsidR="009D4B3C" w:rsidRPr="009D4B3C" w:rsidRDefault="009D4B3C" w:rsidP="009D4B3C">
            <w:pPr>
              <w:widowControl/>
              <w:jc w:val="center"/>
              <w:rPr>
                <w:rFonts w:ascii="仿宋" w:eastAsia="仿宋" w:hAnsi="仿宋" w:cs="宋体"/>
                <w:kern w:val="0"/>
                <w:sz w:val="24"/>
                <w:szCs w:val="24"/>
              </w:rPr>
            </w:pPr>
            <w:proofErr w:type="gramStart"/>
            <w:r w:rsidRPr="009D4B3C">
              <w:rPr>
                <w:rFonts w:ascii="仿宋" w:eastAsia="仿宋" w:hAnsi="仿宋" w:cs="宋体" w:hint="eastAsia"/>
                <w:kern w:val="0"/>
                <w:sz w:val="24"/>
                <w:szCs w:val="24"/>
              </w:rPr>
              <w:t>包号</w:t>
            </w:r>
            <w:proofErr w:type="gramEnd"/>
          </w:p>
        </w:tc>
        <w:tc>
          <w:tcPr>
            <w:tcW w:w="3402"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kern w:val="0"/>
                <w:sz w:val="24"/>
                <w:szCs w:val="24"/>
              </w:rPr>
              <w:t>标的名称</w:t>
            </w:r>
          </w:p>
        </w:tc>
        <w:tc>
          <w:tcPr>
            <w:tcW w:w="1418"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kern w:val="0"/>
                <w:sz w:val="24"/>
                <w:szCs w:val="24"/>
              </w:rPr>
              <w:t>数量</w:t>
            </w:r>
          </w:p>
        </w:tc>
        <w:tc>
          <w:tcPr>
            <w:tcW w:w="2693"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kern w:val="0"/>
                <w:sz w:val="24"/>
                <w:szCs w:val="24"/>
              </w:rPr>
              <w:t>是否接受进口产品</w:t>
            </w:r>
          </w:p>
        </w:tc>
      </w:tr>
      <w:tr w:rsidR="009D4B3C" w:rsidRPr="009D4B3C" w:rsidTr="0072121E">
        <w:trPr>
          <w:trHeight w:val="560"/>
        </w:trPr>
        <w:tc>
          <w:tcPr>
            <w:tcW w:w="817"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kern w:val="0"/>
                <w:sz w:val="24"/>
                <w:szCs w:val="24"/>
              </w:rPr>
              <w:t>1</w:t>
            </w:r>
          </w:p>
        </w:tc>
        <w:tc>
          <w:tcPr>
            <w:tcW w:w="3402"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bCs/>
                <w:sz w:val="24"/>
                <w:szCs w:val="24"/>
              </w:rPr>
              <w:t>应急处突保安员服务项目</w:t>
            </w:r>
          </w:p>
        </w:tc>
        <w:tc>
          <w:tcPr>
            <w:tcW w:w="1418" w:type="dxa"/>
            <w:vAlign w:val="center"/>
          </w:tcPr>
          <w:p w:rsidR="009D4B3C" w:rsidRPr="009D4B3C" w:rsidRDefault="009D4B3C" w:rsidP="009D4B3C">
            <w:pPr>
              <w:snapToGrid w:val="0"/>
              <w:jc w:val="center"/>
              <w:rPr>
                <w:rFonts w:ascii="仿宋" w:eastAsia="仿宋" w:hAnsi="仿宋" w:cs="宋体"/>
                <w:kern w:val="0"/>
                <w:sz w:val="24"/>
                <w:szCs w:val="24"/>
              </w:rPr>
            </w:pPr>
            <w:r w:rsidRPr="009D4B3C">
              <w:rPr>
                <w:rFonts w:ascii="仿宋" w:eastAsia="仿宋" w:hAnsi="仿宋" w:cs="宋体" w:hint="eastAsia"/>
                <w:kern w:val="0"/>
                <w:sz w:val="24"/>
                <w:szCs w:val="24"/>
              </w:rPr>
              <w:t>1项</w:t>
            </w:r>
          </w:p>
        </w:tc>
        <w:tc>
          <w:tcPr>
            <w:tcW w:w="2693" w:type="dxa"/>
            <w:vAlign w:val="center"/>
          </w:tcPr>
          <w:p w:rsidR="009D4B3C" w:rsidRPr="009D4B3C" w:rsidRDefault="009D4B3C" w:rsidP="009D4B3C">
            <w:pPr>
              <w:jc w:val="center"/>
              <w:rPr>
                <w:rFonts w:ascii="仿宋" w:eastAsia="仿宋" w:hAnsi="仿宋" w:cs="宋体"/>
                <w:kern w:val="0"/>
                <w:sz w:val="24"/>
                <w:szCs w:val="24"/>
              </w:rPr>
            </w:pPr>
            <w:r w:rsidRPr="009D4B3C">
              <w:rPr>
                <w:rFonts w:ascii="仿宋" w:eastAsia="仿宋" w:hAnsi="仿宋" w:cs="宋体"/>
                <w:kern w:val="0"/>
                <w:sz w:val="24"/>
                <w:szCs w:val="24"/>
              </w:rPr>
              <w:t>否</w:t>
            </w:r>
          </w:p>
        </w:tc>
      </w:tr>
    </w:tbl>
    <w:p w:rsidR="009D4B3C" w:rsidRPr="009D4B3C" w:rsidRDefault="009D4B3C" w:rsidP="009D4B3C">
      <w:pPr>
        <w:spacing w:line="360" w:lineRule="auto"/>
        <w:contextualSpacing/>
        <w:rPr>
          <w:rFonts w:ascii="仿宋" w:eastAsia="仿宋" w:hAnsi="仿宋" w:cs="宋体"/>
          <w:b/>
          <w:bCs/>
          <w:sz w:val="24"/>
          <w:szCs w:val="24"/>
        </w:rPr>
      </w:pPr>
      <w:r w:rsidRPr="009D4B3C">
        <w:rPr>
          <w:rFonts w:ascii="仿宋" w:eastAsia="仿宋" w:hAnsi="仿宋" w:cs="宋体" w:hint="eastAsia"/>
          <w:b/>
          <w:bCs/>
          <w:sz w:val="24"/>
          <w:szCs w:val="24"/>
        </w:rPr>
        <w:t>（二）项目背景/项目概述</w:t>
      </w:r>
    </w:p>
    <w:p w:rsidR="009D4B3C" w:rsidRPr="009D4B3C" w:rsidRDefault="009D4B3C" w:rsidP="009D4B3C">
      <w:pPr>
        <w:spacing w:line="360" w:lineRule="auto"/>
        <w:ind w:firstLineChars="200" w:firstLine="480"/>
        <w:contextualSpacing/>
        <w:rPr>
          <w:rFonts w:ascii="仿宋" w:eastAsia="仿宋" w:hAnsi="仿宋" w:cs="宋体"/>
          <w:sz w:val="24"/>
          <w:szCs w:val="24"/>
        </w:rPr>
      </w:pPr>
      <w:r w:rsidRPr="009D4B3C">
        <w:rPr>
          <w:rFonts w:ascii="仿宋" w:eastAsia="仿宋" w:hAnsi="仿宋" w:cs="宋体" w:hint="eastAsia"/>
          <w:sz w:val="24"/>
          <w:szCs w:val="24"/>
        </w:rPr>
        <w:t>本项目旨在为北京市公安局东城分局配备专业应急处突保安员，协助民警维护辖区治安，提升公安系统应急处突与风险防控能力，筑牢安全防线。</w:t>
      </w:r>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二、商务要求</w:t>
      </w:r>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（一）交付（实施）的时间（期限）和地点（范围）</w:t>
      </w:r>
    </w:p>
    <w:p w:rsidR="009D4B3C" w:rsidRPr="009D4B3C" w:rsidRDefault="009D4B3C" w:rsidP="009D4B3C">
      <w:pPr>
        <w:spacing w:line="360" w:lineRule="auto"/>
        <w:ind w:firstLineChars="200" w:firstLine="480"/>
        <w:rPr>
          <w:rFonts w:ascii="仿宋" w:eastAsia="仿宋" w:hAnsi="仿宋" w:cs="宋体"/>
          <w:bCs/>
          <w:sz w:val="24"/>
          <w:szCs w:val="24"/>
        </w:rPr>
      </w:pPr>
      <w:r w:rsidRPr="009D4B3C">
        <w:rPr>
          <w:rFonts w:ascii="仿宋" w:eastAsia="仿宋" w:hAnsi="仿宋" w:cs="宋体" w:hint="eastAsia"/>
          <w:bCs/>
          <w:sz w:val="24"/>
          <w:szCs w:val="24"/>
        </w:rPr>
        <w:t>服务期限：自合同签订并生效之日起一年。</w:t>
      </w:r>
    </w:p>
    <w:p w:rsidR="009D4B3C" w:rsidRPr="009D4B3C" w:rsidRDefault="009D4B3C" w:rsidP="009D4B3C">
      <w:pPr>
        <w:spacing w:line="360" w:lineRule="auto"/>
        <w:ind w:firstLineChars="200" w:firstLine="480"/>
        <w:rPr>
          <w:rFonts w:ascii="仿宋" w:eastAsia="仿宋" w:hAnsi="仿宋" w:cs="宋体"/>
          <w:bCs/>
          <w:sz w:val="24"/>
          <w:szCs w:val="24"/>
        </w:rPr>
      </w:pPr>
      <w:r w:rsidRPr="009D4B3C">
        <w:rPr>
          <w:rFonts w:ascii="仿宋" w:eastAsia="仿宋" w:hAnsi="仿宋" w:cs="宋体" w:hint="eastAsia"/>
          <w:bCs/>
          <w:sz w:val="24"/>
          <w:szCs w:val="24"/>
        </w:rPr>
        <w:t>地点：采购人指定地点。</w:t>
      </w:r>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（二）付款条件（进度和方式）</w:t>
      </w:r>
    </w:p>
    <w:p w:rsidR="009D4B3C" w:rsidRPr="009D4B3C" w:rsidRDefault="009D4B3C" w:rsidP="009D4B3C">
      <w:pPr>
        <w:spacing w:line="360" w:lineRule="auto"/>
        <w:ind w:firstLineChars="200" w:firstLine="480"/>
        <w:rPr>
          <w:rFonts w:ascii="仿宋" w:eastAsia="仿宋" w:hAnsi="仿宋" w:cs="宋体"/>
          <w:bCs/>
          <w:sz w:val="24"/>
          <w:szCs w:val="24"/>
        </w:rPr>
      </w:pPr>
      <w:r w:rsidRPr="009D4B3C">
        <w:rPr>
          <w:rFonts w:ascii="仿宋" w:eastAsia="仿宋" w:hAnsi="仿宋" w:cs="宋体" w:hint="eastAsia"/>
          <w:bCs/>
          <w:sz w:val="24"/>
          <w:szCs w:val="24"/>
        </w:rPr>
        <w:t>按月度支付</w:t>
      </w:r>
      <w:r w:rsidRPr="009D4B3C">
        <w:rPr>
          <w:rFonts w:ascii="仿宋" w:eastAsia="仿宋" w:hAnsi="仿宋" w:cs="宋体"/>
          <w:bCs/>
          <w:sz w:val="24"/>
          <w:szCs w:val="24"/>
        </w:rPr>
        <w:t>，</w:t>
      </w:r>
      <w:r w:rsidRPr="009D4B3C">
        <w:rPr>
          <w:rFonts w:ascii="仿宋" w:eastAsia="仿宋" w:hAnsi="仿宋" w:cs="宋体" w:hint="eastAsia"/>
          <w:bCs/>
          <w:sz w:val="24"/>
          <w:szCs w:val="24"/>
        </w:rPr>
        <w:t>中标人每月提供服务后10个工作日内，采购人向中标人支付上月服务费用。</w:t>
      </w:r>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三、技术要求</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（一）基本要求</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1、采购标的需实现的功能或者目标</w:t>
      </w:r>
    </w:p>
    <w:p w:rsidR="009D4B3C" w:rsidRPr="009D4B3C" w:rsidRDefault="009D4B3C" w:rsidP="009D4B3C">
      <w:pPr>
        <w:spacing w:line="540" w:lineRule="exact"/>
        <w:ind w:firstLineChars="200" w:firstLine="480"/>
        <w:rPr>
          <w:rFonts w:ascii="仿宋" w:eastAsia="仿宋" w:hAnsi="仿宋" w:cs="Times New Roman"/>
          <w:kern w:val="0"/>
          <w:sz w:val="24"/>
          <w:szCs w:val="24"/>
        </w:rPr>
      </w:pPr>
      <w:r w:rsidRPr="009D4B3C">
        <w:rPr>
          <w:rFonts w:ascii="仿宋" w:eastAsia="仿宋" w:hAnsi="仿宋" w:cs="Times New Roman" w:hint="eastAsia"/>
          <w:kern w:val="0"/>
          <w:sz w:val="24"/>
          <w:szCs w:val="24"/>
        </w:rPr>
        <w:t>本项目旨在为北京市公安局东城分局配备专业应急处突保安员，协助民警维护辖区治安，提升公安系统应急处突与风险防控能力，筑牢安全防线。</w:t>
      </w:r>
    </w:p>
    <w:p w:rsidR="009D4B3C" w:rsidRPr="009D4B3C" w:rsidRDefault="009D4B3C" w:rsidP="009D4B3C">
      <w:pPr>
        <w:spacing w:after="120" w:line="480" w:lineRule="exact"/>
        <w:rPr>
          <w:rFonts w:ascii="仿宋" w:eastAsia="仿宋" w:hAnsi="仿宋" w:cs="仿宋"/>
          <w:b/>
          <w:sz w:val="24"/>
          <w:szCs w:val="20"/>
        </w:rPr>
      </w:pPr>
      <w:r w:rsidRPr="009D4B3C">
        <w:rPr>
          <w:rFonts w:ascii="仿宋" w:eastAsia="仿宋" w:hAnsi="仿宋" w:cs="Times New Roman" w:hint="eastAsia"/>
          <w:b/>
          <w:sz w:val="24"/>
          <w:szCs w:val="24"/>
        </w:rPr>
        <w:t>2、</w:t>
      </w:r>
      <w:r w:rsidRPr="009D4B3C">
        <w:rPr>
          <w:rFonts w:ascii="仿宋" w:eastAsia="仿宋" w:hAnsi="仿宋" w:cs="仿宋" w:hint="eastAsia"/>
          <w:b/>
          <w:sz w:val="24"/>
          <w:szCs w:val="20"/>
        </w:rPr>
        <w:t>需执行的国家相关标准、行业标准、地方标准或者其他标准、规范</w:t>
      </w:r>
    </w:p>
    <w:p w:rsidR="009D4B3C" w:rsidRPr="009D4B3C" w:rsidRDefault="009D4B3C" w:rsidP="009D4B3C">
      <w:pPr>
        <w:spacing w:after="120" w:line="480" w:lineRule="exact"/>
        <w:ind w:firstLineChars="200" w:firstLine="480"/>
        <w:rPr>
          <w:rFonts w:ascii="仿宋" w:eastAsia="仿宋" w:hAnsi="仿宋" w:cs="Times New Roman"/>
          <w:sz w:val="24"/>
          <w:szCs w:val="24"/>
        </w:rPr>
      </w:pPr>
      <w:r w:rsidRPr="009D4B3C">
        <w:rPr>
          <w:rFonts w:ascii="仿宋" w:eastAsia="仿宋" w:hAnsi="仿宋" w:cs="Times New Roman" w:hint="eastAsia"/>
          <w:kern w:val="0"/>
          <w:sz w:val="24"/>
          <w:szCs w:val="24"/>
        </w:rPr>
        <w:t>采购标的需执行国家相关标准、行业标准、地方标准或者其他标准、规范，如有更新以最新国家或行业标准执行。</w:t>
      </w:r>
    </w:p>
    <w:p w:rsidR="009D4B3C" w:rsidRPr="009D4B3C" w:rsidRDefault="009D4B3C" w:rsidP="009D4B3C">
      <w:pPr>
        <w:spacing w:after="120" w:line="480" w:lineRule="exact"/>
        <w:rPr>
          <w:rFonts w:ascii="仿宋" w:eastAsia="仿宋" w:hAnsi="仿宋" w:cs="宋体"/>
          <w:b/>
          <w:sz w:val="24"/>
          <w:szCs w:val="24"/>
        </w:rPr>
      </w:pPr>
      <w:r w:rsidRPr="009D4B3C">
        <w:rPr>
          <w:rFonts w:ascii="仿宋" w:eastAsia="仿宋" w:hAnsi="仿宋" w:cs="宋体" w:hint="eastAsia"/>
          <w:b/>
          <w:sz w:val="24"/>
          <w:szCs w:val="24"/>
        </w:rPr>
        <w:t>（二）服务内容及要求</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1、采购标的需满足的服务标准、期限、效率等要求；</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服务期：自合同签订并生效之日起一年。</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2、为落实政府采购政策需满足的要求：</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lastRenderedPageBreak/>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9D4B3C">
        <w:rPr>
          <w:rFonts w:ascii="仿宋" w:eastAsia="仿宋" w:hAnsi="仿宋" w:cs="仿宋" w:hint="eastAsia"/>
          <w:bCs/>
          <w:sz w:val="24"/>
          <w:szCs w:val="24"/>
        </w:rPr>
        <w:t>声明函不真实</w:t>
      </w:r>
      <w:proofErr w:type="gramEnd"/>
      <w:r w:rsidRPr="009D4B3C">
        <w:rPr>
          <w:rFonts w:ascii="仿宋" w:eastAsia="仿宋" w:hAnsi="仿宋" w:cs="仿宋" w:hint="eastAsia"/>
          <w:bCs/>
          <w:sz w:val="24"/>
          <w:szCs w:val="24"/>
        </w:rPr>
        <w:t>的，应承担相应的法律责任。（注：依据《政府采购促进中小企业发展管理办法》规定享受扶持政策获得政府采购合同的小</w:t>
      </w:r>
      <w:proofErr w:type="gramStart"/>
      <w:r w:rsidRPr="009D4B3C">
        <w:rPr>
          <w:rFonts w:ascii="仿宋" w:eastAsia="仿宋" w:hAnsi="仿宋" w:cs="仿宋" w:hint="eastAsia"/>
          <w:bCs/>
          <w:sz w:val="24"/>
          <w:szCs w:val="24"/>
        </w:rPr>
        <w:t>微企业</w:t>
      </w:r>
      <w:proofErr w:type="gramEnd"/>
      <w:r w:rsidRPr="009D4B3C">
        <w:rPr>
          <w:rFonts w:ascii="仿宋" w:eastAsia="仿宋" w:hAnsi="仿宋" w:cs="仿宋" w:hint="eastAsia"/>
          <w:bCs/>
          <w:sz w:val="24"/>
          <w:szCs w:val="24"/>
        </w:rPr>
        <w:t>不得将合同分包给大中型企业，中型企业不得将合同分包给大型企业。）</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9D4B3C" w:rsidRPr="009D4B3C" w:rsidRDefault="009D4B3C" w:rsidP="009D4B3C">
      <w:pPr>
        <w:snapToGrid w:val="0"/>
        <w:spacing w:line="360" w:lineRule="auto"/>
        <w:ind w:firstLineChars="200" w:firstLine="480"/>
        <w:rPr>
          <w:rFonts w:ascii="仿宋" w:eastAsia="仿宋" w:hAnsi="仿宋" w:cs="仿宋"/>
          <w:bCs/>
          <w:sz w:val="24"/>
          <w:szCs w:val="24"/>
        </w:rPr>
      </w:pPr>
      <w:bookmarkStart w:id="1" w:name="OLE_LINK113"/>
      <w:r w:rsidRPr="009D4B3C">
        <w:rPr>
          <w:rFonts w:ascii="仿宋" w:eastAsia="仿宋" w:hAnsi="仿宋" w:cs="仿宋" w:hint="eastAsia"/>
          <w:bCs/>
          <w:sz w:val="24"/>
          <w:szCs w:val="24"/>
        </w:rPr>
        <w:lastRenderedPageBreak/>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2" w:name="OLE_LINK56"/>
      <w:bookmarkStart w:id="3" w:name="OLE_LINK55"/>
      <w:r w:rsidRPr="009D4B3C">
        <w:rPr>
          <w:rFonts w:ascii="仿宋" w:eastAsia="仿宋" w:hAnsi="仿宋" w:cs="仿宋" w:hint="eastAsia"/>
          <w:b/>
          <w:bCs/>
          <w:sz w:val="24"/>
          <w:szCs w:val="24"/>
        </w:rPr>
        <w:t>投标人</w:t>
      </w:r>
      <w:bookmarkEnd w:id="2"/>
      <w:bookmarkEnd w:id="3"/>
      <w:r w:rsidRPr="009D4B3C">
        <w:rPr>
          <w:rFonts w:ascii="仿宋" w:eastAsia="仿宋" w:hAnsi="仿宋" w:cs="仿宋" w:hint="eastAsia"/>
          <w:b/>
          <w:bCs/>
          <w:sz w:val="24"/>
          <w:szCs w:val="24"/>
        </w:rPr>
        <w:t>应出具招标文件要求的证明材料给予证明，否则评标时不予认可。投标人应对提交的证明材料真实性负责，</w:t>
      </w:r>
      <w:r w:rsidRPr="009D4B3C">
        <w:rPr>
          <w:rFonts w:ascii="仿宋" w:eastAsia="仿宋" w:hAnsi="仿宋" w:cs="仿宋" w:hint="eastAsia"/>
          <w:bCs/>
          <w:sz w:val="24"/>
          <w:szCs w:val="24"/>
        </w:rPr>
        <w:t>提交证明材料不真实的，应承担相应的法律责任。</w:t>
      </w:r>
      <w:bookmarkEnd w:id="1"/>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3、采购标的</w:t>
      </w:r>
      <w:proofErr w:type="gramStart"/>
      <w:r w:rsidRPr="009D4B3C">
        <w:rPr>
          <w:rFonts w:ascii="仿宋" w:eastAsia="仿宋" w:hAnsi="仿宋" w:cs="宋体" w:hint="eastAsia"/>
          <w:b/>
          <w:sz w:val="24"/>
          <w:szCs w:val="24"/>
        </w:rPr>
        <w:t>的</w:t>
      </w:r>
      <w:proofErr w:type="gramEnd"/>
      <w:r w:rsidRPr="009D4B3C">
        <w:rPr>
          <w:rFonts w:ascii="仿宋" w:eastAsia="仿宋" w:hAnsi="仿宋" w:cs="宋体" w:hint="eastAsia"/>
          <w:b/>
          <w:sz w:val="24"/>
          <w:szCs w:val="24"/>
        </w:rPr>
        <w:t>其他技术、服务等要求：</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投标人应配备不少于54名应急处突保安服务人员(含应急处突保安队长和应急处突保安员，不含项目负责人)进行保安服务。</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具体服务内容:</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（1）配合采购人开展日常及重大安</w:t>
      </w:r>
      <w:proofErr w:type="gramStart"/>
      <w:r w:rsidRPr="009D4B3C">
        <w:rPr>
          <w:rFonts w:ascii="仿宋" w:eastAsia="仿宋" w:hAnsi="仿宋" w:cs="宋体" w:hint="eastAsia"/>
          <w:sz w:val="24"/>
          <w:szCs w:val="24"/>
        </w:rPr>
        <w:t>保期间</w:t>
      </w:r>
      <w:proofErr w:type="gramEnd"/>
      <w:r w:rsidRPr="009D4B3C">
        <w:rPr>
          <w:rFonts w:ascii="仿宋" w:eastAsia="仿宋" w:hAnsi="仿宋" w:cs="宋体" w:hint="eastAsia"/>
          <w:sz w:val="24"/>
          <w:szCs w:val="24"/>
        </w:rPr>
        <w:t>应急处突和前置备勤等工作，保障地区安全稳定。</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（2）日常的秩序维护。</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（3）配合采购人及时处置区域内各类纠纷和治安案件，及时、正确处理区域内的各类突发事件。</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（4）配合采购人，打击区域内的违法犯罪活动。</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（5）配合采购人，实施突发事件及防暴的应急处理。</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（6）完成采购人交办的安保工作任务。</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（7）完成其他采购人临时安排交办的工作，如雨雪冰冻等极端天气或事故灾害等事件发生时采购人临时安排交办的任务。</w:t>
      </w:r>
    </w:p>
    <w:p w:rsidR="009D4B3C" w:rsidRPr="009D4B3C" w:rsidRDefault="009D4B3C" w:rsidP="009D4B3C">
      <w:pPr>
        <w:spacing w:after="120" w:line="480" w:lineRule="exact"/>
        <w:rPr>
          <w:rFonts w:ascii="仿宋" w:eastAsia="仿宋" w:hAnsi="仿宋" w:cs="宋体"/>
          <w:b/>
          <w:sz w:val="24"/>
          <w:szCs w:val="24"/>
        </w:rPr>
      </w:pPr>
      <w:r w:rsidRPr="009D4B3C">
        <w:rPr>
          <w:rFonts w:ascii="仿宋" w:eastAsia="仿宋" w:hAnsi="仿宋" w:cs="宋体" w:hint="eastAsia"/>
          <w:b/>
          <w:sz w:val="24"/>
          <w:szCs w:val="24"/>
        </w:rPr>
        <w:t>（三）其他要求</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1、人员要求</w:t>
      </w:r>
    </w:p>
    <w:p w:rsidR="009D4B3C" w:rsidRPr="009D4B3C" w:rsidRDefault="009D4B3C" w:rsidP="009D4B3C">
      <w:pPr>
        <w:snapToGrid w:val="0"/>
        <w:spacing w:line="360" w:lineRule="auto"/>
        <w:ind w:firstLineChars="200" w:firstLine="482"/>
        <w:rPr>
          <w:rFonts w:ascii="仿宋" w:eastAsia="仿宋" w:hAnsi="仿宋" w:cs="仿宋"/>
          <w:b/>
          <w:bCs/>
          <w:sz w:val="24"/>
          <w:szCs w:val="24"/>
        </w:rPr>
      </w:pPr>
      <w:r w:rsidRPr="009D4B3C">
        <w:rPr>
          <w:rFonts w:ascii="仿宋" w:eastAsia="仿宋" w:hAnsi="仿宋" w:cs="仿宋" w:hint="eastAsia"/>
          <w:b/>
          <w:bCs/>
          <w:sz w:val="24"/>
          <w:szCs w:val="24"/>
        </w:rPr>
        <w:t>★（1）投标人须确保能够在中标后1个工作日内按招标文件要求及投标文件中的拟派人员向采购人提供不低于70人符合岗位职责要求的应急处突保安储备人员名录，以及全部人员的相关证件(包括身份证、保安员证等)，且保证名录中至少54名人员能够通过体检及采购人组织的体能测试。否则采购人有权拒绝与中标人签署合同，并在公安系统内部通报中标人虚假承诺行为，同时向财</w:t>
      </w:r>
      <w:r w:rsidRPr="009D4B3C">
        <w:rPr>
          <w:rFonts w:ascii="仿宋" w:eastAsia="仿宋" w:hAnsi="仿宋" w:cs="仿宋" w:hint="eastAsia"/>
          <w:b/>
          <w:bCs/>
          <w:sz w:val="24"/>
          <w:szCs w:val="24"/>
        </w:rPr>
        <w:lastRenderedPageBreak/>
        <w:t>政部门举报中标人提供虚假承诺谋取中标的行为。同时，投标人提供的保安员应在服务期内保证身体健康(达到体检标准)并保持良好的身体素质及体能，采购人在服务期内有权随时对保安员进行检查及测试，如保安员未达到体检标准或体测不合格，投标人应在3个工作日内替补合格保安员。（投标人须提供承诺函并加盖投标人单位公章，格式自拟）</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2）投标人应根据项目需求，组建针对本项目的管理组织，管理组织(不含项目负责人)应不少于5人，并具备人力资源和社会保障部门颁发的安全保护服务人员/保安师职业资格证书(等级为一级/高级技师或二级/技师)。</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3）投标人应指定项目负责人1名，项目负责人建议择优选择具备人力资源和社会保障部门颁发的安全保护服务人员职业资格证书(等级为一级/高级技师或二级/技师)、本科以上学历、10年(含)以上工作经验的中共党员或退伍军人。</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（4）人员数量要求</w:t>
      </w:r>
      <w:r w:rsidR="00BC145C">
        <w:rPr>
          <w:rFonts w:ascii="仿宋" w:eastAsia="仿宋" w:hAnsi="仿宋" w:cs="仿宋" w:hint="eastAsia"/>
          <w:bCs/>
          <w:sz w:val="24"/>
          <w:szCs w:val="24"/>
        </w:rPr>
        <w:t>：</w:t>
      </w:r>
      <w:r w:rsidRPr="009D4B3C">
        <w:rPr>
          <w:rFonts w:ascii="仿宋" w:eastAsia="仿宋" w:hAnsi="仿宋" w:cs="仿宋" w:hint="eastAsia"/>
          <w:bCs/>
          <w:sz w:val="24"/>
          <w:szCs w:val="24"/>
        </w:rPr>
        <w:t>指派由满足项目需求的至少54名应急处突保安服务人员(不含项目负责人)进行保安服务。其中应急处突</w:t>
      </w:r>
      <w:bookmarkStart w:id="4" w:name="_GoBack"/>
      <w:bookmarkEnd w:id="4"/>
      <w:r w:rsidRPr="009D4B3C">
        <w:rPr>
          <w:rFonts w:ascii="仿宋" w:eastAsia="仿宋" w:hAnsi="仿宋" w:cs="仿宋" w:hint="eastAsia"/>
          <w:bCs/>
          <w:sz w:val="24"/>
          <w:szCs w:val="24"/>
        </w:rPr>
        <w:t>保安队长3人，具备丰富的相关工作经验，中共党员、退伍军人优先。</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（5）应急处突保安服务人员年龄要求:应急处突保安员及应急处突保安队长均要求在18周岁以上35周岁及以下（含本数）。</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（6）男性，1.75米以上，身体健康、匀称、五官端正、形象良好，高中及以上文化程度，无纹身。</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7）所有拟派的应急处突保安服务人员身份证、公安部门颁发的从业资格证书齐全，无违法行为记录。政治思想可靠，作风正派，知法、懂法、守法，依法办事。投标人应确保拟派人员无违法行为记录，并在投标文件中提供人员安全可靠性的保障措施。</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（8）应急处突保安服务人员应责任心强，忠于职守，要有吃苦耐劳的精神和高度的责任感，热爱本职工作，岗位业务技能过硬，服从指挥。</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（9）应急处突保安服务人员要遵守和执行保安行业制度及采购人有关制度。</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（10）应急处突保安服务人员要严格履行岗位职责，善于发现各类问题，具备一定的处理突发事件能力。</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（11）应急处突保安服务人员执行勤务</w:t>
      </w:r>
      <w:proofErr w:type="gramStart"/>
      <w:r w:rsidRPr="009D4B3C">
        <w:rPr>
          <w:rFonts w:ascii="仿宋" w:eastAsia="仿宋" w:hAnsi="仿宋" w:cs="仿宋" w:hint="eastAsia"/>
          <w:bCs/>
          <w:sz w:val="24"/>
          <w:szCs w:val="24"/>
        </w:rPr>
        <w:t>时着</w:t>
      </w:r>
      <w:proofErr w:type="gramEnd"/>
      <w:r w:rsidRPr="009D4B3C">
        <w:rPr>
          <w:rFonts w:ascii="仿宋" w:eastAsia="仿宋" w:hAnsi="仿宋" w:cs="仿宋" w:hint="eastAsia"/>
          <w:bCs/>
          <w:sz w:val="24"/>
          <w:szCs w:val="24"/>
        </w:rPr>
        <w:t>统一服装（服装由投标人提供），佩戴统一标志，持有保安员证或职业资格证。</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lastRenderedPageBreak/>
        <w:t>（12）人员体检要求及体测标准见本章附件:附件1人员体检要求、附件2人员体测标准。</w:t>
      </w:r>
    </w:p>
    <w:p w:rsidR="009D4B3C" w:rsidRPr="009D4B3C" w:rsidRDefault="009D4B3C" w:rsidP="009D4B3C">
      <w:pPr>
        <w:snapToGrid w:val="0"/>
        <w:spacing w:line="360" w:lineRule="auto"/>
        <w:ind w:firstLineChars="200" w:firstLine="482"/>
        <w:rPr>
          <w:rFonts w:ascii="仿宋" w:eastAsia="仿宋" w:hAnsi="仿宋" w:cs="仿宋"/>
          <w:b/>
          <w:bCs/>
          <w:sz w:val="24"/>
          <w:szCs w:val="24"/>
        </w:rPr>
      </w:pPr>
      <w:r w:rsidRPr="009D4B3C">
        <w:rPr>
          <w:rFonts w:ascii="仿宋" w:eastAsia="仿宋" w:hAnsi="仿宋" w:cs="仿宋" w:hint="eastAsia"/>
          <w:b/>
          <w:bCs/>
          <w:sz w:val="24"/>
          <w:szCs w:val="24"/>
        </w:rPr>
        <w:t>★（13）投标人须承诺：如获中标，投标人知晓并接受采购人对实际到岗人员与投标人提供的人员名录一致性的抽查。如实际到岗人员与投标人投标文件中提供的人员名录不一致，或连续3日出现10%的用人空缺，采购人有权解除合同，并就由此产生的损失要求投标人进行赔偿。（投标人须提供承诺函并加盖投标人单位公章，格式自拟）</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2、工作及供应商要求</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（1）投标人应具有公安部门颁发的有效的保安服务许可证。</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（2）投标人应具有良好的社会信誉和对相关法律、法规、政策的准确把握能力。</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（3）投标人具备符合本项目服务要求的能力和经验。如投标人自2023年1月1日以来，具备承担过的应急处突保安服务类项目业绩，可在投标文件中提供项目合同。</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（4）投标人应独立完成应急处突保安工作，接受采购人监督，按采购人的要求，认真组织、严密实施保安工作。</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（5）投标人必须严格遵守中华人民共和国国务院令第564号《保安服务管理条例》等相关法律法规，并遵守采购人的各项管理制度。</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（6）投标人应建立完善的应急处理机制，针对突发事件，制定有针对性和可操作性的应急处理预案，具备组成突发事件应急小分队和处理突发事件的快速反应能力。</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（7）投标人应保证应急处突保安服务</w:t>
      </w:r>
      <w:proofErr w:type="gramStart"/>
      <w:r w:rsidRPr="009D4B3C">
        <w:rPr>
          <w:rFonts w:ascii="仿宋" w:eastAsia="仿宋" w:hAnsi="仿宋" w:cs="仿宋" w:hint="eastAsia"/>
          <w:bCs/>
          <w:sz w:val="24"/>
          <w:szCs w:val="24"/>
        </w:rPr>
        <w:t>人员着</w:t>
      </w:r>
      <w:proofErr w:type="gramEnd"/>
      <w:r w:rsidRPr="009D4B3C">
        <w:rPr>
          <w:rFonts w:ascii="仿宋" w:eastAsia="仿宋" w:hAnsi="仿宋" w:cs="仿宋" w:hint="eastAsia"/>
          <w:bCs/>
          <w:sz w:val="24"/>
          <w:szCs w:val="24"/>
        </w:rPr>
        <w:t>统一的保安服装。为应急处突保安服务人员配备防护装备包括保安服装、皮靴、腰带等每人各一套。</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（8）投标人应确保已与应急处突保安服务人员签订《劳动合同》，按照国家及北京市规定为其缴纳各项社会保险和其他费用。</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（9）因本项目保安工作的特殊性质，供应商应有做好保密工作的相关经验及相应的管理制度及安全管理制度，并有责任在提供服务时履行保密义务。</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10）应急处突保安服务人员日常工作由北京市公安局东城分局按照相关规章制度及岗位职责进行监督和管理。中标单位负责应急处突保安服务人员的招聘、人事、薪酬、社会保险、培训、体检等人事管理工作，并为应急处突保安服务人</w:t>
      </w:r>
      <w:r w:rsidRPr="009D4B3C">
        <w:rPr>
          <w:rFonts w:ascii="仿宋" w:eastAsia="仿宋" w:hAnsi="仿宋" w:cs="仿宋" w:hint="eastAsia"/>
          <w:bCs/>
          <w:sz w:val="24"/>
          <w:szCs w:val="24"/>
        </w:rPr>
        <w:lastRenderedPageBreak/>
        <w:t>员办理劳动用工手续(签订及解除劳动合同等)。</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（11）投标人的投标报价应包含应急处突保安服务人员的食宿、训练、装备、服装、工资、加班费、福利费、社会保险费、工装费、符合国家规定保安人员的保险险种及意外伤害保险费、管理费、税费等费用。</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12）本项目主要安保任务为日常及重大安保期间处突和前置备勤等工作，以及实施突发事件及防暴的应急处理，供应商应对本项目安保任务和项目需求有深刻的理解，充分了解项目工作的重要性、服务要求和工作量，切合项目实际情况;对本项目服务内容重、难点分析透彻、合理、完善，切合项目实际情况。供应商可在投标文件中提供上述材料。</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13）投标人应根据项目需求，出具日常服务方案、重要节假日及重大活动服务方案、各项应急事件的预案及措施、人员安全可靠性及稳定保障措施方案及为本项目制定的各项管理制度及考核方案。投标人可在投标文件中提供上述材料。</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3、培训要求</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（1）投标人应每月定期对安保队员开展安全意识的教育。</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2）为了保证保安人员在服务期间从事防控、社会面巡控等工作的身体素质与能力，投标人须具备适宜保安人员训练、锻炼、食宿的培训(训练)基地。培训(训练)基地面积可满足本项目全部保安人员的日常训练、食宿，设施齐备，师资专业，满足本项目处突、防暴及各种应急处理的训练需要;应充分结合实际工作所需，制定日常训练方案和演习计划。投标人可在投标文件中提供关于上述内容的培训方案。</w:t>
      </w:r>
    </w:p>
    <w:p w:rsidR="009D4B3C" w:rsidRPr="009D4B3C" w:rsidRDefault="009D4B3C" w:rsidP="009D4B3C">
      <w:pPr>
        <w:snapToGrid w:val="0"/>
        <w:spacing w:line="360" w:lineRule="auto"/>
        <w:ind w:firstLineChars="200" w:firstLine="480"/>
        <w:rPr>
          <w:rFonts w:ascii="仿宋" w:eastAsia="仿宋" w:hAnsi="仿宋" w:cs="仿宋"/>
          <w:bCs/>
          <w:sz w:val="24"/>
          <w:szCs w:val="24"/>
        </w:rPr>
        <w:sectPr w:rsidR="009D4B3C" w:rsidRPr="009D4B3C">
          <w:pgSz w:w="11906" w:h="16838"/>
          <w:pgMar w:top="1440" w:right="1800" w:bottom="1440" w:left="1800" w:header="851" w:footer="992" w:gutter="0"/>
          <w:cols w:space="720"/>
          <w:docGrid w:type="lines" w:linePitch="312"/>
        </w:sectPr>
      </w:pPr>
      <w:r w:rsidRPr="009D4B3C">
        <w:rPr>
          <w:rFonts w:ascii="仿宋" w:eastAsia="仿宋" w:hAnsi="仿宋" w:cs="仿宋" w:hint="eastAsia"/>
          <w:bCs/>
          <w:sz w:val="24"/>
          <w:szCs w:val="24"/>
        </w:rPr>
        <w:t>（3）投标人应定期对安保队员开展各类预案的培训，定期组织演练，每月不少于一次。</w:t>
      </w:r>
    </w:p>
    <w:p w:rsidR="009D4B3C" w:rsidRPr="009D4B3C" w:rsidRDefault="009D4B3C" w:rsidP="009D4B3C">
      <w:pPr>
        <w:snapToGrid w:val="0"/>
        <w:spacing w:line="360" w:lineRule="auto"/>
        <w:ind w:firstLineChars="200" w:firstLine="482"/>
        <w:rPr>
          <w:rFonts w:ascii="仿宋" w:eastAsia="仿宋" w:hAnsi="仿宋" w:cs="宋体"/>
          <w:b/>
          <w:sz w:val="24"/>
          <w:szCs w:val="24"/>
        </w:rPr>
      </w:pPr>
      <w:r w:rsidRPr="009D4B3C">
        <w:rPr>
          <w:rFonts w:ascii="仿宋" w:eastAsia="仿宋" w:hAnsi="仿宋" w:cs="宋体" w:hint="eastAsia"/>
          <w:b/>
          <w:sz w:val="24"/>
          <w:szCs w:val="24"/>
        </w:rPr>
        <w:lastRenderedPageBreak/>
        <w:t>附件1人员体检要求</w:t>
      </w:r>
    </w:p>
    <w:p w:rsidR="009D4B3C" w:rsidRPr="009D4B3C" w:rsidRDefault="009D4B3C" w:rsidP="009D4B3C">
      <w:pPr>
        <w:snapToGrid w:val="0"/>
        <w:spacing w:line="360" w:lineRule="auto"/>
        <w:ind w:firstLineChars="200" w:firstLine="480"/>
        <w:rPr>
          <w:rFonts w:ascii="仿宋" w:eastAsia="仿宋" w:hAnsi="仿宋" w:cs="宋体"/>
          <w:sz w:val="24"/>
          <w:szCs w:val="24"/>
        </w:rPr>
      </w:pP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第一条 风湿性心脏病、心肌病、冠心病、先天性心脏病等器质性心脏病，不合格。遇有下列情况之一的，排除病理性改变，合格: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w:t>
      </w:r>
      <w:proofErr w:type="gramStart"/>
      <w:r w:rsidRPr="009D4B3C">
        <w:rPr>
          <w:rFonts w:ascii="仿宋" w:eastAsia="仿宋" w:hAnsi="仿宋" w:cs="宋体" w:hint="eastAsia"/>
          <w:sz w:val="24"/>
          <w:szCs w:val="24"/>
        </w:rPr>
        <w:t>一</w:t>
      </w:r>
      <w:proofErr w:type="gramEnd"/>
      <w:r w:rsidRPr="009D4B3C">
        <w:rPr>
          <w:rFonts w:ascii="仿宋" w:eastAsia="仿宋" w:hAnsi="仿宋" w:cs="宋体" w:hint="eastAsia"/>
          <w:sz w:val="24"/>
          <w:szCs w:val="24"/>
        </w:rPr>
        <w:t>)心脏听诊有杂音;</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(二)频发期前收缩;</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(三)心率每分钟小于50次或大于110次;</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(四)心电图有异常的其他情况。</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第二条 血压在下列范围内，合格:收缩压小于140mmHg;舒张压小于90mmlHg。第三条 血液系统疾病，不合格。单纯性缺铁性贫血，血红蛋白高于90g/L，合格。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第四条 结核病不合格。但下列情况合格: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w:t>
      </w:r>
      <w:proofErr w:type="gramStart"/>
      <w:r w:rsidRPr="009D4B3C">
        <w:rPr>
          <w:rFonts w:ascii="仿宋" w:eastAsia="仿宋" w:hAnsi="仿宋" w:cs="宋体" w:hint="eastAsia"/>
          <w:sz w:val="24"/>
          <w:szCs w:val="24"/>
        </w:rPr>
        <w:t>一</w:t>
      </w:r>
      <w:proofErr w:type="gramEnd"/>
      <w:r w:rsidRPr="009D4B3C">
        <w:rPr>
          <w:rFonts w:ascii="仿宋" w:eastAsia="仿宋" w:hAnsi="仿宋" w:cs="宋体" w:hint="eastAsia"/>
          <w:sz w:val="24"/>
          <w:szCs w:val="24"/>
        </w:rPr>
        <w:t>)原发性肺结核、继发性肺结核、结核性胸膜炎，临床治愈后稳定1年无变化者;</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(二)肺外结核病:肾结核、骨结核、腹膜结核、淋巴结核等，临床治愈后2年无复发，经专科医院检查无变化者。</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第五条 慢性支气管炎伴阻塞性肺气肿、支气管扩张、支气管哮喘，不合格。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第六条 慢性胰腺炎、溃疡性结肠炎、克罗恩病等严重慢性消化系统疾病，不合格。胃次全切除术后无严重并发症者，合格。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第七条 各种急慢性肝炎及肝硬化，不合格。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第八条 恶性肿瘤，不合格。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第九条 肾炎、慢性肾盂肾炎、多囊肾、肾功能不全，不合格。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第十条 糖尿病、尿崩症、肢端肥大症等内分泌系统疾病，不合格。甲状腺功能亢进治愈后1年无症状和体征者，合格。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第十一条 有癫痫病史、精神病史、癔病史、夜游症、严重的神经官能症(经常头痛头晕、失眠、记忆力明显下降等)，精神活性物质滥用和依赖者，不合格。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第十二条 红斑狼疮、皮肌炎和/或多发性肌炎、硬皮病、结节性多动脉炎、类风湿性关节炎等各种弥漫性结缔组织疾病，大动脉炎，不合格。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第十三条 晚期血吸虫病，晚期血丝虫病兼有橡皮肿或有乳糜尿，不合格。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lastRenderedPageBreak/>
        <w:t>第十四条 颅骨缺损、颅内异物存留、颅脑畸形、脑外伤后综合征，不合格。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第十五条 严重的慢性骨髓炎，不合格。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第十六条 三度单纯性甲状腺肿，不合格。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第十七条 有梗阻的胆结石或泌尿系结石，不合格。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第十八条 淋病、梅毒、软下疳、性病性淋巴肉芽肿、尖锐湿疣、生殖器疱疹，艾滋病，不合格。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第十九条 乙肝病原携带者，不合格。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第二十条 肢体功能障碍，不合格。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第二十一条 传染性、化脓性或渗出性皮肤病不合格。第二十二条 影响面容且难以治愈的皮肤病(如白癜风、银屑病、血管瘤、斑痣等)，或者外观存在明显疾病特征(如五官畸形、不能自行矫正的斜颈、步态异常等)，不合格。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第二十三条 未纳入体检标准，影响正常履行职责的其他严重疾病，不合格。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第二十四条 单侧裸眼视力低于4.8，不合格。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第二十五条 色盲，不合格。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第二十六条 纹身，不合格。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第二十七条 肢体功能障碍，不合格。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第二十八条 单侧耳语听力低于5米，不合格。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第二十九条 嗅觉迟钝，不合格。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第三十条 双侧耳语听力均低于5米，不合格。</w:t>
      </w:r>
    </w:p>
    <w:p w:rsidR="009D4B3C" w:rsidRPr="009D4B3C" w:rsidRDefault="009D4B3C" w:rsidP="009D4B3C">
      <w:pPr>
        <w:snapToGrid w:val="0"/>
        <w:spacing w:line="360" w:lineRule="auto"/>
        <w:ind w:firstLineChars="200" w:firstLine="480"/>
        <w:rPr>
          <w:rFonts w:ascii="仿宋" w:eastAsia="仿宋" w:hAnsi="仿宋" w:cs="宋体"/>
          <w:sz w:val="24"/>
          <w:szCs w:val="24"/>
        </w:rPr>
        <w:sectPr w:rsidR="009D4B3C" w:rsidRPr="009D4B3C">
          <w:pgSz w:w="11906" w:h="16838"/>
          <w:pgMar w:top="1440" w:right="1800" w:bottom="1440" w:left="1800" w:header="851" w:footer="992" w:gutter="0"/>
          <w:cols w:space="720"/>
          <w:docGrid w:type="lines" w:linePitch="312"/>
        </w:sectPr>
      </w:pPr>
      <w:r w:rsidRPr="009D4B3C">
        <w:rPr>
          <w:rFonts w:ascii="仿宋" w:eastAsia="仿宋" w:hAnsi="仿宋" w:cs="宋体" w:hint="eastAsia"/>
          <w:sz w:val="24"/>
          <w:szCs w:val="24"/>
        </w:rPr>
        <w:t>第三十一条 嗅觉迟钝，不合格。</w:t>
      </w:r>
    </w:p>
    <w:p w:rsidR="009D4B3C" w:rsidRPr="009D4B3C" w:rsidRDefault="009D4B3C" w:rsidP="009D4B3C">
      <w:pPr>
        <w:snapToGrid w:val="0"/>
        <w:spacing w:line="360" w:lineRule="auto"/>
        <w:ind w:firstLineChars="200" w:firstLine="482"/>
        <w:rPr>
          <w:rFonts w:ascii="仿宋" w:eastAsia="仿宋" w:hAnsi="仿宋" w:cs="宋体"/>
          <w:b/>
          <w:sz w:val="24"/>
          <w:szCs w:val="24"/>
        </w:rPr>
      </w:pPr>
      <w:r w:rsidRPr="009D4B3C">
        <w:rPr>
          <w:rFonts w:ascii="仿宋" w:eastAsia="仿宋" w:hAnsi="仿宋" w:cs="宋体" w:hint="eastAsia"/>
          <w:b/>
          <w:sz w:val="24"/>
          <w:szCs w:val="24"/>
        </w:rPr>
        <w:lastRenderedPageBreak/>
        <w:t>附件2 人员体测标准</w:t>
      </w:r>
    </w:p>
    <w:p w:rsidR="009D4B3C" w:rsidRPr="009D4B3C" w:rsidRDefault="009D4B3C" w:rsidP="009D4B3C">
      <w:pPr>
        <w:snapToGrid w:val="0"/>
        <w:spacing w:line="360" w:lineRule="auto"/>
        <w:ind w:firstLineChars="200" w:firstLine="480"/>
        <w:rPr>
          <w:rFonts w:ascii="仿宋" w:eastAsia="仿宋" w:hAnsi="仿宋" w:cs="宋体"/>
          <w:sz w:val="24"/>
          <w:szCs w:val="24"/>
        </w:rPr>
      </w:pPr>
    </w:p>
    <w:tbl>
      <w:tblPr>
        <w:tblStyle w:val="a5"/>
        <w:tblW w:w="0" w:type="auto"/>
        <w:tblLook w:val="04A0" w:firstRow="1" w:lastRow="0" w:firstColumn="1" w:lastColumn="0" w:noHBand="0" w:noVBand="1"/>
      </w:tblPr>
      <w:tblGrid>
        <w:gridCol w:w="534"/>
        <w:gridCol w:w="992"/>
        <w:gridCol w:w="1134"/>
        <w:gridCol w:w="1984"/>
        <w:gridCol w:w="2694"/>
        <w:gridCol w:w="1184"/>
      </w:tblGrid>
      <w:tr w:rsidR="009D4B3C" w:rsidRPr="009D4B3C" w:rsidTr="0072121E">
        <w:trPr>
          <w:trHeight w:val="567"/>
        </w:trPr>
        <w:tc>
          <w:tcPr>
            <w:tcW w:w="2660" w:type="dxa"/>
            <w:gridSpan w:val="3"/>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类别</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项目</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标准</w:t>
            </w:r>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及格</w:t>
            </w:r>
          </w:p>
        </w:tc>
      </w:tr>
      <w:tr w:rsidR="009D4B3C" w:rsidRPr="009D4B3C" w:rsidTr="0072121E">
        <w:trPr>
          <w:trHeight w:val="567"/>
        </w:trPr>
        <w:tc>
          <w:tcPr>
            <w:tcW w:w="534" w:type="dxa"/>
            <w:vMerge w:val="restart"/>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体能标准</w:t>
            </w:r>
          </w:p>
        </w:tc>
        <w:tc>
          <w:tcPr>
            <w:tcW w:w="992" w:type="dxa"/>
            <w:vMerge w:val="restart"/>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力量</w:t>
            </w:r>
          </w:p>
        </w:tc>
        <w:tc>
          <w:tcPr>
            <w:tcW w:w="113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上肢</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引体向上</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下垂两臂伸直，上拉</w:t>
            </w:r>
            <w:proofErr w:type="gramStart"/>
            <w:r w:rsidRPr="009D4B3C">
              <w:rPr>
                <w:rFonts w:ascii="仿宋" w:eastAsia="仿宋" w:hAnsi="仿宋" w:cs="宋体" w:hint="eastAsia"/>
                <w:sz w:val="24"/>
                <w:szCs w:val="24"/>
              </w:rPr>
              <w:t>下颚过杠</w:t>
            </w:r>
            <w:proofErr w:type="gramEnd"/>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15个</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992" w:type="dxa"/>
            <w:vMerge/>
            <w:vAlign w:val="center"/>
          </w:tcPr>
          <w:p w:rsidR="009D4B3C" w:rsidRPr="009D4B3C" w:rsidRDefault="009D4B3C" w:rsidP="009D4B3C">
            <w:pPr>
              <w:snapToGrid w:val="0"/>
              <w:jc w:val="center"/>
              <w:rPr>
                <w:rFonts w:ascii="仿宋" w:eastAsia="仿宋" w:hAnsi="仿宋" w:cs="宋体"/>
                <w:sz w:val="24"/>
                <w:szCs w:val="24"/>
              </w:rPr>
            </w:pPr>
          </w:p>
        </w:tc>
        <w:tc>
          <w:tcPr>
            <w:tcW w:w="113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腰腹</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仰卧起坐</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斜板45度(一分钟)</w:t>
            </w:r>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40个</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992" w:type="dxa"/>
            <w:vMerge/>
            <w:vAlign w:val="center"/>
          </w:tcPr>
          <w:p w:rsidR="009D4B3C" w:rsidRPr="009D4B3C" w:rsidRDefault="009D4B3C" w:rsidP="009D4B3C">
            <w:pPr>
              <w:snapToGrid w:val="0"/>
              <w:jc w:val="center"/>
              <w:rPr>
                <w:rFonts w:ascii="仿宋" w:eastAsia="仿宋" w:hAnsi="仿宋" w:cs="宋体"/>
                <w:sz w:val="24"/>
                <w:szCs w:val="24"/>
              </w:rPr>
            </w:pPr>
          </w:p>
        </w:tc>
        <w:tc>
          <w:tcPr>
            <w:tcW w:w="1134" w:type="dxa"/>
            <w:vMerge w:val="restart"/>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下肢</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杠铃深蹲</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60-80公斤(自身体重80%)膝关节弯曲90度以下</w:t>
            </w:r>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10个</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992" w:type="dxa"/>
            <w:vMerge/>
            <w:vAlign w:val="center"/>
          </w:tcPr>
          <w:p w:rsidR="009D4B3C" w:rsidRPr="009D4B3C" w:rsidRDefault="009D4B3C" w:rsidP="009D4B3C">
            <w:pPr>
              <w:snapToGrid w:val="0"/>
              <w:jc w:val="center"/>
              <w:rPr>
                <w:rFonts w:ascii="仿宋" w:eastAsia="仿宋" w:hAnsi="仿宋" w:cs="宋体"/>
                <w:sz w:val="24"/>
                <w:szCs w:val="24"/>
              </w:rPr>
            </w:pPr>
          </w:p>
        </w:tc>
        <w:tc>
          <w:tcPr>
            <w:tcW w:w="1134" w:type="dxa"/>
            <w:vMerge/>
            <w:vAlign w:val="center"/>
          </w:tcPr>
          <w:p w:rsidR="009D4B3C" w:rsidRPr="009D4B3C" w:rsidRDefault="009D4B3C" w:rsidP="009D4B3C">
            <w:pPr>
              <w:snapToGrid w:val="0"/>
              <w:jc w:val="center"/>
              <w:rPr>
                <w:rFonts w:ascii="仿宋" w:eastAsia="仿宋" w:hAnsi="仿宋" w:cs="宋体"/>
                <w:sz w:val="24"/>
                <w:szCs w:val="24"/>
              </w:rPr>
            </w:pP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立定跳远</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男</w:t>
            </w:r>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2.3米</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2126" w:type="dxa"/>
            <w:gridSpan w:val="2"/>
            <w:vMerge w:val="restart"/>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速度</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100米</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男</w:t>
            </w:r>
          </w:p>
        </w:tc>
        <w:tc>
          <w:tcPr>
            <w:tcW w:w="1184" w:type="dxa"/>
            <w:vAlign w:val="center"/>
          </w:tcPr>
          <w:p w:rsidR="009D4B3C" w:rsidRPr="009D4B3C" w:rsidRDefault="009D4B3C" w:rsidP="009D4B3C">
            <w:pPr>
              <w:jc w:val="center"/>
              <w:rPr>
                <w:rFonts w:ascii="仿宋" w:eastAsia="仿宋" w:hAnsi="仿宋" w:cs="宋体"/>
                <w:sz w:val="24"/>
                <w:szCs w:val="24"/>
              </w:rPr>
            </w:pPr>
            <w:r w:rsidRPr="009D4B3C">
              <w:rPr>
                <w:rFonts w:ascii="仿宋" w:eastAsia="仿宋" w:hAnsi="仿宋" w:cs="宋体"/>
                <w:sz w:val="24"/>
                <w:szCs w:val="24"/>
              </w:rPr>
              <w:t>14"20</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2126" w:type="dxa"/>
            <w:gridSpan w:val="2"/>
            <w:vMerge/>
            <w:vAlign w:val="center"/>
          </w:tcPr>
          <w:p w:rsidR="009D4B3C" w:rsidRPr="009D4B3C" w:rsidRDefault="009D4B3C" w:rsidP="009D4B3C">
            <w:pPr>
              <w:snapToGrid w:val="0"/>
              <w:jc w:val="center"/>
              <w:rPr>
                <w:rFonts w:ascii="仿宋" w:eastAsia="仿宋" w:hAnsi="仿宋" w:cs="宋体"/>
                <w:sz w:val="24"/>
                <w:szCs w:val="24"/>
              </w:rPr>
            </w:pP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4*10米折返跑</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男</w:t>
            </w:r>
          </w:p>
        </w:tc>
        <w:tc>
          <w:tcPr>
            <w:tcW w:w="1184" w:type="dxa"/>
            <w:vAlign w:val="center"/>
          </w:tcPr>
          <w:p w:rsidR="009D4B3C" w:rsidRPr="009D4B3C" w:rsidRDefault="009D4B3C" w:rsidP="009D4B3C">
            <w:pPr>
              <w:jc w:val="center"/>
              <w:rPr>
                <w:rFonts w:ascii="仿宋" w:eastAsia="仿宋" w:hAnsi="仿宋" w:cs="宋体"/>
                <w:sz w:val="24"/>
                <w:szCs w:val="24"/>
              </w:rPr>
            </w:pPr>
            <w:r w:rsidRPr="009D4B3C">
              <w:rPr>
                <w:rFonts w:ascii="仿宋" w:eastAsia="仿宋" w:hAnsi="仿宋" w:cs="宋体"/>
                <w:sz w:val="24"/>
                <w:szCs w:val="24"/>
              </w:rPr>
              <w:t>10"50</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2126" w:type="dxa"/>
            <w:gridSpan w:val="2"/>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耐力</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3000米</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男</w:t>
            </w:r>
          </w:p>
        </w:tc>
        <w:tc>
          <w:tcPr>
            <w:tcW w:w="1184" w:type="dxa"/>
            <w:vAlign w:val="center"/>
          </w:tcPr>
          <w:p w:rsidR="009D4B3C" w:rsidRPr="009D4B3C" w:rsidRDefault="009D4B3C" w:rsidP="009D4B3C">
            <w:pPr>
              <w:jc w:val="center"/>
              <w:rPr>
                <w:rFonts w:ascii="仿宋" w:eastAsia="仿宋" w:hAnsi="仿宋" w:cs="宋体"/>
                <w:sz w:val="24"/>
                <w:szCs w:val="24"/>
              </w:rPr>
            </w:pPr>
            <w:r w:rsidRPr="009D4B3C">
              <w:rPr>
                <w:rFonts w:ascii="仿宋" w:eastAsia="仿宋" w:hAnsi="仿宋" w:cs="宋体"/>
                <w:sz w:val="24"/>
                <w:szCs w:val="24"/>
              </w:rPr>
              <w:t>14'30"</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2126" w:type="dxa"/>
            <w:gridSpan w:val="2"/>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心理</w:t>
            </w:r>
          </w:p>
        </w:tc>
        <w:tc>
          <w:tcPr>
            <w:tcW w:w="5862" w:type="dxa"/>
            <w:gridSpan w:val="3"/>
            <w:vAlign w:val="center"/>
          </w:tcPr>
          <w:p w:rsidR="009D4B3C" w:rsidRPr="009D4B3C" w:rsidRDefault="009D4B3C" w:rsidP="009D4B3C">
            <w:pPr>
              <w:jc w:val="center"/>
              <w:rPr>
                <w:rFonts w:ascii="仿宋" w:eastAsia="仿宋" w:hAnsi="仿宋" w:cs="宋体"/>
                <w:sz w:val="24"/>
                <w:szCs w:val="24"/>
              </w:rPr>
            </w:pPr>
            <w:r w:rsidRPr="009D4B3C">
              <w:rPr>
                <w:rFonts w:ascii="仿宋" w:eastAsia="仿宋" w:hAnsi="仿宋" w:cs="宋体" w:hint="eastAsia"/>
                <w:sz w:val="24"/>
                <w:szCs w:val="24"/>
              </w:rPr>
              <w:t>通过空中走软梯、信任背摔等</w:t>
            </w:r>
          </w:p>
        </w:tc>
      </w:tr>
    </w:tbl>
    <w:p w:rsidR="009D4B3C" w:rsidRPr="009D4B3C" w:rsidRDefault="009D4B3C" w:rsidP="009D4B3C">
      <w:pPr>
        <w:snapToGrid w:val="0"/>
        <w:spacing w:line="360" w:lineRule="auto"/>
        <w:ind w:firstLineChars="200" w:firstLine="480"/>
        <w:rPr>
          <w:rFonts w:ascii="仿宋" w:eastAsia="仿宋" w:hAnsi="仿宋" w:cs="宋体"/>
          <w:sz w:val="24"/>
          <w:szCs w:val="24"/>
        </w:rPr>
      </w:pPr>
    </w:p>
    <w:p w:rsidR="00DF3452" w:rsidRPr="009D4B3C" w:rsidRDefault="00B21A62" w:rsidP="009D4B3C"/>
    <w:sectPr w:rsidR="00DF3452" w:rsidRPr="009D4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A62" w:rsidRDefault="00B21A62" w:rsidP="0016234D">
      <w:r>
        <w:separator/>
      </w:r>
    </w:p>
  </w:endnote>
  <w:endnote w:type="continuationSeparator" w:id="0">
    <w:p w:rsidR="00B21A62" w:rsidRDefault="00B21A62" w:rsidP="0016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62" w:rsidRDefault="00B21A62" w:rsidP="0016234D">
      <w:r>
        <w:separator/>
      </w:r>
    </w:p>
  </w:footnote>
  <w:footnote w:type="continuationSeparator" w:id="0">
    <w:p w:rsidR="00B21A62" w:rsidRDefault="00B21A62" w:rsidP="00162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05"/>
    <w:rsid w:val="00142DEE"/>
    <w:rsid w:val="0016234D"/>
    <w:rsid w:val="006F1968"/>
    <w:rsid w:val="00752875"/>
    <w:rsid w:val="007D3613"/>
    <w:rsid w:val="00825C05"/>
    <w:rsid w:val="009D4B3C"/>
    <w:rsid w:val="00AA67FD"/>
    <w:rsid w:val="00B21A62"/>
    <w:rsid w:val="00BC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34D"/>
    <w:rPr>
      <w:sz w:val="18"/>
      <w:szCs w:val="18"/>
    </w:rPr>
  </w:style>
  <w:style w:type="paragraph" w:styleId="a4">
    <w:name w:val="footer"/>
    <w:basedOn w:val="a"/>
    <w:link w:val="Char0"/>
    <w:uiPriority w:val="99"/>
    <w:unhideWhenUsed/>
    <w:rsid w:val="0016234D"/>
    <w:pPr>
      <w:tabs>
        <w:tab w:val="center" w:pos="4153"/>
        <w:tab w:val="right" w:pos="8306"/>
      </w:tabs>
      <w:snapToGrid w:val="0"/>
      <w:jc w:val="left"/>
    </w:pPr>
    <w:rPr>
      <w:sz w:val="18"/>
      <w:szCs w:val="18"/>
    </w:rPr>
  </w:style>
  <w:style w:type="character" w:customStyle="1" w:styleId="Char0">
    <w:name w:val="页脚 Char"/>
    <w:basedOn w:val="a0"/>
    <w:link w:val="a4"/>
    <w:uiPriority w:val="99"/>
    <w:rsid w:val="0016234D"/>
    <w:rPr>
      <w:sz w:val="18"/>
      <w:szCs w:val="18"/>
    </w:rPr>
  </w:style>
  <w:style w:type="table" w:styleId="a5">
    <w:name w:val="Table Grid"/>
    <w:basedOn w:val="a1"/>
    <w:uiPriority w:val="39"/>
    <w:qFormat/>
    <w:rsid w:val="009D4B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34D"/>
    <w:rPr>
      <w:sz w:val="18"/>
      <w:szCs w:val="18"/>
    </w:rPr>
  </w:style>
  <w:style w:type="paragraph" w:styleId="a4">
    <w:name w:val="footer"/>
    <w:basedOn w:val="a"/>
    <w:link w:val="Char0"/>
    <w:uiPriority w:val="99"/>
    <w:unhideWhenUsed/>
    <w:rsid w:val="0016234D"/>
    <w:pPr>
      <w:tabs>
        <w:tab w:val="center" w:pos="4153"/>
        <w:tab w:val="right" w:pos="8306"/>
      </w:tabs>
      <w:snapToGrid w:val="0"/>
      <w:jc w:val="left"/>
    </w:pPr>
    <w:rPr>
      <w:sz w:val="18"/>
      <w:szCs w:val="18"/>
    </w:rPr>
  </w:style>
  <w:style w:type="character" w:customStyle="1" w:styleId="Char0">
    <w:name w:val="页脚 Char"/>
    <w:basedOn w:val="a0"/>
    <w:link w:val="a4"/>
    <w:uiPriority w:val="99"/>
    <w:rsid w:val="0016234D"/>
    <w:rPr>
      <w:sz w:val="18"/>
      <w:szCs w:val="18"/>
    </w:rPr>
  </w:style>
  <w:style w:type="table" w:styleId="a5">
    <w:name w:val="Table Grid"/>
    <w:basedOn w:val="a1"/>
    <w:uiPriority w:val="39"/>
    <w:qFormat/>
    <w:rsid w:val="009D4B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5</cp:revision>
  <dcterms:created xsi:type="dcterms:W3CDTF">2026-02-24T07:14:00Z</dcterms:created>
  <dcterms:modified xsi:type="dcterms:W3CDTF">2026-06-30T00:48:00Z</dcterms:modified>
</cp:coreProperties>
</file>