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1"/>
        </w:numPr>
        <w:tabs>
          <w:tab w:val="left" w:pos="1630"/>
        </w:tabs>
        <w:spacing w:line="460" w:lineRule="exact"/>
        <w:ind w:left="8"/>
        <w:jc w:val="center"/>
        <w:rPr>
          <w:rFonts w:hint="eastAsia" w:ascii="宋体" w:hAnsi="宋体" w:eastAsia="宋体" w:cs="宋体"/>
          <w:b/>
          <w:bCs/>
          <w:highlight w:val="none"/>
        </w:rPr>
      </w:pPr>
      <w:bookmarkStart w:id="0" w:name="_Toc29548"/>
      <w:r>
        <w:rPr>
          <w:rFonts w:hint="eastAsia" w:ascii="宋体" w:hAnsi="宋体" w:eastAsia="宋体" w:cs="宋体"/>
          <w:b/>
          <w:bCs/>
          <w:highlight w:val="none"/>
        </w:rPr>
        <w:t>采购需求</w:t>
      </w:r>
      <w:bookmarkEnd w:id="0"/>
    </w:p>
    <w:p w14:paraId="57659E21">
      <w:pPr>
        <w:numPr>
          <w:ilvl w:val="0"/>
          <w:numId w:val="0"/>
        </w:numPr>
        <w:rPr>
          <w:rFonts w:hint="eastAsia" w:ascii="宋体" w:hAnsi="宋体" w:eastAsia="宋体" w:cs="宋体"/>
          <w:highlight w:val="none"/>
        </w:rPr>
      </w:pPr>
    </w:p>
    <w:p w14:paraId="33418492">
      <w:pPr>
        <w:pStyle w:val="3"/>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53C2E6E1">
      <w:pPr>
        <w:pStyle w:val="8"/>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6"/>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6E09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9"/>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47FE4EED">
            <w:pPr>
              <w:pStyle w:val="9"/>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66775172">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1306003C">
            <w:pPr>
              <w:pStyle w:val="9"/>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7BF74D25">
            <w:pPr>
              <w:pStyle w:val="9"/>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4DC9E016">
            <w:pPr>
              <w:pStyle w:val="9"/>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36DA465D">
            <w:pPr>
              <w:pStyle w:val="9"/>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29FA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789DE696">
            <w:pPr>
              <w:pStyle w:val="9"/>
              <w:jc w:val="center"/>
              <w:rPr>
                <w:rFonts w:hint="default" w:ascii="宋体" w:hAnsi="宋体" w:eastAsia="宋体" w:cs="宋体"/>
                <w:sz w:val="24"/>
                <w:szCs w:val="24"/>
                <w:highlight w:val="none"/>
                <w:lang w:val="en-US" w:eastAsia="zh-CN" w:bidi="ar-SA"/>
              </w:rPr>
            </w:pPr>
            <w:r>
              <w:rPr>
                <w:rFonts w:hint="eastAsia" w:cs="宋体"/>
                <w:spacing w:val="0"/>
                <w:sz w:val="24"/>
                <w:szCs w:val="24"/>
                <w:highlight w:val="none"/>
                <w:lang w:val="en-US" w:eastAsia="zh-CN"/>
              </w:rPr>
              <w:t>2</w:t>
            </w:r>
          </w:p>
        </w:tc>
        <w:tc>
          <w:tcPr>
            <w:tcW w:w="1005" w:type="dxa"/>
            <w:vAlign w:val="center"/>
          </w:tcPr>
          <w:p w14:paraId="7E7D33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69B84D0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75" w:type="dxa"/>
            <w:vAlign w:val="center"/>
          </w:tcPr>
          <w:p w14:paraId="69BF31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Align w:val="center"/>
          </w:tcPr>
          <w:p w14:paraId="66EBC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5DF4164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bl>
    <w:p w14:paraId="6F666A54">
      <w:pPr>
        <w:pStyle w:val="10"/>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DBC6B8">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default" w:ascii="宋体" w:hAnsi="宋体" w:eastAsia="宋体" w:cs="宋体"/>
          <w:b w:val="0"/>
          <w:bCs w:val="0"/>
          <w:color w:val="auto"/>
          <w:sz w:val="24"/>
          <w:szCs w:val="24"/>
          <w:highlight w:val="none"/>
          <w:lang w:val="en-US" w:eastAsia="zh-CN" w:bidi="ar-SA"/>
        </w:rPr>
      </w:pPr>
      <w:bookmarkStart w:id="1" w:name="_Toc24278"/>
      <w:bookmarkStart w:id="2" w:name="_Toc8925"/>
      <w:bookmarkStart w:id="3" w:name="_Toc23382"/>
      <w:bookmarkStart w:id="4" w:name="_Toc256196753"/>
      <w:bookmarkStart w:id="5" w:name="_Toc14802"/>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val="en-US" w:eastAsia="zh-CN"/>
        </w:rPr>
        <w:t>签订合同后45日内交货</w:t>
      </w:r>
    </w:p>
    <w:p w14:paraId="483B3A95">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8853"/>
      <w:bookmarkStart w:id="7" w:name="_Toc6107"/>
      <w:bookmarkStart w:id="8" w:name="_Toc194115436"/>
      <w:bookmarkStart w:id="9" w:name="_Toc19535"/>
      <w:bookmarkStart w:id="10" w:name="_Toc309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北京市朝阳区中医医院</w:t>
      </w:r>
      <w:r>
        <w:rPr>
          <w:rFonts w:hint="eastAsia" w:cs="宋体"/>
          <w:b w:val="0"/>
          <w:bCs w:val="0"/>
          <w:spacing w:val="0"/>
          <w:sz w:val="24"/>
          <w:szCs w:val="24"/>
          <w:highlight w:val="none"/>
          <w:lang w:val="en-US" w:eastAsia="zh-CN"/>
        </w:rPr>
        <w:t>指定地点。</w:t>
      </w:r>
    </w:p>
    <w:p w14:paraId="10119A13">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p>
    <w:p w14:paraId="139C51DD">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第一次付款：合同签订后乙方开具总货款80%发票，15个工作日甲方支付货款总价的80%；</w:t>
      </w:r>
    </w:p>
    <w:p w14:paraId="0455BF9F">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第二次付款：签订合同45日内货物交付甲方，并经甲方验收合格后，由甲乙双方书面确认已验收合格的验收报告，乙方出具20%货款发票，在甲方收到上述资料15个工作日内，甲方支付货款总价的20%。</w:t>
      </w:r>
    </w:p>
    <w:p w14:paraId="628FE7D7">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0F3290D5">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5"/>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2C3B7A6F">
      <w:pPr>
        <w:pStyle w:val="5"/>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ECD25A9">
      <w:pPr>
        <w:pStyle w:val="8"/>
        <w:keepNext w:val="0"/>
        <w:keepLines w:val="0"/>
        <w:pageBreakBefore w:val="0"/>
        <w:widowControl w:val="0"/>
        <w:tabs>
          <w:tab w:val="left" w:pos="47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北京市朝阳区中医医院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6AC0C16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default"/>
          <w:color w:val="auto"/>
          <w:sz w:val="24"/>
          <w:szCs w:val="28"/>
          <w:highlight w:val="none"/>
          <w:lang w:val="en-US" w:eastAsia="zh-CN"/>
        </w:rPr>
      </w:pPr>
      <w:r>
        <w:rPr>
          <w:rFonts w:hint="eastAsia"/>
          <w:b/>
          <w:bCs/>
          <w:color w:val="auto"/>
          <w:sz w:val="24"/>
          <w:szCs w:val="28"/>
          <w:highlight w:val="none"/>
          <w:lang w:val="en-US" w:eastAsia="zh-CN"/>
        </w:rPr>
        <w:t>品目2-1：气压弹道式体外冲击波治疗仪</w:t>
      </w:r>
    </w:p>
    <w:p w14:paraId="46CF5E0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1.柜式机身，双通道，2个冲击手柄，双通道可同时开启也可单独开启；</w:t>
      </w:r>
    </w:p>
    <w:p w14:paraId="3B317D5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2.彩色触摸显示屏≥10英寸；</w:t>
      </w:r>
    </w:p>
    <w:p w14:paraId="6585CF39">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3.额定输入功率：≤500VA；</w:t>
      </w:r>
    </w:p>
    <w:p w14:paraId="215B8C3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4.工作压力：</w:t>
      </w:r>
    </w:p>
    <w:p w14:paraId="3E8816DA">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①</w:t>
      </w:r>
      <w:r>
        <w:rPr>
          <w:rFonts w:hint="eastAsia"/>
          <w:bCs/>
          <w:color w:val="auto"/>
          <w:sz w:val="24"/>
          <w:szCs w:val="28"/>
          <w:highlight w:val="none"/>
          <w:lang w:eastAsia="zh-CN"/>
        </w:rPr>
        <w:t>1～5.6Bar</w:t>
      </w:r>
      <w:r>
        <w:rPr>
          <w:rFonts w:hint="eastAsia"/>
          <w:color w:val="auto"/>
          <w:sz w:val="24"/>
          <w:szCs w:val="28"/>
          <w:highlight w:val="none"/>
          <w:lang w:eastAsia="zh-CN"/>
        </w:rPr>
        <w:t>可调，步进为0.1Bar；</w:t>
      </w:r>
    </w:p>
    <w:p w14:paraId="1FC9D24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②工作压力显示：误差≤±10%；</w:t>
      </w:r>
    </w:p>
    <w:p w14:paraId="050A1714">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③空压机最大输出压力不大于最大工作压力的1.5倍；</w:t>
      </w:r>
    </w:p>
    <w:p w14:paraId="5D45EC1C">
      <w:pPr>
        <w:pStyle w:val="11"/>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color w:val="auto"/>
          <w:sz w:val="24"/>
          <w:szCs w:val="28"/>
          <w:highlight w:val="none"/>
          <w:lang w:eastAsia="zh-CN"/>
        </w:rPr>
      </w:pPr>
      <w:r>
        <w:rPr>
          <w:rFonts w:hint="eastAsia" w:ascii="宋体" w:hAnsi="宋体" w:eastAsia="宋体" w:cs="宋体"/>
          <w:color w:val="auto"/>
          <w:sz w:val="24"/>
          <w:szCs w:val="28"/>
          <w:lang w:val="en-US" w:eastAsia="zh-CN" w:bidi="ar-SA"/>
        </w:rPr>
        <w:t>5.</w:t>
      </w:r>
      <w:r>
        <w:rPr>
          <w:rFonts w:hint="eastAsia"/>
          <w:color w:val="auto"/>
          <w:sz w:val="24"/>
          <w:szCs w:val="28"/>
          <w:highlight w:val="none"/>
          <w:lang w:eastAsia="zh-CN"/>
        </w:rPr>
        <w:t>工作频率：冲击探头碰撞频率1～25Hz可调，步长0.5Hz；</w:t>
      </w:r>
    </w:p>
    <w:p w14:paraId="6D8764EB">
      <w:pPr>
        <w:pStyle w:val="11"/>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color w:val="auto"/>
          <w:sz w:val="24"/>
          <w:szCs w:val="28"/>
          <w:highlight w:val="none"/>
          <w:lang w:eastAsia="zh-CN"/>
        </w:rPr>
      </w:pPr>
      <w:r>
        <w:rPr>
          <w:rFonts w:hint="eastAsia" w:ascii="宋体" w:hAnsi="宋体" w:eastAsia="宋体" w:cs="宋体"/>
          <w:color w:val="auto"/>
          <w:sz w:val="24"/>
          <w:szCs w:val="28"/>
          <w:lang w:val="en-US" w:eastAsia="zh-CN" w:bidi="ar-SA"/>
        </w:rPr>
        <w:t>6.</w:t>
      </w:r>
      <w:r>
        <w:rPr>
          <w:rFonts w:hint="eastAsia"/>
          <w:color w:val="auto"/>
          <w:sz w:val="24"/>
          <w:szCs w:val="28"/>
          <w:highlight w:val="none"/>
          <w:lang w:eastAsia="zh-CN"/>
        </w:rPr>
        <w:t>能量稳定性：产生的压力波能量的稳定性≥±20%；</w:t>
      </w:r>
    </w:p>
    <w:p w14:paraId="6A4B5BA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7.穿透深度：</w:t>
      </w:r>
      <w:r>
        <w:rPr>
          <w:rFonts w:hint="eastAsia"/>
          <w:color w:val="auto"/>
          <w:sz w:val="24"/>
          <w:szCs w:val="28"/>
          <w:highlight w:val="none"/>
          <w:lang w:val="en-US" w:eastAsia="zh-CN"/>
        </w:rPr>
        <w:t>每个</w:t>
      </w:r>
      <w:r>
        <w:rPr>
          <w:rFonts w:hint="eastAsia"/>
          <w:color w:val="auto"/>
          <w:sz w:val="24"/>
          <w:szCs w:val="28"/>
          <w:highlight w:val="none"/>
          <w:lang w:eastAsia="zh-CN"/>
        </w:rPr>
        <w:t>治疗头的最大穿透深度 ≥30mm，误差≤±20%；</w:t>
      </w:r>
    </w:p>
    <w:p w14:paraId="23A65B2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8.脉宽：输出压力波的脉宽为300</w:t>
      </w:r>
      <w:r>
        <w:rPr>
          <w:rFonts w:hint="eastAsia"/>
          <w:color w:val="auto"/>
          <w:sz w:val="24"/>
          <w:szCs w:val="28"/>
          <w:highlight w:val="none"/>
        </w:rPr>
        <w:t>μ</w:t>
      </w:r>
      <w:r>
        <w:rPr>
          <w:rFonts w:hint="eastAsia"/>
          <w:color w:val="auto"/>
          <w:sz w:val="24"/>
          <w:szCs w:val="28"/>
          <w:highlight w:val="none"/>
          <w:lang w:eastAsia="zh-CN"/>
        </w:rPr>
        <w:t>s，误差≤±10%；</w:t>
      </w:r>
    </w:p>
    <w:p w14:paraId="29828E60">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9.</w:t>
      </w:r>
      <w:r>
        <w:rPr>
          <w:rFonts w:hint="eastAsia"/>
          <w:color w:val="auto"/>
          <w:sz w:val="24"/>
          <w:szCs w:val="28"/>
          <w:highlight w:val="none"/>
          <w:lang w:val="en-US" w:eastAsia="zh-CN"/>
        </w:rPr>
        <w:t>每套</w:t>
      </w:r>
      <w:r>
        <w:rPr>
          <w:rFonts w:hint="eastAsia"/>
          <w:color w:val="auto"/>
          <w:sz w:val="24"/>
          <w:szCs w:val="28"/>
          <w:highlight w:val="none"/>
          <w:lang w:eastAsia="zh-CN"/>
        </w:rPr>
        <w:t>冲击探头及子弹体的使用寿命≥200万次；</w:t>
      </w:r>
    </w:p>
    <w:p w14:paraId="4AFC53D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▲10.单套冲击探头具有准直型和发散式两种治疗探头，配≥</w:t>
      </w:r>
      <w:r>
        <w:rPr>
          <w:rFonts w:hint="eastAsia"/>
          <w:color w:val="auto"/>
          <w:sz w:val="24"/>
          <w:szCs w:val="28"/>
          <w:highlight w:val="none"/>
          <w:lang w:val="en-US" w:eastAsia="zh-CN"/>
        </w:rPr>
        <w:t>7</w:t>
      </w:r>
      <w:r>
        <w:rPr>
          <w:rFonts w:hint="eastAsia"/>
          <w:color w:val="auto"/>
          <w:sz w:val="24"/>
          <w:szCs w:val="28"/>
          <w:highlight w:val="none"/>
          <w:lang w:eastAsia="zh-CN"/>
        </w:rPr>
        <w:t>种治疗探头；</w:t>
      </w:r>
    </w:p>
    <w:p w14:paraId="03023962">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①准直式治疗探头规格至少包含：6mm、9mm、15mm等可选；</w:t>
      </w:r>
    </w:p>
    <w:p w14:paraId="269B474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②发散式治疗探头规格至少包含：15mm、20mm、25mm、35mm等可选；</w:t>
      </w:r>
    </w:p>
    <w:p w14:paraId="328AFE0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▲11.冲击探头最大能量密度≥5</w:t>
      </w:r>
      <w:r>
        <w:rPr>
          <w:rFonts w:hint="eastAsia"/>
          <w:bCs/>
          <w:color w:val="auto"/>
          <w:sz w:val="24"/>
          <w:szCs w:val="28"/>
          <w:highlight w:val="none"/>
          <w:lang w:eastAsia="zh-CN"/>
        </w:rPr>
        <w:t>mJ/mm</w:t>
      </w:r>
      <w:r>
        <w:rPr>
          <w:rFonts w:hint="eastAsia"/>
          <w:bCs/>
          <w:color w:val="auto"/>
          <w:sz w:val="24"/>
          <w:szCs w:val="28"/>
          <w:highlight w:val="none"/>
          <w:vertAlign w:val="superscript"/>
          <w:lang w:eastAsia="zh-CN"/>
        </w:rPr>
        <w:t>2</w:t>
      </w:r>
      <w:r>
        <w:rPr>
          <w:rFonts w:hint="eastAsia"/>
          <w:color w:val="auto"/>
          <w:sz w:val="24"/>
          <w:szCs w:val="28"/>
          <w:highlight w:val="none"/>
          <w:lang w:eastAsia="zh-CN"/>
        </w:rPr>
        <w:t>。</w:t>
      </w:r>
    </w:p>
    <w:p w14:paraId="0E79F254">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12.内置全身各部位的治疗处方，每个治疗探头均有</w:t>
      </w:r>
      <w:r>
        <w:rPr>
          <w:rFonts w:hint="eastAsia"/>
          <w:color w:val="auto"/>
          <w:sz w:val="24"/>
          <w:szCs w:val="28"/>
          <w:highlight w:val="none"/>
          <w:lang w:val="en-US" w:eastAsia="zh-CN"/>
        </w:rPr>
        <w:t>≥</w:t>
      </w:r>
      <w:r>
        <w:rPr>
          <w:rFonts w:hint="eastAsia"/>
          <w:color w:val="auto"/>
          <w:sz w:val="24"/>
          <w:szCs w:val="28"/>
          <w:highlight w:val="none"/>
          <w:lang w:eastAsia="zh-CN"/>
        </w:rPr>
        <w:t>200种治疗处方；</w:t>
      </w:r>
    </w:p>
    <w:p w14:paraId="6FD020E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13.支持自定义处方；可新增、修改、删除患者治疗处方，可设置压力、次数、频率等；</w:t>
      </w:r>
    </w:p>
    <w:p w14:paraId="063DD99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▲14.阶梯压力强度：50%-90%可调，步长10%；</w:t>
      </w:r>
    </w:p>
    <w:p w14:paraId="6AA191D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cs="宋体"/>
          <w:color w:val="auto"/>
          <w:sz w:val="24"/>
          <w:szCs w:val="28"/>
          <w:highlight w:val="none"/>
        </w:rPr>
      </w:pPr>
      <w:r>
        <w:rPr>
          <w:rFonts w:hint="eastAsia"/>
          <w:color w:val="auto"/>
          <w:sz w:val="24"/>
          <w:szCs w:val="28"/>
          <w:highlight w:val="none"/>
          <w:lang w:eastAsia="zh-CN"/>
        </w:rPr>
        <w:t>▲15.内置≥4种疼痛评估评价系统：动态VAS、静态VAS、睡眠VAS、面部表情测量等，可进行治疗前后</w:t>
      </w:r>
      <w:r>
        <w:rPr>
          <w:rFonts w:hint="eastAsia" w:ascii="宋体" w:hAnsi="宋体" w:cs="宋体"/>
          <w:color w:val="auto"/>
          <w:sz w:val="24"/>
          <w:szCs w:val="28"/>
          <w:highlight w:val="none"/>
        </w:rPr>
        <w:t>的疼痛评估。具备治疗前疼痛评估及治疗后疼痛评估；</w:t>
      </w:r>
    </w:p>
    <w:p w14:paraId="69FAACB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16.患者数据库管理，储存卡≥8G，可存储≥50万个患者信息 ；</w:t>
      </w:r>
    </w:p>
    <w:p w14:paraId="771C008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17.治疗计数范围：0～9999次,步长为1-100，单次治疗最大计数</w:t>
      </w:r>
      <w:r>
        <w:rPr>
          <w:rFonts w:hint="eastAsia"/>
          <w:color w:val="auto"/>
          <w:sz w:val="24"/>
          <w:szCs w:val="28"/>
          <w:highlight w:val="none"/>
          <w:lang w:val="en-US" w:eastAsia="zh-CN"/>
        </w:rPr>
        <w:t>≥</w:t>
      </w:r>
      <w:r>
        <w:rPr>
          <w:rFonts w:hint="eastAsia"/>
          <w:color w:val="auto"/>
          <w:sz w:val="24"/>
          <w:szCs w:val="28"/>
          <w:highlight w:val="none"/>
          <w:lang w:eastAsia="zh-CN"/>
        </w:rPr>
        <w:t>9999次；</w:t>
      </w:r>
      <w:r>
        <w:rPr>
          <w:rFonts w:hint="eastAsia"/>
          <w:color w:val="auto"/>
          <w:sz w:val="24"/>
          <w:szCs w:val="28"/>
          <w:highlight w:val="none"/>
          <w:lang w:eastAsia="zh-CN"/>
        </w:rPr>
        <w:br w:type="textWrapping"/>
      </w:r>
      <w:r>
        <w:rPr>
          <w:rFonts w:hint="eastAsia"/>
          <w:color w:val="auto"/>
          <w:sz w:val="24"/>
          <w:szCs w:val="28"/>
          <w:highlight w:val="none"/>
          <w:lang w:eastAsia="zh-CN"/>
        </w:rPr>
        <w:t>0～10次，步长为1；</w:t>
      </w:r>
      <w:r>
        <w:rPr>
          <w:rFonts w:hint="eastAsia"/>
          <w:color w:val="auto"/>
          <w:sz w:val="24"/>
          <w:szCs w:val="28"/>
          <w:highlight w:val="none"/>
          <w:lang w:eastAsia="zh-CN"/>
        </w:rPr>
        <w:br w:type="textWrapping"/>
      </w:r>
      <w:r>
        <w:rPr>
          <w:rFonts w:hint="eastAsia"/>
          <w:color w:val="auto"/>
          <w:sz w:val="24"/>
          <w:szCs w:val="28"/>
          <w:highlight w:val="none"/>
          <w:lang w:eastAsia="zh-CN"/>
        </w:rPr>
        <w:t>10～100次，步长为10；</w:t>
      </w:r>
      <w:r>
        <w:rPr>
          <w:rFonts w:hint="eastAsia"/>
          <w:color w:val="auto"/>
          <w:sz w:val="24"/>
          <w:szCs w:val="28"/>
          <w:highlight w:val="none"/>
          <w:lang w:eastAsia="zh-CN"/>
        </w:rPr>
        <w:br w:type="textWrapping"/>
      </w:r>
      <w:r>
        <w:rPr>
          <w:rFonts w:hint="eastAsia"/>
          <w:color w:val="auto"/>
          <w:sz w:val="24"/>
          <w:szCs w:val="28"/>
          <w:highlight w:val="none"/>
          <w:lang w:eastAsia="zh-CN"/>
        </w:rPr>
        <w:t>100～9900次，步长为100；</w:t>
      </w:r>
      <w:r>
        <w:rPr>
          <w:rFonts w:hint="eastAsia"/>
          <w:color w:val="auto"/>
          <w:sz w:val="24"/>
          <w:szCs w:val="28"/>
          <w:highlight w:val="none"/>
          <w:lang w:eastAsia="zh-CN"/>
        </w:rPr>
        <w:br w:type="textWrapping"/>
      </w:r>
      <w:r>
        <w:rPr>
          <w:rFonts w:hint="eastAsia"/>
          <w:color w:val="auto"/>
          <w:sz w:val="24"/>
          <w:szCs w:val="28"/>
          <w:highlight w:val="none"/>
          <w:lang w:eastAsia="zh-CN"/>
        </w:rPr>
        <w:t>9000～9999次，步长为99；</w:t>
      </w:r>
    </w:p>
    <w:p w14:paraId="462EEAB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color w:val="auto"/>
          <w:sz w:val="24"/>
          <w:szCs w:val="28"/>
          <w:highlight w:val="none"/>
          <w:lang w:eastAsia="zh-CN"/>
        </w:rPr>
      </w:pPr>
      <w:r>
        <w:rPr>
          <w:rFonts w:hint="eastAsia"/>
          <w:color w:val="auto"/>
          <w:sz w:val="24"/>
          <w:szCs w:val="28"/>
          <w:highlight w:val="none"/>
          <w:lang w:eastAsia="zh-CN"/>
        </w:rPr>
        <w:t>18.具备默认冲击次数2000，默认冲击强度2.0Bar，默认冲击频率8Hz，默认治疗参数适配，</w:t>
      </w:r>
      <w:r>
        <w:rPr>
          <w:rFonts w:hint="eastAsia"/>
          <w:color w:val="auto"/>
          <w:sz w:val="24"/>
          <w:szCs w:val="28"/>
          <w:highlight w:val="none"/>
          <w:lang w:val="en-US" w:eastAsia="zh-CN"/>
        </w:rPr>
        <w:t>具体</w:t>
      </w:r>
      <w:r>
        <w:rPr>
          <w:rFonts w:hint="eastAsia"/>
          <w:color w:val="auto"/>
          <w:sz w:val="24"/>
          <w:szCs w:val="28"/>
          <w:highlight w:val="none"/>
          <w:lang w:eastAsia="zh-CN"/>
        </w:rPr>
        <w:t>治疗参数可快捷调整；</w:t>
      </w:r>
    </w:p>
    <w:p w14:paraId="4FA47E5F">
      <w:pPr>
        <w:pStyle w:val="4"/>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outlineLvl w:val="9"/>
        <w:rPr>
          <w:rFonts w:hint="eastAsia" w:cs="宋体"/>
          <w:b/>
          <w:bCs/>
          <w:sz w:val="28"/>
          <w:szCs w:val="28"/>
          <w:highlight w:val="none"/>
          <w:lang w:val="en-US" w:eastAsia="zh-CN"/>
        </w:rPr>
      </w:pPr>
      <w:r>
        <w:rPr>
          <w:rFonts w:hint="eastAsia"/>
          <w:color w:val="auto"/>
          <w:sz w:val="24"/>
          <w:szCs w:val="28"/>
          <w:highlight w:val="none"/>
          <w:lang w:eastAsia="zh-CN"/>
        </w:rPr>
        <w:t>▲</w:t>
      </w:r>
      <w:r>
        <w:rPr>
          <w:rFonts w:hint="eastAsia"/>
          <w:b w:val="0"/>
          <w:bCs/>
          <w:color w:val="auto"/>
          <w:sz w:val="24"/>
          <w:szCs w:val="28"/>
          <w:highlight w:val="none"/>
          <w:lang w:eastAsia="zh-CN"/>
        </w:rPr>
        <w:t>19.注册证适用范围：适用于疼痛的辅助治疗（</w:t>
      </w:r>
      <w:r>
        <w:rPr>
          <w:rFonts w:hint="eastAsia"/>
          <w:b w:val="0"/>
          <w:bCs/>
          <w:color w:val="auto"/>
          <w:sz w:val="24"/>
          <w:szCs w:val="28"/>
          <w:highlight w:val="none"/>
          <w:lang w:val="en-US" w:eastAsia="zh-CN"/>
        </w:rPr>
        <w:t>如：足底筋膜炎、钙化性肌腱炎、非钙化性肌腱炎、跟腱痛、转子滑囊炎、骼胫摩擦综合征、桡侧或尺侧肱骨上髁炎、胫骨缘综合征、常见性附着肌腱炎、肌触发痛点等</w:t>
      </w:r>
      <w:r>
        <w:rPr>
          <w:rFonts w:hint="eastAsia"/>
          <w:b w:val="0"/>
          <w:bCs/>
          <w:color w:val="auto"/>
          <w:sz w:val="24"/>
          <w:szCs w:val="28"/>
          <w:highlight w:val="none"/>
          <w:lang w:eastAsia="zh-CN"/>
        </w:rPr>
        <w:t>）</w:t>
      </w: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5"/>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1"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67D3522">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8174D39">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6AD5"/>
    <w:rsid w:val="5026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5">
    <w:name w:val="Plain Text"/>
    <w:basedOn w:val="1"/>
    <w:unhideWhenUsed/>
    <w:qFormat/>
    <w:uiPriority w:val="0"/>
    <w:rPr>
      <w:rFonts w:hAnsi="Courier New" w:cs="Courier New"/>
      <w:sz w:val="24"/>
      <w:szCs w:val="21"/>
    </w:rPr>
  </w:style>
  <w:style w:type="paragraph" w:customStyle="1" w:styleId="8">
    <w:name w:val="列表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 w:type="paragraph" w:customStyle="1" w:styleId="11">
    <w:name w:val="列出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2026-06-09T02:35:00Z</dcterms:created>
  <dc:creator>王崴</dc:creator>
  <cp:lastModifiedBy>王崴</cp:lastModifiedBy>
  <dcterms:modified xsi:type="dcterms:W3CDTF">2026-06-09T02:35:45Z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83435C972144451D9EF5B2DC2B534EE4_11</vt:lpwstr>
  </property>
  <property fmtid="{D5CDD505-2E9C-101B-9397-08002B2CF9AE}" pid="4" name="KSOTemplateDocerSaveRecord">
    <vt:lpwstr>eyJoZGlkIjoiNTU3MWFmY2JmYjBmNTA2M2Q0ZWY5MzgxYzE5YjliMzUiLCJ1c2VySWQiOiI4NDYxOTIwMTUifQ==</vt:lpwstr>
  </property>
</Properties>
</file>