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FAB01F">
      <w:pPr>
        <w:jc w:val="cente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bookmarkStart w:id="0" w:name="_Toc305158897"/>
      <w:bookmarkStart w:id="1" w:name="_Toc226965828"/>
      <w:bookmarkStart w:id="2" w:name="_Toc305158823"/>
      <w:bookmarkStart w:id="3" w:name="_Toc353825545"/>
      <w:bookmarkStart w:id="4" w:name="_Toc150480793"/>
      <w:bookmarkStart w:id="5" w:name="_Toc353873665"/>
      <w:bookmarkStart w:id="6" w:name="_Toc142311057"/>
      <w:bookmarkStart w:id="7" w:name="_Toc127151555"/>
      <w:bookmarkStart w:id="8" w:name="_Toc226337251"/>
      <w:bookmarkStart w:id="9" w:name="_Toc195842920"/>
      <w:bookmarkStart w:id="10" w:name="_Toc353873935"/>
      <w:bookmarkStart w:id="11" w:name="_Toc265228393"/>
      <w:bookmarkStart w:id="12" w:name="_Toc150774760"/>
      <w:bookmarkStart w:id="13" w:name="_Toc264969245"/>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第一部分 项目需求及要求</w:t>
      </w:r>
    </w:p>
    <w:p w14:paraId="7CAE090E">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2DCD940B">
      <w:pPr>
        <w:spacing w:line="360" w:lineRule="auto"/>
        <w:contextualSpacing/>
        <w:rPr>
          <w:bCs/>
          <w:sz w:val="24"/>
          <w:highlight w:val="none"/>
        </w:rPr>
      </w:pPr>
      <w:r>
        <w:rPr>
          <w:bCs/>
          <w:sz w:val="24"/>
          <w:highlight w:val="none"/>
        </w:rPr>
        <w:t>1. 采购标的（货物需求一览表或简要服务内容及数量）</w:t>
      </w:r>
    </w:p>
    <w:p w14:paraId="4D66A949">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本次招标采购标的为：为</w:t>
      </w:r>
      <w:r>
        <w:rPr>
          <w:rFonts w:hint="eastAsia" w:ascii="宋体" w:hAnsi="宋体" w:cs="宋体"/>
          <w:bCs/>
          <w:sz w:val="24"/>
          <w:highlight w:val="none"/>
          <w:lang w:eastAsia="zh-CN"/>
        </w:rPr>
        <w:t>马驹桥镇人民政府保安服务项目（2026—2027年度）</w:t>
      </w:r>
      <w:r>
        <w:rPr>
          <w:rFonts w:hint="eastAsia" w:ascii="宋体" w:hAnsi="宋体" w:cs="宋体"/>
          <w:bCs/>
          <w:sz w:val="24"/>
          <w:highlight w:val="none"/>
          <w:lang w:val="en-US" w:eastAsia="zh-CN"/>
        </w:rPr>
        <w:t>一项</w:t>
      </w:r>
      <w:r>
        <w:rPr>
          <w:rFonts w:hint="eastAsia" w:ascii="宋体" w:hAnsi="宋体" w:cs="宋体"/>
          <w:bCs/>
          <w:sz w:val="24"/>
          <w:highlight w:val="none"/>
        </w:rPr>
        <w:t>服务。</w:t>
      </w:r>
    </w:p>
    <w:p w14:paraId="4872F0E4">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项目需求：</w:t>
      </w:r>
      <w:r>
        <w:rPr>
          <w:rFonts w:hint="eastAsia" w:ascii="宋体" w:hAnsi="宋体" w:cs="宋体"/>
          <w:bCs/>
          <w:sz w:val="24"/>
          <w:highlight w:val="none"/>
          <w:lang w:eastAsia="zh-CN"/>
        </w:rPr>
        <w:t>马驹桥镇人民政府保安服务项目（2026—2027年度）</w:t>
      </w:r>
      <w:r>
        <w:rPr>
          <w:rFonts w:hint="eastAsia" w:ascii="宋体" w:hAnsi="宋体" w:cs="宋体"/>
          <w:bCs/>
          <w:sz w:val="24"/>
          <w:highlight w:val="none"/>
        </w:rPr>
        <w:t>包含工作人员工资、保险、食宿、设备等所需资金</w:t>
      </w:r>
      <w:r>
        <w:rPr>
          <w:rFonts w:hint="eastAsia"/>
          <w:bCs/>
          <w:sz w:val="24"/>
          <w:highlight w:val="none"/>
        </w:rPr>
        <w:t>。</w:t>
      </w:r>
      <w:r>
        <w:rPr>
          <w:rFonts w:hint="eastAsia" w:ascii="宋体" w:hAnsi="宋体" w:cs="宋体"/>
          <w:bCs/>
          <w:sz w:val="24"/>
          <w:highlight w:val="none"/>
        </w:rPr>
        <w:t>供应商应根据招标文件所提出的技术规格和服务要求，综合考虑所投服务的适用性，选择需要最佳性能价格比和的服务前来投标。供应商应以先进的技术、优良的服务和优惠的价格，充分显示自己的竞争实力。</w:t>
      </w:r>
    </w:p>
    <w:p w14:paraId="6C6A2B63">
      <w:pPr>
        <w:spacing w:line="360" w:lineRule="auto"/>
        <w:contextualSpacing/>
        <w:rPr>
          <w:bCs/>
          <w:sz w:val="24"/>
          <w:highlight w:val="none"/>
        </w:rPr>
      </w:pPr>
      <w:r>
        <w:rPr>
          <w:bCs/>
          <w:sz w:val="24"/>
          <w:highlight w:val="none"/>
        </w:rPr>
        <w:t>2. 项目背景/项目概述（如有）</w:t>
      </w:r>
    </w:p>
    <w:p w14:paraId="397651A9">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lang w:val="en-US" w:eastAsia="zh-CN"/>
        </w:rPr>
        <w:t>马驹桥镇机关保安服务将于2026年7月8日到期到期，为了保障马驹桥镇机关保安服务的连续性，确保各项工作平稳有序进行，需采购一年保安服务</w:t>
      </w:r>
      <w:r>
        <w:rPr>
          <w:rFonts w:hint="eastAsia" w:ascii="宋体" w:hAnsi="宋体" w:cs="宋体"/>
          <w:bCs/>
          <w:sz w:val="24"/>
          <w:highlight w:val="none"/>
        </w:rPr>
        <w:t>。</w:t>
      </w:r>
    </w:p>
    <w:p w14:paraId="1782F8C0">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0654BE89">
      <w:pPr>
        <w:spacing w:line="360" w:lineRule="auto"/>
        <w:contextualSpacing/>
        <w:rPr>
          <w:i/>
          <w:sz w:val="24"/>
          <w:highlight w:val="none"/>
        </w:rPr>
      </w:pPr>
      <w:r>
        <w:rPr>
          <w:sz w:val="24"/>
          <w:highlight w:val="none"/>
        </w:rPr>
        <w:t>1. 交付（实施）的时间（期限）和地点（范围）</w:t>
      </w:r>
    </w:p>
    <w:p w14:paraId="07B8B58F">
      <w:pPr>
        <w:spacing w:line="360" w:lineRule="auto"/>
        <w:ind w:firstLine="480" w:firstLineChars="200"/>
        <w:contextualSpacing/>
        <w:rPr>
          <w:rFonts w:hint="eastAsia"/>
          <w:bCs/>
          <w:sz w:val="24"/>
          <w:highlight w:val="none"/>
        </w:rPr>
      </w:pPr>
      <w:r>
        <w:rPr>
          <w:rFonts w:hint="eastAsia" w:ascii="宋体" w:hAnsi="宋体"/>
          <w:sz w:val="24"/>
          <w:highlight w:val="none"/>
        </w:rPr>
        <w:t>服务时间：</w:t>
      </w:r>
      <w:r>
        <w:rPr>
          <w:rFonts w:hint="eastAsia" w:ascii="宋体" w:hAnsi="宋体"/>
          <w:sz w:val="24"/>
          <w:highlight w:val="none"/>
          <w:lang w:val="en-US" w:eastAsia="zh-CN"/>
        </w:rPr>
        <w:t>自</w:t>
      </w:r>
      <w:r>
        <w:rPr>
          <w:rFonts w:hint="eastAsia"/>
          <w:bCs/>
          <w:sz w:val="24"/>
          <w:highlight w:val="none"/>
          <w:lang w:val="en-US" w:eastAsia="zh-CN"/>
        </w:rPr>
        <w:t>合同自签订之日起1年</w:t>
      </w:r>
      <w:r>
        <w:rPr>
          <w:rFonts w:hint="eastAsia"/>
          <w:bCs/>
          <w:sz w:val="24"/>
          <w:highlight w:val="none"/>
        </w:rPr>
        <w:t>。</w:t>
      </w:r>
    </w:p>
    <w:p w14:paraId="51F57C2D">
      <w:pPr>
        <w:spacing w:line="360" w:lineRule="auto"/>
        <w:ind w:firstLine="480" w:firstLineChars="200"/>
        <w:contextualSpacing/>
        <w:rPr>
          <w:rFonts w:ascii="宋体" w:hAnsi="宋体"/>
          <w:sz w:val="24"/>
          <w:highlight w:val="none"/>
        </w:rPr>
      </w:pPr>
      <w:r>
        <w:rPr>
          <w:rFonts w:hint="eastAsia" w:ascii="宋体" w:hAnsi="宋体"/>
          <w:sz w:val="24"/>
          <w:highlight w:val="none"/>
        </w:rPr>
        <w:t>服务地点：</w:t>
      </w:r>
      <w:r>
        <w:rPr>
          <w:rFonts w:hint="eastAsia" w:ascii="宋体" w:hAnsi="宋体"/>
          <w:sz w:val="24"/>
          <w:highlight w:val="none"/>
          <w:lang w:val="en-US" w:eastAsia="zh-CN"/>
        </w:rPr>
        <w:t>北京市通州区马驹桥镇人民政府指定地点</w:t>
      </w:r>
      <w:r>
        <w:rPr>
          <w:rFonts w:hint="eastAsia" w:ascii="宋体" w:hAnsi="宋体"/>
          <w:sz w:val="24"/>
          <w:highlight w:val="none"/>
        </w:rPr>
        <w:t>。</w:t>
      </w:r>
    </w:p>
    <w:p w14:paraId="1886786D">
      <w:pPr>
        <w:spacing w:line="360" w:lineRule="auto"/>
        <w:contextualSpacing/>
        <w:rPr>
          <w:sz w:val="24"/>
          <w:highlight w:val="none"/>
        </w:rPr>
      </w:pPr>
      <w:r>
        <w:rPr>
          <w:sz w:val="24"/>
          <w:highlight w:val="none"/>
        </w:rPr>
        <w:t>2. 付款条件（进度和方式）</w:t>
      </w:r>
    </w:p>
    <w:p w14:paraId="6B450921">
      <w:pPr>
        <w:spacing w:line="360" w:lineRule="auto"/>
        <w:ind w:firstLine="480" w:firstLineChars="200"/>
        <w:contextualSpacing/>
        <w:rPr>
          <w:rFonts w:hint="eastAsia" w:ascii="宋体" w:hAnsi="宋体"/>
          <w:sz w:val="24"/>
          <w:highlight w:val="none"/>
        </w:rPr>
      </w:pPr>
      <w:r>
        <w:rPr>
          <w:rFonts w:hint="eastAsia"/>
          <w:bCs/>
          <w:sz w:val="24"/>
          <w:highlight w:val="none"/>
        </w:rPr>
        <w:t>实际支付按用工实际量支付。</w:t>
      </w:r>
    </w:p>
    <w:p w14:paraId="7C2BF62D">
      <w:pPr>
        <w:spacing w:line="360" w:lineRule="auto"/>
        <w:ind w:firstLine="480" w:firstLineChars="200"/>
        <w:contextualSpacing/>
        <w:rPr>
          <w:bCs/>
          <w:sz w:val="24"/>
          <w:highlight w:val="none"/>
        </w:rPr>
      </w:pPr>
      <w:r>
        <w:rPr>
          <w:rFonts w:hint="eastAsia"/>
          <w:bCs/>
          <w:sz w:val="24"/>
          <w:highlight w:val="none"/>
        </w:rPr>
        <w:t>按季度预付，支票或电汇</w:t>
      </w:r>
      <w:r>
        <w:rPr>
          <w:rFonts w:hint="eastAsia"/>
          <w:bCs/>
          <w:sz w:val="24"/>
          <w:highlight w:val="none"/>
          <w:lang w:eastAsia="zh-CN"/>
        </w:rPr>
        <w:t>。</w:t>
      </w:r>
      <w:r>
        <w:rPr>
          <w:rFonts w:hint="eastAsia"/>
          <w:bCs/>
          <w:sz w:val="24"/>
          <w:highlight w:val="none"/>
          <w:lang w:val="en-US" w:eastAsia="zh-CN"/>
        </w:rPr>
        <w:t>如因审计或财政拨款等时间问题导致付款延迟的，不构成甲方违约行为。</w:t>
      </w:r>
    </w:p>
    <w:p w14:paraId="1E84F6FC">
      <w:pPr>
        <w:spacing w:line="360" w:lineRule="auto"/>
        <w:contextualSpacing/>
        <w:rPr>
          <w:sz w:val="24"/>
          <w:highlight w:val="none"/>
        </w:rPr>
      </w:pPr>
      <w:r>
        <w:rPr>
          <w:sz w:val="24"/>
          <w:highlight w:val="none"/>
        </w:rPr>
        <w:t>3. 包装和运输</w:t>
      </w:r>
    </w:p>
    <w:p w14:paraId="1A83FC26">
      <w:pPr>
        <w:spacing w:line="360" w:lineRule="auto"/>
        <w:ind w:firstLine="480" w:firstLineChars="200"/>
        <w:contextualSpacing/>
        <w:rPr>
          <w:rFonts w:hint="eastAsia"/>
          <w:sz w:val="24"/>
          <w:highlight w:val="none"/>
        </w:rPr>
      </w:pPr>
      <w:r>
        <w:rPr>
          <w:rFonts w:hint="eastAsia"/>
          <w:sz w:val="24"/>
          <w:highlight w:val="none"/>
        </w:rPr>
        <w:t>投标人所投服务所伴随的货物（如有）中如有涉及商品包装和快递包装的，供应商提供货物及相关快递服务的具体包装要求请详见《商品包装政府采购需求标准（试行）》、《快递包装政府采购需求标准（试行）》。</w:t>
      </w:r>
    </w:p>
    <w:p w14:paraId="7E204F14">
      <w:pPr>
        <w:spacing w:line="360" w:lineRule="auto"/>
        <w:contextualSpacing/>
        <w:rPr>
          <w:sz w:val="24"/>
          <w:highlight w:val="none"/>
        </w:rPr>
      </w:pPr>
      <w:r>
        <w:rPr>
          <w:sz w:val="24"/>
          <w:highlight w:val="none"/>
        </w:rPr>
        <w:t>4. 售后服务（质保期）（如适用）</w:t>
      </w:r>
    </w:p>
    <w:p w14:paraId="69C159D4">
      <w:pPr>
        <w:spacing w:line="360" w:lineRule="auto"/>
        <w:contextualSpacing/>
        <w:rPr>
          <w:rFonts w:hint="eastAsia"/>
          <w:sz w:val="24"/>
          <w:highlight w:val="none"/>
        </w:rPr>
      </w:pPr>
      <w:r>
        <w:rPr>
          <w:rFonts w:hint="eastAsia"/>
          <w:sz w:val="24"/>
          <w:highlight w:val="none"/>
        </w:rPr>
        <w:t>本项目不涉及售后服务/质保期</w:t>
      </w:r>
    </w:p>
    <w:p w14:paraId="3367B3D5">
      <w:pPr>
        <w:spacing w:line="360" w:lineRule="auto"/>
        <w:contextualSpacing/>
        <w:rPr>
          <w:b/>
          <w:i/>
          <w:sz w:val="24"/>
          <w:highlight w:val="none"/>
        </w:rPr>
      </w:pPr>
      <w:r>
        <w:rPr>
          <w:sz w:val="24"/>
          <w:highlight w:val="none"/>
        </w:rPr>
        <w:t>5. 保险（如适用）</w:t>
      </w:r>
    </w:p>
    <w:p w14:paraId="2F5DB11F">
      <w:pPr>
        <w:widowControl/>
        <w:shd w:val="clear" w:color="auto" w:fill="FFFFFF"/>
        <w:spacing w:line="460" w:lineRule="exact"/>
        <w:ind w:firstLine="480"/>
        <w:jc w:val="left"/>
        <w:rPr>
          <w:rFonts w:ascii="宋体" w:hAnsi="宋体" w:cs="宋体"/>
          <w:color w:val="000000"/>
          <w:kern w:val="0"/>
          <w:sz w:val="24"/>
          <w:highlight w:val="none"/>
        </w:rPr>
      </w:pPr>
      <w:r>
        <w:rPr>
          <w:rFonts w:ascii="宋体" w:hAnsi="宋体" w:cs="宋体"/>
          <w:color w:val="000000"/>
          <w:kern w:val="0"/>
          <w:sz w:val="24"/>
          <w:highlight w:val="none"/>
        </w:rPr>
        <w:t>本项目采用包干制,投标人报价不得高于招标文件规定的最高限价。投标人应以本项目所涉及的有关项目的所有费用进行报价，包括但不限于：员工工资、员工五险一金、服装费、年终奖金、法定假日补贴、通讯费、低值易耗品、工具配备费用、意外险、器械费、车辆费用、伙食费、不可预见费、行政管理费、住宿补贴、税费等一切费用。合同价在合同履行期间不作任何调整，任何计算错误皆视为已获双方接受，合同价亦不会因人工、物价、政策或汇率等变动而作任何调整。除合同价外，采购人不再支付任何费用。投标人报价中员工的最低工资不得低于</w:t>
      </w:r>
      <w:r>
        <w:rPr>
          <w:rFonts w:hint="eastAsia" w:ascii="宋体" w:hAnsi="宋体" w:cs="宋体"/>
          <w:color w:val="000000"/>
          <w:kern w:val="0"/>
          <w:sz w:val="24"/>
          <w:highlight w:val="none"/>
        </w:rPr>
        <w:t>北京市</w:t>
      </w:r>
      <w:r>
        <w:rPr>
          <w:rFonts w:ascii="宋体" w:hAnsi="宋体" w:cs="宋体"/>
          <w:color w:val="000000"/>
          <w:kern w:val="0"/>
          <w:sz w:val="24"/>
          <w:highlight w:val="none"/>
        </w:rPr>
        <w:t>人社厅印发的最低工资标准。本次政府采购活动已经开展但尚未进入评审环节的，法律、行政法规对我省最低工资标准、缴纳五险另有规定的，从其规定。同时，还要考虑到合同中可能出现的索赔和变更。</w:t>
      </w:r>
    </w:p>
    <w:p w14:paraId="7AB5DCE5">
      <w:pPr>
        <w:pStyle w:val="75"/>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14:paraId="37FD533C">
      <w:pPr>
        <w:spacing w:line="360" w:lineRule="auto"/>
        <w:contextualSpacing/>
        <w:rPr>
          <w:sz w:val="24"/>
          <w:highlight w:val="none"/>
        </w:rPr>
      </w:pPr>
      <w:r>
        <w:rPr>
          <w:sz w:val="24"/>
          <w:highlight w:val="none"/>
        </w:rPr>
        <w:t>1. 基本要求</w:t>
      </w:r>
    </w:p>
    <w:p w14:paraId="53D8243B">
      <w:pPr>
        <w:spacing w:line="360" w:lineRule="auto"/>
        <w:ind w:firstLine="480" w:firstLineChars="200"/>
        <w:contextualSpacing/>
        <w:rPr>
          <w:sz w:val="24"/>
          <w:highlight w:val="none"/>
        </w:rPr>
      </w:pPr>
      <w:r>
        <w:rPr>
          <w:sz w:val="24"/>
          <w:highlight w:val="none"/>
        </w:rPr>
        <w:t>1.1 采购标的需实现的功能或者目标</w:t>
      </w:r>
    </w:p>
    <w:p w14:paraId="30CC030E">
      <w:pPr>
        <w:pStyle w:val="5"/>
        <w:spacing w:line="360" w:lineRule="auto"/>
        <w:rPr>
          <w:rFonts w:hint="eastAsia"/>
          <w:highlight w:val="none"/>
        </w:rPr>
      </w:pPr>
      <w:r>
        <w:rPr>
          <w:rFonts w:hint="eastAsia"/>
          <w:highlight w:val="none"/>
        </w:rPr>
        <w:t>采购标的需实现的功能或者目标：本次招标采购是为</w:t>
      </w:r>
      <w:r>
        <w:rPr>
          <w:rFonts w:hint="eastAsia"/>
          <w:highlight w:val="none"/>
          <w:lang w:eastAsia="zh-CN"/>
        </w:rPr>
        <w:t>马驹桥镇人民政府保安服务项目（2026—2027年度）</w:t>
      </w:r>
      <w:r>
        <w:rPr>
          <w:rFonts w:hint="eastAsia"/>
          <w:highlight w:val="none"/>
        </w:rPr>
        <w:t>的服务，供应商应根据招标文件所提出的技术规格和服务要求，综合考虑所投服务的适用性，选择需要最佳性能价格比和的服务前来投标。供应商应以先进的技术、优良的服务和优惠的价格，充分显示自己的竞争实力。</w:t>
      </w:r>
    </w:p>
    <w:p w14:paraId="29B6548E">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2D893452">
      <w:pPr>
        <w:spacing w:line="360" w:lineRule="auto"/>
        <w:ind w:firstLine="480" w:firstLineChars="200"/>
        <w:contextualSpacing/>
        <w:rPr>
          <w:sz w:val="24"/>
          <w:highlight w:val="none"/>
        </w:rPr>
      </w:pPr>
      <w:r>
        <w:rPr>
          <w:rFonts w:hint="eastAsia" w:ascii="宋体" w:hAnsi="宋体" w:cs="宋体"/>
          <w:bCs/>
          <w:sz w:val="24"/>
          <w:highlight w:val="none"/>
        </w:rPr>
        <w:t>符合已颁布的现行中华人民共和国认可的国家标准、地方标准和行业标准。如果这些标准内容有矛盾时，应按最高标准的条款执行。</w:t>
      </w:r>
    </w:p>
    <w:p w14:paraId="0C1D6A0B">
      <w:pPr>
        <w:spacing w:line="360" w:lineRule="auto"/>
        <w:contextualSpacing/>
        <w:rPr>
          <w:sz w:val="24"/>
          <w:highlight w:val="none"/>
        </w:rPr>
      </w:pPr>
      <w:r>
        <w:rPr>
          <w:sz w:val="24"/>
          <w:highlight w:val="none"/>
        </w:rPr>
        <w:t>2. 服务内容及要求/货物技术要求</w:t>
      </w:r>
    </w:p>
    <w:p w14:paraId="1E5B1A1F">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p w14:paraId="7DA99237">
      <w:pPr>
        <w:pStyle w:val="5"/>
        <w:spacing w:line="360" w:lineRule="auto"/>
        <w:rPr>
          <w:highlight w:val="none"/>
        </w:rPr>
      </w:pPr>
      <w:r>
        <w:rPr>
          <w:rFonts w:hint="eastAsia" w:hAnsi="宋体" w:cs="宋体"/>
          <w:bCs/>
          <w:highlight w:val="none"/>
        </w:rPr>
        <w:t>详见第二部分，第二部分中“</w:t>
      </w:r>
      <w:r>
        <w:rPr>
          <w:rFonts w:hint="eastAsia" w:ascii="新宋体" w:hAnsi="新宋体" w:eastAsia="新宋体" w:cs="新宋体"/>
          <w:bCs/>
          <w:highlight w:val="none"/>
        </w:rPr>
        <w:t>▲</w:t>
      </w:r>
      <w:r>
        <w:rPr>
          <w:rFonts w:hint="eastAsia" w:hAnsi="宋体" w:cs="宋体"/>
          <w:bCs/>
          <w:highlight w:val="none"/>
        </w:rPr>
        <w:t>”</w:t>
      </w:r>
      <w:r>
        <w:rPr>
          <w:rFonts w:hint="eastAsia" w:hAnsi="宋体" w:cs="宋体"/>
          <w:bCs/>
          <w:highlight w:val="none"/>
          <w:lang w:eastAsia="zh-CN"/>
        </w:rPr>
        <w:t>（</w:t>
      </w:r>
      <w:r>
        <w:rPr>
          <w:rFonts w:hint="eastAsia" w:hAnsi="宋体" w:cs="宋体"/>
          <w:bCs/>
          <w:highlight w:val="none"/>
          <w:lang w:val="en-US" w:eastAsia="zh-CN"/>
        </w:rPr>
        <w:t>如涉及</w:t>
      </w:r>
      <w:r>
        <w:rPr>
          <w:rFonts w:hint="eastAsia" w:hAnsi="宋体" w:cs="宋体"/>
          <w:bCs/>
          <w:highlight w:val="none"/>
          <w:lang w:eastAsia="zh-CN"/>
        </w:rPr>
        <w:t>）</w:t>
      </w:r>
      <w:r>
        <w:rPr>
          <w:rFonts w:hint="eastAsia" w:hAnsi="宋体" w:cs="宋体"/>
          <w:bCs/>
          <w:highlight w:val="none"/>
        </w:rPr>
        <w:t>条款须提供证明材料或承诺，未提供按未应答处理，并根据招标文件评分表相关要求进行评审。</w:t>
      </w:r>
    </w:p>
    <w:p w14:paraId="01810A7A">
      <w:pPr>
        <w:widowControl/>
        <w:spacing w:line="360" w:lineRule="auto"/>
        <w:ind w:firstLine="480" w:firstLineChars="200"/>
        <w:contextualSpacing/>
        <w:rPr>
          <w:sz w:val="24"/>
          <w:highlight w:val="none"/>
        </w:rPr>
      </w:pPr>
      <w:r>
        <w:rPr>
          <w:sz w:val="24"/>
          <w:highlight w:val="none"/>
        </w:rPr>
        <w:t>2.2采购标的需满足的服务标准、期限、效率等要求</w:t>
      </w:r>
    </w:p>
    <w:p w14:paraId="5E484780">
      <w:pPr>
        <w:pStyle w:val="5"/>
        <w:spacing w:line="360" w:lineRule="auto"/>
        <w:rPr>
          <w:highlight w:val="none"/>
        </w:rPr>
      </w:pPr>
      <w:r>
        <w:rPr>
          <w:rFonts w:hint="eastAsia"/>
          <w:highlight w:val="none"/>
        </w:rPr>
        <w:t>详见第二部分</w:t>
      </w:r>
    </w:p>
    <w:p w14:paraId="7D61B15A">
      <w:pPr>
        <w:widowControl/>
        <w:spacing w:line="360" w:lineRule="auto"/>
        <w:ind w:firstLine="480" w:firstLineChars="200"/>
        <w:contextualSpacing/>
        <w:rPr>
          <w:sz w:val="24"/>
          <w:highlight w:val="none"/>
        </w:rPr>
      </w:pPr>
      <w:r>
        <w:rPr>
          <w:sz w:val="24"/>
          <w:highlight w:val="none"/>
        </w:rPr>
        <w:t>2.3为落实政府采购政策需满足的要求</w:t>
      </w:r>
    </w:p>
    <w:p w14:paraId="65B5E65C">
      <w:pPr>
        <w:pStyle w:val="5"/>
        <w:spacing w:line="360" w:lineRule="auto"/>
        <w:rPr>
          <w:rFonts w:hint="eastAsia"/>
          <w:highlight w:val="none"/>
        </w:rPr>
      </w:pPr>
      <w:r>
        <w:rPr>
          <w:rFonts w:hint="eastAsia"/>
          <w:highlight w:val="none"/>
        </w:rPr>
        <w:t>2.3.1 执行《政府采购促进中小企业发展管理办法》（财库【2020】46 号）及《北京市财政局 北京市经济和信息化局转发财政部 工业和信息化部关于政府采购促进中小企业发展管理办法的通知》（京财采购〔2021〕263 号）、《财政部、司法部关于政府采购支持监狱企业发展有关问题的通知》（财库【2014】68号）、《三部门联合发布关于促进残疾人就业政府采购政策的通知》（财库【2017】141号）的相关规定，对小型和微型企业、监狱企业、残疾人福利性单位的价格给予</w:t>
      </w:r>
      <w:r>
        <w:rPr>
          <w:rFonts w:hint="eastAsia"/>
          <w:highlight w:val="none"/>
          <w:lang w:val="en-US" w:eastAsia="zh-CN"/>
        </w:rPr>
        <w:t>10</w:t>
      </w:r>
      <w:r>
        <w:rPr>
          <w:rFonts w:hint="eastAsia"/>
          <w:highlight w:val="none"/>
        </w:rPr>
        <w:t>%的扣除，用扣除后的价格参与评审。</w:t>
      </w:r>
    </w:p>
    <w:p w14:paraId="57704184">
      <w:pPr>
        <w:pStyle w:val="5"/>
        <w:spacing w:line="360" w:lineRule="auto"/>
        <w:rPr>
          <w:rFonts w:hint="eastAsia"/>
          <w:highlight w:val="none"/>
        </w:rPr>
      </w:pPr>
      <w:r>
        <w:rPr>
          <w:rFonts w:hint="eastAsia"/>
          <w:highlight w:val="none"/>
        </w:rPr>
        <w:t xml:space="preserve">2.3.2 执行《财政部关于调整优化节能产品、环境标志产品政府采购执行机制的通知》（财库〔2019〕9号）的相关规定，在评标时予以优先采购。评分标准详见第五章。  </w:t>
      </w:r>
    </w:p>
    <w:p w14:paraId="6A6A6C53">
      <w:pPr>
        <w:pStyle w:val="5"/>
        <w:spacing w:line="360" w:lineRule="auto"/>
        <w:rPr>
          <w:highlight w:val="none"/>
        </w:rPr>
      </w:pPr>
      <w:r>
        <w:rPr>
          <w:rFonts w:hint="eastAsia"/>
          <w:highlight w:val="none"/>
        </w:rPr>
        <w:t>2.3.3 执行《关于开展政府采购信用担保试点工作的通知》（财库【2011】124号）的相关规定，接受供应商采用政府采购信用担保形式支付投标保证金及履约保证金。</w:t>
      </w:r>
    </w:p>
    <w:p w14:paraId="0F6336C3">
      <w:pPr>
        <w:widowControl/>
        <w:spacing w:line="360" w:lineRule="auto"/>
        <w:ind w:firstLine="480" w:firstLineChars="200"/>
        <w:contextualSpacing/>
        <w:rPr>
          <w:sz w:val="24"/>
          <w:highlight w:val="none"/>
        </w:rPr>
      </w:pPr>
      <w:r>
        <w:rPr>
          <w:sz w:val="24"/>
          <w:highlight w:val="none"/>
        </w:rPr>
        <w:t>2.4采购标的的其他技术、服务等要求</w:t>
      </w:r>
    </w:p>
    <w:p w14:paraId="6CB246E4">
      <w:pPr>
        <w:widowControl/>
        <w:spacing w:line="360" w:lineRule="auto"/>
        <w:ind w:firstLine="480" w:firstLineChars="200"/>
        <w:contextualSpacing/>
        <w:rPr>
          <w:sz w:val="24"/>
          <w:highlight w:val="none"/>
        </w:rPr>
      </w:pPr>
      <w:r>
        <w:rPr>
          <w:rFonts w:hint="eastAsia"/>
          <w:sz w:val="24"/>
          <w:highlight w:val="none"/>
        </w:rPr>
        <w:t>详见第二部分</w:t>
      </w:r>
    </w:p>
    <w:p w14:paraId="124BE31A">
      <w:pPr>
        <w:widowControl/>
        <w:spacing w:line="360" w:lineRule="auto"/>
        <w:ind w:firstLine="480" w:firstLineChars="200"/>
        <w:contextualSpacing/>
        <w:rPr>
          <w:sz w:val="24"/>
          <w:highlight w:val="none"/>
        </w:rPr>
      </w:pPr>
      <w:r>
        <w:rPr>
          <w:sz w:val="24"/>
          <w:highlight w:val="none"/>
        </w:rPr>
        <w:t>2.5需由供应商提供设计方案、解决方案或者组织方案的采购项目，应当说明采购标的的功能、应用场景、目标等基本要求</w:t>
      </w:r>
    </w:p>
    <w:p w14:paraId="0899EE8F">
      <w:pPr>
        <w:pStyle w:val="75"/>
        <w:adjustRightInd w:val="0"/>
        <w:spacing w:line="360" w:lineRule="auto"/>
        <w:ind w:firstLine="424" w:firstLineChars="177"/>
        <w:contextualSpacing/>
        <w:jc w:val="left"/>
        <w:rPr>
          <w:rFonts w:ascii="Times New Roman" w:hAnsi="Times New Roman"/>
          <w:sz w:val="24"/>
          <w:szCs w:val="24"/>
          <w:highlight w:val="none"/>
        </w:rPr>
      </w:pPr>
      <w:r>
        <w:rPr>
          <w:rFonts w:hint="eastAsia" w:ascii="Times New Roman" w:hAnsi="Times New Roman"/>
          <w:sz w:val="24"/>
          <w:szCs w:val="24"/>
          <w:highlight w:val="none"/>
        </w:rPr>
        <w:t>供应商须提供包括单不限于评审要求的对项目的需求理解分析；服务方案；售后服务方案；对招标文件服务需求的响应程度等。</w:t>
      </w:r>
    </w:p>
    <w:p w14:paraId="6DDD6F27">
      <w:pPr>
        <w:spacing w:line="360" w:lineRule="auto"/>
        <w:contextualSpacing/>
        <w:rPr>
          <w:i/>
          <w:iCs/>
          <w:sz w:val="24"/>
          <w:highlight w:val="none"/>
        </w:rPr>
      </w:pPr>
      <w:r>
        <w:rPr>
          <w:sz w:val="24"/>
          <w:highlight w:val="none"/>
        </w:rPr>
        <w:t>3. 验收标准</w:t>
      </w:r>
    </w:p>
    <w:p w14:paraId="3C2C5509">
      <w:pPr>
        <w:widowControl/>
        <w:spacing w:line="360" w:lineRule="auto"/>
        <w:ind w:firstLine="482"/>
        <w:contextualSpacing/>
        <w:rPr>
          <w:rFonts w:hint="eastAsia"/>
          <w:bCs/>
          <w:sz w:val="24"/>
          <w:highlight w:val="none"/>
        </w:rPr>
      </w:pPr>
      <w:r>
        <w:rPr>
          <w:rFonts w:hint="eastAsia"/>
          <w:bCs/>
          <w:sz w:val="24"/>
          <w:highlight w:val="none"/>
          <w:lang w:val="en-US" w:eastAsia="zh-CN"/>
        </w:rPr>
        <w:t>一、</w:t>
      </w:r>
      <w:r>
        <w:rPr>
          <w:rFonts w:hint="eastAsia"/>
          <w:bCs/>
          <w:sz w:val="24"/>
          <w:highlight w:val="none"/>
        </w:rPr>
        <w:t>详见合同条款</w:t>
      </w:r>
    </w:p>
    <w:p w14:paraId="0E52E156">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二、验收和风险控制要求</w:t>
      </w:r>
    </w:p>
    <w:p w14:paraId="7C36D9B0">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 xml:space="preserve">根据工作的复杂性和不特定性，对供应商考核是否存在以下违约内容进行人员到岗服务验收和风险控制。  </w:t>
      </w:r>
    </w:p>
    <w:p w14:paraId="0EDBFB37">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（一） 一般违约情形</w:t>
      </w:r>
    </w:p>
    <w:p w14:paraId="5F42A1EE">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1.保安人员年流动率超过20%的；</w:t>
      </w:r>
    </w:p>
    <w:p w14:paraId="3C444A7F">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2.因管理不到位，造成保安人员擅自脱岗空岗或擅自执法的；</w:t>
      </w:r>
    </w:p>
    <w:p w14:paraId="4D769789">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3.其他损失甲方利益的情况。</w:t>
      </w:r>
    </w:p>
    <w:p w14:paraId="25DB0A95">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（二） 严重违约情形</w:t>
      </w:r>
    </w:p>
    <w:p w14:paraId="08BA081B">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1.保安人员年流动率超35%的；</w:t>
      </w:r>
    </w:p>
    <w:p w14:paraId="4862CDF1">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2.提供的保安人员泄露工作秘密的；</w:t>
      </w:r>
    </w:p>
    <w:p w14:paraId="34AF420E">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3.对甲方提出的合理工作要求拒不履行的；</w:t>
      </w:r>
    </w:p>
    <w:p w14:paraId="68385ADA">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4.其他损害甲方利益，并造成一定影响的情况。</w:t>
      </w:r>
    </w:p>
    <w:p w14:paraId="4B5FAF0E">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（三） 特别严重违约情形</w:t>
      </w:r>
    </w:p>
    <w:p w14:paraId="2649E2CA">
      <w:pPr>
        <w:widowControl/>
        <w:spacing w:line="360" w:lineRule="auto"/>
        <w:ind w:firstLine="482"/>
        <w:contextualSpacing/>
        <w:rPr>
          <w:rFonts w:hint="eastAsia"/>
          <w:bCs/>
          <w:sz w:val="24"/>
          <w:highlight w:val="none"/>
          <w:lang w:val="en-US" w:eastAsia="zh-CN"/>
        </w:rPr>
      </w:pPr>
      <w:r>
        <w:rPr>
          <w:rFonts w:hint="eastAsia"/>
          <w:bCs/>
          <w:sz w:val="24"/>
          <w:highlight w:val="none"/>
          <w:lang w:val="en-US" w:eastAsia="zh-CN"/>
        </w:rPr>
        <w:t>1.提供的保安人员泄露工作秘密，并造成影响的；</w:t>
      </w:r>
    </w:p>
    <w:p w14:paraId="73706A31">
      <w:pPr>
        <w:widowControl/>
        <w:spacing w:line="360" w:lineRule="auto"/>
        <w:ind w:firstLine="482"/>
        <w:contextualSpacing/>
        <w:rPr>
          <w:rFonts w:hint="eastAsia" w:eastAsia="宋体"/>
          <w:bCs/>
          <w:sz w:val="24"/>
          <w:highlight w:val="none"/>
          <w:lang w:val="en-US" w:eastAsia="zh-CN"/>
        </w:rPr>
      </w:pPr>
      <w:r>
        <w:rPr>
          <w:rFonts w:hint="eastAsia"/>
          <w:bCs/>
          <w:sz w:val="24"/>
          <w:highlight w:val="none"/>
          <w:lang w:val="en-US" w:eastAsia="zh-CN"/>
        </w:rPr>
        <w:t>2.其他损害甲方利益，并造成恶劣影响的情况。</w:t>
      </w:r>
    </w:p>
    <w:p w14:paraId="1F147490">
      <w:pPr>
        <w:spacing w:line="360" w:lineRule="auto"/>
        <w:contextualSpacing/>
        <w:rPr>
          <w:sz w:val="24"/>
          <w:highlight w:val="none"/>
        </w:rPr>
      </w:pPr>
      <w:r>
        <w:rPr>
          <w:sz w:val="24"/>
          <w:highlight w:val="none"/>
        </w:rPr>
        <w:t>4. 其他要求（如有）</w:t>
      </w:r>
    </w:p>
    <w:p w14:paraId="2BAB4CFB">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详见第二部分</w:t>
      </w:r>
    </w:p>
    <w:p w14:paraId="3931D6E4">
      <w:pPr>
        <w:rPr>
          <w:rFonts w:hint="eastAsia" w:ascii="宋体" w:hAnsi="宋体" w:cs="宋体"/>
          <w:bCs/>
          <w:sz w:val="24"/>
          <w:highlight w:val="none"/>
        </w:rPr>
      </w:pPr>
      <w:r>
        <w:rPr>
          <w:rFonts w:hint="eastAsia" w:ascii="宋体" w:hAnsi="宋体" w:cs="宋体"/>
          <w:bCs/>
          <w:sz w:val="24"/>
          <w:highlight w:val="none"/>
        </w:rPr>
        <w:br w:type="page"/>
      </w:r>
    </w:p>
    <w:p w14:paraId="6182DA98">
      <w:pPr>
        <w:jc w:val="center"/>
        <w:rPr>
          <w:highlight w:val="none"/>
        </w:rPr>
      </w:pPr>
      <w:r>
        <w:rPr>
          <w:rFonts w:hint="eastAsia" w:ascii="宋体" w:hAnsi="宋体" w:cs="宋体"/>
          <w:b/>
          <w:bCs/>
          <w:sz w:val="24"/>
          <w:highlight w:val="none"/>
        </w:rPr>
        <w:t>第二部分  服务需求</w:t>
      </w:r>
    </w:p>
    <w:p w14:paraId="46DFDD7D">
      <w:pPr>
        <w:pStyle w:val="14"/>
        <w:rPr>
          <w:rFonts w:hint="eastAsia" w:ascii="宋体" w:hAnsi="宋体" w:eastAsia="宋体" w:cs="宋体"/>
          <w:color w:val="auto"/>
          <w:sz w:val="24"/>
          <w:szCs w:val="24"/>
          <w:highlight w:val="none"/>
        </w:rPr>
      </w:pPr>
    </w:p>
    <w:p w14:paraId="0B7AAC2A">
      <w:pPr>
        <w:pStyle w:val="14"/>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一、项目名称：</w:t>
      </w:r>
      <w:r>
        <w:rPr>
          <w:rFonts w:hint="eastAsia" w:ascii="宋体" w:hAnsi="宋体" w:cs="宋体"/>
          <w:color w:val="auto"/>
          <w:sz w:val="24"/>
          <w:szCs w:val="24"/>
          <w:highlight w:val="none"/>
          <w:lang w:eastAsia="zh-CN"/>
        </w:rPr>
        <w:t>马驹桥镇人民政府保安服务项目（2026—2027年度）</w:t>
      </w:r>
    </w:p>
    <w:p w14:paraId="3CE307E9">
      <w:pPr>
        <w:pStyle w:val="14"/>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二、项目背景</w:t>
      </w:r>
    </w:p>
    <w:p w14:paraId="61F1528C">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马驹桥镇机关保安服务将于2026年7月8日到期到期，为了保障马驹桥镇机关保安服务的连续性，确保各项工作平稳有序进行，需采购一年保安服务。</w:t>
      </w:r>
    </w:p>
    <w:p w14:paraId="2297BFC2">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三、项目时间</w:t>
      </w:r>
    </w:p>
    <w:p w14:paraId="47AE51D9">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年7月至202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月底</w:t>
      </w:r>
    </w:p>
    <w:p w14:paraId="452DC74C">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四、项目资金</w:t>
      </w:r>
    </w:p>
    <w:p w14:paraId="16CCCD2A">
      <w:pPr>
        <w:pStyle w:val="14"/>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1.资金来源及构成：</w:t>
      </w:r>
      <w:r>
        <w:rPr>
          <w:rFonts w:hint="eastAsia" w:ascii="宋体" w:hAnsi="宋体" w:eastAsia="宋体" w:cs="宋体"/>
          <w:color w:val="auto"/>
          <w:sz w:val="24"/>
          <w:szCs w:val="24"/>
          <w:highlight w:val="none"/>
          <w:lang w:eastAsia="zh-CN"/>
        </w:rPr>
        <w:t>该项目需要资金费用约</w:t>
      </w:r>
      <w:r>
        <w:rPr>
          <w:rFonts w:hint="eastAsia" w:ascii="宋体" w:hAnsi="宋体" w:eastAsia="宋体" w:cs="宋体"/>
          <w:color w:val="auto"/>
          <w:sz w:val="24"/>
          <w:szCs w:val="24"/>
          <w:highlight w:val="none"/>
          <w:lang w:val="en-US" w:eastAsia="zh-CN"/>
        </w:rPr>
        <w:t>195万元，属于预算内，资金来源已落实到位，资金可使用于项目人员工资、服装装备、管理费、税金及项目相关的其他合理支出等。</w:t>
      </w:r>
    </w:p>
    <w:p w14:paraId="5F9207F8">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五、项目实施内容</w:t>
      </w:r>
    </w:p>
    <w:p w14:paraId="05A73955">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按照《保安服务管理条例》及采购人安全管理制度要求，主要开展以下几个方面工作。</w:t>
      </w:r>
    </w:p>
    <w:p w14:paraId="074174A0">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（一）</w:t>
      </w:r>
      <w:r>
        <w:rPr>
          <w:rFonts w:hint="eastAsia" w:ascii="宋体" w:hAnsi="宋体" w:eastAsia="宋体" w:cs="宋体"/>
          <w:color w:val="000000"/>
          <w:kern w:val="0"/>
          <w:sz w:val="24"/>
          <w:szCs w:val="24"/>
          <w:highlight w:val="none"/>
          <w:lang w:val="en-US" w:eastAsia="zh-CN"/>
        </w:rPr>
        <w:t>门岗值守：对进出人员、车辆进行查验、登记，阻止无关人员及危险物品进入；</w:t>
      </w:r>
    </w:p>
    <w:p w14:paraId="186EB213">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（二）</w:t>
      </w:r>
      <w:r>
        <w:rPr>
          <w:rFonts w:hint="default" w:ascii="宋体" w:hAnsi="宋体" w:eastAsia="宋体" w:cs="宋体"/>
          <w:color w:val="000000"/>
          <w:kern w:val="0"/>
          <w:sz w:val="24"/>
          <w:szCs w:val="24"/>
          <w:highlight w:val="none"/>
          <w:lang w:val="en-US" w:eastAsia="zh-CN"/>
        </w:rPr>
        <w:t>巡逻检查：按规定路线和频次对办公区、重点部位、停车场等进行安全巡查，发现隐患及时报告并处置；</w:t>
      </w:r>
    </w:p>
    <w:p w14:paraId="3DCA599B">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（三）</w:t>
      </w:r>
      <w:r>
        <w:rPr>
          <w:rFonts w:hint="default" w:ascii="宋体" w:hAnsi="宋体" w:eastAsia="宋体" w:cs="宋体"/>
          <w:color w:val="000000"/>
          <w:kern w:val="0"/>
          <w:sz w:val="24"/>
          <w:szCs w:val="24"/>
          <w:highlight w:val="none"/>
          <w:lang w:val="en-US" w:eastAsia="zh-CN"/>
        </w:rPr>
        <w:t>监控管理：值守中控室，实时查看视频监控系统，记录异常情况，配合应急调度；</w:t>
      </w:r>
    </w:p>
    <w:p w14:paraId="4EC2F937">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（四）</w:t>
      </w:r>
      <w:r>
        <w:rPr>
          <w:rFonts w:hint="default" w:ascii="宋体" w:hAnsi="宋体" w:eastAsia="宋体" w:cs="宋体"/>
          <w:color w:val="000000"/>
          <w:kern w:val="0"/>
          <w:sz w:val="24"/>
          <w:szCs w:val="24"/>
          <w:highlight w:val="none"/>
          <w:lang w:val="en-US" w:eastAsia="zh-CN"/>
        </w:rPr>
        <w:t>应急处置：参与突发事件应急演练及现场处置</w:t>
      </w:r>
      <w:r>
        <w:rPr>
          <w:rFonts w:hint="eastAsia" w:ascii="宋体" w:hAnsi="宋体" w:eastAsia="宋体" w:cs="宋体"/>
          <w:color w:val="000000"/>
          <w:kern w:val="0"/>
          <w:sz w:val="24"/>
          <w:szCs w:val="24"/>
          <w:highlight w:val="none"/>
          <w:lang w:val="en-US" w:eastAsia="zh-CN"/>
        </w:rPr>
        <w:t>。</w:t>
      </w:r>
    </w:p>
    <w:p w14:paraId="24E930D8">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（五）</w:t>
      </w:r>
      <w:r>
        <w:rPr>
          <w:rFonts w:hint="default" w:ascii="宋体" w:hAnsi="宋体" w:eastAsia="宋体" w:cs="宋体"/>
          <w:color w:val="000000"/>
          <w:kern w:val="0"/>
          <w:sz w:val="24"/>
          <w:szCs w:val="24"/>
          <w:highlight w:val="none"/>
          <w:lang w:val="en-US" w:eastAsia="zh-CN"/>
        </w:rPr>
        <w:t>秩序维护：引导车辆有序停放，维护公共区域秩序，制止违规行为；</w:t>
      </w:r>
    </w:p>
    <w:p w14:paraId="2BB77F2E">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（六）</w:t>
      </w:r>
      <w:r>
        <w:rPr>
          <w:rFonts w:hint="default" w:ascii="宋体" w:hAnsi="宋体" w:eastAsia="宋体" w:cs="宋体"/>
          <w:color w:val="000000"/>
          <w:kern w:val="0"/>
          <w:sz w:val="24"/>
          <w:szCs w:val="24"/>
          <w:highlight w:val="none"/>
          <w:lang w:val="en-US" w:eastAsia="zh-CN"/>
        </w:rPr>
        <w:t>其他辅助工作：协助采购人完成临时性安保任务、重大活动安保等。</w:t>
      </w:r>
    </w:p>
    <w:p w14:paraId="684F10C3">
      <w:pPr>
        <w:pStyle w:val="14"/>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对供应商的要求</w:t>
      </w:r>
    </w:p>
    <w:p w14:paraId="0A93ABD5">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1.基本要求</w:t>
      </w:r>
    </w:p>
    <w:p w14:paraId="00291A13">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（1）需实现的功能或者目标：提供24小时不间断、专业化的保安服务，确保服务区域治安秩序良好，无重大安全责任事故，采购人及服务对象满意度不低于90%。</w:t>
      </w:r>
    </w:p>
    <w:p w14:paraId="2853F239">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（2）需执行的国家相关标准、行业标准、地方标准或者其他标准、规范：《保安服务管理条例》、《保安服务操作规程与质量控制》（GA/T 594）等。</w:t>
      </w:r>
    </w:p>
    <w:p w14:paraId="1B95EFBB">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2.服务内容及要求/货物技术要求</w:t>
      </w:r>
    </w:p>
    <w:p w14:paraId="4290FF04">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（1）需满足的性能、材料、结构、外观、质量、安全、技术规格、物理特性等要求：</w:t>
      </w:r>
    </w:p>
    <w:p w14:paraId="2E99E6AD">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新宋体" w:hAnsi="新宋体" w:eastAsia="新宋体" w:cs="新宋体"/>
          <w:bCs/>
          <w:color w:val="auto"/>
          <w:highlight w:val="none"/>
        </w:rPr>
        <w:t>▲</w:t>
      </w:r>
      <w:r>
        <w:rPr>
          <w:rFonts w:hint="eastAsia" w:ascii="宋体" w:hAnsi="宋体" w:eastAsia="宋体" w:cs="宋体"/>
          <w:color w:val="000000"/>
          <w:kern w:val="0"/>
          <w:sz w:val="24"/>
          <w:szCs w:val="24"/>
          <w:highlight w:val="none"/>
          <w:lang w:val="en-US" w:eastAsia="zh-CN"/>
        </w:rPr>
        <w:t>①派驻保安员共计39名，具体岗位配置：镇政府8名、法庭6名、东办公区4名、政务中心13名、综合治理办公区4名、党群服务中心4名。</w:t>
      </w:r>
    </w:p>
    <w:p w14:paraId="60C4F197">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新宋体" w:hAnsi="新宋体" w:eastAsia="新宋体" w:cs="新宋体"/>
          <w:bCs/>
          <w:color w:val="auto"/>
          <w:highlight w:val="none"/>
        </w:rPr>
        <w:t>▲</w:t>
      </w:r>
      <w:r>
        <w:rPr>
          <w:rFonts w:hint="eastAsia" w:ascii="宋体" w:hAnsi="宋体" w:eastAsia="宋体" w:cs="宋体"/>
          <w:color w:val="000000"/>
          <w:kern w:val="0"/>
          <w:sz w:val="24"/>
          <w:szCs w:val="24"/>
          <w:highlight w:val="none"/>
          <w:lang w:val="en-US" w:eastAsia="zh-CN"/>
        </w:rPr>
        <w:t>②保安员须持有公安机关颁发的《保安员证》，身体健康，无传染病，无残疾，男性，年满18周岁以上、45周岁以下的中国公民。</w:t>
      </w:r>
    </w:p>
    <w:p w14:paraId="47AA5B94">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③保安员实行24小时轮班制度，中标人应遵守《劳动法》相关规定，并接受采购人监督。</w:t>
      </w:r>
    </w:p>
    <w:p w14:paraId="7EC0589C">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④中标人须指派专职人员负责工作接洽和日常管理，定期对保安员进行法律、专业知识及技能培训。</w:t>
      </w:r>
    </w:p>
    <w:p w14:paraId="1CD16079">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（2）需满足的服务标准、期限、效率等要求：</w:t>
      </w:r>
    </w:p>
    <w:p w14:paraId="0BA5B132">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新宋体" w:hAnsi="新宋体" w:eastAsia="新宋体" w:cs="新宋体"/>
          <w:bCs/>
          <w:color w:val="auto"/>
          <w:highlight w:val="none"/>
        </w:rPr>
        <w:t>▲</w:t>
      </w:r>
      <w:r>
        <w:rPr>
          <w:rFonts w:hint="eastAsia" w:ascii="宋体" w:hAnsi="宋体" w:eastAsia="宋体" w:cs="宋体"/>
          <w:color w:val="000000"/>
          <w:kern w:val="0"/>
          <w:sz w:val="24"/>
          <w:szCs w:val="24"/>
          <w:highlight w:val="none"/>
          <w:lang w:val="en-US" w:eastAsia="zh-CN"/>
        </w:rPr>
        <w:t>①服务期内，保安员须专职服务本项目，未经采购人同意不得随意调整。</w:t>
      </w:r>
    </w:p>
    <w:p w14:paraId="7CA088AB">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w:t>
      </w:r>
      <w:r>
        <w:rPr>
          <w:rFonts w:hint="default" w:ascii="宋体" w:hAnsi="宋体" w:eastAsia="宋体" w:cs="宋体"/>
          <w:color w:val="000000"/>
          <w:kern w:val="0"/>
          <w:sz w:val="24"/>
          <w:szCs w:val="24"/>
          <w:highlight w:val="none"/>
          <w:lang w:val="en-US" w:eastAsia="zh-CN"/>
        </w:rPr>
        <w:t>突发事件响应时间不超过5分钟，日常巡逻间隔不超过2小时。</w:t>
      </w:r>
    </w:p>
    <w:p w14:paraId="34B14E8A">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新宋体" w:hAnsi="新宋体" w:eastAsia="新宋体" w:cs="新宋体"/>
          <w:bCs/>
          <w:color w:val="auto"/>
          <w:highlight w:val="none"/>
        </w:rPr>
        <w:t>▲</w:t>
      </w:r>
      <w:r>
        <w:rPr>
          <w:rFonts w:hint="eastAsia" w:ascii="宋体" w:hAnsi="宋体" w:eastAsia="宋体" w:cs="宋体"/>
          <w:color w:val="000000"/>
          <w:kern w:val="0"/>
          <w:sz w:val="24"/>
          <w:szCs w:val="24"/>
          <w:highlight w:val="none"/>
          <w:lang w:val="en-US" w:eastAsia="zh-CN"/>
        </w:rPr>
        <w:t>③</w:t>
      </w:r>
      <w:r>
        <w:rPr>
          <w:rFonts w:hint="default" w:ascii="宋体" w:hAnsi="宋体" w:eastAsia="宋体" w:cs="宋体"/>
          <w:color w:val="000000"/>
          <w:kern w:val="0"/>
          <w:sz w:val="24"/>
          <w:szCs w:val="24"/>
          <w:highlight w:val="none"/>
          <w:lang w:val="en-US" w:eastAsia="zh-CN"/>
        </w:rPr>
        <w:t>采购人与派驻保安员不发生劳动或雇佣关系，所有人员由中标人自行管理并承担相应责任。</w:t>
      </w:r>
    </w:p>
    <w:p w14:paraId="4A70CE50">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3.绩效考核： </w:t>
      </w:r>
    </w:p>
    <w:p w14:paraId="732185F3">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①采购人按季度对中标人进行绩效考核，考核结果作为支付服务费的依据。</w:t>
      </w:r>
    </w:p>
    <w:p w14:paraId="25662E95">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w:t>
      </w:r>
      <w:r>
        <w:rPr>
          <w:rFonts w:hint="default" w:ascii="宋体" w:hAnsi="宋体" w:eastAsia="宋体" w:cs="宋体"/>
          <w:color w:val="000000"/>
          <w:kern w:val="0"/>
          <w:sz w:val="24"/>
          <w:szCs w:val="24"/>
          <w:highlight w:val="none"/>
          <w:lang w:val="en-US" w:eastAsia="zh-CN"/>
        </w:rPr>
        <w:t>考核内容包括：人员到岗率、执勤规范、履职效果、应急处置能力、客户满意度（不低于90%）、培训管理情况。</w:t>
      </w:r>
    </w:p>
    <w:p w14:paraId="5081D338">
      <w:pPr>
        <w:widowControl/>
        <w:shd w:val="clear" w:color="auto" w:fill="FFFFFF"/>
        <w:spacing w:line="360" w:lineRule="auto"/>
        <w:ind w:firstLine="48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③</w:t>
      </w:r>
      <w:r>
        <w:rPr>
          <w:rFonts w:hint="default" w:ascii="宋体" w:hAnsi="宋体" w:eastAsia="宋体" w:cs="宋体"/>
          <w:color w:val="000000"/>
          <w:kern w:val="0"/>
          <w:sz w:val="24"/>
          <w:szCs w:val="24"/>
          <w:highlight w:val="none"/>
          <w:lang w:val="en-US" w:eastAsia="zh-CN"/>
        </w:rPr>
        <w:t>考核不合格的，采购人有权要求限期整改，整改期间暂停支付该季度服务费；整改后仍不合格的，按该季度服务费的5%扣减，并有权解除合同。</w:t>
      </w:r>
    </w:p>
    <w:p w14:paraId="3C02881D">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4.验收标准：</w:t>
      </w:r>
    </w:p>
    <w:p w14:paraId="3EEF59B0">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①验收时间</w:t>
      </w:r>
      <w:r>
        <w:rPr>
          <w:rFonts w:hint="default" w:ascii="宋体" w:hAnsi="宋体" w:eastAsia="宋体" w:cs="宋体"/>
          <w:color w:val="000000"/>
          <w:kern w:val="0"/>
          <w:sz w:val="24"/>
          <w:szCs w:val="24"/>
          <w:highlight w:val="none"/>
          <w:lang w:val="en-US" w:eastAsia="zh-CN"/>
        </w:rPr>
        <w:t>：每半年服务期结束后15个工作日内进行半年验收；合同期满前15个工作日内进行年度验收；采购人可视情况组织专项验收。</w:t>
      </w:r>
    </w:p>
    <w:p w14:paraId="4575EF5A">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w:t>
      </w:r>
      <w:r>
        <w:rPr>
          <w:rFonts w:hint="default" w:ascii="宋体" w:hAnsi="宋体" w:eastAsia="宋体" w:cs="宋体"/>
          <w:color w:val="000000"/>
          <w:kern w:val="0"/>
          <w:sz w:val="24"/>
          <w:szCs w:val="24"/>
          <w:highlight w:val="none"/>
          <w:lang w:val="en-US" w:eastAsia="zh-CN"/>
        </w:rPr>
        <w:t>验收方式：包括现场检查、查阅资料、问卷调查、联合验收（可邀请第三方机构或专家）。</w:t>
      </w:r>
    </w:p>
    <w:p w14:paraId="4D4F7197">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③</w:t>
      </w:r>
      <w:r>
        <w:rPr>
          <w:rFonts w:hint="default" w:ascii="宋体" w:hAnsi="宋体" w:eastAsia="宋体" w:cs="宋体"/>
          <w:color w:val="000000"/>
          <w:kern w:val="0"/>
          <w:sz w:val="24"/>
          <w:szCs w:val="24"/>
          <w:highlight w:val="none"/>
          <w:lang w:val="en-US" w:eastAsia="zh-CN"/>
        </w:rPr>
        <w:t>验收内容：人员配置、执勤情况、履职效果、装备配备、培训管理、客户满意度。</w:t>
      </w:r>
    </w:p>
    <w:p w14:paraId="455BC687">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④</w:t>
      </w:r>
      <w:r>
        <w:rPr>
          <w:rFonts w:hint="default" w:ascii="宋体" w:hAnsi="宋体" w:eastAsia="宋体" w:cs="宋体"/>
          <w:color w:val="000000"/>
          <w:kern w:val="0"/>
          <w:sz w:val="24"/>
          <w:szCs w:val="24"/>
          <w:highlight w:val="none"/>
          <w:lang w:val="en-US" w:eastAsia="zh-CN"/>
        </w:rPr>
        <w:t>验收结果：验收合格的，支付相应服务费；不合格的，限期整改，整改期间暂停支付费用；整改后仍不合格的，按半年保安服务费的5%扣减，并有权解除合同。</w:t>
      </w:r>
    </w:p>
    <w:p w14:paraId="2C3F8F58">
      <w:pPr>
        <w:widowControl/>
        <w:shd w:val="clear" w:color="auto" w:fill="FFFFFF"/>
        <w:spacing w:line="360" w:lineRule="auto"/>
        <w:ind w:firstLine="480"/>
        <w:jc w:val="left"/>
        <w:rPr>
          <w:rFonts w:hint="eastAsia" w:ascii="宋体" w:hAnsi="宋体" w:eastAsia="宋体" w:cs="宋体"/>
          <w:b/>
          <w:bCs/>
          <w:color w:val="000000"/>
          <w:kern w:val="0"/>
          <w:sz w:val="24"/>
          <w:szCs w:val="24"/>
          <w:highlight w:val="none"/>
          <w:lang w:eastAsia="zh-CN"/>
        </w:rPr>
      </w:pPr>
      <w:bookmarkStart w:id="14" w:name="OLE_LINK2"/>
      <w:r>
        <w:rPr>
          <w:rFonts w:hint="eastAsia" w:ascii="宋体" w:hAnsi="宋体" w:eastAsia="宋体" w:cs="宋体"/>
          <w:b/>
          <w:bCs/>
          <w:color w:val="000000"/>
          <w:kern w:val="0"/>
          <w:sz w:val="24"/>
          <w:szCs w:val="24"/>
          <w:highlight w:val="none"/>
          <w:lang w:eastAsia="zh-CN"/>
        </w:rPr>
        <w:t>七、项目效果</w:t>
      </w:r>
    </w:p>
    <w:bookmarkEnd w:id="14"/>
    <w:p w14:paraId="64AD21AC">
      <w:pPr>
        <w:widowControl/>
        <w:shd w:val="clear" w:color="auto" w:fill="FFFFFF"/>
        <w:spacing w:line="360" w:lineRule="auto"/>
        <w:ind w:firstLine="480"/>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项目实施后，能够有效维持马驹桥镇人民政府及下属各办公区的正常秩序，保障单位人员的人身安全和财产安全，快速响应突发事件，排查并消除安全隐患，提升整体安全防控能力，为机关高效运转提供安全、稳定的环境保障。</w:t>
      </w:r>
    </w:p>
    <w:p w14:paraId="32BB34FE">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en-US" w:eastAsia="zh-CN"/>
        </w:rPr>
        <w:t>、</w:t>
      </w:r>
      <w:r>
        <w:rPr>
          <w:rFonts w:ascii="宋体" w:hAnsi="宋体" w:eastAsia="宋体" w:cs="宋体"/>
          <w:b/>
          <w:bCs/>
          <w:kern w:val="0"/>
          <w:sz w:val="24"/>
          <w:szCs w:val="24"/>
          <w:highlight w:val="none"/>
        </w:rPr>
        <w:t>其他要求</w:t>
      </w:r>
    </w:p>
    <w:p w14:paraId="5E0731F1">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ascii="宋体" w:hAnsi="宋体" w:eastAsia="宋体" w:cs="宋体"/>
          <w:kern w:val="0"/>
          <w:sz w:val="24"/>
          <w:szCs w:val="24"/>
          <w:highlight w:val="none"/>
        </w:rPr>
        <w:t>1.合同期间，因中标人及其工作人员（含保安人员）故意、过失、意外造成本人及/或他人人身损害、财产损失的，由中标人及保安人员承担相应的法律责任，采购人不承担法律责任，因此造成采购人经济损失的，由中标人予以赔偿。</w:t>
      </w:r>
    </w:p>
    <w:p w14:paraId="7E418CA0">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ascii="宋体" w:hAnsi="宋体" w:eastAsia="宋体" w:cs="宋体"/>
          <w:kern w:val="0"/>
          <w:sz w:val="24"/>
          <w:szCs w:val="24"/>
          <w:highlight w:val="none"/>
        </w:rPr>
        <w:t>2.中标人应与保安人员建立劳动关系，签订劳动合同，依法依约支付保安人员工资、奖金并缴纳社会保险、医疗保险、工伤保险、意外保险等费用，保安人员若发生职业危害、疾病、工伤、劳动争议等事故、纠纷的，因此产生的法律责任由中标人承担；若造成采购人经济损失的，由中标人予以赔偿。</w:t>
      </w:r>
    </w:p>
    <w:p w14:paraId="476D412A">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ascii="宋体" w:hAnsi="宋体" w:eastAsia="宋体" w:cs="宋体"/>
          <w:kern w:val="0"/>
          <w:sz w:val="24"/>
          <w:szCs w:val="24"/>
          <w:highlight w:val="none"/>
        </w:rPr>
        <w:t>3.中标人应妥善处理与保安人员之间的关系，双方若发生纠纷的，由中标人负责处理并承担法律责任，若造成采购人经济损失的，由中标人予以赔偿。</w:t>
      </w:r>
    </w:p>
    <w:p w14:paraId="388FCB89">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ascii="宋体" w:hAnsi="宋体" w:eastAsia="宋体" w:cs="宋体"/>
          <w:kern w:val="0"/>
          <w:sz w:val="24"/>
          <w:szCs w:val="24"/>
          <w:highlight w:val="none"/>
        </w:rPr>
        <w:t>4.保安人员因故意、过失、意外造成采购人的财产损失的，由中标人承担赔偿损失等法律责任，构成刑事犯罪，依法移送有权机关处理。</w:t>
      </w:r>
    </w:p>
    <w:p w14:paraId="58B1052B">
      <w:pPr>
        <w:widowControl/>
        <w:shd w:val="clear" w:color="auto" w:fill="FFFFFF"/>
        <w:spacing w:line="360" w:lineRule="auto"/>
        <w:ind w:firstLine="480"/>
        <w:jc w:val="left"/>
        <w:rPr>
          <w:rFonts w:ascii="宋体" w:hAnsi="宋体" w:eastAsia="宋体" w:cs="宋体"/>
          <w:color w:val="000000"/>
          <w:kern w:val="0"/>
          <w:sz w:val="24"/>
          <w:szCs w:val="24"/>
          <w:highlight w:val="none"/>
        </w:rPr>
      </w:pPr>
      <w:r>
        <w:rPr>
          <w:rFonts w:ascii="宋体" w:hAnsi="宋体" w:eastAsia="宋体" w:cs="宋体"/>
          <w:kern w:val="0"/>
          <w:sz w:val="24"/>
          <w:szCs w:val="24"/>
          <w:highlight w:val="none"/>
        </w:rPr>
        <w:t>5.中标人所报员工工资、相关保险经费、税费等费用必须符合国家法律、法规、规章、政策相关规定。国家法律、法规、规章、政策若发生变更的，中标人应按新规定执行，合同价不予变更。中标人应按照采购人实际工作需要进行排班执勤，超时补助或加班等费用中标人已自行计算在投标报价内，采购人不再另行支付。</w:t>
      </w:r>
    </w:p>
    <w:p w14:paraId="29B10909">
      <w:pPr>
        <w:widowControl/>
        <w:shd w:val="clear" w:color="auto" w:fill="FFFFFF"/>
        <w:spacing w:line="360" w:lineRule="auto"/>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Pr>
        <w:t>6.采购人因中标人及/或其工作人员的行为向第三方垫付费用的，有权向中标人追偿，中标人应予以赔偿。</w:t>
      </w:r>
    </w:p>
    <w:bookmarkEnd w:id="0"/>
    <w:bookmarkEnd w:id="1"/>
    <w:bookmarkEnd w:id="2"/>
    <w:bookmarkEnd w:id="3"/>
    <w:bookmarkEnd w:id="4"/>
    <w:bookmarkEnd w:id="5"/>
    <w:bookmarkEnd w:id="6"/>
    <w:bookmarkEnd w:id="7"/>
    <w:bookmarkEnd w:id="8"/>
    <w:bookmarkEnd w:id="9"/>
    <w:bookmarkEnd w:id="10"/>
    <w:bookmarkEnd w:id="11"/>
    <w:bookmarkEnd w:id="12"/>
    <w:bookmarkEnd w:id="13"/>
    <w:p w14:paraId="5511A117">
      <w:pPr>
        <w:pStyle w:val="19"/>
        <w:rPr>
          <w:color w:val="000000" w:themeColor="text1"/>
          <w:highlight w:val="none"/>
          <w14:textFill>
            <w14:solidFill>
              <w14:schemeClr w14:val="tx1"/>
            </w14:solidFill>
          </w14:textFill>
        </w:rPr>
      </w:pPr>
      <w:bookmarkStart w:id="15" w:name="_GoBack"/>
      <w:bookmarkEnd w:id="15"/>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67E8">
    <w:pPr>
      <w:spacing w:line="183" w:lineRule="auto"/>
      <w:ind w:left="4439"/>
      <w:rPr>
        <w:rFonts w:ascii="宋体" w:hAnsi="宋体" w:cs="宋体"/>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4312D">
                          <w:pPr>
                            <w:pStyle w:val="31"/>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3F94312D">
                    <w:pPr>
                      <w:pStyle w:val="31"/>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DE755">
    <w:pPr>
      <w:spacing w:line="218" w:lineRule="auto"/>
      <w:ind w:right="96"/>
      <w:jc w:val="right"/>
      <w:rPr>
        <w:rFonts w:ascii="宋体" w:hAnsi="宋体" w:cs="宋体"/>
        <w:sz w:val="19"/>
        <w:szCs w:val="19"/>
      </w:rPr>
    </w:pPr>
    <w:r>
      <w:rPr>
        <w:rFonts w:ascii="宋体" w:hAnsi="宋体" w:cs="宋体"/>
        <w:spacing w:val="-10"/>
        <w:sz w:val="19"/>
        <w:szCs w:val="19"/>
      </w:rPr>
      <w:t>北京市政府采购项目公开招标文件示范文本</w:t>
    </w:r>
  </w:p>
  <w:p w14:paraId="56C94EAC">
    <w:pPr>
      <w:spacing w:before="17" w:line="20" w:lineRule="exact"/>
      <w:textAlignment w:val="center"/>
    </w:pPr>
    <w:r>
      <w:drawing>
        <wp:inline distT="0" distB="0" distL="0" distR="0">
          <wp:extent cx="5784215" cy="12700"/>
          <wp:effectExtent l="0" t="0" r="0" b="0"/>
          <wp:docPr id="24" name="IM 17"/>
          <wp:cNvGraphicFramePr/>
          <a:graphic xmlns:a="http://schemas.openxmlformats.org/drawingml/2006/main">
            <a:graphicData uri="http://schemas.openxmlformats.org/drawingml/2006/picture">
              <pic:pic xmlns:pic="http://schemas.openxmlformats.org/drawingml/2006/picture">
                <pic:nvPicPr>
                  <pic:cNvPr id="24" name="IM 17"/>
                  <pic:cNvPicPr/>
                </pic:nvPicPr>
                <pic:blipFill>
                  <a:blip r:embed="rId1"/>
                  <a:stretch>
                    <a:fillRect/>
                  </a:stretch>
                </pic:blipFill>
                <pic:spPr>
                  <a:xfrm>
                    <a:off x="0" y="0"/>
                    <a:ext cx="5784824" cy="127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134F3E"/>
    <w:rsid w:val="01B63762"/>
    <w:rsid w:val="07770ECE"/>
    <w:rsid w:val="0CAC686E"/>
    <w:rsid w:val="0CF34D9B"/>
    <w:rsid w:val="0D9064F6"/>
    <w:rsid w:val="16E01570"/>
    <w:rsid w:val="17057D80"/>
    <w:rsid w:val="19BE0653"/>
    <w:rsid w:val="19FC4942"/>
    <w:rsid w:val="1A336B8A"/>
    <w:rsid w:val="1B21327C"/>
    <w:rsid w:val="1B79219B"/>
    <w:rsid w:val="1F5F6095"/>
    <w:rsid w:val="25A955E4"/>
    <w:rsid w:val="25DC14A4"/>
    <w:rsid w:val="27597D8D"/>
    <w:rsid w:val="2E7C2797"/>
    <w:rsid w:val="31F960E4"/>
    <w:rsid w:val="37072E35"/>
    <w:rsid w:val="3A8D5D45"/>
    <w:rsid w:val="3DE73A23"/>
    <w:rsid w:val="3E7A71F8"/>
    <w:rsid w:val="425E443E"/>
    <w:rsid w:val="47CB6848"/>
    <w:rsid w:val="49A13C3E"/>
    <w:rsid w:val="4CF3344B"/>
    <w:rsid w:val="4EC63BC3"/>
    <w:rsid w:val="4F871206"/>
    <w:rsid w:val="523719FB"/>
    <w:rsid w:val="564C0FA5"/>
    <w:rsid w:val="58164DA0"/>
    <w:rsid w:val="58B30C2F"/>
    <w:rsid w:val="5A1E11A0"/>
    <w:rsid w:val="5AE50EA5"/>
    <w:rsid w:val="5FB05A09"/>
    <w:rsid w:val="615406CD"/>
    <w:rsid w:val="63AB2404"/>
    <w:rsid w:val="65F679AE"/>
    <w:rsid w:val="6CED5AE4"/>
    <w:rsid w:val="6E873E17"/>
    <w:rsid w:val="76CB5E85"/>
    <w:rsid w:val="78853D0B"/>
    <w:rsid w:val="78CB4035"/>
    <w:rsid w:val="78F86D8D"/>
    <w:rsid w:val="7C256538"/>
    <w:rsid w:val="7E03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index 1"/>
    <w:basedOn w:val="1"/>
    <w:next w:val="1"/>
    <w:qFormat/>
    <w:uiPriority w:val="0"/>
    <w:rPr>
      <w:szCs w:val="20"/>
    </w:rPr>
  </w:style>
  <w:style w:type="paragraph" w:styleId="5">
    <w:name w:val="Normal Indent"/>
    <w:basedOn w:val="1"/>
    <w:link w:val="64"/>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index 8"/>
    <w:basedOn w:val="1"/>
    <w:next w:val="1"/>
    <w:qFormat/>
    <w:uiPriority w:val="0"/>
    <w:pPr>
      <w:spacing w:line="276" w:lineRule="auto"/>
      <w:jc w:val="left"/>
    </w:pPr>
    <w:rPr>
      <w:color w:val="FF0000"/>
      <w:szCs w:val="21"/>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Body Text"/>
    <w:basedOn w:val="1"/>
    <w:link w:val="240"/>
    <w:qFormat/>
    <w:uiPriority w:val="0"/>
    <w:pPr>
      <w:tabs>
        <w:tab w:val="left" w:pos="567"/>
      </w:tabs>
      <w:spacing w:before="120" w:line="22" w:lineRule="atLeast"/>
    </w:pPr>
    <w:rPr>
      <w:rFonts w:ascii="宋体" w:hAnsi="宋体"/>
      <w:sz w:val="24"/>
    </w:rPr>
  </w:style>
  <w:style w:type="paragraph" w:styleId="20">
    <w:name w:val="Body Text Indent"/>
    <w:basedOn w:val="1"/>
    <w:next w:val="21"/>
    <w:link w:val="69"/>
    <w:qFormat/>
    <w:uiPriority w:val="0"/>
    <w:pPr>
      <w:spacing w:line="360" w:lineRule="auto"/>
      <w:ind w:firstLine="570"/>
    </w:pPr>
    <w:rPr>
      <w:sz w:val="24"/>
    </w:rPr>
  </w:style>
  <w:style w:type="paragraph" w:styleId="21">
    <w:name w:val="envelope return"/>
    <w:basedOn w:val="1"/>
    <w:qFormat/>
    <w:uiPriority w:val="0"/>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4"/>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1"/>
    <w:qFormat/>
    <w:uiPriority w:val="0"/>
    <w:pPr>
      <w:ind w:left="100" w:leftChars="2500"/>
    </w:pPr>
    <w:rPr>
      <w:rFonts w:ascii="仿宋_GB2312" w:hAnsi="宋体" w:eastAsia="仿宋_GB2312"/>
      <w:color w:val="000000"/>
      <w:sz w:val="24"/>
    </w:rPr>
  </w:style>
  <w:style w:type="paragraph" w:styleId="29">
    <w:name w:val="Body Text Indent 2"/>
    <w:basedOn w:val="1"/>
    <w:link w:val="242"/>
    <w:qFormat/>
    <w:uiPriority w:val="0"/>
    <w:pPr>
      <w:ind w:firstLine="480" w:firstLineChars="200"/>
    </w:pPr>
    <w:rPr>
      <w:rFonts w:ascii="仿宋_GB2312" w:eastAsia="仿宋_GB2312"/>
      <w:sz w:val="24"/>
    </w:rPr>
  </w:style>
  <w:style w:type="paragraph" w:styleId="30">
    <w:name w:val="Balloon Text"/>
    <w:basedOn w:val="1"/>
    <w:link w:val="243"/>
    <w:qFormat/>
    <w:uiPriority w:val="0"/>
    <w:rPr>
      <w:sz w:val="18"/>
      <w:szCs w:val="18"/>
    </w:rPr>
  </w:style>
  <w:style w:type="paragraph" w:styleId="31">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0"/>
    <w:pPr>
      <w:ind w:left="3360" w:leftChars="1600"/>
    </w:pPr>
  </w:style>
  <w:style w:type="paragraph" w:styleId="39">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19"/>
    <w:next w:val="1"/>
    <w:qFormat/>
    <w:uiPriority w:val="0"/>
    <w:pPr>
      <w:spacing w:before="0" w:after="120"/>
      <w:ind w:firstLine="420" w:firstLineChars="100"/>
    </w:pPr>
    <w:rPr>
      <w:rFonts w:ascii="Times New Roman" w:hAnsi="Times New Roman"/>
      <w:sz w:val="21"/>
      <w:szCs w:val="20"/>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4"/>
    <w:qFormat/>
    <w:uiPriority w:val="0"/>
    <w:rPr>
      <w:rFonts w:ascii="Arial" w:hAnsi="Arial" w:eastAsia="黑体"/>
      <w:b/>
      <w:sz w:val="30"/>
      <w:lang w:val="en-US" w:eastAsia="zh-CN" w:bidi="ar-SA"/>
    </w:rPr>
  </w:style>
  <w:style w:type="character" w:customStyle="1" w:styleId="57">
    <w:name w:val="标题 3 字符"/>
    <w:link w:val="6"/>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5"/>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List Paragraph"/>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2"/>
    <w:qFormat/>
    <w:uiPriority w:val="0"/>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2"/>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1"/>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3"/>
    <w:qFormat/>
    <w:uiPriority w:val="0"/>
    <w:pPr>
      <w:jc w:val="left"/>
    </w:pPr>
    <w:rPr>
      <w:sz w:val="24"/>
      <w:szCs w:val="24"/>
    </w:rPr>
  </w:style>
  <w:style w:type="paragraph" w:customStyle="1" w:styleId="186">
    <w:name w:val="正文小标题"/>
    <w:basedOn w:val="1"/>
    <w:next w:val="5"/>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5"/>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6"/>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3">
    <w:name w:val="Revision"/>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3"/>
    <w:qFormat/>
    <w:uiPriority w:val="0"/>
    <w:rPr>
      <w:rFonts w:ascii="宋体"/>
      <w:b/>
      <w:kern w:val="44"/>
      <w:sz w:val="32"/>
    </w:rPr>
  </w:style>
  <w:style w:type="character" w:customStyle="1" w:styleId="232">
    <w:name w:val="标题 4 字符"/>
    <w:basedOn w:val="48"/>
    <w:link w:val="7"/>
    <w:qFormat/>
    <w:uiPriority w:val="0"/>
    <w:rPr>
      <w:sz w:val="24"/>
    </w:rPr>
  </w:style>
  <w:style w:type="character" w:customStyle="1" w:styleId="233">
    <w:name w:val="标题 5 字符"/>
    <w:basedOn w:val="48"/>
    <w:link w:val="8"/>
    <w:qFormat/>
    <w:uiPriority w:val="0"/>
    <w:rPr>
      <w:b/>
      <w:sz w:val="28"/>
    </w:rPr>
  </w:style>
  <w:style w:type="character" w:customStyle="1" w:styleId="234">
    <w:name w:val="标题 6 字符"/>
    <w:basedOn w:val="48"/>
    <w:link w:val="9"/>
    <w:qFormat/>
    <w:uiPriority w:val="0"/>
    <w:rPr>
      <w:rFonts w:ascii="Arial" w:hAnsi="Arial" w:eastAsia="黑体"/>
      <w:b/>
      <w:sz w:val="24"/>
    </w:rPr>
  </w:style>
  <w:style w:type="character" w:customStyle="1" w:styleId="235">
    <w:name w:val="标题 7 字符"/>
    <w:basedOn w:val="48"/>
    <w:link w:val="10"/>
    <w:qFormat/>
    <w:uiPriority w:val="0"/>
    <w:rPr>
      <w:b/>
      <w:sz w:val="24"/>
    </w:rPr>
  </w:style>
  <w:style w:type="character" w:customStyle="1" w:styleId="236">
    <w:name w:val="标题 8 字符"/>
    <w:basedOn w:val="48"/>
    <w:link w:val="11"/>
    <w:qFormat/>
    <w:uiPriority w:val="0"/>
    <w:rPr>
      <w:rFonts w:ascii="Arial" w:hAnsi="Arial" w:eastAsia="黑体"/>
      <w:sz w:val="24"/>
    </w:rPr>
  </w:style>
  <w:style w:type="character" w:customStyle="1" w:styleId="237">
    <w:name w:val="标题 9 字符"/>
    <w:basedOn w:val="48"/>
    <w:link w:val="12"/>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19"/>
    <w:qFormat/>
    <w:uiPriority w:val="0"/>
    <w:rPr>
      <w:rFonts w:ascii="宋体" w:hAnsi="宋体"/>
      <w:kern w:val="2"/>
      <w:sz w:val="24"/>
      <w:szCs w:val="24"/>
    </w:rPr>
  </w:style>
  <w:style w:type="character" w:customStyle="1" w:styleId="241">
    <w:name w:val="日期 字符"/>
    <w:basedOn w:val="48"/>
    <w:link w:val="28"/>
    <w:qFormat/>
    <w:uiPriority w:val="0"/>
    <w:rPr>
      <w:rFonts w:ascii="仿宋_GB2312" w:hAnsi="宋体" w:eastAsia="仿宋_GB2312"/>
      <w:color w:val="000000"/>
      <w:kern w:val="2"/>
      <w:sz w:val="24"/>
      <w:szCs w:val="24"/>
    </w:rPr>
  </w:style>
  <w:style w:type="character" w:customStyle="1" w:styleId="242">
    <w:name w:val="正文文本缩进 2 字符"/>
    <w:basedOn w:val="48"/>
    <w:link w:val="29"/>
    <w:qFormat/>
    <w:uiPriority w:val="0"/>
    <w:rPr>
      <w:rFonts w:ascii="仿宋_GB2312" w:eastAsia="仿宋_GB2312"/>
      <w:kern w:val="2"/>
      <w:sz w:val="24"/>
      <w:szCs w:val="24"/>
    </w:rPr>
  </w:style>
  <w:style w:type="character" w:customStyle="1" w:styleId="243">
    <w:name w:val="批注框文本 字符"/>
    <w:basedOn w:val="48"/>
    <w:link w:val="30"/>
    <w:qFormat/>
    <w:uiPriority w:val="0"/>
    <w:rPr>
      <w:kern w:val="2"/>
      <w:sz w:val="18"/>
      <w:szCs w:val="18"/>
    </w:rPr>
  </w:style>
  <w:style w:type="character" w:customStyle="1" w:styleId="244">
    <w:name w:val="正文文本缩进 3 字符"/>
    <w:basedOn w:val="48"/>
    <w:link w:val="36"/>
    <w:qFormat/>
    <w:uiPriority w:val="0"/>
    <w:rPr>
      <w:rFonts w:ascii="宋体"/>
      <w:sz w:val="24"/>
    </w:rPr>
  </w:style>
  <w:style w:type="character" w:customStyle="1" w:styleId="245">
    <w:name w:val="HTML 预设格式 字符"/>
    <w:basedOn w:val="48"/>
    <w:link w:val="39"/>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中等深浅网格 21"/>
    <w:qFormat/>
    <w:uiPriority w:val="1"/>
    <w:pPr>
      <w:widowControl w:val="0"/>
      <w:spacing w:line="360" w:lineRule="auto"/>
      <w:jc w:val="both"/>
    </w:pPr>
    <w:rPr>
      <w:rFonts w:ascii="Times New Roman" w:hAnsi="Times New Roman" w:eastAsia="宋体" w:cs="Times New Roman"/>
      <w:kern w:val="2"/>
      <w:sz w:val="24"/>
      <w:szCs w:val="24"/>
      <w:lang w:val="en-US" w:eastAsia="zh-CN" w:bidi="ar-SA"/>
    </w:rPr>
  </w:style>
  <w:style w:type="paragraph" w:customStyle="1" w:styleId="256">
    <w:name w:val="正文+缩进"/>
    <w:basedOn w:val="1"/>
    <w:qFormat/>
    <w:uiPriority w:val="0"/>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13776</Words>
  <Characters>14541</Characters>
  <Lines>1296</Lines>
  <Paragraphs>1101</Paragraphs>
  <TotalTime>112</TotalTime>
  <ScaleCrop>false</ScaleCrop>
  <LinksUpToDate>false</LinksUpToDate>
  <CharactersWithSpaces>14685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天空</cp:lastModifiedBy>
  <cp:lastPrinted>2020-04-02T11:13:00Z</cp:lastPrinted>
  <dcterms:modified xsi:type="dcterms:W3CDTF">2026-06-10T05:40:39Z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3F71705D06EF493B9F6B2F2D0D9C894D_13</vt:lpwstr>
  </property>
  <property fmtid="{D5CDD505-2E9C-101B-9397-08002B2CF9AE}" pid="4" name="KSOTemplateDocerSaveRecord">
    <vt:lpwstr>eyJoZGlkIjoiYmY2Y2ZiOWQwNGZhY2Q1OGM1Zjg2ODg5ZmEwMDUyZDMiLCJ1c2VySWQiOiI1NzgzODAzMTcifQ==</vt:lpwstr>
  </property>
</Properties>
</file>