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868B14">
      <w:pPr>
        <w:tabs>
          <w:tab w:val="left" w:pos="0"/>
          <w:tab w:val="left" w:pos="3165"/>
          <w:tab w:val="center" w:pos="4153"/>
        </w:tabs>
        <w:autoSpaceDE w:val="0"/>
        <w:autoSpaceDN w:val="0"/>
        <w:adjustRightInd w:val="0"/>
        <w:spacing w:line="360" w:lineRule="auto"/>
        <w:jc w:val="center"/>
        <w:outlineLvl w:val="0"/>
        <w:rPr>
          <w:rFonts w:hint="default" w:ascii="华文中宋" w:hAnsi="华文中宋" w:eastAsia="华文中宋" w:cs="Times New Roman"/>
          <w:b/>
          <w:bCs/>
          <w:kern w:val="44"/>
          <w:sz w:val="32"/>
          <w:szCs w:val="28"/>
          <w:lang w:val="en-US" w:eastAsia="zh-CN"/>
        </w:rPr>
      </w:pPr>
      <w:bookmarkStart w:id="0" w:name="_Toc96352939"/>
      <w:r>
        <w:rPr>
          <w:rFonts w:hint="default" w:ascii="华文中宋" w:hAnsi="华文中宋" w:eastAsia="华文中宋" w:cs="Times New Roman"/>
          <w:b/>
          <w:bCs/>
          <w:kern w:val="44"/>
          <w:sz w:val="32"/>
          <w:szCs w:val="28"/>
          <w:lang w:val="en-US" w:eastAsia="zh-CN"/>
        </w:rPr>
        <w:t>通州区中心血站一次性使用塑料血袋采购项目</w:t>
      </w:r>
      <w:r>
        <w:rPr>
          <w:rFonts w:hint="eastAsia" w:ascii="华文中宋" w:hAnsi="华文中宋" w:eastAsia="华文中宋" w:cs="Times New Roman"/>
          <w:b/>
          <w:bCs/>
          <w:kern w:val="44"/>
          <w:sz w:val="32"/>
          <w:szCs w:val="28"/>
          <w:lang w:val="en-US" w:eastAsia="zh-CN"/>
        </w:rPr>
        <w:t>二次招标</w:t>
      </w:r>
    </w:p>
    <w:p w14:paraId="126B0176">
      <w:pPr>
        <w:tabs>
          <w:tab w:val="left" w:pos="0"/>
          <w:tab w:val="left" w:pos="3165"/>
          <w:tab w:val="center" w:pos="4153"/>
        </w:tabs>
        <w:autoSpaceDE w:val="0"/>
        <w:autoSpaceDN w:val="0"/>
        <w:adjustRightInd w:val="0"/>
        <w:spacing w:line="360" w:lineRule="auto"/>
        <w:jc w:val="center"/>
        <w:outlineLvl w:val="0"/>
        <w:rPr>
          <w:rFonts w:ascii="华文中宋" w:hAnsi="华文中宋" w:eastAsia="华文中宋" w:cs="Times New Roman"/>
          <w:b/>
          <w:bCs/>
          <w:kern w:val="44"/>
          <w:sz w:val="28"/>
          <w:szCs w:val="28"/>
        </w:rPr>
      </w:pPr>
      <w:r>
        <w:rPr>
          <w:rFonts w:hint="eastAsia" w:ascii="华文中宋" w:hAnsi="华文中宋" w:eastAsia="华文中宋" w:cs="Times New Roman"/>
          <w:b/>
          <w:bCs/>
          <w:kern w:val="44"/>
          <w:sz w:val="32"/>
          <w:szCs w:val="28"/>
        </w:rPr>
        <w:t>公开招标公告</w:t>
      </w:r>
    </w:p>
    <w:p w14:paraId="6BF38C8E">
      <w:pPr>
        <w:pBdr>
          <w:top w:val="single" w:color="auto" w:sz="4" w:space="1"/>
          <w:left w:val="single" w:color="auto" w:sz="4" w:space="1"/>
          <w:bottom w:val="single" w:color="auto" w:sz="4" w:space="1"/>
          <w:right w:val="single" w:color="auto" w:sz="4" w:space="4"/>
        </w:pBdr>
        <w:spacing w:line="360" w:lineRule="auto"/>
        <w:rPr>
          <w:rFonts w:cs="Times New Roman" w:asciiTheme="minorEastAsia" w:hAnsiTheme="minorEastAsia"/>
          <w:b/>
          <w:sz w:val="24"/>
          <w:szCs w:val="24"/>
        </w:rPr>
      </w:pPr>
      <w:r>
        <w:rPr>
          <w:rFonts w:hint="eastAsia" w:cs="Times New Roman" w:asciiTheme="minorEastAsia" w:hAnsiTheme="minorEastAsia"/>
          <w:b/>
          <w:sz w:val="24"/>
          <w:szCs w:val="24"/>
        </w:rPr>
        <w:t>项目概况</w:t>
      </w:r>
    </w:p>
    <w:p w14:paraId="38B23133">
      <w:pPr>
        <w:pBdr>
          <w:top w:val="single" w:color="auto" w:sz="4" w:space="1"/>
          <w:left w:val="single" w:color="auto" w:sz="4" w:space="1"/>
          <w:bottom w:val="single" w:color="auto" w:sz="4" w:space="1"/>
          <w:right w:val="single" w:color="auto" w:sz="4" w:space="4"/>
        </w:pBdr>
        <w:spacing w:line="360" w:lineRule="auto"/>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通州区中心血站一次性使用塑料血袋采购项目</w:t>
      </w:r>
      <w:r>
        <w:rPr>
          <w:rFonts w:hint="eastAsia" w:cs="Times New Roman" w:asciiTheme="minorEastAsia" w:hAnsiTheme="minorEastAsia"/>
          <w:sz w:val="24"/>
          <w:szCs w:val="24"/>
          <w:lang w:val="en-US" w:eastAsia="zh-CN"/>
        </w:rPr>
        <w:t>二次招标</w:t>
      </w:r>
      <w:r>
        <w:rPr>
          <w:rFonts w:hint="eastAsia" w:cs="Times New Roman" w:asciiTheme="minorEastAsia" w:hAnsiTheme="minorEastAsia"/>
          <w:sz w:val="24"/>
          <w:szCs w:val="24"/>
        </w:rPr>
        <w:t>的潜在投标人应在</w:t>
      </w:r>
      <w:r>
        <w:rPr>
          <w:rFonts w:hint="eastAsia" w:cs="Times New Roman" w:asciiTheme="minorEastAsia" w:hAnsiTheme="minorEastAsia"/>
          <w:sz w:val="24"/>
          <w:szCs w:val="24"/>
          <w:u w:val="single"/>
        </w:rPr>
        <w:t>北京市政府采购电子交易平台（http://zbcg-bjzc.zhongcy.com/bjczj-portal-site/index.html#/home）</w:t>
      </w:r>
      <w:r>
        <w:rPr>
          <w:rFonts w:hint="eastAsia" w:cs="Times New Roman" w:asciiTheme="minorEastAsia" w:hAnsiTheme="minorEastAsia"/>
          <w:sz w:val="24"/>
          <w:szCs w:val="24"/>
        </w:rPr>
        <w:t>获取招标文件，并</w:t>
      </w:r>
      <w:r>
        <w:rPr>
          <w:rFonts w:hint="eastAsia" w:cs="Times New Roman" w:asciiTheme="minorEastAsia" w:hAnsiTheme="minorEastAsia"/>
          <w:sz w:val="24"/>
          <w:szCs w:val="24"/>
          <w:highlight w:val="none"/>
        </w:rPr>
        <w:t>于</w:t>
      </w:r>
      <w:r>
        <w:rPr>
          <w:rFonts w:hint="eastAsia" w:asciiTheme="minorEastAsia" w:hAnsiTheme="minorEastAsia" w:eastAsiaTheme="minorEastAsia"/>
          <w:color w:val="auto"/>
          <w:sz w:val="24"/>
          <w:highlight w:val="none"/>
          <w:u w:val="single"/>
          <w:lang w:bidi="ar"/>
        </w:rPr>
        <w:t>2026</w:t>
      </w:r>
      <w:r>
        <w:rPr>
          <w:rFonts w:asciiTheme="minorEastAsia" w:hAnsiTheme="minorEastAsia" w:eastAsiaTheme="minorEastAsia"/>
          <w:color w:val="auto"/>
          <w:sz w:val="24"/>
          <w:highlight w:val="none"/>
          <w:lang w:bidi="ar"/>
        </w:rPr>
        <w:t>年</w:t>
      </w:r>
      <w:r>
        <w:rPr>
          <w:rFonts w:hint="eastAsia" w:asciiTheme="minorEastAsia" w:hAnsiTheme="minorEastAsia"/>
          <w:color w:val="auto"/>
          <w:sz w:val="24"/>
          <w:highlight w:val="none"/>
          <w:u w:val="single"/>
          <w:lang w:val="en-US" w:eastAsia="zh-CN" w:bidi="ar"/>
        </w:rPr>
        <w:t>08</w:t>
      </w:r>
      <w:r>
        <w:rPr>
          <w:rFonts w:hint="eastAsia" w:asciiTheme="minorEastAsia" w:hAnsiTheme="minorEastAsia" w:eastAsiaTheme="minorEastAsia"/>
          <w:color w:val="auto"/>
          <w:sz w:val="24"/>
          <w:highlight w:val="none"/>
          <w:lang w:bidi="ar"/>
        </w:rPr>
        <w:t>月</w:t>
      </w:r>
      <w:r>
        <w:rPr>
          <w:rFonts w:hint="eastAsia" w:asciiTheme="minorEastAsia" w:hAnsiTheme="minorEastAsia"/>
          <w:color w:val="auto"/>
          <w:sz w:val="24"/>
          <w:highlight w:val="none"/>
          <w:u w:val="single"/>
          <w:lang w:val="en-US" w:eastAsia="zh-CN" w:bidi="ar"/>
        </w:rPr>
        <w:t>04</w:t>
      </w:r>
      <w:r>
        <w:rPr>
          <w:rFonts w:asciiTheme="minorEastAsia" w:hAnsiTheme="minorEastAsia" w:eastAsiaTheme="minorEastAsia"/>
          <w:color w:val="auto"/>
          <w:sz w:val="24"/>
          <w:highlight w:val="none"/>
          <w:lang w:bidi="ar"/>
        </w:rPr>
        <w:t>日</w:t>
      </w:r>
      <w:r>
        <w:rPr>
          <w:rFonts w:hint="eastAsia" w:asciiTheme="minorEastAsia" w:hAnsiTheme="minorEastAsia" w:eastAsiaTheme="minorEastAsia"/>
          <w:color w:val="auto"/>
          <w:sz w:val="24"/>
          <w:highlight w:val="none"/>
          <w:u w:val="single"/>
          <w:lang w:bidi="ar"/>
        </w:rPr>
        <w:t>09</w:t>
      </w:r>
      <w:r>
        <w:rPr>
          <w:rFonts w:asciiTheme="minorEastAsia" w:hAnsiTheme="minorEastAsia" w:eastAsiaTheme="minorEastAsia"/>
          <w:color w:val="auto"/>
          <w:sz w:val="24"/>
          <w:highlight w:val="none"/>
          <w:lang w:bidi="ar"/>
        </w:rPr>
        <w:t>点</w:t>
      </w:r>
      <w:r>
        <w:rPr>
          <w:rFonts w:hint="eastAsia" w:asciiTheme="minorEastAsia" w:hAnsiTheme="minorEastAsia" w:eastAsiaTheme="minorEastAsia"/>
          <w:color w:val="auto"/>
          <w:sz w:val="24"/>
          <w:highlight w:val="none"/>
          <w:u w:val="single"/>
          <w:lang w:bidi="ar"/>
        </w:rPr>
        <w:t>30</w:t>
      </w:r>
      <w:r>
        <w:rPr>
          <w:rFonts w:asciiTheme="minorEastAsia" w:hAnsiTheme="minorEastAsia" w:eastAsiaTheme="minorEastAsia"/>
          <w:color w:val="auto"/>
          <w:sz w:val="24"/>
          <w:highlight w:val="none"/>
          <w:lang w:bidi="ar"/>
        </w:rPr>
        <w:t>分</w:t>
      </w:r>
      <w:r>
        <w:rPr>
          <w:rFonts w:hint="eastAsia" w:cs="Times New Roman" w:asciiTheme="minorEastAsia" w:hAnsiTheme="minorEastAsia"/>
          <w:bCs/>
          <w:sz w:val="24"/>
          <w:szCs w:val="24"/>
          <w:highlight w:val="none"/>
          <w:u w:val="single"/>
        </w:rPr>
        <w:t>(</w:t>
      </w:r>
      <w:r>
        <w:rPr>
          <w:rFonts w:hint="eastAsia" w:cs="Times New Roman" w:asciiTheme="minorEastAsia" w:hAnsiTheme="minorEastAsia"/>
          <w:bCs/>
          <w:sz w:val="24"/>
          <w:szCs w:val="24"/>
          <w:highlight w:val="none"/>
        </w:rPr>
        <w:t>北京时</w:t>
      </w:r>
      <w:r>
        <w:rPr>
          <w:rFonts w:hint="eastAsia" w:cs="Times New Roman" w:asciiTheme="minorEastAsia" w:hAnsiTheme="minorEastAsia"/>
          <w:bCs/>
          <w:sz w:val="24"/>
          <w:szCs w:val="24"/>
        </w:rPr>
        <w:t>间)前递交投标</w:t>
      </w:r>
      <w:r>
        <w:rPr>
          <w:rFonts w:cs="Times New Roman" w:asciiTheme="minorEastAsia" w:hAnsiTheme="minorEastAsia"/>
          <w:bCs/>
          <w:sz w:val="24"/>
          <w:szCs w:val="24"/>
        </w:rPr>
        <w:t>文件</w:t>
      </w:r>
      <w:r>
        <w:rPr>
          <w:rFonts w:hint="eastAsia" w:cs="Times New Roman" w:asciiTheme="minorEastAsia" w:hAnsiTheme="minorEastAsia"/>
          <w:sz w:val="24"/>
          <w:szCs w:val="24"/>
        </w:rPr>
        <w:t>。</w:t>
      </w:r>
    </w:p>
    <w:p w14:paraId="5F802D5D">
      <w:pPr>
        <w:spacing w:line="360" w:lineRule="auto"/>
        <w:outlineLvl w:val="1"/>
        <w:rPr>
          <w:rFonts w:cs="宋体" w:asciiTheme="minorEastAsia" w:hAnsiTheme="minorEastAsia"/>
          <w:b/>
          <w:bCs/>
          <w:sz w:val="24"/>
          <w:szCs w:val="24"/>
        </w:rPr>
      </w:pPr>
      <w:r>
        <w:rPr>
          <w:rFonts w:hint="eastAsia" w:cs="宋体" w:asciiTheme="minorEastAsia" w:hAnsiTheme="minorEastAsia"/>
          <w:b/>
          <w:bCs/>
          <w:sz w:val="24"/>
          <w:szCs w:val="24"/>
        </w:rPr>
        <w:t>一、项目基本情况</w:t>
      </w:r>
      <w:bookmarkEnd w:id="0"/>
    </w:p>
    <w:p w14:paraId="354B90B9">
      <w:pPr>
        <w:spacing w:line="360" w:lineRule="auto"/>
        <w:rPr>
          <w:rFonts w:hint="eastAsia" w:cs="Times New Roman" w:asciiTheme="minorEastAsia" w:hAnsiTheme="minorEastAsia" w:eastAsiaTheme="minorEastAsia"/>
          <w:bCs/>
          <w:sz w:val="24"/>
          <w:szCs w:val="24"/>
          <w:highlight w:val="red"/>
          <w:lang w:eastAsia="zh-CN"/>
        </w:rPr>
      </w:pPr>
      <w:r>
        <w:rPr>
          <w:rFonts w:hint="eastAsia" w:cs="Times New Roman" w:asciiTheme="minorEastAsia" w:hAnsiTheme="minorEastAsia"/>
          <w:sz w:val="24"/>
          <w:szCs w:val="24"/>
        </w:rPr>
        <w:t>项目编号：</w:t>
      </w:r>
      <w:r>
        <w:rPr>
          <w:rFonts w:hint="eastAsia" w:cs="Times New Roman" w:asciiTheme="minorEastAsia" w:hAnsiTheme="minorEastAsia"/>
          <w:sz w:val="24"/>
          <w:szCs w:val="24"/>
        </w:rPr>
        <w:fldChar w:fldCharType="begin"/>
      </w:r>
      <w:r>
        <w:rPr>
          <w:rFonts w:hint="eastAsia" w:cs="Times New Roman" w:asciiTheme="minorEastAsia" w:hAnsiTheme="minorEastAsia"/>
          <w:sz w:val="24"/>
          <w:szCs w:val="24"/>
        </w:rPr>
        <w:instrText xml:space="preserve"> HYPERLINK "http://219.232.204.193:8080/frontend/plan/project_detail.html?projectUuid=c685f6ca-f590-431d-b2fe-d250fca10db9&amp;viewMode=placard" </w:instrText>
      </w:r>
      <w:r>
        <w:rPr>
          <w:rFonts w:hint="eastAsia" w:cs="Times New Roman" w:asciiTheme="minorEastAsia" w:hAnsiTheme="minorEastAsia"/>
          <w:sz w:val="24"/>
          <w:szCs w:val="24"/>
        </w:rPr>
        <w:fldChar w:fldCharType="separate"/>
      </w:r>
      <w:r>
        <w:rPr>
          <w:rFonts w:hint="eastAsia" w:cs="Times New Roman" w:asciiTheme="minorEastAsia" w:hAnsiTheme="minorEastAsia"/>
          <w:sz w:val="24"/>
          <w:szCs w:val="24"/>
        </w:rPr>
        <w:t>110112262102000</w:t>
      </w:r>
      <w:r>
        <w:rPr>
          <w:rFonts w:hint="eastAsia" w:cs="Times New Roman" w:asciiTheme="minorEastAsia" w:hAnsiTheme="minorEastAsia"/>
          <w:sz w:val="24"/>
          <w:szCs w:val="24"/>
          <w:lang w:val="en-US" w:eastAsia="zh-CN"/>
        </w:rPr>
        <w:t>20848</w:t>
      </w:r>
      <w:r>
        <w:rPr>
          <w:rFonts w:hint="eastAsia" w:cs="Times New Roman" w:asciiTheme="minorEastAsia" w:hAnsiTheme="minorEastAsia"/>
          <w:sz w:val="24"/>
          <w:szCs w:val="24"/>
        </w:rPr>
        <w:t>-XM001</w:t>
      </w:r>
      <w:r>
        <w:rPr>
          <w:rFonts w:hint="eastAsia" w:cs="Times New Roman" w:asciiTheme="minorEastAsia" w:hAnsiTheme="minorEastAsia"/>
          <w:sz w:val="24"/>
          <w:szCs w:val="24"/>
        </w:rPr>
        <w:fldChar w:fldCharType="end"/>
      </w:r>
    </w:p>
    <w:p w14:paraId="619B4FC0">
      <w:pPr>
        <w:spacing w:line="360" w:lineRule="auto"/>
        <w:ind w:left="1200" w:hanging="1200" w:hangingChars="5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sz w:val="24"/>
          <w:szCs w:val="24"/>
        </w:rPr>
        <w:t>项目名称：通州区中心血站一次性使用塑料血袋采购项目</w:t>
      </w:r>
      <w:r>
        <w:rPr>
          <w:rFonts w:hint="eastAsia" w:cs="Times New Roman" w:asciiTheme="minorEastAsia" w:hAnsiTheme="minorEastAsia"/>
          <w:sz w:val="24"/>
          <w:szCs w:val="24"/>
          <w:lang w:val="en-US" w:eastAsia="zh-CN"/>
        </w:rPr>
        <w:t>二次招标</w:t>
      </w:r>
    </w:p>
    <w:p w14:paraId="7742B395">
      <w:pPr>
        <w:spacing w:line="360" w:lineRule="auto"/>
        <w:rPr>
          <w:rFonts w:cs="Times New Roman" w:asciiTheme="minorEastAsia" w:hAnsiTheme="minorEastAsia"/>
          <w:sz w:val="24"/>
          <w:szCs w:val="24"/>
        </w:rPr>
      </w:pPr>
      <w:r>
        <w:rPr>
          <w:rFonts w:hint="eastAsia" w:cs="Times New Roman" w:asciiTheme="minorEastAsia" w:hAnsiTheme="minorEastAsia"/>
          <w:sz w:val="24"/>
          <w:szCs w:val="24"/>
        </w:rPr>
        <w:t>预算金额：</w:t>
      </w:r>
      <w:r>
        <w:rPr>
          <w:rFonts w:hint="eastAsia" w:asciiTheme="minorEastAsia" w:hAnsiTheme="minorEastAsia"/>
          <w:sz w:val="24"/>
          <w:lang w:val="en-US" w:eastAsia="zh-CN"/>
        </w:rPr>
        <w:t>110.4</w:t>
      </w:r>
      <w:r>
        <w:rPr>
          <w:rFonts w:hint="eastAsia" w:cs="Times New Roman" w:asciiTheme="minorEastAsia" w:hAnsiTheme="minorEastAsia"/>
          <w:sz w:val="24"/>
          <w:szCs w:val="24"/>
        </w:rPr>
        <w:t>万元</w:t>
      </w:r>
    </w:p>
    <w:p w14:paraId="1F0C2B06">
      <w:pPr>
        <w:spacing w:line="360" w:lineRule="auto"/>
        <w:rPr>
          <w:rFonts w:cs="Times New Roman" w:asciiTheme="minorEastAsia" w:hAnsiTheme="minorEastAsia"/>
          <w:sz w:val="24"/>
          <w:szCs w:val="24"/>
        </w:rPr>
      </w:pPr>
      <w:r>
        <w:rPr>
          <w:rFonts w:hint="eastAsia" w:cs="Times New Roman" w:asciiTheme="minorEastAsia" w:hAnsiTheme="minorEastAsia"/>
          <w:sz w:val="24"/>
          <w:szCs w:val="24"/>
        </w:rPr>
        <w:t>最高限价：</w:t>
      </w:r>
      <w:r>
        <w:rPr>
          <w:rFonts w:hint="eastAsia" w:asciiTheme="minorEastAsia" w:hAnsiTheme="minorEastAsia"/>
          <w:sz w:val="24"/>
          <w:lang w:val="en-US" w:eastAsia="zh-CN"/>
        </w:rPr>
        <w:t>110.4</w:t>
      </w:r>
      <w:r>
        <w:rPr>
          <w:rFonts w:hint="eastAsia" w:cs="Times New Roman" w:asciiTheme="minorEastAsia" w:hAnsiTheme="minorEastAsia"/>
          <w:sz w:val="24"/>
          <w:szCs w:val="24"/>
        </w:rPr>
        <w:t>万元</w:t>
      </w:r>
    </w:p>
    <w:p w14:paraId="1395162F">
      <w:pPr>
        <w:spacing w:line="360" w:lineRule="auto"/>
        <w:rPr>
          <w:rFonts w:hint="eastAsia" w:cs="Times New Roman" w:asciiTheme="minorEastAsia" w:hAnsiTheme="minorEastAsia"/>
          <w:sz w:val="24"/>
          <w:szCs w:val="24"/>
        </w:rPr>
      </w:pPr>
      <w:r>
        <w:rPr>
          <w:rFonts w:hint="eastAsia" w:cs="Times New Roman" w:asciiTheme="minorEastAsia" w:hAnsiTheme="minorEastAsia"/>
          <w:sz w:val="24"/>
          <w:szCs w:val="24"/>
        </w:rPr>
        <w:t>采购需求:</w:t>
      </w:r>
    </w:p>
    <w:tbl>
      <w:tblPr>
        <w:tblStyle w:val="11"/>
        <w:tblpPr w:leftFromText="180" w:rightFromText="180" w:vertAnchor="text" w:horzAnchor="page" w:tblpX="897" w:tblpY="457"/>
        <w:tblOverlap w:val="never"/>
        <w:tblW w:w="10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1"/>
        <w:gridCol w:w="843"/>
        <w:gridCol w:w="2660"/>
        <w:gridCol w:w="816"/>
        <w:gridCol w:w="1682"/>
        <w:gridCol w:w="2672"/>
        <w:gridCol w:w="876"/>
      </w:tblGrid>
      <w:tr w14:paraId="1A93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011" w:type="dxa"/>
            <w:tcBorders>
              <w:top w:val="single" w:color="auto" w:sz="4" w:space="0"/>
              <w:left w:val="single" w:color="auto" w:sz="4" w:space="0"/>
              <w:bottom w:val="single" w:color="auto" w:sz="4" w:space="0"/>
              <w:right w:val="single" w:color="auto" w:sz="4" w:space="0"/>
            </w:tcBorders>
            <w:vAlign w:val="center"/>
          </w:tcPr>
          <w:p w14:paraId="11BAA1AF">
            <w:pPr>
              <w:widowControl/>
              <w:kinsoku w:val="0"/>
              <w:autoSpaceDE w:val="0"/>
              <w:autoSpaceDN w:val="0"/>
              <w:adjustRightInd w:val="0"/>
              <w:snapToGrid w:val="0"/>
              <w:ind w:left="-49"/>
              <w:jc w:val="center"/>
              <w:textAlignment w:val="baseline"/>
              <w:rPr>
                <w:rFonts w:ascii="宋体" w:hAnsi="宋体" w:eastAsia="宋体" w:cs="Arial"/>
                <w:b/>
                <w:snapToGrid w:val="0"/>
                <w:kern w:val="0"/>
                <w:sz w:val="24"/>
                <w:szCs w:val="24"/>
              </w:rPr>
            </w:pPr>
            <w:r>
              <w:rPr>
                <w:rFonts w:hint="eastAsia" w:ascii="宋体" w:hAnsi="宋体" w:eastAsia="宋体" w:cs="Arial"/>
                <w:b/>
                <w:snapToGrid w:val="0"/>
                <w:kern w:val="0"/>
                <w:sz w:val="24"/>
                <w:szCs w:val="24"/>
              </w:rPr>
              <w:t>序号</w:t>
            </w:r>
          </w:p>
        </w:tc>
        <w:tc>
          <w:tcPr>
            <w:tcW w:w="843" w:type="dxa"/>
            <w:tcBorders>
              <w:top w:val="single" w:color="auto" w:sz="4" w:space="0"/>
              <w:left w:val="single" w:color="auto" w:sz="4" w:space="0"/>
              <w:bottom w:val="single" w:color="auto" w:sz="4" w:space="0"/>
              <w:right w:val="single" w:color="auto" w:sz="4" w:space="0"/>
            </w:tcBorders>
            <w:vAlign w:val="center"/>
          </w:tcPr>
          <w:p w14:paraId="4ED2FC43">
            <w:pPr>
              <w:widowControl/>
              <w:kinsoku w:val="0"/>
              <w:autoSpaceDE w:val="0"/>
              <w:autoSpaceDN w:val="0"/>
              <w:adjustRightInd w:val="0"/>
              <w:snapToGrid w:val="0"/>
              <w:ind w:right="-107" w:rightChars="-51"/>
              <w:jc w:val="left"/>
              <w:textAlignment w:val="baseline"/>
              <w:rPr>
                <w:rFonts w:ascii="宋体" w:hAnsi="宋体" w:eastAsia="宋体" w:cs="Arial"/>
                <w:b/>
                <w:snapToGrid w:val="0"/>
                <w:kern w:val="0"/>
                <w:sz w:val="24"/>
                <w:szCs w:val="24"/>
              </w:rPr>
            </w:pPr>
            <w:r>
              <w:rPr>
                <w:rFonts w:hint="eastAsia" w:ascii="宋体" w:hAnsi="宋体" w:eastAsia="宋体" w:cs="Arial"/>
                <w:b/>
                <w:snapToGrid w:val="0"/>
                <w:kern w:val="0"/>
                <w:sz w:val="24"/>
                <w:szCs w:val="24"/>
              </w:rPr>
              <w:t>品目号</w:t>
            </w:r>
          </w:p>
        </w:tc>
        <w:tc>
          <w:tcPr>
            <w:tcW w:w="2660" w:type="dxa"/>
            <w:tcBorders>
              <w:top w:val="single" w:color="auto" w:sz="4" w:space="0"/>
              <w:left w:val="single" w:color="auto" w:sz="4" w:space="0"/>
              <w:bottom w:val="single" w:color="auto" w:sz="4" w:space="0"/>
              <w:right w:val="single" w:color="auto" w:sz="4" w:space="0"/>
            </w:tcBorders>
            <w:vAlign w:val="center"/>
          </w:tcPr>
          <w:p w14:paraId="4AD1F2EA">
            <w:pPr>
              <w:widowControl/>
              <w:kinsoku w:val="0"/>
              <w:autoSpaceDE w:val="0"/>
              <w:autoSpaceDN w:val="0"/>
              <w:adjustRightInd w:val="0"/>
              <w:snapToGrid w:val="0"/>
              <w:ind w:left="-49"/>
              <w:jc w:val="center"/>
              <w:textAlignment w:val="baseline"/>
              <w:rPr>
                <w:rFonts w:ascii="宋体" w:hAnsi="宋体" w:eastAsia="宋体" w:cs="Arial"/>
                <w:b/>
                <w:snapToGrid w:val="0"/>
                <w:kern w:val="0"/>
                <w:sz w:val="24"/>
                <w:szCs w:val="24"/>
              </w:rPr>
            </w:pPr>
            <w:r>
              <w:rPr>
                <w:rFonts w:hint="eastAsia" w:ascii="宋体" w:hAnsi="宋体" w:eastAsia="宋体" w:cs="Arial"/>
                <w:b/>
                <w:snapToGrid w:val="0"/>
                <w:kern w:val="0"/>
                <w:sz w:val="24"/>
                <w:szCs w:val="24"/>
              </w:rPr>
              <w:t>设备名称</w:t>
            </w:r>
          </w:p>
        </w:tc>
        <w:tc>
          <w:tcPr>
            <w:tcW w:w="816" w:type="dxa"/>
            <w:tcBorders>
              <w:top w:val="single" w:color="auto" w:sz="4" w:space="0"/>
              <w:left w:val="single" w:color="auto" w:sz="4" w:space="0"/>
              <w:bottom w:val="single" w:color="auto" w:sz="4" w:space="0"/>
              <w:right w:val="single" w:color="auto" w:sz="4" w:space="0"/>
            </w:tcBorders>
            <w:vAlign w:val="center"/>
          </w:tcPr>
          <w:p w14:paraId="72A454D2">
            <w:pPr>
              <w:widowControl/>
              <w:kinsoku w:val="0"/>
              <w:autoSpaceDE w:val="0"/>
              <w:autoSpaceDN w:val="0"/>
              <w:adjustRightInd w:val="0"/>
              <w:snapToGrid w:val="0"/>
              <w:ind w:left="-49"/>
              <w:jc w:val="center"/>
              <w:textAlignment w:val="baseline"/>
              <w:rPr>
                <w:rFonts w:ascii="宋体" w:hAnsi="宋体" w:eastAsia="宋体" w:cs="Arial"/>
                <w:b/>
                <w:snapToGrid w:val="0"/>
                <w:kern w:val="0"/>
                <w:sz w:val="24"/>
                <w:szCs w:val="24"/>
              </w:rPr>
            </w:pPr>
            <w:r>
              <w:rPr>
                <w:rFonts w:hint="eastAsia" w:ascii="宋体" w:hAnsi="宋体" w:eastAsia="宋体" w:cs="Arial"/>
                <w:b/>
                <w:snapToGrid w:val="0"/>
                <w:kern w:val="0"/>
                <w:sz w:val="24"/>
                <w:szCs w:val="24"/>
              </w:rPr>
              <w:t>数量</w:t>
            </w:r>
          </w:p>
        </w:tc>
        <w:tc>
          <w:tcPr>
            <w:tcW w:w="1682" w:type="dxa"/>
            <w:tcBorders>
              <w:top w:val="single" w:color="auto" w:sz="4" w:space="0"/>
              <w:left w:val="single" w:color="auto" w:sz="4" w:space="0"/>
              <w:bottom w:val="single" w:color="auto" w:sz="4" w:space="0"/>
              <w:right w:val="single" w:color="auto" w:sz="4" w:space="0"/>
            </w:tcBorders>
            <w:vAlign w:val="center"/>
          </w:tcPr>
          <w:p w14:paraId="50431E2F">
            <w:pPr>
              <w:widowControl/>
              <w:kinsoku w:val="0"/>
              <w:autoSpaceDE w:val="0"/>
              <w:autoSpaceDN w:val="0"/>
              <w:adjustRightInd w:val="0"/>
              <w:snapToGrid w:val="0"/>
              <w:ind w:left="-49"/>
              <w:jc w:val="center"/>
              <w:textAlignment w:val="baseline"/>
              <w:rPr>
                <w:rFonts w:ascii="宋体" w:hAnsi="宋体" w:eastAsia="宋体" w:cs="Arial"/>
                <w:b/>
                <w:snapToGrid w:val="0"/>
                <w:kern w:val="0"/>
                <w:sz w:val="24"/>
                <w:szCs w:val="24"/>
              </w:rPr>
            </w:pPr>
            <w:r>
              <w:rPr>
                <w:rFonts w:hint="eastAsia" w:ascii="宋体" w:hAnsi="宋体" w:eastAsia="宋体" w:cs="Arial"/>
                <w:b/>
                <w:snapToGrid w:val="0"/>
                <w:kern w:val="0"/>
                <w:sz w:val="24"/>
                <w:szCs w:val="24"/>
              </w:rPr>
              <w:t xml:space="preserve"> 最高限价</w:t>
            </w:r>
          </w:p>
          <w:p w14:paraId="3595E041">
            <w:pPr>
              <w:widowControl/>
              <w:kinsoku w:val="0"/>
              <w:autoSpaceDE w:val="0"/>
              <w:autoSpaceDN w:val="0"/>
              <w:adjustRightInd w:val="0"/>
              <w:snapToGrid w:val="0"/>
              <w:ind w:right="-107" w:rightChars="-51"/>
              <w:jc w:val="center"/>
              <w:textAlignment w:val="baseline"/>
              <w:rPr>
                <w:rFonts w:ascii="宋体" w:hAnsi="宋体" w:eastAsia="宋体" w:cs="Arial"/>
                <w:b/>
                <w:snapToGrid w:val="0"/>
                <w:kern w:val="0"/>
                <w:sz w:val="24"/>
                <w:szCs w:val="24"/>
              </w:rPr>
            </w:pPr>
            <w:r>
              <w:rPr>
                <w:rFonts w:hint="eastAsia" w:ascii="宋体" w:hAnsi="宋体" w:eastAsia="宋体" w:cs="Arial"/>
                <w:b/>
                <w:snapToGrid w:val="0"/>
                <w:kern w:val="0"/>
                <w:sz w:val="24"/>
                <w:szCs w:val="24"/>
              </w:rPr>
              <w:t>（万元）</w:t>
            </w:r>
          </w:p>
        </w:tc>
        <w:tc>
          <w:tcPr>
            <w:tcW w:w="2672" w:type="dxa"/>
            <w:tcBorders>
              <w:top w:val="single" w:color="auto" w:sz="4" w:space="0"/>
              <w:left w:val="single" w:color="auto" w:sz="4" w:space="0"/>
              <w:bottom w:val="single" w:color="auto" w:sz="4" w:space="0"/>
              <w:right w:val="single" w:color="auto" w:sz="4" w:space="0"/>
            </w:tcBorders>
            <w:vAlign w:val="center"/>
          </w:tcPr>
          <w:p w14:paraId="4D780CCA">
            <w:pPr>
              <w:widowControl/>
              <w:kinsoku w:val="0"/>
              <w:autoSpaceDE w:val="0"/>
              <w:autoSpaceDN w:val="0"/>
              <w:adjustRightInd w:val="0"/>
              <w:snapToGrid w:val="0"/>
              <w:ind w:right="-105" w:rightChars="-50"/>
              <w:jc w:val="center"/>
              <w:textAlignment w:val="baseline"/>
              <w:rPr>
                <w:rFonts w:ascii="宋体" w:hAnsi="宋体" w:eastAsia="宋体" w:cs="Arial"/>
                <w:b/>
                <w:snapToGrid w:val="0"/>
                <w:kern w:val="0"/>
                <w:sz w:val="24"/>
                <w:szCs w:val="24"/>
              </w:rPr>
            </w:pPr>
            <w:r>
              <w:rPr>
                <w:rFonts w:hint="eastAsia" w:ascii="宋体" w:hAnsi="宋体" w:eastAsia="宋体" w:cs="Arial"/>
                <w:b/>
                <w:snapToGrid w:val="0"/>
                <w:kern w:val="0"/>
                <w:sz w:val="24"/>
                <w:szCs w:val="24"/>
              </w:rPr>
              <w:t>简要技术需求</w:t>
            </w:r>
          </w:p>
        </w:tc>
        <w:tc>
          <w:tcPr>
            <w:tcW w:w="876" w:type="dxa"/>
            <w:tcBorders>
              <w:top w:val="single" w:color="auto" w:sz="4" w:space="0"/>
              <w:left w:val="single" w:color="auto" w:sz="4" w:space="0"/>
              <w:bottom w:val="single" w:color="auto" w:sz="4" w:space="0"/>
              <w:right w:val="single" w:color="auto" w:sz="4" w:space="0"/>
            </w:tcBorders>
            <w:vAlign w:val="center"/>
          </w:tcPr>
          <w:p w14:paraId="3F5A57CB">
            <w:pPr>
              <w:widowControl/>
              <w:kinsoku w:val="0"/>
              <w:autoSpaceDE w:val="0"/>
              <w:autoSpaceDN w:val="0"/>
              <w:adjustRightInd w:val="0"/>
              <w:snapToGrid w:val="0"/>
              <w:ind w:right="-105" w:rightChars="-50"/>
              <w:jc w:val="center"/>
              <w:textAlignment w:val="baseline"/>
              <w:rPr>
                <w:rFonts w:ascii="宋体" w:hAnsi="宋体" w:eastAsia="宋体" w:cs="Arial"/>
                <w:b/>
                <w:snapToGrid w:val="0"/>
                <w:kern w:val="0"/>
                <w:sz w:val="24"/>
                <w:szCs w:val="24"/>
              </w:rPr>
            </w:pPr>
            <w:r>
              <w:rPr>
                <w:rFonts w:hint="eastAsia" w:ascii="宋体" w:hAnsi="宋体" w:eastAsia="宋体" w:cs="Arial"/>
                <w:b/>
                <w:snapToGrid w:val="0"/>
                <w:kern w:val="0"/>
                <w:sz w:val="24"/>
                <w:szCs w:val="24"/>
              </w:rPr>
              <w:t>是否允许进口</w:t>
            </w:r>
          </w:p>
        </w:tc>
      </w:tr>
      <w:tr w14:paraId="52D9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011" w:type="dxa"/>
            <w:vMerge w:val="restart"/>
            <w:tcBorders>
              <w:left w:val="single" w:color="auto" w:sz="4" w:space="0"/>
              <w:right w:val="single" w:color="auto" w:sz="4" w:space="0"/>
            </w:tcBorders>
            <w:vAlign w:val="center"/>
          </w:tcPr>
          <w:p w14:paraId="738A772C">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r>
              <w:rPr>
                <w:rFonts w:hint="eastAsia" w:ascii="宋体" w:hAnsi="宋体" w:eastAsia="宋体" w:cs="Arial"/>
                <w:snapToGrid w:val="0"/>
                <w:kern w:val="0"/>
                <w:sz w:val="24"/>
                <w:szCs w:val="24"/>
              </w:rPr>
              <w:t>1</w:t>
            </w:r>
          </w:p>
        </w:tc>
        <w:tc>
          <w:tcPr>
            <w:tcW w:w="843" w:type="dxa"/>
            <w:tcBorders>
              <w:top w:val="single" w:color="auto" w:sz="4" w:space="0"/>
              <w:left w:val="single" w:color="auto" w:sz="4" w:space="0"/>
              <w:bottom w:val="single" w:color="auto" w:sz="4" w:space="0"/>
              <w:right w:val="single" w:color="auto" w:sz="4" w:space="0"/>
            </w:tcBorders>
            <w:vAlign w:val="center"/>
          </w:tcPr>
          <w:p w14:paraId="0E7990CC">
            <w:pPr>
              <w:widowControl/>
              <w:kinsoku w:val="0"/>
              <w:autoSpaceDE w:val="0"/>
              <w:autoSpaceDN w:val="0"/>
              <w:adjustRightInd w:val="0"/>
              <w:snapToGrid w:val="0"/>
              <w:ind w:left="-49"/>
              <w:jc w:val="center"/>
              <w:textAlignment w:val="baseline"/>
              <w:rPr>
                <w:rFonts w:ascii="宋体" w:hAnsi="宋体" w:eastAsia="宋体" w:cs="Arial"/>
                <w:snapToGrid w:val="0"/>
                <w:kern w:val="0"/>
                <w:sz w:val="24"/>
                <w:szCs w:val="24"/>
              </w:rPr>
            </w:pPr>
            <w:r>
              <w:rPr>
                <w:rFonts w:ascii="宋体" w:hAnsi="宋体" w:eastAsia="宋体" w:cs="Arial"/>
                <w:snapToGrid w:val="0"/>
                <w:kern w:val="0"/>
                <w:sz w:val="24"/>
                <w:szCs w:val="24"/>
              </w:rPr>
              <w:t>1</w:t>
            </w:r>
            <w:r>
              <w:rPr>
                <w:rFonts w:hint="eastAsia" w:ascii="宋体" w:hAnsi="宋体" w:eastAsia="宋体" w:cs="Arial"/>
                <w:snapToGrid w:val="0"/>
                <w:kern w:val="0"/>
                <w:sz w:val="24"/>
                <w:szCs w:val="24"/>
              </w:rPr>
              <w:t>-</w:t>
            </w:r>
            <w:r>
              <w:rPr>
                <w:rFonts w:ascii="宋体" w:hAnsi="宋体" w:eastAsia="宋体" w:cs="Arial"/>
                <w:snapToGrid w:val="0"/>
                <w:kern w:val="0"/>
                <w:sz w:val="24"/>
                <w:szCs w:val="24"/>
              </w:rPr>
              <w:t>1</w:t>
            </w:r>
          </w:p>
        </w:tc>
        <w:tc>
          <w:tcPr>
            <w:tcW w:w="2660" w:type="dxa"/>
            <w:tcBorders>
              <w:top w:val="single" w:color="auto" w:sz="4" w:space="0"/>
              <w:left w:val="single" w:color="auto" w:sz="4" w:space="0"/>
              <w:bottom w:val="single" w:color="auto" w:sz="4" w:space="0"/>
              <w:right w:val="single" w:color="auto" w:sz="4" w:space="0"/>
            </w:tcBorders>
            <w:vAlign w:val="center"/>
          </w:tcPr>
          <w:p w14:paraId="6DD16F8C">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r>
              <w:rPr>
                <w:rFonts w:hint="eastAsia" w:ascii="宋体" w:hAnsi="宋体" w:eastAsia="宋体" w:cs="Arial"/>
                <w:snapToGrid w:val="0"/>
                <w:kern w:val="0"/>
                <w:sz w:val="24"/>
                <w:szCs w:val="24"/>
              </w:rPr>
              <w:t xml:space="preserve">一次性使用塑料血袋 </w:t>
            </w:r>
            <w:r>
              <w:rPr>
                <w:rFonts w:ascii="宋体" w:hAnsi="宋体" w:eastAsia="宋体" w:cs="Arial"/>
                <w:snapToGrid w:val="0"/>
                <w:kern w:val="0"/>
                <w:sz w:val="24"/>
                <w:szCs w:val="24"/>
              </w:rPr>
              <w:t xml:space="preserve"> </w:t>
            </w:r>
            <w:r>
              <w:rPr>
                <w:rFonts w:hint="eastAsia" w:ascii="宋体" w:hAnsi="宋体" w:eastAsia="宋体" w:cs="Arial"/>
                <w:snapToGrid w:val="0"/>
                <w:kern w:val="0"/>
                <w:sz w:val="24"/>
                <w:szCs w:val="24"/>
              </w:rPr>
              <w:t>（</w:t>
            </w:r>
            <w:r>
              <w:rPr>
                <w:rFonts w:ascii="宋体" w:hAnsi="宋体" w:eastAsia="宋体" w:cs="Arial"/>
                <w:snapToGrid w:val="0"/>
                <w:kern w:val="0"/>
                <w:sz w:val="24"/>
                <w:szCs w:val="24"/>
              </w:rPr>
              <w:t>200ml</w:t>
            </w:r>
            <w:r>
              <w:rPr>
                <w:rFonts w:hint="eastAsia" w:ascii="宋体" w:hAnsi="宋体" w:eastAsia="宋体" w:cs="Arial"/>
                <w:snapToGrid w:val="0"/>
                <w:kern w:val="0"/>
                <w:sz w:val="24"/>
                <w:szCs w:val="24"/>
              </w:rPr>
              <w:t>）</w:t>
            </w:r>
          </w:p>
        </w:tc>
        <w:tc>
          <w:tcPr>
            <w:tcW w:w="816" w:type="dxa"/>
            <w:tcBorders>
              <w:top w:val="single" w:color="auto" w:sz="4" w:space="0"/>
              <w:left w:val="single" w:color="auto" w:sz="4" w:space="0"/>
              <w:bottom w:val="single" w:color="auto" w:sz="4" w:space="0"/>
              <w:right w:val="single" w:color="auto" w:sz="4" w:space="0"/>
            </w:tcBorders>
            <w:vAlign w:val="center"/>
          </w:tcPr>
          <w:p w14:paraId="7ECF35CB">
            <w:pPr>
              <w:widowControl/>
              <w:kinsoku w:val="0"/>
              <w:autoSpaceDE w:val="0"/>
              <w:autoSpaceDN w:val="0"/>
              <w:adjustRightInd w:val="0"/>
              <w:snapToGrid w:val="0"/>
              <w:jc w:val="center"/>
              <w:textAlignment w:val="baseline"/>
              <w:rPr>
                <w:rFonts w:hint="default" w:ascii="宋体" w:hAnsi="宋体" w:eastAsia="宋体" w:cs="Arial"/>
                <w:snapToGrid w:val="0"/>
                <w:kern w:val="0"/>
                <w:sz w:val="24"/>
                <w:szCs w:val="24"/>
                <w:lang w:val="en-US"/>
              </w:rPr>
            </w:pPr>
            <w:r>
              <w:rPr>
                <w:rFonts w:hint="eastAsia" w:ascii="宋体" w:hAnsi="宋体" w:eastAsia="宋体" w:cs="Arial"/>
                <w:snapToGrid w:val="0"/>
                <w:kern w:val="0"/>
                <w:sz w:val="24"/>
                <w:szCs w:val="24"/>
                <w:lang w:val="en-US" w:eastAsia="zh-CN"/>
              </w:rPr>
              <w:t>14000</w:t>
            </w:r>
          </w:p>
        </w:tc>
        <w:tc>
          <w:tcPr>
            <w:tcW w:w="1682" w:type="dxa"/>
            <w:vMerge w:val="restart"/>
            <w:tcBorders>
              <w:left w:val="single" w:color="auto" w:sz="4" w:space="0"/>
              <w:right w:val="single" w:color="auto" w:sz="4" w:space="0"/>
            </w:tcBorders>
            <w:vAlign w:val="center"/>
          </w:tcPr>
          <w:p w14:paraId="01A13076">
            <w:pPr>
              <w:widowControl/>
              <w:kinsoku w:val="0"/>
              <w:autoSpaceDE w:val="0"/>
              <w:autoSpaceDN w:val="0"/>
              <w:adjustRightInd w:val="0"/>
              <w:snapToGrid w:val="0"/>
              <w:jc w:val="center"/>
              <w:textAlignment w:val="baseline"/>
              <w:rPr>
                <w:rFonts w:hint="default" w:ascii="宋体" w:hAnsi="宋体" w:eastAsia="宋体" w:cs="Arial"/>
                <w:snapToGrid w:val="0"/>
                <w:kern w:val="0"/>
                <w:sz w:val="24"/>
                <w:szCs w:val="24"/>
                <w:lang w:val="en-US" w:eastAsia="zh-CN"/>
              </w:rPr>
            </w:pPr>
            <w:r>
              <w:rPr>
                <w:rFonts w:hint="eastAsia" w:ascii="宋体" w:hAnsi="宋体" w:eastAsia="宋体" w:cs="Arial"/>
                <w:snapToGrid w:val="0"/>
                <w:kern w:val="0"/>
                <w:sz w:val="24"/>
                <w:szCs w:val="24"/>
                <w:lang w:val="en-US" w:eastAsia="zh-CN"/>
              </w:rPr>
              <w:t>110.4</w:t>
            </w:r>
          </w:p>
        </w:tc>
        <w:tc>
          <w:tcPr>
            <w:tcW w:w="2672" w:type="dxa"/>
            <w:vMerge w:val="restart"/>
            <w:tcBorders>
              <w:left w:val="single" w:color="auto" w:sz="4" w:space="0"/>
              <w:right w:val="single" w:color="auto" w:sz="4" w:space="0"/>
            </w:tcBorders>
            <w:vAlign w:val="center"/>
          </w:tcPr>
          <w:p w14:paraId="3F9BB917">
            <w:pPr>
              <w:widowControl/>
              <w:kinsoku w:val="0"/>
              <w:autoSpaceDE w:val="0"/>
              <w:autoSpaceDN w:val="0"/>
              <w:adjustRightInd w:val="0"/>
              <w:snapToGrid w:val="0"/>
              <w:jc w:val="left"/>
              <w:textAlignment w:val="baseline"/>
              <w:rPr>
                <w:rFonts w:ascii="宋体" w:hAnsi="宋体" w:eastAsia="宋体" w:cs="Arial"/>
                <w:snapToGrid w:val="0"/>
                <w:kern w:val="0"/>
                <w:sz w:val="24"/>
                <w:szCs w:val="24"/>
              </w:rPr>
            </w:pPr>
            <w:r>
              <w:rPr>
                <w:rFonts w:hint="eastAsia" w:ascii="宋体" w:hAnsi="宋体" w:eastAsia="宋体" w:cs="Arial"/>
                <w:snapToGrid w:val="0"/>
                <w:color w:val="auto"/>
                <w:kern w:val="0"/>
                <w:sz w:val="24"/>
                <w:szCs w:val="24"/>
                <w:highlight w:val="none"/>
              </w:rPr>
              <w:t>袋体水蒸气透出性能：在指定温湿度条件下 （2-6℃；50%RH~60%RH）等详见招标文件</w:t>
            </w:r>
          </w:p>
        </w:tc>
        <w:tc>
          <w:tcPr>
            <w:tcW w:w="876" w:type="dxa"/>
            <w:vMerge w:val="restart"/>
            <w:tcBorders>
              <w:left w:val="single" w:color="auto" w:sz="4" w:space="0"/>
              <w:right w:val="single" w:color="auto" w:sz="4" w:space="0"/>
            </w:tcBorders>
            <w:vAlign w:val="center"/>
          </w:tcPr>
          <w:p w14:paraId="7DAF0796">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r>
              <w:rPr>
                <w:rFonts w:ascii="宋体" w:hAnsi="宋体" w:eastAsia="宋体" w:cs="Arial"/>
                <w:snapToGrid w:val="0"/>
                <w:kern w:val="0"/>
                <w:sz w:val="24"/>
                <w:szCs w:val="24"/>
              </w:rPr>
              <w:t>否</w:t>
            </w:r>
          </w:p>
        </w:tc>
      </w:tr>
      <w:tr w14:paraId="7DC8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011" w:type="dxa"/>
            <w:vMerge w:val="continue"/>
            <w:tcBorders>
              <w:left w:val="single" w:color="auto" w:sz="4" w:space="0"/>
              <w:right w:val="single" w:color="auto" w:sz="4" w:space="0"/>
            </w:tcBorders>
            <w:vAlign w:val="center"/>
          </w:tcPr>
          <w:p w14:paraId="1A66F2C5">
            <w:pPr>
              <w:widowControl/>
              <w:kinsoku w:val="0"/>
              <w:autoSpaceDE w:val="0"/>
              <w:autoSpaceDN w:val="0"/>
              <w:adjustRightInd w:val="0"/>
              <w:snapToGrid w:val="0"/>
              <w:jc w:val="left"/>
              <w:textAlignment w:val="baseline"/>
              <w:rPr>
                <w:rFonts w:ascii="宋体" w:hAnsi="宋体" w:eastAsia="宋体" w:cs="Arial"/>
                <w:snapToGrid w:val="0"/>
                <w:kern w:val="0"/>
                <w:sz w:val="24"/>
                <w:szCs w:val="24"/>
              </w:rPr>
            </w:pPr>
          </w:p>
        </w:tc>
        <w:tc>
          <w:tcPr>
            <w:tcW w:w="843" w:type="dxa"/>
            <w:tcBorders>
              <w:top w:val="single" w:color="auto" w:sz="4" w:space="0"/>
              <w:left w:val="single" w:color="auto" w:sz="4" w:space="0"/>
              <w:bottom w:val="single" w:color="auto" w:sz="4" w:space="0"/>
              <w:right w:val="single" w:color="auto" w:sz="4" w:space="0"/>
            </w:tcBorders>
            <w:vAlign w:val="center"/>
          </w:tcPr>
          <w:p w14:paraId="4E684462">
            <w:pPr>
              <w:widowControl/>
              <w:kinsoku w:val="0"/>
              <w:autoSpaceDE w:val="0"/>
              <w:autoSpaceDN w:val="0"/>
              <w:adjustRightInd w:val="0"/>
              <w:snapToGrid w:val="0"/>
              <w:ind w:left="-49"/>
              <w:jc w:val="center"/>
              <w:textAlignment w:val="baseline"/>
              <w:rPr>
                <w:rFonts w:ascii="宋体" w:hAnsi="宋体" w:eastAsia="宋体" w:cs="Arial"/>
                <w:snapToGrid w:val="0"/>
                <w:kern w:val="0"/>
                <w:sz w:val="24"/>
                <w:szCs w:val="24"/>
              </w:rPr>
            </w:pPr>
            <w:r>
              <w:rPr>
                <w:rFonts w:ascii="宋体" w:hAnsi="宋体" w:eastAsia="宋体" w:cs="Arial"/>
                <w:snapToGrid w:val="0"/>
                <w:kern w:val="0"/>
                <w:sz w:val="24"/>
                <w:szCs w:val="24"/>
              </w:rPr>
              <w:t>1</w:t>
            </w:r>
            <w:r>
              <w:rPr>
                <w:rFonts w:hint="eastAsia" w:ascii="宋体" w:hAnsi="宋体" w:eastAsia="宋体" w:cs="Arial"/>
                <w:snapToGrid w:val="0"/>
                <w:kern w:val="0"/>
                <w:sz w:val="24"/>
                <w:szCs w:val="24"/>
              </w:rPr>
              <w:t>-</w:t>
            </w:r>
            <w:r>
              <w:rPr>
                <w:rFonts w:ascii="宋体" w:hAnsi="宋体" w:eastAsia="宋体" w:cs="Arial"/>
                <w:snapToGrid w:val="0"/>
                <w:kern w:val="0"/>
                <w:sz w:val="24"/>
                <w:szCs w:val="24"/>
              </w:rPr>
              <w:t>2</w:t>
            </w:r>
          </w:p>
        </w:tc>
        <w:tc>
          <w:tcPr>
            <w:tcW w:w="2660" w:type="dxa"/>
            <w:tcBorders>
              <w:top w:val="single" w:color="auto" w:sz="4" w:space="0"/>
              <w:left w:val="single" w:color="auto" w:sz="4" w:space="0"/>
              <w:bottom w:val="single" w:color="auto" w:sz="4" w:space="0"/>
              <w:right w:val="single" w:color="auto" w:sz="4" w:space="0"/>
            </w:tcBorders>
            <w:vAlign w:val="center"/>
          </w:tcPr>
          <w:p w14:paraId="05D2CCF1">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r>
              <w:rPr>
                <w:rFonts w:hint="eastAsia" w:ascii="宋体" w:hAnsi="宋体" w:eastAsia="宋体" w:cs="Arial"/>
                <w:snapToGrid w:val="0"/>
                <w:kern w:val="0"/>
                <w:sz w:val="24"/>
                <w:szCs w:val="24"/>
              </w:rPr>
              <w:t xml:space="preserve">一次性使用塑料血袋 </w:t>
            </w:r>
            <w:r>
              <w:rPr>
                <w:rFonts w:ascii="宋体" w:hAnsi="宋体" w:eastAsia="宋体" w:cs="Arial"/>
                <w:snapToGrid w:val="0"/>
                <w:kern w:val="0"/>
                <w:sz w:val="24"/>
                <w:szCs w:val="24"/>
              </w:rPr>
              <w:t xml:space="preserve"> </w:t>
            </w:r>
            <w:r>
              <w:rPr>
                <w:rFonts w:hint="eastAsia" w:ascii="宋体" w:hAnsi="宋体" w:eastAsia="宋体" w:cs="Arial"/>
                <w:snapToGrid w:val="0"/>
                <w:kern w:val="0"/>
                <w:sz w:val="24"/>
                <w:szCs w:val="24"/>
              </w:rPr>
              <w:t>（</w:t>
            </w:r>
            <w:r>
              <w:rPr>
                <w:rFonts w:hint="eastAsia" w:ascii="宋体" w:hAnsi="宋体" w:eastAsia="宋体" w:cs="Arial"/>
                <w:snapToGrid w:val="0"/>
                <w:kern w:val="0"/>
                <w:sz w:val="24"/>
                <w:szCs w:val="24"/>
                <w:lang w:val="en-US" w:eastAsia="zh-CN"/>
              </w:rPr>
              <w:t>去白</w:t>
            </w:r>
            <w:r>
              <w:rPr>
                <w:rFonts w:ascii="宋体" w:hAnsi="宋体" w:eastAsia="宋体" w:cs="Arial"/>
                <w:snapToGrid w:val="0"/>
                <w:kern w:val="0"/>
                <w:sz w:val="24"/>
                <w:szCs w:val="24"/>
              </w:rPr>
              <w:t>200ml</w:t>
            </w:r>
            <w:r>
              <w:rPr>
                <w:rFonts w:hint="eastAsia" w:ascii="宋体" w:hAnsi="宋体" w:eastAsia="宋体" w:cs="Arial"/>
                <w:snapToGrid w:val="0"/>
                <w:kern w:val="0"/>
                <w:sz w:val="24"/>
                <w:szCs w:val="24"/>
              </w:rPr>
              <w:t>）</w:t>
            </w:r>
          </w:p>
        </w:tc>
        <w:tc>
          <w:tcPr>
            <w:tcW w:w="816" w:type="dxa"/>
            <w:tcBorders>
              <w:top w:val="single" w:color="auto" w:sz="4" w:space="0"/>
              <w:left w:val="single" w:color="auto" w:sz="4" w:space="0"/>
              <w:bottom w:val="single" w:color="auto" w:sz="4" w:space="0"/>
              <w:right w:val="single" w:color="auto" w:sz="4" w:space="0"/>
            </w:tcBorders>
            <w:vAlign w:val="center"/>
          </w:tcPr>
          <w:p w14:paraId="4017899D">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r>
              <w:rPr>
                <w:rFonts w:hint="eastAsia" w:ascii="宋体" w:hAnsi="宋体" w:eastAsia="宋体" w:cs="Arial"/>
                <w:snapToGrid w:val="0"/>
                <w:kern w:val="0"/>
                <w:sz w:val="24"/>
                <w:szCs w:val="24"/>
                <w:lang w:val="en-US" w:eastAsia="zh-CN"/>
              </w:rPr>
              <w:t>2000</w:t>
            </w:r>
          </w:p>
        </w:tc>
        <w:tc>
          <w:tcPr>
            <w:tcW w:w="1682" w:type="dxa"/>
            <w:vMerge w:val="continue"/>
            <w:tcBorders>
              <w:left w:val="single" w:color="auto" w:sz="4" w:space="0"/>
              <w:right w:val="single" w:color="auto" w:sz="4" w:space="0"/>
            </w:tcBorders>
            <w:vAlign w:val="center"/>
          </w:tcPr>
          <w:p w14:paraId="4C3EE354">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p>
        </w:tc>
        <w:tc>
          <w:tcPr>
            <w:tcW w:w="2672" w:type="dxa"/>
            <w:vMerge w:val="continue"/>
            <w:tcBorders>
              <w:left w:val="single" w:color="auto" w:sz="4" w:space="0"/>
              <w:right w:val="single" w:color="auto" w:sz="4" w:space="0"/>
            </w:tcBorders>
            <w:vAlign w:val="center"/>
          </w:tcPr>
          <w:p w14:paraId="3985D7E9">
            <w:pPr>
              <w:widowControl/>
              <w:kinsoku w:val="0"/>
              <w:autoSpaceDE w:val="0"/>
              <w:autoSpaceDN w:val="0"/>
              <w:adjustRightInd w:val="0"/>
              <w:snapToGrid w:val="0"/>
              <w:jc w:val="left"/>
              <w:textAlignment w:val="baseline"/>
              <w:rPr>
                <w:rFonts w:ascii="宋体" w:hAnsi="宋体" w:eastAsia="宋体" w:cs="Arial"/>
                <w:snapToGrid w:val="0"/>
                <w:kern w:val="0"/>
                <w:sz w:val="24"/>
                <w:szCs w:val="24"/>
              </w:rPr>
            </w:pPr>
          </w:p>
        </w:tc>
        <w:tc>
          <w:tcPr>
            <w:tcW w:w="876" w:type="dxa"/>
            <w:vMerge w:val="continue"/>
            <w:tcBorders>
              <w:left w:val="single" w:color="auto" w:sz="4" w:space="0"/>
              <w:right w:val="single" w:color="auto" w:sz="4" w:space="0"/>
            </w:tcBorders>
            <w:vAlign w:val="center"/>
          </w:tcPr>
          <w:p w14:paraId="6153F754">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p>
        </w:tc>
      </w:tr>
      <w:tr w14:paraId="7E43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011" w:type="dxa"/>
            <w:vMerge w:val="continue"/>
            <w:tcBorders>
              <w:left w:val="single" w:color="auto" w:sz="4" w:space="0"/>
              <w:right w:val="single" w:color="auto" w:sz="4" w:space="0"/>
            </w:tcBorders>
            <w:vAlign w:val="center"/>
          </w:tcPr>
          <w:p w14:paraId="3B2BC372">
            <w:pPr>
              <w:widowControl/>
              <w:kinsoku w:val="0"/>
              <w:autoSpaceDE w:val="0"/>
              <w:autoSpaceDN w:val="0"/>
              <w:adjustRightInd w:val="0"/>
              <w:snapToGrid w:val="0"/>
              <w:jc w:val="left"/>
              <w:textAlignment w:val="baseline"/>
              <w:rPr>
                <w:rFonts w:ascii="宋体" w:hAnsi="宋体" w:eastAsia="宋体" w:cs="Arial"/>
                <w:snapToGrid w:val="0"/>
                <w:kern w:val="0"/>
                <w:sz w:val="24"/>
                <w:szCs w:val="24"/>
              </w:rPr>
            </w:pPr>
          </w:p>
        </w:tc>
        <w:tc>
          <w:tcPr>
            <w:tcW w:w="843" w:type="dxa"/>
            <w:tcBorders>
              <w:top w:val="single" w:color="auto" w:sz="4" w:space="0"/>
              <w:left w:val="single" w:color="auto" w:sz="4" w:space="0"/>
              <w:bottom w:val="single" w:color="auto" w:sz="4" w:space="0"/>
              <w:right w:val="single" w:color="auto" w:sz="4" w:space="0"/>
            </w:tcBorders>
            <w:vAlign w:val="center"/>
          </w:tcPr>
          <w:p w14:paraId="5748B7D1">
            <w:pPr>
              <w:widowControl/>
              <w:kinsoku w:val="0"/>
              <w:autoSpaceDE w:val="0"/>
              <w:autoSpaceDN w:val="0"/>
              <w:adjustRightInd w:val="0"/>
              <w:snapToGrid w:val="0"/>
              <w:ind w:left="-49"/>
              <w:jc w:val="center"/>
              <w:textAlignment w:val="baseline"/>
              <w:rPr>
                <w:rFonts w:ascii="宋体" w:hAnsi="宋体" w:eastAsia="宋体" w:cs="Arial"/>
                <w:snapToGrid w:val="0"/>
                <w:kern w:val="0"/>
                <w:sz w:val="24"/>
                <w:szCs w:val="24"/>
              </w:rPr>
            </w:pPr>
            <w:r>
              <w:rPr>
                <w:rFonts w:hint="eastAsia" w:ascii="宋体" w:hAnsi="宋体" w:eastAsia="宋体" w:cs="Arial"/>
                <w:snapToGrid w:val="0"/>
                <w:kern w:val="0"/>
                <w:sz w:val="24"/>
                <w:szCs w:val="24"/>
              </w:rPr>
              <w:t>1-</w:t>
            </w:r>
            <w:r>
              <w:rPr>
                <w:rFonts w:ascii="宋体" w:hAnsi="宋体" w:eastAsia="宋体" w:cs="Arial"/>
                <w:snapToGrid w:val="0"/>
                <w:kern w:val="0"/>
                <w:sz w:val="24"/>
                <w:szCs w:val="24"/>
              </w:rPr>
              <w:t>3</w:t>
            </w:r>
          </w:p>
        </w:tc>
        <w:tc>
          <w:tcPr>
            <w:tcW w:w="2660" w:type="dxa"/>
            <w:tcBorders>
              <w:top w:val="single" w:color="auto" w:sz="4" w:space="0"/>
              <w:left w:val="single" w:color="auto" w:sz="4" w:space="0"/>
              <w:bottom w:val="single" w:color="auto" w:sz="4" w:space="0"/>
              <w:right w:val="single" w:color="auto" w:sz="4" w:space="0"/>
            </w:tcBorders>
            <w:vAlign w:val="center"/>
          </w:tcPr>
          <w:p w14:paraId="58E76283">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r>
              <w:rPr>
                <w:rFonts w:hint="eastAsia" w:ascii="宋体" w:hAnsi="宋体" w:eastAsia="宋体" w:cs="Arial"/>
                <w:snapToGrid w:val="0"/>
                <w:kern w:val="0"/>
                <w:sz w:val="24"/>
                <w:szCs w:val="24"/>
              </w:rPr>
              <w:t>一次性使用塑料血袋 （400ml）</w:t>
            </w:r>
          </w:p>
        </w:tc>
        <w:tc>
          <w:tcPr>
            <w:tcW w:w="816" w:type="dxa"/>
            <w:tcBorders>
              <w:top w:val="single" w:color="auto" w:sz="4" w:space="0"/>
              <w:left w:val="single" w:color="auto" w:sz="4" w:space="0"/>
              <w:bottom w:val="single" w:color="auto" w:sz="4" w:space="0"/>
              <w:right w:val="single" w:color="auto" w:sz="4" w:space="0"/>
            </w:tcBorders>
            <w:vAlign w:val="center"/>
          </w:tcPr>
          <w:p w14:paraId="7F169418">
            <w:pPr>
              <w:widowControl/>
              <w:kinsoku w:val="0"/>
              <w:autoSpaceDE w:val="0"/>
              <w:autoSpaceDN w:val="0"/>
              <w:adjustRightInd w:val="0"/>
              <w:snapToGrid w:val="0"/>
              <w:jc w:val="center"/>
              <w:textAlignment w:val="baseline"/>
              <w:rPr>
                <w:rFonts w:hint="default" w:ascii="宋体" w:hAnsi="宋体" w:eastAsia="宋体" w:cs="Arial"/>
                <w:snapToGrid w:val="0"/>
                <w:kern w:val="0"/>
                <w:sz w:val="24"/>
                <w:szCs w:val="24"/>
                <w:lang w:val="en-US"/>
              </w:rPr>
            </w:pPr>
            <w:r>
              <w:rPr>
                <w:rFonts w:hint="eastAsia" w:ascii="宋体" w:hAnsi="宋体" w:eastAsia="宋体" w:cs="Arial"/>
                <w:snapToGrid w:val="0"/>
                <w:kern w:val="0"/>
                <w:sz w:val="24"/>
                <w:szCs w:val="24"/>
                <w:lang w:val="en-US" w:eastAsia="zh-CN"/>
              </w:rPr>
              <w:t>30000</w:t>
            </w:r>
          </w:p>
        </w:tc>
        <w:tc>
          <w:tcPr>
            <w:tcW w:w="1682" w:type="dxa"/>
            <w:vMerge w:val="continue"/>
            <w:tcBorders>
              <w:left w:val="single" w:color="auto" w:sz="4" w:space="0"/>
              <w:right w:val="single" w:color="auto" w:sz="4" w:space="0"/>
            </w:tcBorders>
            <w:vAlign w:val="center"/>
          </w:tcPr>
          <w:p w14:paraId="3240B996">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p>
        </w:tc>
        <w:tc>
          <w:tcPr>
            <w:tcW w:w="2672" w:type="dxa"/>
            <w:vMerge w:val="continue"/>
            <w:tcBorders>
              <w:left w:val="single" w:color="auto" w:sz="4" w:space="0"/>
              <w:right w:val="single" w:color="auto" w:sz="4" w:space="0"/>
            </w:tcBorders>
            <w:vAlign w:val="center"/>
          </w:tcPr>
          <w:p w14:paraId="2FE169B4">
            <w:pPr>
              <w:widowControl/>
              <w:kinsoku w:val="0"/>
              <w:autoSpaceDE w:val="0"/>
              <w:autoSpaceDN w:val="0"/>
              <w:adjustRightInd w:val="0"/>
              <w:snapToGrid w:val="0"/>
              <w:jc w:val="left"/>
              <w:textAlignment w:val="baseline"/>
              <w:rPr>
                <w:rFonts w:ascii="宋体" w:hAnsi="宋体" w:eastAsia="宋体" w:cs="Arial"/>
                <w:snapToGrid w:val="0"/>
                <w:kern w:val="0"/>
                <w:sz w:val="24"/>
                <w:szCs w:val="24"/>
              </w:rPr>
            </w:pPr>
          </w:p>
        </w:tc>
        <w:tc>
          <w:tcPr>
            <w:tcW w:w="876" w:type="dxa"/>
            <w:vMerge w:val="continue"/>
            <w:tcBorders>
              <w:left w:val="single" w:color="auto" w:sz="4" w:space="0"/>
              <w:right w:val="single" w:color="auto" w:sz="4" w:space="0"/>
            </w:tcBorders>
            <w:vAlign w:val="center"/>
          </w:tcPr>
          <w:p w14:paraId="368342B5">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p>
        </w:tc>
      </w:tr>
      <w:tr w14:paraId="6B28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011" w:type="dxa"/>
            <w:vMerge w:val="continue"/>
            <w:tcBorders>
              <w:left w:val="single" w:color="auto" w:sz="4" w:space="0"/>
              <w:right w:val="single" w:color="auto" w:sz="4" w:space="0"/>
            </w:tcBorders>
            <w:vAlign w:val="center"/>
          </w:tcPr>
          <w:p w14:paraId="2FFA0100">
            <w:pPr>
              <w:widowControl/>
              <w:kinsoku w:val="0"/>
              <w:autoSpaceDE w:val="0"/>
              <w:autoSpaceDN w:val="0"/>
              <w:adjustRightInd w:val="0"/>
              <w:snapToGrid w:val="0"/>
              <w:jc w:val="left"/>
              <w:textAlignment w:val="baseline"/>
              <w:rPr>
                <w:rFonts w:ascii="宋体" w:hAnsi="宋体" w:eastAsia="宋体" w:cs="Arial"/>
                <w:snapToGrid w:val="0"/>
                <w:kern w:val="0"/>
                <w:sz w:val="24"/>
                <w:szCs w:val="24"/>
              </w:rPr>
            </w:pPr>
          </w:p>
        </w:tc>
        <w:tc>
          <w:tcPr>
            <w:tcW w:w="843" w:type="dxa"/>
            <w:tcBorders>
              <w:top w:val="single" w:color="auto" w:sz="4" w:space="0"/>
              <w:left w:val="single" w:color="auto" w:sz="4" w:space="0"/>
              <w:bottom w:val="single" w:color="auto" w:sz="4" w:space="0"/>
              <w:right w:val="single" w:color="auto" w:sz="4" w:space="0"/>
            </w:tcBorders>
            <w:vAlign w:val="center"/>
          </w:tcPr>
          <w:p w14:paraId="6D4CDDF7">
            <w:pPr>
              <w:widowControl/>
              <w:kinsoku w:val="0"/>
              <w:autoSpaceDE w:val="0"/>
              <w:autoSpaceDN w:val="0"/>
              <w:adjustRightInd w:val="0"/>
              <w:snapToGrid w:val="0"/>
              <w:ind w:left="-49"/>
              <w:jc w:val="center"/>
              <w:textAlignment w:val="baseline"/>
              <w:rPr>
                <w:rFonts w:hint="default" w:ascii="宋体" w:hAnsi="宋体" w:eastAsia="宋体" w:cs="Arial"/>
                <w:snapToGrid w:val="0"/>
                <w:kern w:val="0"/>
                <w:sz w:val="24"/>
                <w:szCs w:val="24"/>
                <w:lang w:val="en-US" w:eastAsia="zh-CN"/>
              </w:rPr>
            </w:pPr>
            <w:r>
              <w:rPr>
                <w:rFonts w:hint="eastAsia" w:ascii="宋体" w:hAnsi="宋体" w:eastAsia="宋体" w:cs="Arial"/>
                <w:snapToGrid w:val="0"/>
                <w:kern w:val="0"/>
                <w:sz w:val="24"/>
                <w:szCs w:val="24"/>
                <w:lang w:val="en-US" w:eastAsia="zh-CN"/>
              </w:rPr>
              <w:t>1-4</w:t>
            </w:r>
          </w:p>
        </w:tc>
        <w:tc>
          <w:tcPr>
            <w:tcW w:w="2660" w:type="dxa"/>
            <w:tcBorders>
              <w:top w:val="single" w:color="auto" w:sz="4" w:space="0"/>
              <w:left w:val="single" w:color="auto" w:sz="4" w:space="0"/>
              <w:bottom w:val="single" w:color="auto" w:sz="4" w:space="0"/>
              <w:right w:val="single" w:color="auto" w:sz="4" w:space="0"/>
            </w:tcBorders>
            <w:vAlign w:val="center"/>
          </w:tcPr>
          <w:p w14:paraId="5EC71204">
            <w:pPr>
              <w:widowControl/>
              <w:kinsoku w:val="0"/>
              <w:autoSpaceDE w:val="0"/>
              <w:autoSpaceDN w:val="0"/>
              <w:adjustRightInd w:val="0"/>
              <w:snapToGrid w:val="0"/>
              <w:jc w:val="center"/>
              <w:textAlignment w:val="baseline"/>
              <w:rPr>
                <w:rFonts w:hint="eastAsia" w:ascii="宋体" w:hAnsi="宋体" w:eastAsia="宋体" w:cs="Arial"/>
                <w:snapToGrid w:val="0"/>
                <w:kern w:val="0"/>
                <w:sz w:val="24"/>
                <w:szCs w:val="24"/>
              </w:rPr>
            </w:pPr>
            <w:r>
              <w:rPr>
                <w:rFonts w:hint="eastAsia" w:ascii="宋体" w:hAnsi="宋体" w:eastAsia="宋体" w:cs="Arial"/>
                <w:snapToGrid w:val="0"/>
                <w:kern w:val="0"/>
                <w:sz w:val="24"/>
                <w:szCs w:val="24"/>
              </w:rPr>
              <w:t>一次性使用塑料血袋 （去白400ml）</w:t>
            </w:r>
          </w:p>
        </w:tc>
        <w:tc>
          <w:tcPr>
            <w:tcW w:w="816" w:type="dxa"/>
            <w:tcBorders>
              <w:top w:val="single" w:color="auto" w:sz="4" w:space="0"/>
              <w:left w:val="single" w:color="auto" w:sz="4" w:space="0"/>
              <w:bottom w:val="single" w:color="auto" w:sz="4" w:space="0"/>
              <w:right w:val="single" w:color="auto" w:sz="4" w:space="0"/>
            </w:tcBorders>
            <w:vAlign w:val="center"/>
          </w:tcPr>
          <w:p w14:paraId="69AA68D2">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r>
              <w:rPr>
                <w:rFonts w:hint="eastAsia" w:ascii="宋体" w:hAnsi="宋体" w:eastAsia="宋体" w:cs="Arial"/>
                <w:snapToGrid w:val="0"/>
                <w:kern w:val="0"/>
                <w:sz w:val="24"/>
                <w:szCs w:val="24"/>
                <w:lang w:val="en-US" w:eastAsia="zh-CN"/>
              </w:rPr>
              <w:t>4000</w:t>
            </w:r>
          </w:p>
        </w:tc>
        <w:tc>
          <w:tcPr>
            <w:tcW w:w="1682" w:type="dxa"/>
            <w:vMerge w:val="continue"/>
            <w:tcBorders>
              <w:left w:val="single" w:color="auto" w:sz="4" w:space="0"/>
              <w:right w:val="single" w:color="auto" w:sz="4" w:space="0"/>
            </w:tcBorders>
            <w:vAlign w:val="center"/>
          </w:tcPr>
          <w:p w14:paraId="40CAA30A">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p>
        </w:tc>
        <w:tc>
          <w:tcPr>
            <w:tcW w:w="2672" w:type="dxa"/>
            <w:vMerge w:val="continue"/>
            <w:tcBorders>
              <w:left w:val="single" w:color="auto" w:sz="4" w:space="0"/>
              <w:right w:val="single" w:color="auto" w:sz="4" w:space="0"/>
            </w:tcBorders>
            <w:vAlign w:val="center"/>
          </w:tcPr>
          <w:p w14:paraId="7006B52D">
            <w:pPr>
              <w:widowControl/>
              <w:kinsoku w:val="0"/>
              <w:autoSpaceDE w:val="0"/>
              <w:autoSpaceDN w:val="0"/>
              <w:adjustRightInd w:val="0"/>
              <w:snapToGrid w:val="0"/>
              <w:jc w:val="left"/>
              <w:textAlignment w:val="baseline"/>
              <w:rPr>
                <w:rFonts w:ascii="宋体" w:hAnsi="宋体" w:eastAsia="宋体" w:cs="Arial"/>
                <w:snapToGrid w:val="0"/>
                <w:kern w:val="0"/>
                <w:sz w:val="24"/>
                <w:szCs w:val="24"/>
              </w:rPr>
            </w:pPr>
          </w:p>
        </w:tc>
        <w:tc>
          <w:tcPr>
            <w:tcW w:w="876" w:type="dxa"/>
            <w:vMerge w:val="continue"/>
            <w:tcBorders>
              <w:left w:val="single" w:color="auto" w:sz="4" w:space="0"/>
              <w:right w:val="single" w:color="auto" w:sz="4" w:space="0"/>
            </w:tcBorders>
            <w:vAlign w:val="center"/>
          </w:tcPr>
          <w:p w14:paraId="329F7F6A">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p>
        </w:tc>
      </w:tr>
      <w:tr w14:paraId="4FBD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560" w:type="dxa"/>
            <w:gridSpan w:val="7"/>
            <w:tcBorders>
              <w:left w:val="single" w:color="auto" w:sz="4" w:space="0"/>
              <w:right w:val="single" w:color="auto" w:sz="4" w:space="0"/>
            </w:tcBorders>
            <w:vAlign w:val="center"/>
          </w:tcPr>
          <w:p w14:paraId="59A742AD">
            <w:pPr>
              <w:widowControl/>
              <w:kinsoku w:val="0"/>
              <w:autoSpaceDE w:val="0"/>
              <w:autoSpaceDN w:val="0"/>
              <w:adjustRightInd w:val="0"/>
              <w:snapToGrid w:val="0"/>
              <w:jc w:val="center"/>
              <w:textAlignment w:val="baseline"/>
              <w:rPr>
                <w:rFonts w:ascii="宋体" w:hAnsi="宋体" w:eastAsia="宋体" w:cs="Arial"/>
                <w:snapToGrid w:val="0"/>
                <w:kern w:val="0"/>
                <w:sz w:val="24"/>
                <w:szCs w:val="24"/>
              </w:rPr>
            </w:pPr>
            <w:r>
              <w:rPr>
                <w:rFonts w:hint="eastAsia" w:ascii="宋体" w:hAnsi="宋体" w:eastAsia="宋体" w:cs="Arial"/>
                <w:snapToGrid w:val="0"/>
                <w:kern w:val="0"/>
                <w:sz w:val="24"/>
                <w:szCs w:val="24"/>
              </w:rPr>
              <w:t>备注:本项目采购标的对应的《中小企业划型标准规定》所属行业为: 工业</w:t>
            </w:r>
          </w:p>
        </w:tc>
      </w:tr>
    </w:tbl>
    <w:p w14:paraId="5357BDFC">
      <w:pPr>
        <w:spacing w:line="360" w:lineRule="auto"/>
        <w:rPr>
          <w:rFonts w:hint="eastAsia" w:cs="Times New Roman" w:asciiTheme="minorEastAsia" w:hAnsiTheme="minorEastAsia"/>
          <w:b/>
          <w:bCs/>
          <w:sz w:val="24"/>
          <w:szCs w:val="24"/>
        </w:rPr>
      </w:pPr>
    </w:p>
    <w:p w14:paraId="0C8EC458">
      <w:pPr>
        <w:spacing w:line="360" w:lineRule="auto"/>
        <w:rPr>
          <w:rFonts w:cs="Times New Roman" w:asciiTheme="minorEastAsia" w:hAnsiTheme="minorEastAsia"/>
          <w:kern w:val="0"/>
          <w:sz w:val="24"/>
          <w:szCs w:val="24"/>
          <w:u w:val="single"/>
        </w:rPr>
      </w:pPr>
      <w:r>
        <w:rPr>
          <w:rFonts w:hint="eastAsia" w:cs="Times New Roman" w:asciiTheme="minorEastAsia" w:hAnsiTheme="minorEastAsia"/>
          <w:sz w:val="24"/>
          <w:szCs w:val="24"/>
        </w:rPr>
        <w:t>合同履行期限</w:t>
      </w:r>
      <w:r>
        <w:rPr>
          <w:rFonts w:hint="eastAsia" w:cs="Times New Roman" w:asciiTheme="minorEastAsia" w:hAnsiTheme="minorEastAsia"/>
          <w:b/>
          <w:sz w:val="24"/>
          <w:szCs w:val="24"/>
        </w:rPr>
        <w:t xml:space="preserve">: </w:t>
      </w:r>
      <w:r>
        <w:rPr>
          <w:rFonts w:hint="eastAsia" w:ascii="宋体" w:hAnsi="宋体"/>
          <w:sz w:val="24"/>
          <w:szCs w:val="24"/>
        </w:rPr>
        <w:t>按甲方实际需求</w:t>
      </w:r>
      <w:r>
        <w:rPr>
          <w:rFonts w:hint="eastAsia" w:asciiTheme="minorEastAsia" w:hAnsiTheme="minorEastAsia"/>
          <w:sz w:val="24"/>
        </w:rPr>
        <w:t>。</w:t>
      </w:r>
    </w:p>
    <w:p w14:paraId="4ABB96D4">
      <w:pPr>
        <w:spacing w:line="360" w:lineRule="auto"/>
        <w:rPr>
          <w:rFonts w:cs="Times New Roman" w:asciiTheme="minorEastAsia" w:hAnsiTheme="minorEastAsia"/>
          <w:sz w:val="24"/>
          <w:szCs w:val="24"/>
        </w:rPr>
      </w:pPr>
      <w:r>
        <w:rPr>
          <w:rFonts w:hint="eastAsia" w:cs="Times New Roman" w:asciiTheme="minorEastAsia" w:hAnsiTheme="minorEastAsia"/>
          <w:sz w:val="24"/>
          <w:szCs w:val="24"/>
        </w:rPr>
        <w:t>本项目不接受联合体投标。</w:t>
      </w:r>
    </w:p>
    <w:p w14:paraId="02E8E260">
      <w:pPr>
        <w:widowControl/>
        <w:kinsoku w:val="0"/>
        <w:autoSpaceDE w:val="0"/>
        <w:autoSpaceDN w:val="0"/>
        <w:adjustRightInd w:val="0"/>
        <w:snapToGrid w:val="0"/>
        <w:spacing w:before="78" w:line="220" w:lineRule="auto"/>
        <w:ind w:left="126"/>
        <w:jc w:val="left"/>
        <w:textAlignment w:val="baseline"/>
        <w:outlineLvl w:val="1"/>
        <w:rPr>
          <w:rFonts w:ascii="宋体" w:hAnsi="宋体" w:eastAsia="宋体" w:cs="宋体"/>
          <w:snapToGrid w:val="0"/>
          <w:color w:val="000000"/>
          <w:kern w:val="0"/>
          <w:sz w:val="24"/>
          <w:szCs w:val="24"/>
        </w:rPr>
      </w:pPr>
      <w:bookmarkStart w:id="1" w:name="_Toc32288"/>
      <w:bookmarkStart w:id="2" w:name="_Toc28359081"/>
      <w:bookmarkStart w:id="3" w:name="_Toc28359004"/>
      <w:r>
        <w:rPr>
          <w:rFonts w:ascii="宋体" w:hAnsi="宋体" w:eastAsia="宋体" w:cs="宋体"/>
          <w:snapToGrid w:val="0"/>
          <w:color w:val="000000"/>
          <w:spacing w:val="12"/>
          <w:kern w:val="0"/>
          <w:sz w:val="24"/>
          <w:szCs w:val="24"/>
          <w14:textOutline w14:w="1536" w14:cap="flat" w14:cmpd="sng" w14:algn="ctr">
            <w14:solidFill>
              <w14:srgbClr w14:val="000000"/>
            </w14:solidFill>
            <w14:prstDash w14:val="solid"/>
            <w14:miter w14:val="0"/>
          </w14:textOutline>
        </w:rPr>
        <w:t>二</w:t>
      </w:r>
      <w:r>
        <w:rPr>
          <w:rFonts w:ascii="宋体" w:hAnsi="宋体" w:eastAsia="宋体" w:cs="宋体"/>
          <w:snapToGrid w:val="0"/>
          <w:color w:val="000000"/>
          <w:spacing w:val="8"/>
          <w:kern w:val="0"/>
          <w:sz w:val="24"/>
          <w:szCs w:val="24"/>
          <w14:textOutline w14:w="1536" w14:cap="flat" w14:cmpd="sng" w14:algn="ctr">
            <w14:solidFill>
              <w14:srgbClr w14:val="000000"/>
            </w14:solidFill>
            <w14:prstDash w14:val="solid"/>
            <w14:miter w14:val="0"/>
          </w14:textOutline>
        </w:rPr>
        <w:t>、</w:t>
      </w:r>
      <w:r>
        <w:rPr>
          <w:rFonts w:ascii="宋体" w:hAnsi="宋体" w:eastAsia="宋体" w:cs="宋体"/>
          <w:snapToGrid w:val="0"/>
          <w:color w:val="000000"/>
          <w:spacing w:val="6"/>
          <w:kern w:val="0"/>
          <w:sz w:val="24"/>
          <w:szCs w:val="24"/>
          <w14:textOutline w14:w="1536" w14:cap="flat" w14:cmpd="sng" w14:algn="ctr">
            <w14:solidFill>
              <w14:srgbClr w14:val="000000"/>
            </w14:solidFill>
            <w14:prstDash w14:val="solid"/>
            <w14:miter w14:val="0"/>
          </w14:textOutline>
        </w:rPr>
        <w:t>申请人的资格要求(须同时满足)</w:t>
      </w:r>
      <w:bookmarkEnd w:id="1"/>
    </w:p>
    <w:bookmarkEnd w:id="2"/>
    <w:bookmarkEnd w:id="3"/>
    <w:p w14:paraId="1791115A">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1.满足《中华人民共和国政府采购法》第二十二条规定；</w:t>
      </w:r>
    </w:p>
    <w:p w14:paraId="297AA4DF">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2.落实政府采购政策需满足的资格要求：</w:t>
      </w:r>
    </w:p>
    <w:p w14:paraId="12B243C6">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2.1 中小企业政策</w:t>
      </w:r>
    </w:p>
    <w:p w14:paraId="24CE9E75">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本项目不专门面向中小企业预留采购份额。</w:t>
      </w:r>
    </w:p>
    <w:p w14:paraId="7AA5B0BB">
      <w:pPr>
        <w:spacing w:line="360" w:lineRule="auto"/>
        <w:ind w:firstLine="484" w:firstLineChars="200"/>
        <w:rPr>
          <w:rFonts w:asciiTheme="minorEastAsia" w:hAnsiTheme="minorEastAsia" w:eastAsiaTheme="minorEastAsia"/>
          <w:sz w:val="24"/>
        </w:rPr>
      </w:pPr>
      <w:r>
        <w:rPr>
          <w:rFonts w:hint="eastAsia" w:ascii="宋体" w:hAnsi="宋体" w:eastAsia="宋体" w:cs="Arial"/>
          <w:snapToGrid w:val="0"/>
          <w:color w:val="auto"/>
          <w:spacing w:val="1"/>
          <w:kern w:val="0"/>
          <w:sz w:val="24"/>
          <w:szCs w:val="24"/>
        </w:rPr>
        <w:t>□</w:t>
      </w:r>
      <w:r>
        <w:rPr>
          <w:rFonts w:asciiTheme="minorEastAsia" w:hAnsiTheme="minorEastAsia" w:eastAsiaTheme="minorEastAsia"/>
          <w:sz w:val="24"/>
        </w:rPr>
        <w:t xml:space="preserve">本项目专门面向  □中小 </w:t>
      </w:r>
      <w:r>
        <w:rPr>
          <w:rFonts w:hint="eastAsia" w:ascii="宋体" w:hAnsi="宋体" w:eastAsia="宋体" w:cs="Arial"/>
          <w:snapToGrid w:val="0"/>
          <w:color w:val="auto"/>
          <w:spacing w:val="1"/>
          <w:kern w:val="0"/>
          <w:sz w:val="24"/>
          <w:szCs w:val="24"/>
        </w:rPr>
        <w:t>□</w:t>
      </w:r>
      <w:r>
        <w:rPr>
          <w:rFonts w:asciiTheme="minorEastAsia" w:hAnsiTheme="minorEastAsia" w:eastAsiaTheme="minorEastAsia"/>
          <w:sz w:val="24"/>
        </w:rPr>
        <w:t>小微企业  采购。即：提供的货物全部由符合政策要求的中小/小微企业制造、服务全部由符合政策要求的中小/小微企业承接。</w:t>
      </w:r>
    </w:p>
    <w:p w14:paraId="217CD679">
      <w:pPr>
        <w:widowControl/>
        <w:kinsoku w:val="0"/>
        <w:autoSpaceDE w:val="0"/>
        <w:autoSpaceDN w:val="0"/>
        <w:adjustRightInd w:val="0"/>
        <w:snapToGrid w:val="0"/>
        <w:spacing w:line="359" w:lineRule="auto"/>
        <w:ind w:left="122" w:right="59" w:firstLine="492"/>
        <w:jc w:val="left"/>
        <w:textAlignment w:val="baseline"/>
        <w:rPr>
          <w:rFonts w:ascii="宋体" w:hAnsi="宋体" w:eastAsia="宋体" w:cs="宋体"/>
          <w:snapToGrid w:val="0"/>
          <w:color w:val="000000"/>
          <w:kern w:val="0"/>
          <w:sz w:val="24"/>
          <w:szCs w:val="24"/>
        </w:rPr>
      </w:pPr>
      <w:r>
        <w:rPr>
          <w:rFonts w:asciiTheme="minorEastAsia" w:hAnsiTheme="minorEastAsia" w:eastAsiaTheme="minorEastAsia"/>
          <w:sz w:val="24"/>
        </w:rPr>
        <w:t>□</w:t>
      </w:r>
      <w:r>
        <w:rPr>
          <w:rFonts w:ascii="宋体" w:hAnsi="宋体" w:eastAsia="宋体" w:cs="宋体"/>
          <w:snapToGrid w:val="0"/>
          <w:color w:val="auto"/>
          <w:spacing w:val="1"/>
          <w:kern w:val="0"/>
          <w:sz w:val="24"/>
          <w:szCs w:val="24"/>
        </w:rPr>
        <w:t>本项目预留部分采购项目预算专门面向中小企业采购。</w:t>
      </w:r>
      <w:r>
        <w:rPr>
          <w:rFonts w:ascii="宋体" w:hAnsi="宋体" w:eastAsia="宋体" w:cs="宋体"/>
          <w:snapToGrid w:val="0"/>
          <w:color w:val="auto"/>
          <w:kern w:val="0"/>
          <w:sz w:val="24"/>
          <w:szCs w:val="24"/>
        </w:rPr>
        <w:t>对于预留份额，提供的货</w:t>
      </w:r>
      <w:r>
        <w:rPr>
          <w:rFonts w:ascii="宋体" w:hAnsi="宋体" w:eastAsia="宋体" w:cs="宋体"/>
          <w:snapToGrid w:val="0"/>
          <w:color w:val="auto"/>
          <w:spacing w:val="-2"/>
          <w:kern w:val="0"/>
          <w:sz w:val="24"/>
          <w:szCs w:val="24"/>
        </w:rPr>
        <w:t>物由符合政策要求的中小企业制造、服务由</w:t>
      </w:r>
      <w:r>
        <w:rPr>
          <w:rFonts w:ascii="宋体" w:hAnsi="宋体" w:eastAsia="宋体" w:cs="宋体"/>
          <w:snapToGrid w:val="0"/>
          <w:color w:val="auto"/>
          <w:spacing w:val="-1"/>
          <w:kern w:val="0"/>
          <w:sz w:val="24"/>
          <w:szCs w:val="24"/>
        </w:rPr>
        <w:t>符合政策要求的中小企业承接。</w:t>
      </w:r>
    </w:p>
    <w:p w14:paraId="54F6792F">
      <w:pPr>
        <w:spacing w:line="360" w:lineRule="auto"/>
        <w:ind w:firstLine="480" w:firstLineChars="200"/>
        <w:rPr>
          <w:rFonts w:asciiTheme="minorEastAsia" w:hAnsiTheme="minorEastAsia" w:eastAsiaTheme="minorEastAsia"/>
          <w:sz w:val="24"/>
        </w:rPr>
      </w:pPr>
    </w:p>
    <w:p w14:paraId="580C4788">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2.2 其它落实政府采购政策的资格要求（如有）：___________________。</w:t>
      </w:r>
    </w:p>
    <w:p w14:paraId="7711F77F">
      <w:pPr>
        <w:spacing w:line="360" w:lineRule="auto"/>
        <w:ind w:firstLine="480" w:firstLineChars="200"/>
        <w:rPr>
          <w:rFonts w:asciiTheme="minorEastAsia" w:hAnsiTheme="minorEastAsia" w:eastAsiaTheme="minorEastAsia"/>
          <w:i/>
          <w:iCs/>
          <w:sz w:val="24"/>
          <w:u w:val="single"/>
        </w:rPr>
      </w:pPr>
      <w:r>
        <w:rPr>
          <w:rFonts w:asciiTheme="minorEastAsia" w:hAnsiTheme="minorEastAsia" w:eastAsiaTheme="minorEastAsia"/>
          <w:sz w:val="24"/>
        </w:rPr>
        <w:t>3.本项目的特定资格要求：</w:t>
      </w:r>
    </w:p>
    <w:p w14:paraId="516F11B1">
      <w:pPr>
        <w:tabs>
          <w:tab w:val="left" w:pos="900"/>
          <w:tab w:val="left" w:pos="1134"/>
          <w:tab w:val="left" w:pos="1589"/>
          <w:tab w:val="left" w:pos="5521"/>
        </w:tabs>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3.1本项目是否属于政府购买服务：</w:t>
      </w:r>
    </w:p>
    <w:p w14:paraId="0328263B">
      <w:pPr>
        <w:tabs>
          <w:tab w:val="left" w:pos="900"/>
          <w:tab w:val="left" w:pos="1134"/>
          <w:tab w:val="left" w:pos="1589"/>
          <w:tab w:val="left" w:pos="5521"/>
        </w:tabs>
        <w:snapToGrid w:val="0"/>
        <w:spacing w:line="360" w:lineRule="auto"/>
        <w:ind w:left="991" w:leftChars="472" w:firstLine="2"/>
        <w:rPr>
          <w:rFonts w:asciiTheme="minorEastAsia" w:hAnsiTheme="minorEastAsia" w:eastAsiaTheme="minorEastAsia"/>
          <w:sz w:val="24"/>
        </w:rPr>
      </w:pPr>
      <w:r>
        <w:rPr>
          <w:rFonts w:hint="eastAsia" w:ascii="宋体" w:hAnsi="宋体" w:eastAsia="宋体" w:cs="宋体"/>
          <w:sz w:val="24"/>
          <w:lang w:eastAsia="zh-CN"/>
        </w:rPr>
        <w:t>■</w:t>
      </w:r>
      <w:r>
        <w:rPr>
          <w:rFonts w:asciiTheme="minorEastAsia" w:hAnsiTheme="minorEastAsia" w:eastAsiaTheme="minorEastAsia"/>
          <w:sz w:val="24"/>
        </w:rPr>
        <w:t>否</w:t>
      </w:r>
    </w:p>
    <w:p w14:paraId="61EB756F">
      <w:pPr>
        <w:tabs>
          <w:tab w:val="left" w:pos="900"/>
          <w:tab w:val="left" w:pos="1134"/>
          <w:tab w:val="left" w:pos="1589"/>
          <w:tab w:val="left" w:pos="5521"/>
        </w:tabs>
        <w:snapToGrid w:val="0"/>
        <w:spacing w:line="360" w:lineRule="auto"/>
        <w:ind w:left="991" w:leftChars="472" w:firstLine="2"/>
        <w:rPr>
          <w:rFonts w:asciiTheme="minorEastAsia" w:hAnsiTheme="minorEastAsia" w:eastAsiaTheme="minorEastAsia"/>
          <w:sz w:val="24"/>
        </w:rPr>
      </w:pPr>
      <w:r>
        <w:rPr>
          <w:rFonts w:asciiTheme="minorEastAsia" w:hAnsiTheme="minorEastAsia" w:eastAsiaTheme="minorEastAsia"/>
          <w:sz w:val="24"/>
        </w:rPr>
        <w:sym w:font="Wingdings 2" w:char="00A3"/>
      </w:r>
      <w:r>
        <w:rPr>
          <w:rFonts w:asciiTheme="minorEastAsia" w:hAnsiTheme="minorEastAsia" w:eastAsiaTheme="minorEastAsia"/>
          <w:sz w:val="24"/>
        </w:rPr>
        <w:t>是，公益一类事业单位、使用事业编制且由财政拨款保障的群团组织，不得作为承接主体；</w:t>
      </w:r>
    </w:p>
    <w:p w14:paraId="64D5D943">
      <w:pPr>
        <w:tabs>
          <w:tab w:val="left" w:pos="900"/>
          <w:tab w:val="left" w:pos="1134"/>
          <w:tab w:val="left" w:pos="1589"/>
          <w:tab w:val="left" w:pos="5521"/>
        </w:tabs>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3.2其他特定资格要求：</w:t>
      </w:r>
      <w:r>
        <w:rPr>
          <w:rFonts w:hint="eastAsia" w:cs="宋体" w:asciiTheme="minorEastAsia" w:hAnsiTheme="minorEastAsia"/>
          <w:spacing w:val="-2"/>
          <w:sz w:val="24"/>
          <w:lang w:val="en-US" w:eastAsia="zh-CN"/>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w:t>
      </w:r>
      <w:bookmarkStart w:id="20" w:name="_GoBack"/>
      <w:bookmarkEnd w:id="20"/>
      <w:r>
        <w:rPr>
          <w:rFonts w:hint="eastAsia" w:cs="宋体" w:asciiTheme="minorEastAsia" w:hAnsiTheme="minorEastAsia"/>
          <w:spacing w:val="-2"/>
          <w:sz w:val="24"/>
          <w:lang w:val="en-US" w:eastAsia="zh-CN"/>
        </w:rPr>
        <w:t>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1505121B">
      <w:pPr>
        <w:pStyle w:val="4"/>
        <w:widowControl/>
        <w:spacing w:before="0" w:line="360" w:lineRule="auto"/>
        <w:jc w:val="left"/>
        <w:rPr>
          <w:rFonts w:asciiTheme="minorEastAsia" w:hAnsiTheme="minorEastAsia" w:eastAsiaTheme="minorEastAsia"/>
          <w:sz w:val="24"/>
          <w:szCs w:val="24"/>
          <w:highlight w:val="none"/>
        </w:rPr>
      </w:pPr>
      <w:bookmarkStart w:id="4" w:name="_Toc35393792"/>
      <w:bookmarkStart w:id="5" w:name="_Toc35393623"/>
      <w:r>
        <w:rPr>
          <w:rFonts w:asciiTheme="minorEastAsia" w:hAnsiTheme="minorEastAsia" w:eastAsiaTheme="minorEastAsia"/>
          <w:sz w:val="24"/>
          <w:szCs w:val="24"/>
        </w:rPr>
        <w:t>三、获取招标文</w:t>
      </w:r>
      <w:r>
        <w:rPr>
          <w:rFonts w:asciiTheme="minorEastAsia" w:hAnsiTheme="minorEastAsia" w:eastAsiaTheme="minorEastAsia"/>
          <w:sz w:val="24"/>
          <w:szCs w:val="24"/>
          <w:highlight w:val="none"/>
        </w:rPr>
        <w:t>件</w:t>
      </w:r>
      <w:bookmarkEnd w:id="4"/>
      <w:bookmarkEnd w:id="5"/>
    </w:p>
    <w:p w14:paraId="7A5234F5">
      <w:pPr>
        <w:adjustRightInd w:val="0"/>
        <w:snapToGrid w:val="0"/>
        <w:spacing w:line="360" w:lineRule="auto"/>
        <w:ind w:firstLine="480" w:firstLineChars="200"/>
        <w:rPr>
          <w:rFonts w:asciiTheme="minorEastAsia" w:hAnsiTheme="minorEastAsia" w:eastAsiaTheme="minorEastAsia"/>
          <w:sz w:val="24"/>
          <w:lang w:bidi="ar"/>
        </w:rPr>
      </w:pPr>
      <w:r>
        <w:rPr>
          <w:rFonts w:asciiTheme="minorEastAsia" w:hAnsiTheme="minorEastAsia" w:eastAsiaTheme="minorEastAsia"/>
          <w:sz w:val="24"/>
          <w:highlight w:val="none"/>
          <w:lang w:bidi="ar"/>
        </w:rPr>
        <w:t>1.时间：</w:t>
      </w:r>
      <w:r>
        <w:rPr>
          <w:rFonts w:hint="eastAsia" w:asciiTheme="minorEastAsia" w:hAnsiTheme="minorEastAsia" w:eastAsiaTheme="minorEastAsia"/>
          <w:sz w:val="24"/>
          <w:highlight w:val="none"/>
          <w:u w:val="single"/>
          <w:lang w:bidi="ar"/>
        </w:rPr>
        <w:t>2026</w:t>
      </w:r>
      <w:r>
        <w:rPr>
          <w:rFonts w:asciiTheme="minorEastAsia" w:hAnsiTheme="minorEastAsia" w:eastAsiaTheme="minorEastAsia"/>
          <w:sz w:val="24"/>
          <w:highlight w:val="none"/>
          <w:lang w:bidi="ar"/>
        </w:rPr>
        <w:t>年</w:t>
      </w:r>
      <w:r>
        <w:rPr>
          <w:rFonts w:hint="eastAsia" w:asciiTheme="minorEastAsia" w:hAnsiTheme="minorEastAsia"/>
          <w:sz w:val="24"/>
          <w:highlight w:val="none"/>
          <w:u w:val="single"/>
          <w:lang w:val="en-US" w:eastAsia="zh-CN" w:bidi="ar"/>
        </w:rPr>
        <w:t>07</w:t>
      </w:r>
      <w:r>
        <w:rPr>
          <w:rFonts w:asciiTheme="minorEastAsia" w:hAnsiTheme="minorEastAsia" w:eastAsiaTheme="minorEastAsia"/>
          <w:sz w:val="24"/>
          <w:highlight w:val="none"/>
          <w:lang w:bidi="ar"/>
        </w:rPr>
        <w:t>月</w:t>
      </w:r>
      <w:r>
        <w:rPr>
          <w:rFonts w:hint="eastAsia" w:asciiTheme="minorEastAsia" w:hAnsiTheme="minorEastAsia"/>
          <w:sz w:val="24"/>
          <w:highlight w:val="none"/>
          <w:u w:val="single"/>
          <w:lang w:val="en-US" w:eastAsia="zh-CN" w:bidi="ar"/>
        </w:rPr>
        <w:t>14</w:t>
      </w:r>
      <w:r>
        <w:rPr>
          <w:rFonts w:asciiTheme="minorEastAsia" w:hAnsiTheme="minorEastAsia" w:eastAsiaTheme="minorEastAsia"/>
          <w:sz w:val="24"/>
          <w:highlight w:val="none"/>
          <w:lang w:bidi="ar"/>
        </w:rPr>
        <w:t>日至</w:t>
      </w:r>
      <w:r>
        <w:rPr>
          <w:rFonts w:hint="eastAsia" w:asciiTheme="minorEastAsia" w:hAnsiTheme="minorEastAsia" w:eastAsiaTheme="minorEastAsia"/>
          <w:sz w:val="24"/>
          <w:highlight w:val="none"/>
          <w:u w:val="single"/>
          <w:lang w:bidi="ar"/>
        </w:rPr>
        <w:t>2026</w:t>
      </w:r>
      <w:r>
        <w:rPr>
          <w:rFonts w:asciiTheme="minorEastAsia" w:hAnsiTheme="minorEastAsia" w:eastAsiaTheme="minorEastAsia"/>
          <w:sz w:val="24"/>
          <w:highlight w:val="none"/>
          <w:lang w:bidi="ar"/>
        </w:rPr>
        <w:t>年</w:t>
      </w:r>
      <w:r>
        <w:rPr>
          <w:rFonts w:hint="eastAsia" w:asciiTheme="minorEastAsia" w:hAnsiTheme="minorEastAsia"/>
          <w:sz w:val="24"/>
          <w:highlight w:val="none"/>
          <w:u w:val="single"/>
          <w:lang w:val="en-US" w:eastAsia="zh-CN" w:bidi="ar"/>
        </w:rPr>
        <w:t>07</w:t>
      </w:r>
      <w:r>
        <w:rPr>
          <w:rFonts w:asciiTheme="minorEastAsia" w:hAnsiTheme="minorEastAsia" w:eastAsiaTheme="minorEastAsia"/>
          <w:sz w:val="24"/>
          <w:highlight w:val="none"/>
          <w:lang w:bidi="ar"/>
        </w:rPr>
        <w:t>月</w:t>
      </w:r>
      <w:r>
        <w:rPr>
          <w:rFonts w:hint="eastAsia" w:asciiTheme="minorEastAsia" w:hAnsiTheme="minorEastAsia"/>
          <w:sz w:val="24"/>
          <w:highlight w:val="none"/>
          <w:u w:val="single"/>
          <w:lang w:val="en-US" w:eastAsia="zh-CN" w:bidi="ar"/>
        </w:rPr>
        <w:t>20</w:t>
      </w:r>
      <w:r>
        <w:rPr>
          <w:rFonts w:asciiTheme="minorEastAsia" w:hAnsiTheme="minorEastAsia" w:eastAsiaTheme="minorEastAsia"/>
          <w:sz w:val="24"/>
          <w:highlight w:val="none"/>
          <w:lang w:bidi="ar"/>
        </w:rPr>
        <w:t>日，每</w:t>
      </w:r>
      <w:r>
        <w:rPr>
          <w:rFonts w:asciiTheme="minorEastAsia" w:hAnsiTheme="minorEastAsia" w:eastAsiaTheme="minorEastAsia"/>
          <w:sz w:val="24"/>
          <w:lang w:bidi="ar"/>
        </w:rPr>
        <w:t>天上午</w:t>
      </w:r>
      <w:r>
        <w:rPr>
          <w:rFonts w:hint="eastAsia" w:asciiTheme="minorEastAsia" w:hAnsiTheme="minorEastAsia" w:eastAsiaTheme="minorEastAsia"/>
          <w:sz w:val="24"/>
          <w:u w:val="single"/>
          <w:lang w:bidi="ar"/>
        </w:rPr>
        <w:t>09</w:t>
      </w:r>
      <w:r>
        <w:rPr>
          <w:rFonts w:hint="eastAsia" w:asciiTheme="minorEastAsia" w:hAnsiTheme="minorEastAsia"/>
          <w:sz w:val="24"/>
          <w:u w:val="single"/>
          <w:lang w:eastAsia="zh-CN" w:bidi="ar"/>
        </w:rPr>
        <w:t>：</w:t>
      </w:r>
      <w:r>
        <w:rPr>
          <w:rFonts w:hint="eastAsia" w:asciiTheme="minorEastAsia" w:hAnsiTheme="minorEastAsia" w:eastAsiaTheme="minorEastAsia"/>
          <w:sz w:val="24"/>
          <w:u w:val="single"/>
          <w:lang w:bidi="ar"/>
        </w:rPr>
        <w:t>00</w:t>
      </w:r>
      <w:r>
        <w:rPr>
          <w:rFonts w:asciiTheme="minorEastAsia" w:hAnsiTheme="minorEastAsia" w:eastAsiaTheme="minorEastAsia"/>
          <w:sz w:val="24"/>
          <w:lang w:bidi="ar"/>
        </w:rPr>
        <w:t>，下午</w:t>
      </w:r>
      <w:r>
        <w:rPr>
          <w:rFonts w:hint="eastAsia" w:asciiTheme="minorEastAsia" w:hAnsiTheme="minorEastAsia" w:eastAsiaTheme="minorEastAsia"/>
          <w:sz w:val="24"/>
          <w:u w:val="single"/>
          <w:lang w:bidi="ar"/>
        </w:rPr>
        <w:t>17</w:t>
      </w:r>
      <w:r>
        <w:rPr>
          <w:rFonts w:hint="eastAsia" w:asciiTheme="minorEastAsia" w:hAnsiTheme="minorEastAsia"/>
          <w:sz w:val="24"/>
          <w:u w:val="single"/>
          <w:lang w:eastAsia="zh-CN" w:bidi="ar"/>
        </w:rPr>
        <w:t>：</w:t>
      </w:r>
      <w:r>
        <w:rPr>
          <w:rFonts w:hint="eastAsia" w:asciiTheme="minorEastAsia" w:hAnsiTheme="minorEastAsia" w:eastAsiaTheme="minorEastAsia"/>
          <w:sz w:val="24"/>
          <w:u w:val="single"/>
          <w:lang w:bidi="ar"/>
        </w:rPr>
        <w:t>00</w:t>
      </w:r>
      <w:r>
        <w:rPr>
          <w:rFonts w:asciiTheme="minorEastAsia" w:hAnsiTheme="minorEastAsia" w:eastAsiaTheme="minorEastAsia"/>
          <w:sz w:val="24"/>
          <w:lang w:bidi="ar"/>
        </w:rPr>
        <w:t>（北京时间，法定节假日除外）。</w:t>
      </w:r>
    </w:p>
    <w:p w14:paraId="64157227">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lang w:bidi="ar"/>
        </w:rPr>
        <w:t>2.地点：北京市政府采购电子交易平台</w:t>
      </w:r>
    </w:p>
    <w:p w14:paraId="6AA34A0B">
      <w:pPr>
        <w:widowControl/>
        <w:adjustRightInd w:val="0"/>
        <w:snapToGrid w:val="0"/>
        <w:spacing w:line="360" w:lineRule="auto"/>
        <w:ind w:firstLine="480" w:firstLineChars="200"/>
        <w:jc w:val="left"/>
        <w:rPr>
          <w:rFonts w:asciiTheme="minorEastAsia" w:hAnsiTheme="minorEastAsia" w:eastAsiaTheme="minorEastAsia"/>
          <w:sz w:val="24"/>
          <w:lang w:bidi="ar"/>
        </w:rPr>
      </w:pPr>
      <w:r>
        <w:rPr>
          <w:rFonts w:asciiTheme="minorEastAsia" w:hAnsiTheme="minorEastAsia" w:eastAsiaTheme="minorEastAsia"/>
          <w:sz w:val="24"/>
          <w:lang w:bidi="ar"/>
        </w:rPr>
        <w:t>3.方式：供应商使用CA数字证书或电子营业执照登录北京市政府采购电子交易平台（http://zbcg-bjzc.zhongcy.com/bjczj-portal-site/index.html#/home）获取电子版招标文件。</w:t>
      </w:r>
    </w:p>
    <w:p w14:paraId="418FE092">
      <w:pPr>
        <w:widowControl/>
        <w:adjustRightInd w:val="0"/>
        <w:snapToGrid w:val="0"/>
        <w:spacing w:line="360" w:lineRule="auto"/>
        <w:ind w:firstLine="480" w:firstLineChars="200"/>
        <w:jc w:val="left"/>
        <w:rPr>
          <w:rFonts w:asciiTheme="minorEastAsia" w:hAnsiTheme="minorEastAsia" w:eastAsiaTheme="minorEastAsia"/>
          <w:sz w:val="24"/>
        </w:rPr>
      </w:pPr>
      <w:r>
        <w:rPr>
          <w:rFonts w:asciiTheme="minorEastAsia" w:hAnsiTheme="minorEastAsia" w:eastAsiaTheme="minorEastAsia"/>
          <w:sz w:val="24"/>
          <w:lang w:bidi="ar"/>
        </w:rPr>
        <w:t>4.售价：0元。</w:t>
      </w:r>
    </w:p>
    <w:p w14:paraId="707987A9">
      <w:pPr>
        <w:pStyle w:val="4"/>
        <w:widowControl/>
        <w:spacing w:before="0" w:line="360" w:lineRule="auto"/>
        <w:jc w:val="left"/>
        <w:rPr>
          <w:rFonts w:asciiTheme="minorEastAsia" w:hAnsiTheme="minorEastAsia" w:eastAsiaTheme="minorEastAsia"/>
          <w:sz w:val="24"/>
          <w:szCs w:val="24"/>
        </w:rPr>
      </w:pPr>
      <w:bookmarkStart w:id="6" w:name="_Toc28359005"/>
      <w:bookmarkStart w:id="7" w:name="_Toc28359082"/>
      <w:bookmarkStart w:id="8" w:name="_Toc35393793"/>
      <w:bookmarkStart w:id="9" w:name="_Toc35393624"/>
      <w:r>
        <w:rPr>
          <w:rFonts w:asciiTheme="minorEastAsia" w:hAnsiTheme="minorEastAsia" w:eastAsiaTheme="minorEastAsia"/>
          <w:sz w:val="24"/>
          <w:szCs w:val="24"/>
        </w:rPr>
        <w:t>四、提交投标文件</w:t>
      </w:r>
      <w:bookmarkEnd w:id="6"/>
      <w:bookmarkEnd w:id="7"/>
      <w:r>
        <w:rPr>
          <w:rFonts w:asciiTheme="minorEastAsia" w:hAnsiTheme="minorEastAsia" w:eastAsiaTheme="minorEastAsia"/>
          <w:sz w:val="24"/>
          <w:szCs w:val="24"/>
        </w:rPr>
        <w:t>截止时间、开标时间和地点</w:t>
      </w:r>
      <w:bookmarkEnd w:id="8"/>
      <w:bookmarkEnd w:id="9"/>
    </w:p>
    <w:p w14:paraId="5E075538">
      <w:pPr>
        <w:spacing w:line="360" w:lineRule="auto"/>
        <w:ind w:firstLine="480" w:firstLineChars="200"/>
        <w:rPr>
          <w:rFonts w:asciiTheme="minorEastAsia" w:hAnsiTheme="minorEastAsia" w:eastAsiaTheme="minorEastAsia"/>
          <w:bCs/>
          <w:sz w:val="24"/>
          <w:u w:val="single"/>
        </w:rPr>
      </w:pPr>
      <w:r>
        <w:rPr>
          <w:rFonts w:asciiTheme="minorEastAsia" w:hAnsiTheme="minorEastAsia" w:eastAsiaTheme="minorEastAsia"/>
          <w:sz w:val="24"/>
          <w:lang w:bidi="ar"/>
        </w:rPr>
        <w:t>投标截止时间、开标时间</w:t>
      </w:r>
      <w:r>
        <w:rPr>
          <w:rFonts w:asciiTheme="minorEastAsia" w:hAnsiTheme="minorEastAsia" w:eastAsiaTheme="minorEastAsia"/>
          <w:sz w:val="24"/>
          <w:highlight w:val="none"/>
          <w:lang w:bidi="ar"/>
        </w:rPr>
        <w:t>：</w:t>
      </w:r>
      <w:r>
        <w:rPr>
          <w:rFonts w:hint="eastAsia" w:asciiTheme="minorEastAsia" w:hAnsiTheme="minorEastAsia" w:eastAsiaTheme="minorEastAsia"/>
          <w:color w:val="auto"/>
          <w:sz w:val="24"/>
          <w:highlight w:val="none"/>
          <w:u w:val="single"/>
          <w:lang w:bidi="ar"/>
        </w:rPr>
        <w:t>2026</w:t>
      </w:r>
      <w:r>
        <w:rPr>
          <w:rFonts w:asciiTheme="minorEastAsia" w:hAnsiTheme="minorEastAsia" w:eastAsiaTheme="minorEastAsia"/>
          <w:color w:val="auto"/>
          <w:sz w:val="24"/>
          <w:highlight w:val="none"/>
          <w:lang w:bidi="ar"/>
        </w:rPr>
        <w:t>年</w:t>
      </w:r>
      <w:r>
        <w:rPr>
          <w:rFonts w:hint="eastAsia" w:asciiTheme="minorEastAsia" w:hAnsiTheme="minorEastAsia"/>
          <w:color w:val="auto"/>
          <w:sz w:val="24"/>
          <w:highlight w:val="none"/>
          <w:u w:val="single"/>
          <w:lang w:val="en-US" w:eastAsia="zh-CN" w:bidi="ar"/>
        </w:rPr>
        <w:t>08</w:t>
      </w:r>
      <w:r>
        <w:rPr>
          <w:rFonts w:hint="eastAsia" w:asciiTheme="minorEastAsia" w:hAnsiTheme="minorEastAsia" w:eastAsiaTheme="minorEastAsia"/>
          <w:color w:val="auto"/>
          <w:sz w:val="24"/>
          <w:highlight w:val="none"/>
          <w:lang w:bidi="ar"/>
        </w:rPr>
        <w:t>月</w:t>
      </w:r>
      <w:r>
        <w:rPr>
          <w:rFonts w:hint="eastAsia" w:asciiTheme="minorEastAsia" w:hAnsiTheme="minorEastAsia"/>
          <w:color w:val="auto"/>
          <w:sz w:val="24"/>
          <w:highlight w:val="none"/>
          <w:u w:val="single"/>
          <w:lang w:val="en-US" w:eastAsia="zh-CN" w:bidi="ar"/>
        </w:rPr>
        <w:t>04</w:t>
      </w:r>
      <w:r>
        <w:rPr>
          <w:rFonts w:asciiTheme="minorEastAsia" w:hAnsiTheme="minorEastAsia" w:eastAsiaTheme="minorEastAsia"/>
          <w:color w:val="auto"/>
          <w:sz w:val="24"/>
          <w:highlight w:val="none"/>
          <w:lang w:bidi="ar"/>
        </w:rPr>
        <w:t>日</w:t>
      </w:r>
      <w:r>
        <w:rPr>
          <w:rFonts w:hint="eastAsia" w:asciiTheme="minorEastAsia" w:hAnsiTheme="minorEastAsia" w:eastAsiaTheme="minorEastAsia"/>
          <w:color w:val="auto"/>
          <w:sz w:val="24"/>
          <w:highlight w:val="none"/>
          <w:u w:val="single"/>
          <w:lang w:bidi="ar"/>
        </w:rPr>
        <w:t>09</w:t>
      </w:r>
      <w:r>
        <w:rPr>
          <w:rFonts w:asciiTheme="minorEastAsia" w:hAnsiTheme="minorEastAsia" w:eastAsiaTheme="minorEastAsia"/>
          <w:color w:val="auto"/>
          <w:sz w:val="24"/>
          <w:highlight w:val="none"/>
          <w:lang w:bidi="ar"/>
        </w:rPr>
        <w:t>点</w:t>
      </w:r>
      <w:r>
        <w:rPr>
          <w:rFonts w:hint="eastAsia" w:asciiTheme="minorEastAsia" w:hAnsiTheme="minorEastAsia" w:eastAsiaTheme="minorEastAsia"/>
          <w:color w:val="auto"/>
          <w:sz w:val="24"/>
          <w:highlight w:val="none"/>
          <w:u w:val="single"/>
          <w:lang w:bidi="ar"/>
        </w:rPr>
        <w:t>30</w:t>
      </w:r>
      <w:r>
        <w:rPr>
          <w:rFonts w:asciiTheme="minorEastAsia" w:hAnsiTheme="minorEastAsia" w:eastAsiaTheme="minorEastAsia"/>
          <w:color w:val="auto"/>
          <w:sz w:val="24"/>
          <w:highlight w:val="none"/>
          <w:lang w:bidi="ar"/>
        </w:rPr>
        <w:t>分</w:t>
      </w:r>
      <w:r>
        <w:rPr>
          <w:rFonts w:asciiTheme="minorEastAsia" w:hAnsiTheme="minorEastAsia" w:eastAsiaTheme="minorEastAsia"/>
          <w:bCs/>
          <w:sz w:val="24"/>
          <w:highlight w:val="none"/>
          <w:lang w:bidi="ar"/>
        </w:rPr>
        <w:t>（北</w:t>
      </w:r>
      <w:r>
        <w:rPr>
          <w:rFonts w:asciiTheme="minorEastAsia" w:hAnsiTheme="minorEastAsia" w:eastAsiaTheme="minorEastAsia"/>
          <w:bCs/>
          <w:sz w:val="24"/>
          <w:lang w:bidi="ar"/>
        </w:rPr>
        <w:t>京时间）</w:t>
      </w:r>
      <w:r>
        <w:rPr>
          <w:rFonts w:asciiTheme="minorEastAsia" w:hAnsiTheme="minorEastAsia" w:eastAsiaTheme="minorEastAsia"/>
          <w:iCs/>
          <w:sz w:val="24"/>
          <w:lang w:bidi="ar"/>
        </w:rPr>
        <w:t>。</w:t>
      </w:r>
    </w:p>
    <w:p w14:paraId="3B311FB3">
      <w:pPr>
        <w:spacing w:line="360" w:lineRule="auto"/>
        <w:ind w:firstLine="480" w:firstLineChars="200"/>
        <w:rPr>
          <w:rFonts w:asciiTheme="minorEastAsia" w:hAnsiTheme="minorEastAsia" w:eastAsiaTheme="minorEastAsia"/>
          <w:sz w:val="24"/>
          <w:lang w:val="zh-TW" w:bidi="ar"/>
        </w:rPr>
      </w:pPr>
      <w:r>
        <w:rPr>
          <w:rFonts w:asciiTheme="minorEastAsia" w:hAnsiTheme="minorEastAsia" w:eastAsiaTheme="minorEastAsia"/>
          <w:sz w:val="24"/>
          <w:lang w:bidi="ar"/>
        </w:rPr>
        <w:t>地点：北京市政府采购电子交易平台</w:t>
      </w:r>
      <w:r>
        <w:rPr>
          <w:rFonts w:asciiTheme="minorEastAsia" w:hAnsiTheme="minorEastAsia" w:eastAsiaTheme="minorEastAsia"/>
          <w:sz w:val="24"/>
          <w:lang w:val="zh-TW" w:bidi="ar"/>
        </w:rPr>
        <w:t>。</w:t>
      </w:r>
    </w:p>
    <w:p w14:paraId="3EF8B6CB">
      <w:pPr>
        <w:spacing w:line="360" w:lineRule="auto"/>
        <w:ind w:firstLine="480" w:firstLineChars="200"/>
        <w:rPr>
          <w:rFonts w:asciiTheme="minorEastAsia" w:hAnsiTheme="minorEastAsia" w:eastAsiaTheme="minorEastAsia"/>
          <w:bCs/>
          <w:sz w:val="24"/>
          <w:u w:val="single"/>
        </w:rPr>
      </w:pPr>
    </w:p>
    <w:p w14:paraId="46DDE740">
      <w:pPr>
        <w:pStyle w:val="4"/>
        <w:spacing w:before="0" w:line="360" w:lineRule="auto"/>
        <w:jc w:val="left"/>
        <w:rPr>
          <w:rFonts w:asciiTheme="minorEastAsia" w:hAnsiTheme="minorEastAsia" w:eastAsiaTheme="minorEastAsia"/>
          <w:sz w:val="24"/>
          <w:szCs w:val="24"/>
        </w:rPr>
      </w:pPr>
      <w:bookmarkStart w:id="10" w:name="_Toc28359084"/>
      <w:bookmarkStart w:id="11" w:name="_Toc35393625"/>
      <w:bookmarkStart w:id="12" w:name="_Toc35393794"/>
      <w:bookmarkStart w:id="13" w:name="_Toc28359007"/>
      <w:r>
        <w:rPr>
          <w:rFonts w:asciiTheme="minorEastAsia" w:hAnsiTheme="minorEastAsia" w:eastAsiaTheme="minorEastAsia"/>
          <w:sz w:val="24"/>
          <w:szCs w:val="24"/>
        </w:rPr>
        <w:t>五、公告期限</w:t>
      </w:r>
      <w:bookmarkEnd w:id="10"/>
      <w:bookmarkEnd w:id="11"/>
      <w:bookmarkEnd w:id="12"/>
      <w:bookmarkEnd w:id="13"/>
    </w:p>
    <w:p w14:paraId="710F1A28">
      <w:pPr>
        <w:spacing w:line="360" w:lineRule="auto"/>
        <w:ind w:firstLine="480" w:firstLineChars="200"/>
        <w:rPr>
          <w:rFonts w:asciiTheme="minorEastAsia" w:hAnsiTheme="minorEastAsia" w:eastAsiaTheme="minorEastAsia"/>
          <w:kern w:val="0"/>
          <w:sz w:val="24"/>
        </w:rPr>
      </w:pPr>
      <w:r>
        <w:rPr>
          <w:rFonts w:asciiTheme="minorEastAsia" w:hAnsiTheme="minorEastAsia" w:eastAsiaTheme="minorEastAsia"/>
          <w:kern w:val="0"/>
          <w:sz w:val="24"/>
        </w:rPr>
        <w:t>自本公告发布之日起5个工作日。</w:t>
      </w:r>
    </w:p>
    <w:p w14:paraId="4A43F258">
      <w:pPr>
        <w:pStyle w:val="4"/>
        <w:spacing w:before="0" w:line="360" w:lineRule="auto"/>
        <w:jc w:val="left"/>
        <w:rPr>
          <w:rFonts w:asciiTheme="minorEastAsia" w:hAnsiTheme="minorEastAsia" w:eastAsiaTheme="minorEastAsia"/>
          <w:sz w:val="24"/>
          <w:szCs w:val="24"/>
        </w:rPr>
      </w:pPr>
      <w:bookmarkStart w:id="14" w:name="_Toc35393795"/>
      <w:bookmarkStart w:id="15" w:name="_Toc35393626"/>
      <w:r>
        <w:rPr>
          <w:rFonts w:asciiTheme="minorEastAsia" w:hAnsiTheme="minorEastAsia" w:eastAsiaTheme="minorEastAsia"/>
          <w:sz w:val="24"/>
          <w:szCs w:val="24"/>
        </w:rPr>
        <w:t>六、其他补充事宜</w:t>
      </w:r>
      <w:bookmarkEnd w:id="14"/>
      <w:bookmarkEnd w:id="15"/>
    </w:p>
    <w:p w14:paraId="09E74FA4">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1.本项目需要落实的政府采购政策：</w:t>
      </w:r>
      <w:r>
        <w:rPr>
          <w:rFonts w:hint="eastAsia" w:asciiTheme="minorEastAsia" w:hAnsiTheme="minorEastAsia" w:eastAsiaTheme="minorEastAsia"/>
          <w:spacing w:val="-4"/>
          <w:sz w:val="24"/>
        </w:rPr>
        <w:t>①政府采购促进中小企业发展；②政府采购项目支持监狱企业发展；③政府采购信用担保；④政府采购促进残疾人就业等</w:t>
      </w:r>
      <w:r>
        <w:rPr>
          <w:rFonts w:asciiTheme="minorEastAsia" w:hAnsiTheme="minorEastAsia" w:eastAsiaTheme="minorEastAsia"/>
          <w:sz w:val="24"/>
          <w:lang w:bidi="ar"/>
        </w:rPr>
        <w:t>。</w:t>
      </w:r>
      <w:r>
        <w:rPr>
          <w:rFonts w:asciiTheme="minorEastAsia" w:hAnsiTheme="minorEastAsia" w:eastAsiaTheme="minorEastAsia"/>
          <w:sz w:val="24"/>
        </w:rPr>
        <w:t xml:space="preserve"> </w:t>
      </w:r>
    </w:p>
    <w:p w14:paraId="57642140">
      <w:pPr>
        <w:widowControl/>
        <w:adjustRightInd w:val="0"/>
        <w:snapToGrid w:val="0"/>
        <w:spacing w:line="360" w:lineRule="auto"/>
        <w:ind w:firstLine="480" w:firstLineChars="200"/>
        <w:jc w:val="left"/>
        <w:rPr>
          <w:rFonts w:asciiTheme="minorEastAsia" w:hAnsiTheme="minorEastAsia" w:eastAsiaTheme="minorEastAsia"/>
          <w:bCs/>
          <w:sz w:val="24"/>
          <w:lang w:bidi="ar"/>
        </w:rPr>
      </w:pPr>
      <w:r>
        <w:rPr>
          <w:rFonts w:hint="eastAsia" w:asciiTheme="minorEastAsia" w:hAnsiTheme="minorEastAsia" w:eastAsiaTheme="minorEastAsia"/>
          <w:sz w:val="24"/>
          <w:lang w:bidi="ar"/>
        </w:rPr>
        <w:t>2</w:t>
      </w:r>
      <w:r>
        <w:rPr>
          <w:rFonts w:asciiTheme="minorEastAsia" w:hAnsiTheme="minorEastAsia" w:eastAsiaTheme="minorEastAsia"/>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asciiTheme="minorEastAsia" w:hAnsiTheme="minorEastAsia" w:eastAsiaTheme="minorEastAsia"/>
          <w:bCs/>
          <w:sz w:val="24"/>
          <w:lang w:bidi="ar"/>
        </w:rPr>
        <w:t>CA数字证书</w:t>
      </w:r>
      <w:r>
        <w:rPr>
          <w:rFonts w:asciiTheme="minorEastAsia" w:hAnsiTheme="minorEastAsia" w:eastAsiaTheme="minorEastAsia"/>
          <w:sz w:val="24"/>
          <w:lang w:bidi="ar"/>
        </w:rPr>
        <w:t>或电子营业执照</w:t>
      </w:r>
      <w:r>
        <w:rPr>
          <w:rFonts w:asciiTheme="minorEastAsia" w:hAnsiTheme="minorEastAsia" w:eastAsiaTheme="minorEastAsia"/>
          <w:bCs/>
          <w:sz w:val="24"/>
          <w:lang w:bidi="ar"/>
        </w:rPr>
        <w:t>情况确认是否符合本项目电子化采购流程要求。</w:t>
      </w:r>
    </w:p>
    <w:p w14:paraId="5DBFB277">
      <w:pPr>
        <w:adjustRightInd w:val="0"/>
        <w:snapToGrid w:val="0"/>
        <w:spacing w:line="360" w:lineRule="auto"/>
        <w:ind w:firstLine="480" w:firstLineChars="200"/>
        <w:rPr>
          <w:rFonts w:asciiTheme="minorEastAsia" w:hAnsiTheme="minorEastAsia" w:eastAsiaTheme="minorEastAsia"/>
          <w:sz w:val="24"/>
          <w:lang w:bidi="ar"/>
        </w:rPr>
      </w:pPr>
      <w:r>
        <w:rPr>
          <w:rFonts w:asciiTheme="minorEastAsia" w:hAnsiTheme="minorEastAsia" w:eastAsiaTheme="minorEastAsia"/>
          <w:sz w:val="24"/>
          <w:lang w:bidi="ar"/>
        </w:rPr>
        <w:t>CA数字证书服务热线 010-58511086</w:t>
      </w:r>
    </w:p>
    <w:p w14:paraId="157808EB">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lang w:bidi="ar"/>
        </w:rPr>
        <w:t>电子营业执照服务热线 400-699-7000</w:t>
      </w:r>
    </w:p>
    <w:p w14:paraId="5869D407">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lang w:bidi="ar"/>
        </w:rPr>
        <w:t>技术支持服务热线    010-86483801</w:t>
      </w:r>
    </w:p>
    <w:p w14:paraId="1FEBF126">
      <w:pPr>
        <w:widowControl/>
        <w:adjustRightInd w:val="0"/>
        <w:snapToGrid w:val="0"/>
        <w:spacing w:line="360" w:lineRule="auto"/>
        <w:ind w:firstLine="480" w:firstLineChars="200"/>
        <w:jc w:val="left"/>
        <w:rPr>
          <w:rFonts w:asciiTheme="minorEastAsia" w:hAnsiTheme="minorEastAsia" w:eastAsiaTheme="minorEastAsia"/>
          <w:sz w:val="24"/>
          <w:lang w:bidi="ar"/>
        </w:rPr>
      </w:pPr>
      <w:r>
        <w:rPr>
          <w:rFonts w:hint="eastAsia" w:asciiTheme="minorEastAsia" w:hAnsiTheme="minorEastAsia" w:eastAsiaTheme="minorEastAsia"/>
          <w:sz w:val="24"/>
          <w:lang w:bidi="ar"/>
        </w:rPr>
        <w:t>2</w:t>
      </w:r>
      <w:r>
        <w:rPr>
          <w:rFonts w:asciiTheme="minorEastAsia" w:hAnsiTheme="minorEastAsia" w:eastAsiaTheme="minorEastAsia"/>
          <w:sz w:val="24"/>
          <w:lang w:bidi="ar"/>
        </w:rPr>
        <w:t>.1办理CA数字证书或电子营业执照</w:t>
      </w:r>
    </w:p>
    <w:p w14:paraId="7F81AEE4">
      <w:pPr>
        <w:widowControl/>
        <w:adjustRightInd w:val="0"/>
        <w:snapToGrid w:val="0"/>
        <w:spacing w:line="360" w:lineRule="auto"/>
        <w:ind w:firstLine="480" w:firstLineChars="200"/>
        <w:jc w:val="left"/>
        <w:rPr>
          <w:rFonts w:asciiTheme="minorEastAsia" w:hAnsiTheme="minorEastAsia" w:eastAsiaTheme="minorEastAsia"/>
          <w:sz w:val="24"/>
        </w:rPr>
      </w:pPr>
      <w:r>
        <w:rPr>
          <w:rFonts w:asciiTheme="minorEastAsia" w:hAnsiTheme="minorEastAsia" w:eastAsiaTheme="minorEastAsia"/>
          <w:sz w:val="24"/>
          <w:lang w:bidi="ar"/>
        </w:rPr>
        <w:t>供应商登录北京市政府采购电子交易平台查阅 “用户指南”—“操作指南”—“市场主体CA办理操作流程指引”/“电子营业执照使用指南”，按照程序要求办理。</w:t>
      </w:r>
    </w:p>
    <w:p w14:paraId="769EE8B3">
      <w:pPr>
        <w:adjustRightInd w:val="0"/>
        <w:snapToGrid w:val="0"/>
        <w:spacing w:line="360" w:lineRule="auto"/>
        <w:ind w:firstLine="480" w:firstLineChars="200"/>
        <w:rPr>
          <w:rFonts w:asciiTheme="minorEastAsia" w:hAnsiTheme="minorEastAsia" w:eastAsiaTheme="minorEastAsia"/>
          <w:sz w:val="24"/>
          <w:lang w:bidi="ar"/>
        </w:rPr>
      </w:pPr>
      <w:r>
        <w:rPr>
          <w:rFonts w:hint="eastAsia" w:asciiTheme="minorEastAsia" w:hAnsiTheme="minorEastAsia" w:eastAsiaTheme="minorEastAsia"/>
          <w:sz w:val="24"/>
          <w:lang w:bidi="ar"/>
        </w:rPr>
        <w:t>2</w:t>
      </w:r>
      <w:r>
        <w:rPr>
          <w:rFonts w:asciiTheme="minorEastAsia" w:hAnsiTheme="minorEastAsia" w:eastAsiaTheme="minorEastAsia"/>
          <w:sz w:val="24"/>
          <w:lang w:bidi="ar"/>
        </w:rPr>
        <w:t>.2注册</w:t>
      </w:r>
    </w:p>
    <w:p w14:paraId="2A094348">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lang w:bidi="ar"/>
        </w:rPr>
        <w:t>供应商登录北京市政府采购电子交易平台“用户指南”—“操作指南”—“市场主体注册入库操作流程指引”进行自助注册绑定。</w:t>
      </w:r>
    </w:p>
    <w:p w14:paraId="612A2DAA">
      <w:pPr>
        <w:widowControl/>
        <w:adjustRightInd w:val="0"/>
        <w:snapToGrid w:val="0"/>
        <w:spacing w:line="360" w:lineRule="auto"/>
        <w:ind w:firstLine="480" w:firstLineChars="200"/>
        <w:jc w:val="left"/>
        <w:rPr>
          <w:rFonts w:asciiTheme="minorEastAsia" w:hAnsiTheme="minorEastAsia" w:eastAsiaTheme="minorEastAsia"/>
          <w:sz w:val="24"/>
          <w:lang w:bidi="ar"/>
        </w:rPr>
      </w:pPr>
      <w:r>
        <w:rPr>
          <w:rFonts w:hint="eastAsia" w:asciiTheme="minorEastAsia" w:hAnsiTheme="minorEastAsia" w:eastAsiaTheme="minorEastAsia"/>
          <w:sz w:val="24"/>
          <w:lang w:bidi="ar"/>
        </w:rPr>
        <w:t>2</w:t>
      </w:r>
      <w:r>
        <w:rPr>
          <w:rFonts w:asciiTheme="minorEastAsia" w:hAnsiTheme="minorEastAsia" w:eastAsiaTheme="minorEastAsia"/>
          <w:sz w:val="24"/>
          <w:lang w:bidi="ar"/>
        </w:rPr>
        <w:t>.3驱动、客户端下载</w:t>
      </w:r>
    </w:p>
    <w:p w14:paraId="13A706E3">
      <w:pPr>
        <w:widowControl/>
        <w:adjustRightInd w:val="0"/>
        <w:snapToGrid w:val="0"/>
        <w:spacing w:line="360" w:lineRule="auto"/>
        <w:ind w:firstLine="480" w:firstLineChars="200"/>
        <w:jc w:val="left"/>
        <w:rPr>
          <w:rFonts w:asciiTheme="minorEastAsia" w:hAnsiTheme="minorEastAsia" w:eastAsiaTheme="minorEastAsia"/>
          <w:sz w:val="24"/>
        </w:rPr>
      </w:pPr>
      <w:r>
        <w:rPr>
          <w:rFonts w:asciiTheme="minorEastAsia" w:hAnsiTheme="minorEastAsia" w:eastAsiaTheme="minorEastAsia"/>
          <w:sz w:val="24"/>
          <w:lang w:bidi="ar"/>
        </w:rPr>
        <w:t>供应商登录北京市政府采购电子交易平台“用户指南”—“工具下载”—“招标采购系统文件驱动安装包”下载相关驱动。</w:t>
      </w:r>
    </w:p>
    <w:p w14:paraId="50DD0657">
      <w:pPr>
        <w:adjustRightInd w:val="0"/>
        <w:snapToGrid w:val="0"/>
        <w:spacing w:line="360" w:lineRule="auto"/>
        <w:ind w:firstLine="480" w:firstLineChars="200"/>
        <w:rPr>
          <w:rFonts w:asciiTheme="minorEastAsia" w:hAnsiTheme="minorEastAsia" w:eastAsiaTheme="minorEastAsia"/>
          <w:sz w:val="24"/>
          <w:lang w:bidi="ar"/>
        </w:rPr>
      </w:pPr>
      <w:r>
        <w:rPr>
          <w:rFonts w:asciiTheme="minorEastAsia" w:hAnsiTheme="minorEastAsia" w:eastAsiaTheme="minorEastAsia"/>
          <w:sz w:val="24"/>
          <w:lang w:bidi="ar"/>
        </w:rPr>
        <w:t>供应商登录北京市政府采购电子交易平台“用户指南”—“工具下载”—“投标文件编制工具”下载相关客户端。</w:t>
      </w:r>
    </w:p>
    <w:p w14:paraId="1BFE335C">
      <w:pPr>
        <w:adjustRightInd w:val="0"/>
        <w:snapToGrid w:val="0"/>
        <w:spacing w:line="360" w:lineRule="auto"/>
        <w:ind w:firstLine="480" w:firstLineChars="200"/>
        <w:rPr>
          <w:rFonts w:asciiTheme="minorEastAsia" w:hAnsiTheme="minorEastAsia" w:eastAsiaTheme="minorEastAsia"/>
          <w:sz w:val="24"/>
          <w:lang w:bidi="ar"/>
        </w:rPr>
      </w:pPr>
      <w:r>
        <w:rPr>
          <w:rFonts w:hint="eastAsia" w:asciiTheme="minorEastAsia" w:hAnsiTheme="minorEastAsia" w:eastAsiaTheme="minorEastAsia"/>
          <w:sz w:val="24"/>
          <w:lang w:bidi="ar"/>
        </w:rPr>
        <w:t>2</w:t>
      </w:r>
      <w:r>
        <w:rPr>
          <w:rFonts w:asciiTheme="minorEastAsia" w:hAnsiTheme="minorEastAsia" w:eastAsiaTheme="minorEastAsia"/>
          <w:sz w:val="24"/>
          <w:lang w:bidi="ar"/>
        </w:rPr>
        <w:t>.4 获取电子招标文件</w:t>
      </w:r>
    </w:p>
    <w:p w14:paraId="55D4A709">
      <w:pPr>
        <w:adjustRightInd w:val="0"/>
        <w:snapToGrid w:val="0"/>
        <w:spacing w:line="360" w:lineRule="auto"/>
        <w:ind w:firstLine="480" w:firstLineChars="200"/>
        <w:rPr>
          <w:rFonts w:asciiTheme="minorEastAsia" w:hAnsiTheme="minorEastAsia" w:eastAsiaTheme="minorEastAsia"/>
          <w:sz w:val="24"/>
          <w:lang w:bidi="ar"/>
        </w:rPr>
      </w:pPr>
      <w:r>
        <w:rPr>
          <w:rFonts w:asciiTheme="minorEastAsia" w:hAnsiTheme="minorEastAsia" w:eastAsiaTheme="minorEastAsia"/>
          <w:sz w:val="24"/>
          <w:lang w:bidi="ar"/>
        </w:rPr>
        <w:t>供应商使用CA数字证书或电子营业执照登录北京市政府采购电子交易平台获取电子招标文件。</w:t>
      </w:r>
    </w:p>
    <w:p w14:paraId="51822CD4">
      <w:pPr>
        <w:adjustRightInd w:val="0"/>
        <w:snapToGrid w:val="0"/>
        <w:spacing w:line="360" w:lineRule="auto"/>
        <w:ind w:firstLine="480" w:firstLineChars="200"/>
        <w:rPr>
          <w:rFonts w:asciiTheme="minorEastAsia" w:hAnsiTheme="minorEastAsia" w:eastAsiaTheme="minorEastAsia"/>
          <w:sz w:val="24"/>
          <w:lang w:bidi="ar"/>
        </w:rPr>
      </w:pPr>
      <w:r>
        <w:rPr>
          <w:rFonts w:asciiTheme="minorEastAsia" w:hAnsiTheme="minorEastAsia" w:eastAsiaTheme="minor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1C14C18">
      <w:pPr>
        <w:adjustRightInd w:val="0"/>
        <w:snapToGrid w:val="0"/>
        <w:spacing w:line="360" w:lineRule="auto"/>
        <w:ind w:firstLine="480" w:firstLineChars="200"/>
        <w:rPr>
          <w:rFonts w:asciiTheme="minorEastAsia" w:hAnsiTheme="minorEastAsia" w:eastAsiaTheme="minorEastAsia"/>
          <w:sz w:val="24"/>
          <w:lang w:bidi="ar"/>
        </w:rPr>
      </w:pPr>
      <w:r>
        <w:rPr>
          <w:rFonts w:hint="eastAsia" w:asciiTheme="minorEastAsia" w:hAnsiTheme="minorEastAsia" w:eastAsiaTheme="minorEastAsia"/>
          <w:sz w:val="24"/>
          <w:lang w:bidi="ar"/>
        </w:rPr>
        <w:t>2</w:t>
      </w:r>
      <w:r>
        <w:rPr>
          <w:rFonts w:asciiTheme="minorEastAsia" w:hAnsiTheme="minorEastAsia" w:eastAsiaTheme="minorEastAsia"/>
          <w:sz w:val="24"/>
          <w:lang w:bidi="ar"/>
        </w:rPr>
        <w:t>.5编制电子投标文件</w:t>
      </w:r>
    </w:p>
    <w:p w14:paraId="38DAA9B3">
      <w:pPr>
        <w:adjustRightInd w:val="0"/>
        <w:snapToGrid w:val="0"/>
        <w:spacing w:line="360" w:lineRule="auto"/>
        <w:ind w:firstLine="480" w:firstLineChars="200"/>
        <w:rPr>
          <w:rFonts w:asciiTheme="minorEastAsia" w:hAnsiTheme="minorEastAsia" w:eastAsiaTheme="minorEastAsia"/>
          <w:sz w:val="24"/>
          <w:lang w:bidi="ar"/>
        </w:rPr>
      </w:pPr>
      <w:r>
        <w:rPr>
          <w:rFonts w:asciiTheme="minorEastAsia" w:hAnsiTheme="minorEastAsia" w:eastAsiaTheme="minorEastAsia"/>
          <w:sz w:val="24"/>
          <w:lang w:bidi="ar"/>
        </w:rPr>
        <w:t>供应商应使用电子投标客户端编制电子投标文件并进行线上投标，供应商电子投标文件需要加密并加盖电子签章</w:t>
      </w:r>
      <w:r>
        <w:rPr>
          <w:rFonts w:asciiTheme="minorEastAsia" w:hAnsiTheme="minorEastAsia" w:eastAsiaTheme="minorEastAsia"/>
          <w:bCs/>
          <w:sz w:val="24"/>
          <w:lang w:bidi="ar"/>
        </w:rPr>
        <w:t>，如无法按照要求在电子投标文件中加盖电子签章和加密，请及时通过技术支持服务热线联系技术人员</w:t>
      </w:r>
      <w:r>
        <w:rPr>
          <w:rFonts w:asciiTheme="minorEastAsia" w:hAnsiTheme="minorEastAsia" w:eastAsiaTheme="minorEastAsia"/>
          <w:sz w:val="24"/>
          <w:lang w:bidi="ar"/>
        </w:rPr>
        <w:t>。</w:t>
      </w:r>
    </w:p>
    <w:p w14:paraId="0343055F">
      <w:pPr>
        <w:widowControl/>
        <w:spacing w:line="360" w:lineRule="auto"/>
        <w:ind w:firstLine="480" w:firstLineChars="200"/>
        <w:jc w:val="left"/>
        <w:rPr>
          <w:rFonts w:asciiTheme="minorEastAsia" w:hAnsiTheme="minorEastAsia" w:eastAsiaTheme="minorEastAsia"/>
          <w:sz w:val="24"/>
          <w:lang w:val="zh-TW" w:bidi="ar"/>
        </w:rPr>
      </w:pPr>
      <w:r>
        <w:rPr>
          <w:rFonts w:hint="eastAsia" w:asciiTheme="minorEastAsia" w:hAnsiTheme="minorEastAsia" w:eastAsiaTheme="minorEastAsia"/>
          <w:sz w:val="24"/>
          <w:lang w:val="zh-TW" w:bidi="ar"/>
        </w:rPr>
        <w:t>2</w:t>
      </w:r>
      <w:r>
        <w:rPr>
          <w:rFonts w:asciiTheme="minorEastAsia" w:hAnsiTheme="minorEastAsia" w:eastAsiaTheme="minorEastAsia"/>
          <w:sz w:val="24"/>
          <w:lang w:val="zh-TW" w:eastAsia="zh-TW" w:bidi="ar"/>
        </w:rPr>
        <w:t>.6</w:t>
      </w:r>
      <w:r>
        <w:rPr>
          <w:rFonts w:asciiTheme="minorEastAsia" w:hAnsiTheme="minorEastAsia" w:eastAsiaTheme="minorEastAsia"/>
          <w:sz w:val="24"/>
          <w:lang w:val="zh-TW" w:bidi="ar"/>
        </w:rPr>
        <w:t>提交电子投标文件</w:t>
      </w:r>
    </w:p>
    <w:p w14:paraId="5140AFFB">
      <w:pPr>
        <w:widowControl/>
        <w:spacing w:line="360" w:lineRule="auto"/>
        <w:ind w:firstLine="480" w:firstLineChars="200"/>
        <w:jc w:val="left"/>
        <w:rPr>
          <w:rFonts w:asciiTheme="minorEastAsia" w:hAnsiTheme="minorEastAsia" w:eastAsiaTheme="minorEastAsia"/>
          <w:sz w:val="24"/>
          <w:lang w:bidi="ar"/>
        </w:rPr>
      </w:pPr>
      <w:r>
        <w:rPr>
          <w:rFonts w:asciiTheme="minorEastAsia" w:hAnsiTheme="minorEastAsia" w:eastAsiaTheme="minorEastAsia"/>
          <w:sz w:val="24"/>
          <w:lang w:bidi="ar"/>
        </w:rPr>
        <w:t>供应商应于投标截止时间前在北京市政府采购电子交易平台提交电子投标文件，上传电子投标文件过程中请保持与互联网的连接畅通。</w:t>
      </w:r>
    </w:p>
    <w:p w14:paraId="41B502BE">
      <w:pPr>
        <w:widowControl/>
        <w:spacing w:line="360" w:lineRule="auto"/>
        <w:ind w:firstLine="480" w:firstLineChars="200"/>
        <w:jc w:val="left"/>
        <w:rPr>
          <w:rFonts w:asciiTheme="minorEastAsia" w:hAnsiTheme="minorEastAsia" w:eastAsiaTheme="minorEastAsia"/>
          <w:sz w:val="24"/>
          <w:lang w:eastAsia="zh-TW" w:bidi="ar"/>
        </w:rPr>
      </w:pPr>
      <w:r>
        <w:rPr>
          <w:rFonts w:hint="eastAsia" w:asciiTheme="minorEastAsia" w:hAnsiTheme="minorEastAsia" w:eastAsiaTheme="minorEastAsia"/>
          <w:sz w:val="24"/>
          <w:lang w:val="zh-TW" w:bidi="ar"/>
        </w:rPr>
        <w:t>2</w:t>
      </w:r>
      <w:r>
        <w:rPr>
          <w:rFonts w:asciiTheme="minorEastAsia" w:hAnsiTheme="minorEastAsia" w:eastAsiaTheme="minorEastAsia"/>
          <w:sz w:val="24"/>
          <w:lang w:val="zh-TW" w:bidi="ar"/>
        </w:rPr>
        <w:t>.</w:t>
      </w:r>
      <w:r>
        <w:rPr>
          <w:rFonts w:asciiTheme="minorEastAsia" w:hAnsiTheme="minorEastAsia" w:eastAsiaTheme="minorEastAsia"/>
          <w:sz w:val="24"/>
          <w:lang w:val="zh-TW" w:eastAsia="zh-TW" w:bidi="ar"/>
        </w:rPr>
        <w:t>7</w:t>
      </w:r>
      <w:r>
        <w:rPr>
          <w:rFonts w:asciiTheme="minorEastAsia" w:hAnsiTheme="minorEastAsia" w:eastAsiaTheme="minorEastAsia"/>
          <w:sz w:val="24"/>
          <w:lang w:val="zh-TW" w:bidi="ar"/>
        </w:rPr>
        <w:t>电子开标</w:t>
      </w:r>
    </w:p>
    <w:p w14:paraId="5E65C811">
      <w:pPr>
        <w:spacing w:line="360" w:lineRule="auto"/>
        <w:ind w:firstLine="480" w:firstLineChars="200"/>
        <w:rPr>
          <w:rFonts w:asciiTheme="minorEastAsia" w:hAnsiTheme="minorEastAsia" w:eastAsiaTheme="minorEastAsia"/>
          <w:sz w:val="24"/>
          <w:lang w:eastAsia="zh-TW"/>
        </w:rPr>
      </w:pPr>
      <w:r>
        <w:rPr>
          <w:rFonts w:asciiTheme="minorEastAsia" w:hAnsiTheme="minorEastAsia" w:eastAsiaTheme="minorEastAsia"/>
          <w:sz w:val="24"/>
          <w:lang w:val="zh-TW" w:bidi="ar"/>
        </w:rPr>
        <w:t>供应商在开标地点使用</w:t>
      </w:r>
      <w:r>
        <w:rPr>
          <w:rFonts w:asciiTheme="minorEastAsia" w:hAnsiTheme="minorEastAsia" w:eastAsiaTheme="minorEastAsia"/>
          <w:sz w:val="24"/>
          <w:lang w:bidi="ar"/>
        </w:rPr>
        <w:t>CA数字证书或电子营业执照</w:t>
      </w:r>
      <w:r>
        <w:rPr>
          <w:rFonts w:asciiTheme="minorEastAsia" w:hAnsiTheme="minorEastAsia" w:eastAsiaTheme="minorEastAsia"/>
          <w:sz w:val="24"/>
          <w:lang w:val="zh-TW" w:bidi="ar"/>
        </w:rPr>
        <w:t>登录</w:t>
      </w:r>
      <w:r>
        <w:rPr>
          <w:rFonts w:asciiTheme="minorEastAsia" w:hAnsiTheme="minorEastAsia" w:eastAsiaTheme="minorEastAsia"/>
          <w:sz w:val="24"/>
          <w:lang w:bidi="ar"/>
        </w:rPr>
        <w:t>北京市政府采购电子交易平台进行电子开标</w:t>
      </w:r>
      <w:r>
        <w:rPr>
          <w:rFonts w:asciiTheme="minorEastAsia" w:hAnsiTheme="minorEastAsia" w:eastAsiaTheme="minorEastAsia"/>
          <w:sz w:val="24"/>
          <w:lang w:val="zh-TW" w:bidi="ar"/>
        </w:rPr>
        <w:t>。</w:t>
      </w:r>
    </w:p>
    <w:p w14:paraId="2D8DC256">
      <w:pPr>
        <w:pStyle w:val="4"/>
        <w:spacing w:before="0" w:line="360" w:lineRule="auto"/>
        <w:jc w:val="left"/>
        <w:rPr>
          <w:rFonts w:asciiTheme="minorEastAsia" w:hAnsiTheme="minorEastAsia" w:eastAsiaTheme="minorEastAsia"/>
          <w:sz w:val="24"/>
          <w:szCs w:val="24"/>
        </w:rPr>
      </w:pPr>
      <w:bookmarkStart w:id="16" w:name="_Toc35393796"/>
      <w:bookmarkStart w:id="17" w:name="_Toc28359085"/>
      <w:bookmarkStart w:id="18" w:name="_Toc28359008"/>
      <w:bookmarkStart w:id="19" w:name="_Toc35393627"/>
      <w:r>
        <w:rPr>
          <w:rFonts w:asciiTheme="minorEastAsia" w:hAnsiTheme="minorEastAsia" w:eastAsiaTheme="minorEastAsia"/>
          <w:sz w:val="24"/>
          <w:szCs w:val="24"/>
        </w:rPr>
        <w:t>七、对本次招标提出询问，请按以下方式联系。</w:t>
      </w:r>
      <w:bookmarkEnd w:id="16"/>
      <w:bookmarkEnd w:id="17"/>
      <w:bookmarkEnd w:id="18"/>
      <w:bookmarkEnd w:id="19"/>
    </w:p>
    <w:p w14:paraId="4FD75AF9">
      <w:pPr>
        <w:spacing w:line="360" w:lineRule="auto"/>
        <w:ind w:left="1079" w:leftChars="371" w:hanging="300" w:hangingChars="125"/>
        <w:jc w:val="left"/>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1.采购人信息</w:t>
      </w:r>
    </w:p>
    <w:p w14:paraId="43E19355">
      <w:pPr>
        <w:spacing w:line="360" w:lineRule="auto"/>
        <w:ind w:left="1079" w:leftChars="371" w:hanging="300" w:hangingChars="125"/>
        <w:jc w:val="left"/>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名 称: 北京市通州区中心血站</w:t>
      </w:r>
    </w:p>
    <w:p w14:paraId="621C5C1B">
      <w:pPr>
        <w:spacing w:line="360" w:lineRule="auto"/>
        <w:ind w:left="1079" w:leftChars="371" w:hanging="300" w:hangingChars="125"/>
        <w:jc w:val="left"/>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地址: 北京市通州区通胡大街21号</w:t>
      </w:r>
    </w:p>
    <w:p w14:paraId="72AF9642">
      <w:pPr>
        <w:spacing w:line="360" w:lineRule="auto"/>
        <w:ind w:left="1079" w:leftChars="371" w:hanging="300" w:hangingChars="125"/>
        <w:jc w:val="left"/>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联系方式: 010-89526726</w:t>
      </w:r>
    </w:p>
    <w:p w14:paraId="6EA6AA0A">
      <w:pPr>
        <w:spacing w:line="360" w:lineRule="auto"/>
        <w:ind w:left="1079" w:leftChars="371" w:hanging="300" w:hangingChars="125"/>
        <w:jc w:val="left"/>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2.采购代理机构信息</w:t>
      </w:r>
      <w:r>
        <w:rPr>
          <w:rFonts w:hint="eastAsia" w:asciiTheme="minorEastAsia" w:hAnsiTheme="minorEastAsia" w:eastAsiaTheme="minorEastAsia"/>
          <w:sz w:val="24"/>
          <w:lang w:eastAsia="zh-CN"/>
        </w:rPr>
        <w:tab/>
      </w:r>
      <w:r>
        <w:rPr>
          <w:rFonts w:hint="eastAsia" w:asciiTheme="minorEastAsia" w:hAnsiTheme="minorEastAsia" w:eastAsiaTheme="minorEastAsia"/>
          <w:sz w:val="24"/>
          <w:lang w:eastAsia="zh-CN"/>
        </w:rPr>
        <w:t xml:space="preserve"> </w:t>
      </w:r>
    </w:p>
    <w:p w14:paraId="50526EF4">
      <w:pPr>
        <w:spacing w:line="360" w:lineRule="auto"/>
        <w:ind w:left="1079" w:leftChars="371" w:hanging="300" w:hangingChars="125"/>
        <w:jc w:val="left"/>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名    称: 中源联盛咨询(北京)有限公司</w:t>
      </w:r>
    </w:p>
    <w:p w14:paraId="4A2579AC">
      <w:pPr>
        <w:spacing w:line="360" w:lineRule="auto"/>
        <w:ind w:left="1079" w:leftChars="371" w:hanging="300" w:hangingChars="125"/>
        <w:jc w:val="left"/>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地    址: 北京市通州区贡院街1号院1号楼2层206-458室</w:t>
      </w:r>
    </w:p>
    <w:p w14:paraId="343773B0">
      <w:pPr>
        <w:spacing w:line="360" w:lineRule="auto"/>
        <w:ind w:left="1079" w:leftChars="371" w:hanging="300" w:hangingChars="125"/>
        <w:jc w:val="left"/>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联系方式: 010-67803241转8024</w:t>
      </w:r>
    </w:p>
    <w:p w14:paraId="1D1C6D97">
      <w:pPr>
        <w:spacing w:line="360" w:lineRule="auto"/>
        <w:ind w:left="1079" w:leftChars="371" w:hanging="300" w:hangingChars="125"/>
        <w:jc w:val="left"/>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3.项目联系方式</w:t>
      </w:r>
    </w:p>
    <w:p w14:paraId="5772AA80">
      <w:pPr>
        <w:spacing w:line="360" w:lineRule="auto"/>
        <w:ind w:left="1079" w:leftChars="371" w:hanging="300" w:hangingChars="125"/>
        <w:jc w:val="left"/>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项目联系人: 张行</w:t>
      </w:r>
    </w:p>
    <w:p w14:paraId="78A1FF2A">
      <w:pPr>
        <w:spacing w:line="360" w:lineRule="auto"/>
        <w:ind w:left="1079" w:leftChars="371" w:hanging="300" w:hangingChars="125"/>
        <w:jc w:val="left"/>
        <w:rPr>
          <w:rFonts w:hint="default"/>
          <w:lang w:val="en-US"/>
        </w:rPr>
      </w:pPr>
      <w:r>
        <w:rPr>
          <w:rFonts w:hint="eastAsia" w:asciiTheme="minorEastAsia" w:hAnsiTheme="minorEastAsia" w:eastAsiaTheme="minorEastAsia"/>
          <w:sz w:val="24"/>
          <w:lang w:eastAsia="zh-CN"/>
        </w:rPr>
        <w:t>电      话: 010-67803241转802</w:t>
      </w:r>
      <w:r>
        <w:rPr>
          <w:rFonts w:hint="eastAsia" w:asciiTheme="minorEastAsia" w:hAnsiTheme="minorEastAsia"/>
          <w:sz w:val="24"/>
          <w:lang w:val="en-US" w:eastAsia="zh-CN"/>
        </w:rPr>
        <w:t>4</w:t>
      </w:r>
    </w:p>
    <w:sectPr>
      <w:headerReference r:id="rId3" w:type="default"/>
      <w:footerReference r:id="rId4"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1D8BD">
    <w:pPr>
      <w:pStyle w:val="8"/>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A70CE">
                          <w:pPr>
                            <w:pStyle w:val="8"/>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RNm2su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0TZtrLgIAAFkEAAAOAAAAAAAAAAEAIAAAAB8BAABkcnMvZTJvRG9jLnhtbFBLBQYAAAAA&#10;BgAGAFkBAAC/BQAAAAA=&#10;">
              <v:fill on="f" focussize="0,0"/>
              <v:stroke on="f" weight="0.5pt"/>
              <v:imagedata o:title=""/>
              <o:lock v:ext="edit" aspectratio="f"/>
              <v:textbox inset="0mm,0mm,0mm,0mm" style="mso-fit-shape-to-text:t;">
                <w:txbxContent>
                  <w:p w14:paraId="570A70CE">
                    <w:pPr>
                      <w:pStyle w:val="8"/>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908DA">
    <w:pPr>
      <w:spacing w:line="219" w:lineRule="auto"/>
      <w:jc w:val="right"/>
      <w:rPr>
        <w:rFonts w:ascii="宋体" w:hAnsi="宋体" w:eastAsia="宋体" w:cs="宋体"/>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jNGIxMzhkY2U3ZDQ2MjgxNWYzOTk4YTMzY2YxMDUifQ=="/>
  </w:docVars>
  <w:rsids>
    <w:rsidRoot w:val="00536F5D"/>
    <w:rsid w:val="00003526"/>
    <w:rsid w:val="00046C06"/>
    <w:rsid w:val="000637FD"/>
    <w:rsid w:val="00085C28"/>
    <w:rsid w:val="000A3F2E"/>
    <w:rsid w:val="000B4825"/>
    <w:rsid w:val="000B5B0A"/>
    <w:rsid w:val="000B5E10"/>
    <w:rsid w:val="000C5F70"/>
    <w:rsid w:val="000D2A6E"/>
    <w:rsid w:val="000E0C64"/>
    <w:rsid w:val="000F4489"/>
    <w:rsid w:val="001039A3"/>
    <w:rsid w:val="00130564"/>
    <w:rsid w:val="001330C2"/>
    <w:rsid w:val="00192F80"/>
    <w:rsid w:val="00197FF5"/>
    <w:rsid w:val="001A53E7"/>
    <w:rsid w:val="001C1689"/>
    <w:rsid w:val="001D3BAC"/>
    <w:rsid w:val="001E298D"/>
    <w:rsid w:val="001E4CC3"/>
    <w:rsid w:val="002022B8"/>
    <w:rsid w:val="002052C1"/>
    <w:rsid w:val="00247175"/>
    <w:rsid w:val="002A71C6"/>
    <w:rsid w:val="002C3D9B"/>
    <w:rsid w:val="002D580A"/>
    <w:rsid w:val="002D743F"/>
    <w:rsid w:val="002E597B"/>
    <w:rsid w:val="003008B1"/>
    <w:rsid w:val="00317690"/>
    <w:rsid w:val="0032700D"/>
    <w:rsid w:val="0035695B"/>
    <w:rsid w:val="003606B0"/>
    <w:rsid w:val="00366318"/>
    <w:rsid w:val="00366E59"/>
    <w:rsid w:val="003B298A"/>
    <w:rsid w:val="003B345F"/>
    <w:rsid w:val="003B65DB"/>
    <w:rsid w:val="003B7366"/>
    <w:rsid w:val="003C3C5D"/>
    <w:rsid w:val="003C5339"/>
    <w:rsid w:val="003F0176"/>
    <w:rsid w:val="00416AE0"/>
    <w:rsid w:val="00425A05"/>
    <w:rsid w:val="00445868"/>
    <w:rsid w:val="00476501"/>
    <w:rsid w:val="00501D0F"/>
    <w:rsid w:val="00536F5D"/>
    <w:rsid w:val="005C23A4"/>
    <w:rsid w:val="005C2C00"/>
    <w:rsid w:val="005E36DB"/>
    <w:rsid w:val="005F7FBC"/>
    <w:rsid w:val="00601050"/>
    <w:rsid w:val="00635B8F"/>
    <w:rsid w:val="00641C65"/>
    <w:rsid w:val="00643318"/>
    <w:rsid w:val="0065316F"/>
    <w:rsid w:val="00693AD3"/>
    <w:rsid w:val="006A0C68"/>
    <w:rsid w:val="006A441D"/>
    <w:rsid w:val="006B46C0"/>
    <w:rsid w:val="00705AE0"/>
    <w:rsid w:val="007232A5"/>
    <w:rsid w:val="00737210"/>
    <w:rsid w:val="007501AE"/>
    <w:rsid w:val="00767366"/>
    <w:rsid w:val="00791866"/>
    <w:rsid w:val="007B1B4E"/>
    <w:rsid w:val="007C1AC4"/>
    <w:rsid w:val="007D754B"/>
    <w:rsid w:val="00824E22"/>
    <w:rsid w:val="0084535E"/>
    <w:rsid w:val="00860E31"/>
    <w:rsid w:val="00862136"/>
    <w:rsid w:val="008A4173"/>
    <w:rsid w:val="008C174F"/>
    <w:rsid w:val="008D07B7"/>
    <w:rsid w:val="008F3872"/>
    <w:rsid w:val="00901C29"/>
    <w:rsid w:val="009269FE"/>
    <w:rsid w:val="00941DAF"/>
    <w:rsid w:val="00945173"/>
    <w:rsid w:val="00945F9F"/>
    <w:rsid w:val="00994C9B"/>
    <w:rsid w:val="009E3C07"/>
    <w:rsid w:val="00A06267"/>
    <w:rsid w:val="00A20286"/>
    <w:rsid w:val="00A26BDC"/>
    <w:rsid w:val="00A31B5F"/>
    <w:rsid w:val="00A635CE"/>
    <w:rsid w:val="00A77D5C"/>
    <w:rsid w:val="00A93729"/>
    <w:rsid w:val="00AD1C4C"/>
    <w:rsid w:val="00AD77B0"/>
    <w:rsid w:val="00AE74EE"/>
    <w:rsid w:val="00AF36AC"/>
    <w:rsid w:val="00AF4412"/>
    <w:rsid w:val="00B3729E"/>
    <w:rsid w:val="00B45195"/>
    <w:rsid w:val="00B508EA"/>
    <w:rsid w:val="00B5342A"/>
    <w:rsid w:val="00B77AF1"/>
    <w:rsid w:val="00B77CE8"/>
    <w:rsid w:val="00B85430"/>
    <w:rsid w:val="00BC288B"/>
    <w:rsid w:val="00BD52DD"/>
    <w:rsid w:val="00BD672E"/>
    <w:rsid w:val="00BF5FB8"/>
    <w:rsid w:val="00C13932"/>
    <w:rsid w:val="00C1675E"/>
    <w:rsid w:val="00C261D5"/>
    <w:rsid w:val="00C3207A"/>
    <w:rsid w:val="00C42C98"/>
    <w:rsid w:val="00C500E5"/>
    <w:rsid w:val="00C85C04"/>
    <w:rsid w:val="00C950F5"/>
    <w:rsid w:val="00C96FBC"/>
    <w:rsid w:val="00CA016C"/>
    <w:rsid w:val="00CD72A4"/>
    <w:rsid w:val="00D265DB"/>
    <w:rsid w:val="00D456EC"/>
    <w:rsid w:val="00D65358"/>
    <w:rsid w:val="00D8601F"/>
    <w:rsid w:val="00D972E8"/>
    <w:rsid w:val="00DA5C22"/>
    <w:rsid w:val="00DA7258"/>
    <w:rsid w:val="00DB66F7"/>
    <w:rsid w:val="00DB6CE1"/>
    <w:rsid w:val="00DC413E"/>
    <w:rsid w:val="00DC564E"/>
    <w:rsid w:val="00DD5621"/>
    <w:rsid w:val="00DE5132"/>
    <w:rsid w:val="00DF0F26"/>
    <w:rsid w:val="00E0642B"/>
    <w:rsid w:val="00E13FCD"/>
    <w:rsid w:val="00E514B5"/>
    <w:rsid w:val="00E52BC7"/>
    <w:rsid w:val="00E7307E"/>
    <w:rsid w:val="00E76FB1"/>
    <w:rsid w:val="00E94D4B"/>
    <w:rsid w:val="00EC7B17"/>
    <w:rsid w:val="00EE395D"/>
    <w:rsid w:val="00F00E34"/>
    <w:rsid w:val="00F2774A"/>
    <w:rsid w:val="00F32C33"/>
    <w:rsid w:val="00F5488A"/>
    <w:rsid w:val="00F5698B"/>
    <w:rsid w:val="00F942E0"/>
    <w:rsid w:val="00F959DF"/>
    <w:rsid w:val="00FD167C"/>
    <w:rsid w:val="00FD44B4"/>
    <w:rsid w:val="00FD7F6F"/>
    <w:rsid w:val="0CAF6981"/>
    <w:rsid w:val="0DC50950"/>
    <w:rsid w:val="1193384C"/>
    <w:rsid w:val="13CC38BF"/>
    <w:rsid w:val="22AF44DF"/>
    <w:rsid w:val="24304EDB"/>
    <w:rsid w:val="3601720A"/>
    <w:rsid w:val="384D32D9"/>
    <w:rsid w:val="3A452B28"/>
    <w:rsid w:val="3CEE38DA"/>
    <w:rsid w:val="440E7400"/>
    <w:rsid w:val="460432FF"/>
    <w:rsid w:val="48F628C8"/>
    <w:rsid w:val="4A196B64"/>
    <w:rsid w:val="4B3B601E"/>
    <w:rsid w:val="4B696D50"/>
    <w:rsid w:val="53F43AFB"/>
    <w:rsid w:val="547B61EB"/>
    <w:rsid w:val="5DB414C0"/>
    <w:rsid w:val="625541FF"/>
    <w:rsid w:val="652827D3"/>
    <w:rsid w:val="65DF4286"/>
    <w:rsid w:val="6E952FE2"/>
    <w:rsid w:val="7D847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5"/>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2">
    <w:name w:val="Default Paragraph Font"/>
    <w:autoRedefine/>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ind w:firstLine="480" w:firstLineChars="200"/>
    </w:pPr>
    <w:rPr>
      <w:rFonts w:ascii="仿宋_GB2312" w:eastAsia="仿宋_GB2312"/>
      <w:sz w:val="24"/>
      <w:lang w:val="zh-CN"/>
    </w:rPr>
  </w:style>
  <w:style w:type="paragraph" w:styleId="5">
    <w:name w:val="Normal Indent"/>
    <w:basedOn w:val="1"/>
    <w:next w:val="1"/>
    <w:qFormat/>
    <w:uiPriority w:val="99"/>
    <w:pPr>
      <w:autoSpaceDE w:val="0"/>
      <w:autoSpaceDN w:val="0"/>
      <w:adjustRightInd w:val="0"/>
      <w:ind w:firstLine="420"/>
      <w:jc w:val="left"/>
    </w:pPr>
    <w:rPr>
      <w:rFonts w:ascii="宋体"/>
      <w:sz w:val="24"/>
    </w:rPr>
  </w:style>
  <w:style w:type="paragraph" w:styleId="6">
    <w:name w:val="annotation text"/>
    <w:basedOn w:val="1"/>
    <w:link w:val="15"/>
    <w:autoRedefine/>
    <w:semiHidden/>
    <w:unhideWhenUsed/>
    <w:qFormat/>
    <w:uiPriority w:val="99"/>
    <w:pPr>
      <w:jc w:val="left"/>
    </w:pPr>
  </w:style>
  <w:style w:type="paragraph" w:styleId="7">
    <w:name w:val="Balloon Text"/>
    <w:basedOn w:val="1"/>
    <w:link w:val="18"/>
    <w:autoRedefine/>
    <w:semiHidden/>
    <w:unhideWhenUsed/>
    <w:qFormat/>
    <w:uiPriority w:val="99"/>
    <w:rPr>
      <w:sz w:val="18"/>
      <w:szCs w:val="18"/>
    </w:rPr>
  </w:style>
  <w:style w:type="paragraph" w:styleId="8">
    <w:name w:val="footer"/>
    <w:basedOn w:val="1"/>
    <w:next w:val="1"/>
    <w:link w:val="20"/>
    <w:autoRedefine/>
    <w:unhideWhenUsed/>
    <w:qFormat/>
    <w:uiPriority w:val="99"/>
    <w:pPr>
      <w:tabs>
        <w:tab w:val="center" w:pos="4153"/>
        <w:tab w:val="right" w:pos="8306"/>
      </w:tabs>
      <w:snapToGrid w:val="0"/>
      <w:jc w:val="left"/>
    </w:pPr>
    <w:rPr>
      <w:sz w:val="18"/>
      <w:szCs w:val="18"/>
    </w:rPr>
  </w:style>
  <w:style w:type="paragraph" w:styleId="9">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6"/>
    <w:next w:val="6"/>
    <w:link w:val="16"/>
    <w:autoRedefine/>
    <w:semiHidden/>
    <w:unhideWhenUsed/>
    <w:qFormat/>
    <w:uiPriority w:val="99"/>
    <w:rPr>
      <w:b/>
      <w:bCs/>
    </w:rPr>
  </w:style>
  <w:style w:type="character" w:styleId="13">
    <w:name w:val="Hyperlink"/>
    <w:basedOn w:val="12"/>
    <w:semiHidden/>
    <w:unhideWhenUsed/>
    <w:qFormat/>
    <w:uiPriority w:val="99"/>
    <w:rPr>
      <w:color w:val="0000FF"/>
      <w:u w:val="single"/>
    </w:rPr>
  </w:style>
  <w:style w:type="character" w:styleId="14">
    <w:name w:val="annotation reference"/>
    <w:basedOn w:val="12"/>
    <w:autoRedefine/>
    <w:semiHidden/>
    <w:unhideWhenUsed/>
    <w:qFormat/>
    <w:uiPriority w:val="99"/>
    <w:rPr>
      <w:sz w:val="21"/>
      <w:szCs w:val="21"/>
    </w:rPr>
  </w:style>
  <w:style w:type="character" w:customStyle="1" w:styleId="15">
    <w:name w:val="批注文字 Char"/>
    <w:basedOn w:val="12"/>
    <w:link w:val="6"/>
    <w:autoRedefine/>
    <w:semiHidden/>
    <w:qFormat/>
    <w:uiPriority w:val="99"/>
  </w:style>
  <w:style w:type="character" w:customStyle="1" w:styleId="16">
    <w:name w:val="批注主题 Char"/>
    <w:basedOn w:val="15"/>
    <w:link w:val="10"/>
    <w:autoRedefine/>
    <w:semiHidden/>
    <w:qFormat/>
    <w:uiPriority w:val="99"/>
    <w:rPr>
      <w:b/>
      <w:bCs/>
    </w:rPr>
  </w:style>
  <w:style w:type="paragraph" w:customStyle="1" w:styleId="17">
    <w:name w:val="Revision"/>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8">
    <w:name w:val="批注框文本 Char"/>
    <w:basedOn w:val="12"/>
    <w:link w:val="7"/>
    <w:autoRedefine/>
    <w:semiHidden/>
    <w:qFormat/>
    <w:uiPriority w:val="99"/>
    <w:rPr>
      <w:sz w:val="18"/>
      <w:szCs w:val="18"/>
    </w:rPr>
  </w:style>
  <w:style w:type="character" w:customStyle="1" w:styleId="19">
    <w:name w:val="页眉 Char"/>
    <w:basedOn w:val="12"/>
    <w:link w:val="9"/>
    <w:autoRedefine/>
    <w:qFormat/>
    <w:uiPriority w:val="99"/>
    <w:rPr>
      <w:sz w:val="18"/>
      <w:szCs w:val="18"/>
    </w:rPr>
  </w:style>
  <w:style w:type="character" w:customStyle="1" w:styleId="20">
    <w:name w:val="页脚 Char"/>
    <w:basedOn w:val="12"/>
    <w:link w:val="8"/>
    <w:autoRedefine/>
    <w:qFormat/>
    <w:uiPriority w:val="99"/>
    <w:rPr>
      <w:sz w:val="18"/>
      <w:szCs w:val="18"/>
    </w:rPr>
  </w:style>
  <w:style w:type="character" w:customStyle="1" w:styleId="21">
    <w:name w:val="NormalCharacter"/>
    <w:link w:val="22"/>
    <w:autoRedefine/>
    <w:qFormat/>
    <w:uiPriority w:val="0"/>
    <w:rPr>
      <w:rFonts w:ascii="Tahoma" w:hAnsi="Tahoma"/>
      <w:sz w:val="24"/>
    </w:rPr>
  </w:style>
  <w:style w:type="paragraph" w:customStyle="1" w:styleId="22">
    <w:name w:val="UserStyle_0"/>
    <w:basedOn w:val="1"/>
    <w:link w:val="21"/>
    <w:autoRedefine/>
    <w:qFormat/>
    <w:uiPriority w:val="0"/>
    <w:pPr>
      <w:widowControl/>
    </w:pPr>
    <w:rPr>
      <w:rFonts w:ascii="Tahoma" w:hAnsi="Tahoma"/>
      <w:sz w:val="24"/>
    </w:rPr>
  </w:style>
  <w:style w:type="character" w:customStyle="1" w:styleId="23">
    <w:name w:val="CharAttribute0"/>
    <w:autoRedefine/>
    <w:qFormat/>
    <w:uiPriority w:val="0"/>
    <w:rPr>
      <w:rFonts w:ascii="Times New Roman" w:eastAsia="宋体"/>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3782F9-181D-45DA-9B77-9EE3DFE33630}">
  <ds:schemaRefs/>
</ds:datastoreItem>
</file>

<file path=docProps/app.xml><?xml version="1.0" encoding="utf-8"?>
<Properties xmlns="http://schemas.openxmlformats.org/officeDocument/2006/extended-properties" xmlns:vt="http://schemas.openxmlformats.org/officeDocument/2006/docPropsVTypes">
  <Template>Normal</Template>
  <Company>招标二部</Company>
  <Pages>4</Pages>
  <Words>589</Words>
  <Characters>749</Characters>
  <Lines>22</Lines>
  <Paragraphs>6</Paragraphs>
  <TotalTime>5</TotalTime>
  <ScaleCrop>false</ScaleCrop>
  <LinksUpToDate>false</LinksUpToDate>
  <CharactersWithSpaces>765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2022-02-24T05:21:00Z</dcterms:created>
  <dc:creator>Mez</dc:creator>
  <cp:lastModifiedBy>Zillah</cp:lastModifiedBy>
  <dcterms:modified xsi:type="dcterms:W3CDTF">2026-07-13T06:13:22Z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2E9A167925EA4A759FD829BB96E127FC_12</vt:lpwstr>
  </property>
  <property fmtid="{D5CDD505-2E9C-101B-9397-08002B2CF9AE}" pid="4" name="KSOTemplateDocerSaveRecord">
    <vt:lpwstr>eyJoZGlkIjoiZTQyMmNiMGY3ZTcxYzdlYzZjMGEyYjU2NWY5Njg3NjEiLCJ1c2VySWQiOiI1MDcxMDk5OTIifQ==</vt:lpwstr>
  </property>
</Properties>
</file>