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27CE4">
      <w:pPr>
        <w:keepNext w:val="0"/>
        <w:keepLines w:val="0"/>
        <w:widowControl/>
        <w:suppressLineNumbers w:val="0"/>
        <w:ind w:firstLine="1500" w:firstLineChars="500"/>
        <w:jc w:val="left"/>
        <w:rPr>
          <w:rFonts w:hint="eastAsia" w:ascii="微软雅黑" w:hAnsi="微软雅黑" w:eastAsia="微软雅黑" w:cs="微软雅黑"/>
          <w:color w:val="000000"/>
          <w:kern w:val="0"/>
          <w:sz w:val="30"/>
          <w:szCs w:val="30"/>
          <w:lang w:val="en-US" w:eastAsia="zh-CN" w:bidi="ar"/>
        </w:rPr>
      </w:pPr>
      <w:r>
        <w:rPr>
          <w:rFonts w:ascii="微软雅黑" w:hAnsi="微软雅黑" w:eastAsia="微软雅黑" w:cs="微软雅黑"/>
          <w:color w:val="000000"/>
          <w:kern w:val="0"/>
          <w:sz w:val="30"/>
          <w:szCs w:val="30"/>
          <w:lang w:val="en-US" w:eastAsia="zh-CN" w:bidi="ar"/>
        </w:rPr>
        <w:t>事业支出</w:t>
      </w:r>
      <w:r>
        <w:rPr>
          <w:rFonts w:ascii="Segoe UI" w:hAnsi="Segoe UI" w:eastAsia="Segoe UI" w:cs="Segoe UI"/>
          <w:b/>
          <w:bCs/>
          <w:color w:val="000000"/>
          <w:kern w:val="0"/>
          <w:sz w:val="30"/>
          <w:szCs w:val="30"/>
          <w:lang w:val="en-US" w:eastAsia="zh-CN" w:bidi="ar"/>
        </w:rPr>
        <w:t>-</w:t>
      </w:r>
      <w:r>
        <w:rPr>
          <w:rFonts w:hint="eastAsia" w:ascii="微软雅黑" w:hAnsi="微软雅黑" w:eastAsia="微软雅黑" w:cs="微软雅黑"/>
          <w:color w:val="000000"/>
          <w:kern w:val="0"/>
          <w:sz w:val="30"/>
          <w:szCs w:val="30"/>
          <w:lang w:val="en-US" w:eastAsia="zh-CN" w:bidi="ar"/>
        </w:rPr>
        <w:t>北京市昌平区中西医结合医院</w:t>
      </w:r>
    </w:p>
    <w:p w14:paraId="173A513C">
      <w:pPr>
        <w:keepNext w:val="0"/>
        <w:keepLines w:val="0"/>
        <w:widowControl/>
        <w:suppressLineNumbers w:val="0"/>
        <w:ind w:firstLine="2400" w:firstLineChars="800"/>
        <w:jc w:val="left"/>
        <w:rPr>
          <w:rFonts w:hint="eastAsia" w:ascii="微软雅黑" w:hAnsi="微软雅黑" w:eastAsia="微软雅黑" w:cs="微软雅黑"/>
          <w:color w:val="000000"/>
          <w:kern w:val="0"/>
          <w:sz w:val="30"/>
          <w:szCs w:val="30"/>
          <w:lang w:val="en-US" w:eastAsia="zh-CN" w:bidi="ar"/>
        </w:rPr>
      </w:pPr>
      <w:bookmarkStart w:id="0" w:name="_GoBack"/>
      <w:bookmarkEnd w:id="0"/>
      <w:r>
        <w:rPr>
          <w:rFonts w:hint="eastAsia" w:ascii="微软雅黑" w:hAnsi="微软雅黑" w:eastAsia="微软雅黑" w:cs="微软雅黑"/>
          <w:color w:val="000000"/>
          <w:kern w:val="0"/>
          <w:sz w:val="30"/>
          <w:szCs w:val="30"/>
          <w:lang w:val="en-US" w:eastAsia="zh-CN" w:bidi="ar"/>
        </w:rPr>
        <w:t>综合院区保洁服务采购需求</w:t>
      </w:r>
    </w:p>
    <w:p w14:paraId="25EA4DFA">
      <w:pPr>
        <w:pStyle w:val="2"/>
        <w:rPr>
          <w:rFonts w:hint="eastAsia" w:ascii="微软雅黑" w:hAnsi="微软雅黑" w:eastAsia="微软雅黑" w:cs="微软雅黑"/>
          <w:color w:val="000000"/>
          <w:kern w:val="0"/>
          <w:sz w:val="30"/>
          <w:szCs w:val="30"/>
          <w:lang w:val="en-US" w:eastAsia="zh-CN" w:bidi="ar"/>
        </w:rPr>
      </w:pPr>
    </w:p>
    <w:p w14:paraId="756F9902">
      <w:pPr>
        <w:keepNext w:val="0"/>
        <w:keepLines w:val="0"/>
        <w:widowControl/>
        <w:numPr>
          <w:ilvl w:val="0"/>
          <w:numId w:val="1"/>
        </w:numPr>
        <w:suppressLineNumbers w:val="0"/>
        <w:ind w:firstLine="3313" w:firstLineChars="1100"/>
        <w:jc w:val="left"/>
        <w:rPr>
          <w:rFonts w:hint="eastAsia" w:ascii="宋体" w:hAnsi="宋体" w:eastAsia="宋体" w:cs="宋体"/>
          <w:b/>
          <w:bCs/>
          <w:color w:val="000000"/>
          <w:kern w:val="0"/>
          <w:sz w:val="30"/>
          <w:szCs w:val="30"/>
          <w:lang w:val="en-US" w:eastAsia="zh-CN" w:bidi="ar"/>
        </w:rPr>
      </w:pPr>
      <w:r>
        <w:rPr>
          <w:rFonts w:hint="eastAsia" w:ascii="宋体" w:hAnsi="宋体" w:eastAsia="宋体" w:cs="宋体"/>
          <w:b/>
          <w:bCs/>
          <w:color w:val="000000"/>
          <w:kern w:val="0"/>
          <w:sz w:val="30"/>
          <w:szCs w:val="30"/>
          <w:lang w:val="en-US" w:eastAsia="zh-CN" w:bidi="ar"/>
        </w:rPr>
        <w:t>采购需求</w:t>
      </w:r>
    </w:p>
    <w:p w14:paraId="3923D542">
      <w:pPr>
        <w:pStyle w:val="2"/>
        <w:rPr>
          <w:rFonts w:hint="eastAsia"/>
          <w:lang w:val="en-US" w:eastAsia="zh-CN"/>
        </w:rPr>
      </w:pPr>
    </w:p>
    <w:p w14:paraId="347B6895">
      <w:pPr>
        <w:keepNext w:val="0"/>
        <w:keepLines w:val="0"/>
        <w:pageBreakBefore w:val="0"/>
        <w:numPr>
          <w:ilvl w:val="0"/>
          <w:numId w:val="2"/>
        </w:numPr>
        <w:kinsoku/>
        <w:wordWrap/>
        <w:overflowPunct/>
        <w:topLinePunct w:val="0"/>
        <w:autoSpaceDE/>
        <w:autoSpaceDN/>
        <w:bidi w:val="0"/>
        <w:adjustRightInd/>
        <w:snapToGrid/>
        <w:spacing w:line="240" w:lineRule="auto"/>
        <w:ind w:firstLine="482" w:firstLineChars="200"/>
        <w:rPr>
          <w:rFonts w:hint="default" w:eastAsia="宋体"/>
          <w:lang w:val="en-US" w:eastAsia="zh-CN"/>
        </w:rPr>
      </w:pPr>
      <w:r>
        <w:rPr>
          <w:rFonts w:hint="eastAsia" w:ascii="仿宋" w:hAnsi="仿宋" w:eastAsia="仿宋" w:cs="仿宋"/>
          <w:b/>
          <w:bCs/>
          <w:sz w:val="24"/>
          <w:szCs w:val="24"/>
          <w:highlight w:val="none"/>
          <w:lang w:val="en-US" w:eastAsia="zh-CN"/>
        </w:rPr>
        <w:t xml:space="preserve">保洁服务区域基本情况 </w:t>
      </w:r>
      <w:r>
        <w:rPr>
          <w:rFonts w:hint="eastAsia"/>
          <w:lang w:val="en-US" w:eastAsia="zh-CN"/>
        </w:rPr>
        <w:t xml:space="preserve">     </w:t>
      </w:r>
    </w:p>
    <w:p w14:paraId="51F4199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北京市昌平区中西医结合医院综合院区位于北京市昌平区黄平路 219 号，物业管理办公楼的建筑面积为 59234 平方米，庭院面积为 45318 平方米。 </w:t>
      </w:r>
    </w:p>
    <w:p w14:paraId="2CF6980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综合院区：门诊楼、住院楼、感染科、综合服务楼、体检中心、病案室、120 急诊 等院区内其他公共区域，保洁人员 60 个岗位。</w:t>
      </w:r>
    </w:p>
    <w:p w14:paraId="41BA187B">
      <w:pPr>
        <w:keepNext w:val="0"/>
        <w:keepLines w:val="0"/>
        <w:pageBreakBefore w:val="0"/>
        <w:kinsoku/>
        <w:wordWrap/>
        <w:overflowPunct/>
        <w:topLinePunct w:val="0"/>
        <w:autoSpaceDE/>
        <w:autoSpaceDN/>
        <w:bidi w:val="0"/>
        <w:adjustRightInd/>
        <w:snapToGrid/>
        <w:spacing w:line="240" w:lineRule="auto"/>
        <w:ind w:firstLine="482" w:firstLineChars="20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二、保洁服务范围及面积</w:t>
      </w:r>
    </w:p>
    <w:tbl>
      <w:tblPr>
        <w:tblStyle w:val="6"/>
        <w:tblW w:w="887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83"/>
        <w:gridCol w:w="1391"/>
        <w:gridCol w:w="1036"/>
        <w:gridCol w:w="1528"/>
        <w:gridCol w:w="3736"/>
      </w:tblGrid>
      <w:tr w14:paraId="3F271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1183" w:type="dxa"/>
            <w:tcBorders>
              <w:top w:val="single" w:color="000000" w:sz="8" w:space="0"/>
              <w:left w:val="single" w:color="000000" w:sz="8" w:space="0"/>
              <w:bottom w:val="single" w:color="000000" w:sz="8" w:space="0"/>
              <w:right w:val="single" w:color="000000" w:sz="8" w:space="0"/>
            </w:tcBorders>
            <w:noWrap w:val="0"/>
            <w:vAlign w:val="center"/>
          </w:tcPr>
          <w:p w14:paraId="101A7D46">
            <w:pPr>
              <w:keepNext w:val="0"/>
              <w:keepLines w:val="0"/>
              <w:widowControl/>
              <w:suppressLineNumbers w:val="0"/>
              <w:spacing w:line="240" w:lineRule="auto"/>
              <w:jc w:val="center"/>
              <w:textAlignment w:val="center"/>
              <w:rPr>
                <w:rFonts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区域</w:t>
            </w: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2692D68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位置</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492C2C04">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岗位</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0CCAB402">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面积（㎡）</w:t>
            </w: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636C12EA">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备注</w:t>
            </w:r>
          </w:p>
        </w:tc>
      </w:tr>
      <w:tr w14:paraId="62A6D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183" w:type="dxa"/>
            <w:vMerge w:val="restart"/>
            <w:tcBorders>
              <w:top w:val="single" w:color="000000" w:sz="8" w:space="0"/>
              <w:left w:val="single" w:color="000000" w:sz="8" w:space="0"/>
              <w:right w:val="single" w:color="000000" w:sz="8" w:space="0"/>
            </w:tcBorders>
            <w:noWrap w:val="0"/>
            <w:vAlign w:val="center"/>
          </w:tcPr>
          <w:p w14:paraId="3E84AEE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门诊楼</w:t>
            </w: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195D7B08">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地下一层</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00C0F12D">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6BD37F89">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2527.85</w:t>
            </w: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3975EF3C">
            <w:pPr>
              <w:spacing w:line="240" w:lineRule="auto"/>
              <w:jc w:val="center"/>
              <w:rPr>
                <w:rFonts w:hint="eastAsia" w:ascii="仿宋" w:hAnsi="仿宋" w:eastAsia="仿宋" w:cs="仿宋"/>
                <w:i w:val="0"/>
                <w:iCs w:val="0"/>
                <w:color w:val="000000"/>
                <w:sz w:val="24"/>
                <w:szCs w:val="24"/>
                <w:highlight w:val="none"/>
                <w:u w:val="none"/>
              </w:rPr>
            </w:pPr>
          </w:p>
        </w:tc>
      </w:tr>
      <w:tr w14:paraId="17172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183" w:type="dxa"/>
            <w:vMerge w:val="continue"/>
            <w:tcBorders>
              <w:left w:val="single" w:color="000000" w:sz="8" w:space="0"/>
              <w:right w:val="single" w:color="000000" w:sz="8" w:space="0"/>
            </w:tcBorders>
            <w:noWrap w:val="0"/>
            <w:vAlign w:val="center"/>
          </w:tcPr>
          <w:p w14:paraId="172B8E1C">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478EEA6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一层</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2DF62F93">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65EC742B">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2627.28</w:t>
            </w: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006965F4">
            <w:pPr>
              <w:keepNext w:val="0"/>
              <w:keepLines w:val="0"/>
              <w:widowControl/>
              <w:suppressLineNumbers w:val="0"/>
              <w:spacing w:line="240" w:lineRule="auto"/>
              <w:jc w:val="center"/>
              <w:textAlignment w:val="center"/>
              <w:rPr>
                <w:rFonts w:hint="default"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大厅1岗+急诊1岗</w:t>
            </w:r>
          </w:p>
        </w:tc>
      </w:tr>
      <w:tr w14:paraId="5ED26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183" w:type="dxa"/>
            <w:vMerge w:val="continue"/>
            <w:tcBorders>
              <w:left w:val="single" w:color="000000" w:sz="8" w:space="0"/>
              <w:right w:val="single" w:color="000000" w:sz="8" w:space="0"/>
            </w:tcBorders>
            <w:noWrap w:val="0"/>
            <w:vAlign w:val="center"/>
          </w:tcPr>
          <w:p w14:paraId="46BC90DD">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6D64840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二层</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658AB572">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70E23CC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2152.23</w:t>
            </w: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39642F2D">
            <w:pPr>
              <w:spacing w:line="240" w:lineRule="auto"/>
              <w:jc w:val="center"/>
              <w:rPr>
                <w:rFonts w:hint="eastAsia" w:ascii="仿宋" w:hAnsi="仿宋" w:eastAsia="仿宋" w:cs="仿宋"/>
                <w:i w:val="0"/>
                <w:iCs w:val="0"/>
                <w:color w:val="000000"/>
                <w:sz w:val="24"/>
                <w:szCs w:val="24"/>
                <w:highlight w:val="none"/>
                <w:u w:val="none"/>
              </w:rPr>
            </w:pPr>
          </w:p>
        </w:tc>
      </w:tr>
      <w:tr w14:paraId="3500A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1183" w:type="dxa"/>
            <w:vMerge w:val="continue"/>
            <w:tcBorders>
              <w:left w:val="single" w:color="000000" w:sz="8" w:space="0"/>
              <w:right w:val="single" w:color="000000" w:sz="8" w:space="0"/>
            </w:tcBorders>
            <w:noWrap w:val="0"/>
            <w:vAlign w:val="center"/>
          </w:tcPr>
          <w:p w14:paraId="3E76DBBF">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7D16222D">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三层</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1607E8EC">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5F08D86F">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2152.23</w:t>
            </w: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7261F747">
            <w:pPr>
              <w:spacing w:line="240" w:lineRule="auto"/>
              <w:jc w:val="center"/>
              <w:rPr>
                <w:rFonts w:hint="eastAsia" w:ascii="仿宋" w:hAnsi="仿宋" w:eastAsia="仿宋" w:cs="仿宋"/>
                <w:i w:val="0"/>
                <w:iCs w:val="0"/>
                <w:color w:val="000000"/>
                <w:sz w:val="24"/>
                <w:szCs w:val="24"/>
                <w:highlight w:val="none"/>
                <w:u w:val="none"/>
              </w:rPr>
            </w:pPr>
          </w:p>
        </w:tc>
      </w:tr>
      <w:tr w14:paraId="07FC8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183" w:type="dxa"/>
            <w:vMerge w:val="continue"/>
            <w:tcBorders>
              <w:left w:val="single" w:color="000000" w:sz="8" w:space="0"/>
              <w:right w:val="single" w:color="000000" w:sz="8" w:space="0"/>
            </w:tcBorders>
            <w:noWrap w:val="0"/>
            <w:vAlign w:val="center"/>
          </w:tcPr>
          <w:p w14:paraId="50AF8AB6">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470BF54E">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四层</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7C42C7C9">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3EACD724">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2627.01</w:t>
            </w: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27D4FCB3">
            <w:pPr>
              <w:keepNext w:val="0"/>
              <w:keepLines w:val="0"/>
              <w:widowControl/>
              <w:suppressLineNumbers w:val="0"/>
              <w:spacing w:line="240" w:lineRule="auto"/>
              <w:jc w:val="center"/>
              <w:textAlignment w:val="center"/>
              <w:rPr>
                <w:rFonts w:hint="default"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1岗+检验科1岗</w:t>
            </w:r>
          </w:p>
        </w:tc>
      </w:tr>
      <w:tr w14:paraId="6E614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83" w:type="dxa"/>
            <w:vMerge w:val="continue"/>
            <w:tcBorders>
              <w:left w:val="single" w:color="000000" w:sz="8" w:space="0"/>
              <w:right w:val="single" w:color="000000" w:sz="8" w:space="0"/>
            </w:tcBorders>
            <w:noWrap w:val="0"/>
            <w:vAlign w:val="center"/>
          </w:tcPr>
          <w:p w14:paraId="550C873C">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41C7C8E3">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五层</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41923AAF">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64114169">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1409.88</w:t>
            </w: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1818F772">
            <w:pPr>
              <w:spacing w:line="240" w:lineRule="auto"/>
              <w:jc w:val="center"/>
              <w:rPr>
                <w:rFonts w:hint="eastAsia" w:ascii="仿宋" w:hAnsi="仿宋" w:eastAsia="仿宋" w:cs="仿宋"/>
                <w:i w:val="0"/>
                <w:iCs w:val="0"/>
                <w:color w:val="000000"/>
                <w:sz w:val="24"/>
                <w:szCs w:val="24"/>
                <w:highlight w:val="none"/>
                <w:u w:val="none"/>
              </w:rPr>
            </w:pPr>
          </w:p>
        </w:tc>
      </w:tr>
      <w:tr w14:paraId="7734E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trPr>
        <w:tc>
          <w:tcPr>
            <w:tcW w:w="1183" w:type="dxa"/>
            <w:vMerge w:val="continue"/>
            <w:tcBorders>
              <w:left w:val="single" w:color="000000" w:sz="8" w:space="0"/>
              <w:right w:val="single" w:color="000000" w:sz="8" w:space="0"/>
            </w:tcBorders>
            <w:noWrap w:val="0"/>
            <w:vAlign w:val="center"/>
          </w:tcPr>
          <w:p w14:paraId="50E777F6">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7BA311E8">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六层</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2CAD355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6683665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1409.88</w:t>
            </w: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3B97871E">
            <w:pPr>
              <w:keepNext w:val="0"/>
              <w:keepLines w:val="0"/>
              <w:widowControl/>
              <w:suppressLineNumbers w:val="0"/>
              <w:spacing w:line="240" w:lineRule="auto"/>
              <w:jc w:val="center"/>
              <w:textAlignment w:val="center"/>
              <w:rPr>
                <w:rFonts w:hint="default"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眼科1岗+口腔科1岗</w:t>
            </w:r>
          </w:p>
        </w:tc>
      </w:tr>
      <w:tr w14:paraId="1EB1A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3" w:type="dxa"/>
            <w:vMerge w:val="continue"/>
            <w:tcBorders>
              <w:left w:val="single" w:color="000000" w:sz="8" w:space="0"/>
              <w:right w:val="single" w:color="000000" w:sz="8" w:space="0"/>
            </w:tcBorders>
            <w:noWrap w:val="0"/>
            <w:vAlign w:val="center"/>
          </w:tcPr>
          <w:p w14:paraId="4837FF62">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50D6F5E4">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七层</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38A71852">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3CC049E9">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1409.88</w:t>
            </w: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6927E00B">
            <w:pPr>
              <w:spacing w:line="240" w:lineRule="auto"/>
              <w:jc w:val="center"/>
              <w:rPr>
                <w:rFonts w:hint="eastAsia" w:ascii="仿宋" w:hAnsi="仿宋" w:eastAsia="仿宋" w:cs="仿宋"/>
                <w:i w:val="0"/>
                <w:iCs w:val="0"/>
                <w:color w:val="000000"/>
                <w:sz w:val="24"/>
                <w:szCs w:val="24"/>
                <w:highlight w:val="none"/>
                <w:u w:val="none"/>
              </w:rPr>
            </w:pPr>
          </w:p>
        </w:tc>
      </w:tr>
      <w:tr w14:paraId="45D9A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1183" w:type="dxa"/>
            <w:vMerge w:val="continue"/>
            <w:tcBorders>
              <w:left w:val="single" w:color="000000" w:sz="8" w:space="0"/>
              <w:right w:val="single" w:color="000000" w:sz="8" w:space="0"/>
            </w:tcBorders>
            <w:noWrap w:val="0"/>
            <w:vAlign w:val="center"/>
          </w:tcPr>
          <w:p w14:paraId="3A6EAB43">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4D4FE5F8">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八层</w:t>
            </w:r>
          </w:p>
        </w:tc>
        <w:tc>
          <w:tcPr>
            <w:tcW w:w="1036" w:type="dxa"/>
            <w:vMerge w:val="restart"/>
            <w:tcBorders>
              <w:top w:val="single" w:color="000000" w:sz="8" w:space="0"/>
              <w:left w:val="single" w:color="000000" w:sz="8" w:space="0"/>
              <w:bottom w:val="single" w:color="000000" w:sz="8" w:space="0"/>
              <w:right w:val="single" w:color="000000" w:sz="8" w:space="0"/>
            </w:tcBorders>
            <w:noWrap w:val="0"/>
            <w:vAlign w:val="center"/>
          </w:tcPr>
          <w:p w14:paraId="02A5475C">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528" w:type="dxa"/>
            <w:vMerge w:val="restart"/>
            <w:tcBorders>
              <w:top w:val="single" w:color="000000" w:sz="8" w:space="0"/>
              <w:left w:val="single" w:color="000000" w:sz="8" w:space="0"/>
              <w:right w:val="single" w:color="000000" w:sz="8" w:space="0"/>
            </w:tcBorders>
            <w:noWrap w:val="0"/>
            <w:vAlign w:val="center"/>
          </w:tcPr>
          <w:p w14:paraId="05059F04">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1409.88</w:t>
            </w:r>
          </w:p>
        </w:tc>
        <w:tc>
          <w:tcPr>
            <w:tcW w:w="3736" w:type="dxa"/>
            <w:vMerge w:val="restart"/>
            <w:tcBorders>
              <w:top w:val="single" w:color="000000" w:sz="8" w:space="0"/>
              <w:left w:val="single" w:color="000000" w:sz="8" w:space="0"/>
              <w:right w:val="single" w:color="000000" w:sz="8" w:space="0"/>
            </w:tcBorders>
            <w:noWrap w:val="0"/>
            <w:vAlign w:val="center"/>
          </w:tcPr>
          <w:p w14:paraId="07096B13">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九层负责楼梯楼道清扫</w:t>
            </w:r>
          </w:p>
        </w:tc>
      </w:tr>
      <w:tr w14:paraId="77D01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1183" w:type="dxa"/>
            <w:vMerge w:val="continue"/>
            <w:tcBorders>
              <w:left w:val="single" w:color="000000" w:sz="8" w:space="0"/>
              <w:right w:val="single" w:color="000000" w:sz="8" w:space="0"/>
            </w:tcBorders>
            <w:noWrap w:val="0"/>
            <w:vAlign w:val="center"/>
          </w:tcPr>
          <w:p w14:paraId="6C585BDB">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71370ABA">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九层</w:t>
            </w:r>
          </w:p>
        </w:tc>
        <w:tc>
          <w:tcPr>
            <w:tcW w:w="1036" w:type="dxa"/>
            <w:vMerge w:val="continue"/>
            <w:tcBorders>
              <w:top w:val="single" w:color="000000" w:sz="8" w:space="0"/>
              <w:left w:val="single" w:color="000000" w:sz="8" w:space="0"/>
              <w:bottom w:val="single" w:color="000000" w:sz="8" w:space="0"/>
              <w:right w:val="single" w:color="000000" w:sz="8" w:space="0"/>
            </w:tcBorders>
            <w:noWrap w:val="0"/>
            <w:vAlign w:val="center"/>
          </w:tcPr>
          <w:p w14:paraId="6C94E1AC">
            <w:pPr>
              <w:spacing w:line="240" w:lineRule="auto"/>
              <w:jc w:val="center"/>
              <w:rPr>
                <w:rFonts w:hint="eastAsia" w:ascii="仿宋" w:hAnsi="仿宋" w:eastAsia="仿宋" w:cs="仿宋"/>
                <w:i w:val="0"/>
                <w:iCs w:val="0"/>
                <w:color w:val="000000"/>
                <w:sz w:val="24"/>
                <w:szCs w:val="24"/>
                <w:highlight w:val="none"/>
                <w:u w:val="none"/>
              </w:rPr>
            </w:pPr>
          </w:p>
        </w:tc>
        <w:tc>
          <w:tcPr>
            <w:tcW w:w="1528" w:type="dxa"/>
            <w:vMerge w:val="continue"/>
            <w:tcBorders>
              <w:left w:val="single" w:color="000000" w:sz="8" w:space="0"/>
              <w:bottom w:val="single" w:color="000000" w:sz="8" w:space="0"/>
              <w:right w:val="single" w:color="000000" w:sz="8" w:space="0"/>
            </w:tcBorders>
            <w:noWrap w:val="0"/>
            <w:vAlign w:val="center"/>
          </w:tcPr>
          <w:p w14:paraId="6056CAED">
            <w:pPr>
              <w:spacing w:line="240" w:lineRule="auto"/>
              <w:jc w:val="center"/>
              <w:rPr>
                <w:rFonts w:hint="eastAsia" w:ascii="仿宋" w:hAnsi="仿宋" w:eastAsia="仿宋" w:cs="仿宋"/>
                <w:i w:val="0"/>
                <w:iCs w:val="0"/>
                <w:color w:val="000000"/>
                <w:sz w:val="24"/>
                <w:szCs w:val="24"/>
                <w:highlight w:val="none"/>
                <w:u w:val="none"/>
              </w:rPr>
            </w:pPr>
          </w:p>
        </w:tc>
        <w:tc>
          <w:tcPr>
            <w:tcW w:w="3736" w:type="dxa"/>
            <w:vMerge w:val="continue"/>
            <w:tcBorders>
              <w:left w:val="single" w:color="000000" w:sz="8" w:space="0"/>
              <w:bottom w:val="single" w:color="000000" w:sz="8" w:space="0"/>
              <w:right w:val="single" w:color="000000" w:sz="8" w:space="0"/>
            </w:tcBorders>
            <w:noWrap w:val="0"/>
            <w:vAlign w:val="center"/>
          </w:tcPr>
          <w:p w14:paraId="1BEF304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p>
        </w:tc>
      </w:tr>
      <w:tr w14:paraId="21FD8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183" w:type="dxa"/>
            <w:vMerge w:val="continue"/>
            <w:tcBorders>
              <w:left w:val="single" w:color="000000" w:sz="8" w:space="0"/>
              <w:bottom w:val="single" w:color="000000" w:sz="8" w:space="0"/>
              <w:right w:val="single" w:color="000000" w:sz="8" w:space="0"/>
            </w:tcBorders>
            <w:noWrap w:val="0"/>
            <w:vAlign w:val="center"/>
          </w:tcPr>
          <w:p w14:paraId="0ED8A980">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780982F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手术室</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30350932">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7A12D84C">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707DB8DE">
            <w:pPr>
              <w:spacing w:line="240" w:lineRule="auto"/>
              <w:jc w:val="both"/>
              <w:rPr>
                <w:rFonts w:hint="default" w:ascii="仿宋" w:hAnsi="仿宋" w:eastAsia="仿宋" w:cs="仿宋"/>
                <w:i w:val="0"/>
                <w:iCs w:val="0"/>
                <w:color w:val="000000"/>
                <w:sz w:val="24"/>
                <w:szCs w:val="24"/>
                <w:highlight w:val="none"/>
                <w:u w:val="none"/>
                <w:lang w:val="en-US" w:eastAsia="zh-CN"/>
              </w:rPr>
            </w:pPr>
          </w:p>
        </w:tc>
      </w:tr>
      <w:tr w14:paraId="779F3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183" w:type="dxa"/>
            <w:tcBorders>
              <w:top w:val="single" w:color="000000" w:sz="8" w:space="0"/>
              <w:left w:val="single" w:color="000000" w:sz="8" w:space="0"/>
              <w:bottom w:val="single" w:color="000000" w:sz="8" w:space="0"/>
              <w:right w:val="single" w:color="000000" w:sz="8" w:space="0"/>
            </w:tcBorders>
            <w:noWrap w:val="0"/>
            <w:vAlign w:val="center"/>
          </w:tcPr>
          <w:p w14:paraId="522198A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感染科</w:t>
            </w: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0F311F9F">
            <w:pPr>
              <w:spacing w:line="240" w:lineRule="auto"/>
              <w:jc w:val="center"/>
              <w:rPr>
                <w:rFonts w:hint="eastAsia" w:ascii="仿宋" w:hAnsi="仿宋" w:eastAsia="仿宋" w:cs="仿宋"/>
                <w:i w:val="0"/>
                <w:iCs w:val="0"/>
                <w:color w:val="000000"/>
                <w:sz w:val="24"/>
                <w:szCs w:val="24"/>
                <w:highlight w:val="none"/>
                <w:u w:val="none"/>
              </w:rPr>
            </w:pP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60D04C8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376327E8">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6E55CBF1">
            <w:pPr>
              <w:spacing w:line="240" w:lineRule="auto"/>
              <w:jc w:val="center"/>
              <w:rPr>
                <w:rFonts w:hint="default"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药库楼东侧</w:t>
            </w:r>
          </w:p>
        </w:tc>
      </w:tr>
      <w:tr w14:paraId="5808C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1183" w:type="dxa"/>
            <w:tcBorders>
              <w:top w:val="single" w:color="000000" w:sz="8" w:space="0"/>
              <w:left w:val="single" w:color="000000" w:sz="8" w:space="0"/>
              <w:bottom w:val="single" w:color="000000" w:sz="8" w:space="0"/>
              <w:right w:val="single" w:color="000000" w:sz="8" w:space="0"/>
            </w:tcBorders>
            <w:noWrap w:val="0"/>
            <w:vAlign w:val="center"/>
          </w:tcPr>
          <w:p w14:paraId="7A8EAC93">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120急诊</w:t>
            </w: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47A536D4">
            <w:pPr>
              <w:spacing w:line="240" w:lineRule="auto"/>
              <w:jc w:val="both"/>
              <w:rPr>
                <w:rFonts w:hint="eastAsia" w:ascii="仿宋" w:hAnsi="仿宋" w:eastAsia="仿宋" w:cs="仿宋"/>
                <w:b/>
                <w:bCs/>
                <w:i w:val="0"/>
                <w:iCs w:val="0"/>
                <w:color w:val="000000"/>
                <w:sz w:val="24"/>
                <w:szCs w:val="24"/>
                <w:highlight w:val="none"/>
                <w:u w:val="none"/>
              </w:rPr>
            </w:pP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702B967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76312BF4">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329D7A06">
            <w:pPr>
              <w:keepNext w:val="0"/>
              <w:keepLines w:val="0"/>
              <w:widowControl/>
              <w:suppressLineNumbers w:val="0"/>
              <w:spacing w:line="240" w:lineRule="auto"/>
              <w:jc w:val="center"/>
              <w:textAlignment w:val="center"/>
              <w:rPr>
                <w:rFonts w:hint="default"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药库楼二层西侧</w:t>
            </w:r>
          </w:p>
        </w:tc>
      </w:tr>
      <w:tr w14:paraId="4D2BA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7" w:hRule="atLeast"/>
        </w:trPr>
        <w:tc>
          <w:tcPr>
            <w:tcW w:w="1183" w:type="dxa"/>
            <w:tcBorders>
              <w:top w:val="single" w:color="000000" w:sz="8" w:space="0"/>
              <w:left w:val="single" w:color="000000" w:sz="8" w:space="0"/>
              <w:bottom w:val="single" w:color="000000" w:sz="8" w:space="0"/>
              <w:right w:val="single" w:color="000000" w:sz="8" w:space="0"/>
            </w:tcBorders>
            <w:noWrap w:val="0"/>
            <w:vAlign w:val="center"/>
          </w:tcPr>
          <w:p w14:paraId="61B76F7D">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综合</w:t>
            </w:r>
          </w:p>
          <w:p w14:paraId="7DF5B6F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服务楼</w:t>
            </w: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0679A05C">
            <w:pPr>
              <w:spacing w:line="240" w:lineRule="auto"/>
              <w:jc w:val="center"/>
              <w:rPr>
                <w:rFonts w:hint="eastAsia" w:ascii="仿宋" w:hAnsi="仿宋" w:eastAsia="仿宋" w:cs="仿宋"/>
                <w:i w:val="0"/>
                <w:iCs w:val="0"/>
                <w:color w:val="000000"/>
                <w:sz w:val="24"/>
                <w:szCs w:val="24"/>
                <w:highlight w:val="none"/>
                <w:u w:val="none"/>
              </w:rPr>
            </w:pP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2F44B7E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2F593C0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3386.52</w:t>
            </w: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3B078D67">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办公楼公共区域、病案室、</w:t>
            </w:r>
          </w:p>
          <w:p w14:paraId="72AB238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安全科、信息科</w:t>
            </w:r>
          </w:p>
        </w:tc>
      </w:tr>
      <w:tr w14:paraId="61EF2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1183" w:type="dxa"/>
            <w:tcBorders>
              <w:top w:val="single" w:color="000000" w:sz="8" w:space="0"/>
              <w:left w:val="single" w:color="000000" w:sz="8" w:space="0"/>
              <w:bottom w:val="single" w:color="000000" w:sz="8" w:space="0"/>
              <w:right w:val="single" w:color="000000" w:sz="8" w:space="0"/>
            </w:tcBorders>
            <w:noWrap w:val="0"/>
            <w:vAlign w:val="center"/>
          </w:tcPr>
          <w:p w14:paraId="558252F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体检中心</w:t>
            </w: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5DB503F8">
            <w:pPr>
              <w:spacing w:line="240" w:lineRule="auto"/>
              <w:jc w:val="both"/>
              <w:rPr>
                <w:rFonts w:hint="eastAsia" w:ascii="仿宋" w:hAnsi="仿宋" w:eastAsia="仿宋" w:cs="仿宋"/>
                <w:i w:val="0"/>
                <w:iCs w:val="0"/>
                <w:color w:val="000000"/>
                <w:sz w:val="24"/>
                <w:szCs w:val="24"/>
                <w:highlight w:val="none"/>
                <w:u w:val="none"/>
              </w:rPr>
            </w:pP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5324D7A6">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6F018450">
            <w:pPr>
              <w:keepNext w:val="0"/>
              <w:keepLines w:val="0"/>
              <w:widowControl/>
              <w:suppressLineNumbers w:val="0"/>
              <w:spacing w:line="240" w:lineRule="auto"/>
              <w:jc w:val="center"/>
              <w:textAlignment w:val="center"/>
              <w:rPr>
                <w:rFonts w:hint="default"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1990.08</w:t>
            </w: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5A5044DE">
            <w:pPr>
              <w:keepNext w:val="0"/>
              <w:keepLines w:val="0"/>
              <w:widowControl/>
              <w:suppressLineNumbers w:val="0"/>
              <w:spacing w:line="240" w:lineRule="auto"/>
              <w:jc w:val="center"/>
              <w:textAlignment w:val="center"/>
              <w:rPr>
                <w:rFonts w:hint="default"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负责走廊、卫生间等公共区域</w:t>
            </w:r>
          </w:p>
        </w:tc>
      </w:tr>
      <w:tr w14:paraId="700C9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1183" w:type="dxa"/>
            <w:tcBorders>
              <w:top w:val="single" w:color="000000" w:sz="8" w:space="0"/>
              <w:left w:val="single" w:color="000000" w:sz="8" w:space="0"/>
              <w:bottom w:val="single" w:color="000000" w:sz="8" w:space="0"/>
              <w:right w:val="single" w:color="000000" w:sz="8" w:space="0"/>
            </w:tcBorders>
            <w:noWrap w:val="0"/>
            <w:vAlign w:val="center"/>
          </w:tcPr>
          <w:p w14:paraId="23DB4A37">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其他</w:t>
            </w: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76DCCC53">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庭院清扫</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4CB3CC26">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6C93128F">
            <w:pPr>
              <w:spacing w:line="240" w:lineRule="auto"/>
              <w:jc w:val="center"/>
              <w:rPr>
                <w:rFonts w:hint="eastAsia" w:ascii="仿宋" w:hAnsi="仿宋" w:eastAsia="仿宋" w:cs="仿宋"/>
                <w:i/>
                <w:iCs/>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1EA3DCBD">
            <w:pPr>
              <w:keepNext w:val="0"/>
              <w:keepLines w:val="0"/>
              <w:widowControl/>
              <w:suppressLineNumbers w:val="0"/>
              <w:spacing w:line="240" w:lineRule="auto"/>
              <w:jc w:val="center"/>
              <w:textAlignment w:val="center"/>
              <w:rPr>
                <w:rFonts w:hint="default"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扫院2人+绿化1人</w:t>
            </w:r>
          </w:p>
        </w:tc>
      </w:tr>
      <w:tr w14:paraId="621B7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1" w:hRule="atLeast"/>
        </w:trPr>
        <w:tc>
          <w:tcPr>
            <w:tcW w:w="1183" w:type="dxa"/>
            <w:vMerge w:val="restart"/>
            <w:tcBorders>
              <w:top w:val="single" w:color="000000" w:sz="8" w:space="0"/>
              <w:left w:val="single" w:color="000000" w:sz="8" w:space="0"/>
              <w:right w:val="single" w:color="000000" w:sz="8" w:space="0"/>
            </w:tcBorders>
            <w:noWrap w:val="0"/>
            <w:vAlign w:val="center"/>
          </w:tcPr>
          <w:p w14:paraId="7B396E57">
            <w:pPr>
              <w:spacing w:line="240" w:lineRule="auto"/>
              <w:jc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其他</w:t>
            </w: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1A1EE3AB">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毛巾地巾清洗消毒</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26911E6A">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424D2821">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2A375454">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总院“一桌一巾”消毒，可拆卸拖布头清洗</w:t>
            </w:r>
          </w:p>
        </w:tc>
      </w:tr>
      <w:tr w14:paraId="1C108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183" w:type="dxa"/>
            <w:vMerge w:val="continue"/>
            <w:tcBorders>
              <w:left w:val="single" w:color="000000" w:sz="8" w:space="0"/>
              <w:right w:val="single" w:color="000000" w:sz="8" w:space="0"/>
            </w:tcBorders>
            <w:noWrap w:val="0"/>
            <w:vAlign w:val="center"/>
          </w:tcPr>
          <w:p w14:paraId="5EBD5092">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117CF0E8">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家属区</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0C8F0C8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0DDFDBE6">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30F0DE5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负责楼道和庭院卫生</w:t>
            </w:r>
          </w:p>
        </w:tc>
      </w:tr>
      <w:tr w14:paraId="5B86D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5" w:hRule="atLeast"/>
        </w:trPr>
        <w:tc>
          <w:tcPr>
            <w:tcW w:w="1183" w:type="dxa"/>
            <w:vMerge w:val="continue"/>
            <w:tcBorders>
              <w:left w:val="single" w:color="000000" w:sz="8" w:space="0"/>
              <w:right w:val="single" w:color="000000" w:sz="8" w:space="0"/>
            </w:tcBorders>
            <w:noWrap w:val="0"/>
            <w:vAlign w:val="center"/>
          </w:tcPr>
          <w:p w14:paraId="582BE1EA">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4396BB9C">
            <w:pPr>
              <w:keepNext w:val="0"/>
              <w:keepLines w:val="0"/>
              <w:widowControl/>
              <w:suppressLineNumbers w:val="0"/>
              <w:spacing w:line="240" w:lineRule="auto"/>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医疗垃圾转运</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70AB08CA">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0243D792">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20B5E3FD">
            <w:pPr>
              <w:spacing w:line="240" w:lineRule="auto"/>
              <w:jc w:val="center"/>
              <w:rPr>
                <w:rFonts w:hint="eastAsia" w:ascii="仿宋" w:hAnsi="仿宋" w:eastAsia="仿宋" w:cs="仿宋"/>
                <w:i w:val="0"/>
                <w:iCs w:val="0"/>
                <w:color w:val="000000"/>
                <w:sz w:val="24"/>
                <w:szCs w:val="24"/>
                <w:highlight w:val="none"/>
                <w:u w:val="none"/>
              </w:rPr>
            </w:pPr>
          </w:p>
        </w:tc>
      </w:tr>
      <w:tr w14:paraId="2706D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trPr>
        <w:tc>
          <w:tcPr>
            <w:tcW w:w="1183" w:type="dxa"/>
            <w:vMerge w:val="continue"/>
            <w:tcBorders>
              <w:left w:val="single" w:color="000000" w:sz="8" w:space="0"/>
              <w:right w:val="single" w:color="000000" w:sz="8" w:space="0"/>
            </w:tcBorders>
            <w:noWrap w:val="0"/>
            <w:vAlign w:val="center"/>
          </w:tcPr>
          <w:p w14:paraId="7FFEE584">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601A9823">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夜班</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3C8F375D">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745EAAD0">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2D7B5AC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负责夜间门急诊相关科室及收费、检验等服务窗口等处的公共区域</w:t>
            </w:r>
          </w:p>
        </w:tc>
      </w:tr>
      <w:tr w14:paraId="43B9F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183" w:type="dxa"/>
            <w:vMerge w:val="continue"/>
            <w:tcBorders>
              <w:left w:val="single" w:color="000000" w:sz="8" w:space="0"/>
              <w:bottom w:val="single" w:color="000000" w:sz="8" w:space="0"/>
              <w:right w:val="single" w:color="000000" w:sz="8" w:space="0"/>
            </w:tcBorders>
            <w:noWrap w:val="0"/>
            <w:vAlign w:val="center"/>
          </w:tcPr>
          <w:p w14:paraId="11276315">
            <w:pPr>
              <w:spacing w:line="240" w:lineRule="auto"/>
              <w:jc w:val="center"/>
              <w:rPr>
                <w:rFonts w:hint="eastAsia" w:ascii="仿宋" w:hAnsi="仿宋" w:eastAsia="仿宋" w:cs="仿宋"/>
                <w:i w:val="0"/>
                <w:iCs w:val="0"/>
                <w:color w:val="000000"/>
                <w:sz w:val="24"/>
                <w:szCs w:val="24"/>
                <w:highlight w:val="none"/>
                <w:u w:val="none"/>
                <w:lang w:val="en-US" w:eastAsia="zh-CN"/>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3890569D">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躯体一科</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33FAF545">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608AE530">
            <w:pPr>
              <w:spacing w:line="240" w:lineRule="auto"/>
              <w:jc w:val="center"/>
              <w:rPr>
                <w:rFonts w:hint="default" w:ascii="仿宋" w:hAnsi="仿宋" w:eastAsia="仿宋" w:cs="仿宋"/>
                <w:i w:val="0"/>
                <w:iCs w:val="0"/>
                <w:color w:val="000000"/>
                <w:sz w:val="24"/>
                <w:szCs w:val="24"/>
                <w:highlight w:val="none"/>
                <w:u w:val="none"/>
                <w:lang w:val="en-US"/>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0F0FB2A6">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r>
      <w:tr w14:paraId="01FCB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183" w:type="dxa"/>
            <w:vMerge w:val="continue"/>
            <w:tcBorders>
              <w:left w:val="single" w:color="000000" w:sz="8" w:space="0"/>
              <w:bottom w:val="single" w:color="000000" w:sz="8" w:space="0"/>
              <w:right w:val="single" w:color="000000" w:sz="8" w:space="0"/>
            </w:tcBorders>
            <w:noWrap w:val="0"/>
            <w:vAlign w:val="center"/>
          </w:tcPr>
          <w:p w14:paraId="1F0813B3">
            <w:pPr>
              <w:spacing w:line="240" w:lineRule="auto"/>
              <w:jc w:val="center"/>
              <w:rPr>
                <w:rFonts w:hint="eastAsia" w:ascii="仿宋" w:hAnsi="仿宋" w:eastAsia="仿宋" w:cs="仿宋"/>
                <w:i w:val="0"/>
                <w:iCs w:val="0"/>
                <w:color w:val="000000"/>
                <w:sz w:val="24"/>
                <w:szCs w:val="24"/>
                <w:highlight w:val="none"/>
                <w:u w:val="none"/>
                <w:lang w:val="en-US" w:eastAsia="zh-CN"/>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3731880D">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供应室</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597B6EEF">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7B0D02AD">
            <w:pPr>
              <w:spacing w:line="240" w:lineRule="auto"/>
              <w:jc w:val="center"/>
              <w:rPr>
                <w:rFonts w:hint="default" w:ascii="仿宋" w:hAnsi="仿宋" w:eastAsia="仿宋" w:cs="仿宋"/>
                <w:i w:val="0"/>
                <w:iCs w:val="0"/>
                <w:color w:val="000000"/>
                <w:sz w:val="24"/>
                <w:szCs w:val="24"/>
                <w:highlight w:val="none"/>
                <w:u w:val="none"/>
                <w:lang w:val="en-US"/>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15593937">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4"/>
                <w:szCs w:val="24"/>
                <w:highlight w:val="none"/>
                <w:u w:val="none"/>
                <w:lang w:val="en-US" w:eastAsia="zh-CN" w:bidi="ar"/>
              </w:rPr>
            </w:pPr>
          </w:p>
        </w:tc>
      </w:tr>
      <w:tr w14:paraId="0364B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183" w:type="dxa"/>
            <w:vMerge w:val="continue"/>
            <w:tcBorders>
              <w:left w:val="single" w:color="000000" w:sz="8" w:space="0"/>
              <w:bottom w:val="single" w:color="000000" w:sz="8" w:space="0"/>
              <w:right w:val="single" w:color="000000" w:sz="8" w:space="0"/>
            </w:tcBorders>
            <w:noWrap w:val="0"/>
            <w:vAlign w:val="center"/>
          </w:tcPr>
          <w:p w14:paraId="6AF121B0">
            <w:pPr>
              <w:spacing w:line="240" w:lineRule="auto"/>
              <w:jc w:val="center"/>
              <w:rPr>
                <w:rFonts w:hint="default"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骨伤楼</w:t>
            </w: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253111FC">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骨伤楼</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23F4F7DC">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0254378F">
            <w:pPr>
              <w:spacing w:line="240" w:lineRule="auto"/>
              <w:jc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公共区域</w:t>
            </w: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45EC83CF">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包括骨伤楼一层诊室及病房</w:t>
            </w:r>
          </w:p>
        </w:tc>
      </w:tr>
      <w:tr w14:paraId="5FD99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183" w:type="dxa"/>
            <w:vMerge w:val="continue"/>
            <w:tcBorders>
              <w:left w:val="single" w:color="000000" w:sz="8" w:space="0"/>
              <w:bottom w:val="single" w:color="000000" w:sz="8" w:space="0"/>
              <w:right w:val="single" w:color="000000" w:sz="8" w:space="0"/>
            </w:tcBorders>
            <w:noWrap w:val="0"/>
            <w:vAlign w:val="center"/>
          </w:tcPr>
          <w:p w14:paraId="23190CFD">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628E7ACB">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主管/组长</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28A129D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6EF385FB">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274DD2EB">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主管1人+组长2人　</w:t>
            </w:r>
          </w:p>
        </w:tc>
      </w:tr>
      <w:tr w14:paraId="6F0E3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1183" w:type="dxa"/>
            <w:vMerge w:val="restart"/>
            <w:tcBorders>
              <w:top w:val="single" w:color="000000" w:sz="8" w:space="0"/>
              <w:left w:val="single" w:color="000000" w:sz="8" w:space="0"/>
              <w:right w:val="single" w:color="000000" w:sz="8" w:space="0"/>
            </w:tcBorders>
            <w:noWrap w:val="0"/>
            <w:vAlign w:val="center"/>
          </w:tcPr>
          <w:p w14:paraId="1123F1C9">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住院楼</w:t>
            </w: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75B00977">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地下一层</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0EFC6A5E">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4142AD71">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59B7B999">
            <w:pPr>
              <w:spacing w:line="240" w:lineRule="auto"/>
              <w:jc w:val="center"/>
              <w:rPr>
                <w:rFonts w:hint="eastAsia" w:ascii="仿宋" w:hAnsi="仿宋" w:eastAsia="仿宋" w:cs="仿宋"/>
                <w:i w:val="0"/>
                <w:iCs w:val="0"/>
                <w:color w:val="000000"/>
                <w:sz w:val="24"/>
                <w:szCs w:val="24"/>
                <w:highlight w:val="none"/>
                <w:u w:val="none"/>
              </w:rPr>
            </w:pPr>
          </w:p>
        </w:tc>
      </w:tr>
      <w:tr w14:paraId="48563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183" w:type="dxa"/>
            <w:vMerge w:val="continue"/>
            <w:tcBorders>
              <w:left w:val="single" w:color="000000" w:sz="8" w:space="0"/>
              <w:right w:val="single" w:color="000000" w:sz="8" w:space="0"/>
            </w:tcBorders>
            <w:noWrap w:val="0"/>
            <w:vAlign w:val="center"/>
          </w:tcPr>
          <w:p w14:paraId="49B3718F">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56E0019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地下二层</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4C030307">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7C417ED7">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52E2370E">
            <w:pPr>
              <w:spacing w:line="240" w:lineRule="auto"/>
              <w:jc w:val="center"/>
              <w:rPr>
                <w:rFonts w:hint="eastAsia" w:ascii="仿宋" w:hAnsi="仿宋" w:eastAsia="仿宋" w:cs="仿宋"/>
                <w:i w:val="0"/>
                <w:iCs w:val="0"/>
                <w:color w:val="000000"/>
                <w:sz w:val="24"/>
                <w:szCs w:val="24"/>
                <w:highlight w:val="none"/>
                <w:u w:val="none"/>
              </w:rPr>
            </w:pPr>
          </w:p>
        </w:tc>
      </w:tr>
      <w:tr w14:paraId="5BE24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3" w:type="dxa"/>
            <w:vMerge w:val="continue"/>
            <w:tcBorders>
              <w:left w:val="single" w:color="000000" w:sz="8" w:space="0"/>
              <w:right w:val="single" w:color="000000" w:sz="8" w:space="0"/>
            </w:tcBorders>
            <w:noWrap w:val="0"/>
            <w:vAlign w:val="center"/>
          </w:tcPr>
          <w:p w14:paraId="102B546F">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3BED4A6D">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一层大厅</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71A6234F">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136FBD2B">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4D8560EF">
            <w:pPr>
              <w:spacing w:line="240" w:lineRule="auto"/>
              <w:jc w:val="center"/>
              <w:rPr>
                <w:rFonts w:hint="eastAsia" w:ascii="仿宋" w:hAnsi="仿宋" w:eastAsia="仿宋" w:cs="仿宋"/>
                <w:i w:val="0"/>
                <w:iCs w:val="0"/>
                <w:color w:val="000000"/>
                <w:sz w:val="24"/>
                <w:szCs w:val="24"/>
                <w:highlight w:val="none"/>
                <w:u w:val="none"/>
              </w:rPr>
            </w:pPr>
          </w:p>
        </w:tc>
      </w:tr>
      <w:tr w14:paraId="6A393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183" w:type="dxa"/>
            <w:vMerge w:val="continue"/>
            <w:tcBorders>
              <w:left w:val="single" w:color="000000" w:sz="8" w:space="0"/>
              <w:right w:val="single" w:color="000000" w:sz="8" w:space="0"/>
            </w:tcBorders>
            <w:noWrap w:val="0"/>
            <w:vAlign w:val="center"/>
          </w:tcPr>
          <w:p w14:paraId="3802C48D">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6A814979">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透析室</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10A521F6">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6135E8AE">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1FBA4458">
            <w:pPr>
              <w:spacing w:line="240" w:lineRule="auto"/>
              <w:jc w:val="center"/>
              <w:rPr>
                <w:rFonts w:hint="eastAsia" w:ascii="仿宋" w:hAnsi="仿宋" w:eastAsia="仿宋" w:cs="仿宋"/>
                <w:i w:val="0"/>
                <w:iCs w:val="0"/>
                <w:color w:val="000000"/>
                <w:sz w:val="24"/>
                <w:szCs w:val="24"/>
                <w:highlight w:val="none"/>
                <w:u w:val="none"/>
              </w:rPr>
            </w:pPr>
          </w:p>
        </w:tc>
      </w:tr>
      <w:tr w14:paraId="12C1E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83" w:type="dxa"/>
            <w:vMerge w:val="continue"/>
            <w:tcBorders>
              <w:left w:val="single" w:color="000000" w:sz="8" w:space="0"/>
              <w:right w:val="single" w:color="000000" w:sz="8" w:space="0"/>
            </w:tcBorders>
            <w:noWrap w:val="0"/>
            <w:vAlign w:val="center"/>
          </w:tcPr>
          <w:p w14:paraId="5C20AD30">
            <w:pPr>
              <w:spacing w:line="240" w:lineRule="auto"/>
              <w:jc w:val="center"/>
              <w:rPr>
                <w:rFonts w:hint="eastAsia" w:ascii="仿宋" w:hAnsi="仿宋" w:eastAsia="仿宋" w:cs="仿宋"/>
                <w:i w:val="0"/>
                <w:iCs w:val="0"/>
                <w:color w:val="000000"/>
                <w:sz w:val="24"/>
                <w:szCs w:val="24"/>
                <w:highlight w:val="none"/>
                <w:u w:val="none"/>
                <w:lang w:val="en-US" w:eastAsia="zh-CN"/>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7FB4A344">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二层</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07BD9E63">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61FA6DF4">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5E8DBFC6">
            <w:pPr>
              <w:keepNext w:val="0"/>
              <w:keepLines w:val="0"/>
              <w:widowControl/>
              <w:suppressLineNumbers w:val="0"/>
              <w:spacing w:line="240" w:lineRule="auto"/>
              <w:jc w:val="center"/>
              <w:textAlignment w:val="center"/>
              <w:rPr>
                <w:rFonts w:hint="default"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儿科1岗，产房1岗，妇产科1岗</w:t>
            </w:r>
          </w:p>
        </w:tc>
      </w:tr>
      <w:tr w14:paraId="3B675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183" w:type="dxa"/>
            <w:vMerge w:val="continue"/>
            <w:tcBorders>
              <w:left w:val="single" w:color="000000" w:sz="8" w:space="0"/>
              <w:right w:val="single" w:color="000000" w:sz="8" w:space="0"/>
            </w:tcBorders>
            <w:noWrap w:val="0"/>
            <w:vAlign w:val="center"/>
          </w:tcPr>
          <w:p w14:paraId="4289FDE5">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7D460D6E">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三层</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68C4A304">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6B48D219">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3C969141">
            <w:pPr>
              <w:spacing w:line="240" w:lineRule="auto"/>
              <w:jc w:val="center"/>
              <w:rPr>
                <w:rFonts w:hint="eastAsia" w:ascii="仿宋" w:hAnsi="仿宋" w:eastAsia="仿宋" w:cs="仿宋"/>
                <w:i w:val="0"/>
                <w:iCs w:val="0"/>
                <w:color w:val="000000"/>
                <w:sz w:val="24"/>
                <w:szCs w:val="24"/>
                <w:highlight w:val="none"/>
                <w:u w:val="none"/>
              </w:rPr>
            </w:pPr>
          </w:p>
        </w:tc>
      </w:tr>
      <w:tr w14:paraId="1E984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183" w:type="dxa"/>
            <w:vMerge w:val="continue"/>
            <w:tcBorders>
              <w:left w:val="single" w:color="000000" w:sz="8" w:space="0"/>
              <w:right w:val="single" w:color="000000" w:sz="8" w:space="0"/>
            </w:tcBorders>
            <w:noWrap w:val="0"/>
            <w:vAlign w:val="center"/>
          </w:tcPr>
          <w:p w14:paraId="36E460F1">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629FCF6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四层</w:t>
            </w:r>
          </w:p>
        </w:tc>
        <w:tc>
          <w:tcPr>
            <w:tcW w:w="1036" w:type="dxa"/>
            <w:vMerge w:val="restart"/>
            <w:tcBorders>
              <w:top w:val="single" w:color="000000" w:sz="8" w:space="0"/>
              <w:left w:val="single" w:color="000000" w:sz="8" w:space="0"/>
              <w:bottom w:val="single" w:color="000000" w:sz="8" w:space="0"/>
              <w:right w:val="single" w:color="000000" w:sz="8" w:space="0"/>
            </w:tcBorders>
            <w:noWrap w:val="0"/>
            <w:vAlign w:val="center"/>
          </w:tcPr>
          <w:p w14:paraId="6BBAFFE7">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528" w:type="dxa"/>
            <w:vMerge w:val="restart"/>
            <w:tcBorders>
              <w:top w:val="single" w:color="000000" w:sz="8" w:space="0"/>
              <w:left w:val="single" w:color="000000" w:sz="8" w:space="0"/>
              <w:bottom w:val="single" w:color="000000" w:sz="8" w:space="0"/>
              <w:right w:val="single" w:color="000000" w:sz="8" w:space="0"/>
            </w:tcBorders>
            <w:noWrap w:val="0"/>
            <w:vAlign w:val="center"/>
          </w:tcPr>
          <w:p w14:paraId="18D93B3D">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3DB5FE4D">
            <w:pPr>
              <w:spacing w:line="240" w:lineRule="auto"/>
              <w:jc w:val="center"/>
              <w:rPr>
                <w:rFonts w:hint="eastAsia" w:ascii="仿宋" w:hAnsi="仿宋" w:eastAsia="仿宋" w:cs="仿宋"/>
                <w:i w:val="0"/>
                <w:iCs w:val="0"/>
                <w:color w:val="000000"/>
                <w:sz w:val="24"/>
                <w:szCs w:val="24"/>
                <w:highlight w:val="none"/>
                <w:u w:val="none"/>
              </w:rPr>
            </w:pPr>
          </w:p>
        </w:tc>
      </w:tr>
      <w:tr w14:paraId="635E0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1183" w:type="dxa"/>
            <w:vMerge w:val="continue"/>
            <w:tcBorders>
              <w:left w:val="single" w:color="000000" w:sz="8" w:space="0"/>
              <w:right w:val="single" w:color="000000" w:sz="8" w:space="0"/>
            </w:tcBorders>
            <w:noWrap w:val="0"/>
            <w:vAlign w:val="center"/>
          </w:tcPr>
          <w:p w14:paraId="3B67D02E">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49355652">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五层</w:t>
            </w:r>
          </w:p>
        </w:tc>
        <w:tc>
          <w:tcPr>
            <w:tcW w:w="1036" w:type="dxa"/>
            <w:vMerge w:val="continue"/>
            <w:tcBorders>
              <w:top w:val="single" w:color="000000" w:sz="8" w:space="0"/>
              <w:left w:val="single" w:color="000000" w:sz="8" w:space="0"/>
              <w:bottom w:val="single" w:color="000000" w:sz="8" w:space="0"/>
              <w:right w:val="single" w:color="000000" w:sz="8" w:space="0"/>
            </w:tcBorders>
            <w:noWrap w:val="0"/>
            <w:vAlign w:val="center"/>
          </w:tcPr>
          <w:p w14:paraId="5BD27C54">
            <w:pPr>
              <w:spacing w:line="240" w:lineRule="auto"/>
              <w:jc w:val="center"/>
              <w:rPr>
                <w:rFonts w:hint="eastAsia" w:ascii="仿宋" w:hAnsi="仿宋" w:eastAsia="仿宋" w:cs="仿宋"/>
                <w:i w:val="0"/>
                <w:iCs w:val="0"/>
                <w:color w:val="000000"/>
                <w:sz w:val="24"/>
                <w:szCs w:val="24"/>
                <w:highlight w:val="none"/>
                <w:u w:val="none"/>
              </w:rPr>
            </w:pPr>
          </w:p>
        </w:tc>
        <w:tc>
          <w:tcPr>
            <w:tcW w:w="1528" w:type="dxa"/>
            <w:vMerge w:val="continue"/>
            <w:tcBorders>
              <w:top w:val="single" w:color="000000" w:sz="8" w:space="0"/>
              <w:left w:val="single" w:color="000000" w:sz="8" w:space="0"/>
              <w:bottom w:val="single" w:color="000000" w:sz="8" w:space="0"/>
              <w:right w:val="single" w:color="000000" w:sz="8" w:space="0"/>
            </w:tcBorders>
            <w:noWrap w:val="0"/>
            <w:vAlign w:val="center"/>
          </w:tcPr>
          <w:p w14:paraId="011F8CB0">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114D7743">
            <w:pPr>
              <w:spacing w:line="240" w:lineRule="auto"/>
              <w:jc w:val="center"/>
              <w:rPr>
                <w:rFonts w:hint="eastAsia" w:ascii="仿宋" w:hAnsi="仿宋" w:eastAsia="仿宋" w:cs="仿宋"/>
                <w:i w:val="0"/>
                <w:iCs w:val="0"/>
                <w:color w:val="000000"/>
                <w:sz w:val="24"/>
                <w:szCs w:val="24"/>
                <w:highlight w:val="none"/>
                <w:u w:val="none"/>
              </w:rPr>
            </w:pPr>
          </w:p>
        </w:tc>
      </w:tr>
      <w:tr w14:paraId="63B9F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1183" w:type="dxa"/>
            <w:vMerge w:val="continue"/>
            <w:tcBorders>
              <w:left w:val="single" w:color="000000" w:sz="8" w:space="0"/>
              <w:right w:val="single" w:color="000000" w:sz="8" w:space="0"/>
            </w:tcBorders>
            <w:noWrap w:val="0"/>
            <w:vAlign w:val="center"/>
          </w:tcPr>
          <w:p w14:paraId="4AFD4170">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4B42829E">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六层</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7A85C1FA">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06AF20E9">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5CBDE452">
            <w:pPr>
              <w:spacing w:line="240" w:lineRule="auto"/>
              <w:jc w:val="center"/>
              <w:rPr>
                <w:rFonts w:hint="eastAsia" w:ascii="仿宋" w:hAnsi="仿宋" w:eastAsia="仿宋" w:cs="仿宋"/>
                <w:i w:val="0"/>
                <w:iCs w:val="0"/>
                <w:color w:val="000000"/>
                <w:sz w:val="24"/>
                <w:szCs w:val="24"/>
                <w:highlight w:val="none"/>
                <w:u w:val="none"/>
              </w:rPr>
            </w:pPr>
          </w:p>
        </w:tc>
      </w:tr>
      <w:tr w14:paraId="7B1D4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1183" w:type="dxa"/>
            <w:vMerge w:val="continue"/>
            <w:tcBorders>
              <w:left w:val="single" w:color="000000" w:sz="8" w:space="0"/>
              <w:right w:val="single" w:color="000000" w:sz="8" w:space="0"/>
            </w:tcBorders>
            <w:noWrap w:val="0"/>
            <w:vAlign w:val="center"/>
          </w:tcPr>
          <w:p w14:paraId="1A576F6A">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06BA9312">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七层</w:t>
            </w:r>
          </w:p>
        </w:tc>
        <w:tc>
          <w:tcPr>
            <w:tcW w:w="1036" w:type="dxa"/>
            <w:vMerge w:val="restart"/>
            <w:tcBorders>
              <w:top w:val="single" w:color="000000" w:sz="8" w:space="0"/>
              <w:left w:val="single" w:color="000000" w:sz="8" w:space="0"/>
              <w:bottom w:val="single" w:color="000000" w:sz="8" w:space="0"/>
              <w:right w:val="single" w:color="000000" w:sz="8" w:space="0"/>
            </w:tcBorders>
            <w:noWrap w:val="0"/>
            <w:vAlign w:val="center"/>
          </w:tcPr>
          <w:p w14:paraId="4F2E790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528" w:type="dxa"/>
            <w:vMerge w:val="restart"/>
            <w:tcBorders>
              <w:top w:val="single" w:color="000000" w:sz="8" w:space="0"/>
              <w:left w:val="single" w:color="000000" w:sz="8" w:space="0"/>
              <w:bottom w:val="single" w:color="000000" w:sz="8" w:space="0"/>
              <w:right w:val="single" w:color="000000" w:sz="8" w:space="0"/>
            </w:tcBorders>
            <w:noWrap w:val="0"/>
            <w:vAlign w:val="center"/>
          </w:tcPr>
          <w:p w14:paraId="14049405">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536AABAB">
            <w:pPr>
              <w:spacing w:line="240" w:lineRule="auto"/>
              <w:jc w:val="center"/>
              <w:rPr>
                <w:rFonts w:hint="eastAsia" w:ascii="仿宋" w:hAnsi="仿宋" w:eastAsia="仿宋" w:cs="仿宋"/>
                <w:i w:val="0"/>
                <w:iCs w:val="0"/>
                <w:color w:val="000000"/>
                <w:sz w:val="24"/>
                <w:szCs w:val="24"/>
                <w:highlight w:val="none"/>
                <w:u w:val="none"/>
              </w:rPr>
            </w:pPr>
          </w:p>
        </w:tc>
      </w:tr>
      <w:tr w14:paraId="6CB19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1183" w:type="dxa"/>
            <w:vMerge w:val="continue"/>
            <w:tcBorders>
              <w:left w:val="single" w:color="000000" w:sz="8" w:space="0"/>
              <w:right w:val="single" w:color="000000" w:sz="8" w:space="0"/>
            </w:tcBorders>
            <w:noWrap w:val="0"/>
            <w:vAlign w:val="center"/>
          </w:tcPr>
          <w:p w14:paraId="22E63DA9">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3A2CD1E6">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八层</w:t>
            </w:r>
          </w:p>
        </w:tc>
        <w:tc>
          <w:tcPr>
            <w:tcW w:w="1036" w:type="dxa"/>
            <w:vMerge w:val="continue"/>
            <w:tcBorders>
              <w:top w:val="single" w:color="000000" w:sz="8" w:space="0"/>
              <w:left w:val="single" w:color="000000" w:sz="8" w:space="0"/>
              <w:bottom w:val="single" w:color="000000" w:sz="8" w:space="0"/>
              <w:right w:val="single" w:color="000000" w:sz="8" w:space="0"/>
            </w:tcBorders>
            <w:noWrap w:val="0"/>
            <w:vAlign w:val="center"/>
          </w:tcPr>
          <w:p w14:paraId="32085C58">
            <w:pPr>
              <w:spacing w:line="240" w:lineRule="auto"/>
              <w:jc w:val="center"/>
              <w:rPr>
                <w:rFonts w:hint="eastAsia" w:ascii="仿宋" w:hAnsi="仿宋" w:eastAsia="仿宋" w:cs="仿宋"/>
                <w:i w:val="0"/>
                <w:iCs w:val="0"/>
                <w:color w:val="000000"/>
                <w:sz w:val="24"/>
                <w:szCs w:val="24"/>
                <w:highlight w:val="none"/>
                <w:u w:val="none"/>
              </w:rPr>
            </w:pPr>
          </w:p>
        </w:tc>
        <w:tc>
          <w:tcPr>
            <w:tcW w:w="1528" w:type="dxa"/>
            <w:vMerge w:val="continue"/>
            <w:tcBorders>
              <w:top w:val="single" w:color="000000" w:sz="8" w:space="0"/>
              <w:left w:val="single" w:color="000000" w:sz="8" w:space="0"/>
              <w:bottom w:val="single" w:color="000000" w:sz="8" w:space="0"/>
              <w:right w:val="single" w:color="000000" w:sz="8" w:space="0"/>
            </w:tcBorders>
            <w:noWrap w:val="0"/>
            <w:vAlign w:val="center"/>
          </w:tcPr>
          <w:p w14:paraId="37F60DD3">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3F8380BD">
            <w:pPr>
              <w:spacing w:line="240" w:lineRule="auto"/>
              <w:jc w:val="center"/>
              <w:rPr>
                <w:rFonts w:hint="eastAsia" w:ascii="仿宋" w:hAnsi="仿宋" w:eastAsia="仿宋" w:cs="仿宋"/>
                <w:i w:val="0"/>
                <w:iCs w:val="0"/>
                <w:color w:val="000000"/>
                <w:sz w:val="24"/>
                <w:szCs w:val="24"/>
                <w:highlight w:val="none"/>
                <w:u w:val="none"/>
              </w:rPr>
            </w:pPr>
          </w:p>
        </w:tc>
      </w:tr>
      <w:tr w14:paraId="388C5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1183" w:type="dxa"/>
            <w:vMerge w:val="continue"/>
            <w:tcBorders>
              <w:left w:val="single" w:color="000000" w:sz="8" w:space="0"/>
              <w:right w:val="single" w:color="000000" w:sz="8" w:space="0"/>
            </w:tcBorders>
            <w:noWrap w:val="0"/>
            <w:vAlign w:val="center"/>
          </w:tcPr>
          <w:p w14:paraId="7056D23E">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20751BDC">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十层</w:t>
            </w: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454F63AF">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228C6CAA">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30D2B7A3">
            <w:pPr>
              <w:spacing w:line="240" w:lineRule="auto"/>
              <w:jc w:val="center"/>
              <w:rPr>
                <w:rFonts w:hint="eastAsia" w:ascii="仿宋" w:hAnsi="仿宋" w:eastAsia="仿宋" w:cs="仿宋"/>
                <w:i w:val="0"/>
                <w:iCs w:val="0"/>
                <w:color w:val="000000"/>
                <w:sz w:val="24"/>
                <w:szCs w:val="24"/>
                <w:highlight w:val="none"/>
                <w:u w:val="none"/>
              </w:rPr>
            </w:pPr>
          </w:p>
        </w:tc>
      </w:tr>
      <w:tr w14:paraId="4D3B1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183" w:type="dxa"/>
            <w:vMerge w:val="continue"/>
            <w:tcBorders>
              <w:left w:val="single" w:color="000000" w:sz="8" w:space="0"/>
              <w:right w:val="single" w:color="000000" w:sz="8" w:space="0"/>
            </w:tcBorders>
            <w:noWrap w:val="0"/>
            <w:vAlign w:val="center"/>
          </w:tcPr>
          <w:p w14:paraId="12A6CB0E">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06CA984B">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九层</w:t>
            </w:r>
          </w:p>
        </w:tc>
        <w:tc>
          <w:tcPr>
            <w:tcW w:w="1036" w:type="dxa"/>
            <w:vMerge w:val="restart"/>
            <w:tcBorders>
              <w:top w:val="single" w:color="000000" w:sz="8" w:space="0"/>
              <w:left w:val="single" w:color="000000" w:sz="8" w:space="0"/>
              <w:bottom w:val="single" w:color="000000" w:sz="8" w:space="0"/>
              <w:right w:val="single" w:color="000000" w:sz="8" w:space="0"/>
            </w:tcBorders>
            <w:noWrap w:val="0"/>
            <w:vAlign w:val="center"/>
          </w:tcPr>
          <w:p w14:paraId="73C10F7B">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528" w:type="dxa"/>
            <w:vMerge w:val="restart"/>
            <w:tcBorders>
              <w:top w:val="single" w:color="000000" w:sz="8" w:space="0"/>
              <w:left w:val="single" w:color="000000" w:sz="8" w:space="0"/>
              <w:bottom w:val="single" w:color="000000" w:sz="8" w:space="0"/>
              <w:right w:val="single" w:color="000000" w:sz="8" w:space="0"/>
            </w:tcBorders>
            <w:noWrap w:val="0"/>
            <w:vAlign w:val="center"/>
          </w:tcPr>
          <w:p w14:paraId="216A360E">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52529330">
            <w:pPr>
              <w:spacing w:line="240" w:lineRule="auto"/>
              <w:jc w:val="center"/>
              <w:rPr>
                <w:rFonts w:hint="eastAsia" w:ascii="仿宋" w:hAnsi="仿宋" w:eastAsia="仿宋" w:cs="仿宋"/>
                <w:i w:val="0"/>
                <w:iCs w:val="0"/>
                <w:color w:val="000000"/>
                <w:sz w:val="24"/>
                <w:szCs w:val="24"/>
                <w:highlight w:val="none"/>
                <w:u w:val="none"/>
              </w:rPr>
            </w:pPr>
          </w:p>
        </w:tc>
      </w:tr>
      <w:tr w14:paraId="39363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1183" w:type="dxa"/>
            <w:vMerge w:val="continue"/>
            <w:tcBorders>
              <w:left w:val="single" w:color="000000" w:sz="8" w:space="0"/>
              <w:bottom w:val="single" w:color="000000" w:sz="8" w:space="0"/>
              <w:right w:val="single" w:color="000000" w:sz="8" w:space="0"/>
            </w:tcBorders>
            <w:noWrap w:val="0"/>
            <w:vAlign w:val="center"/>
          </w:tcPr>
          <w:p w14:paraId="00F2676D">
            <w:pPr>
              <w:spacing w:line="240" w:lineRule="auto"/>
              <w:jc w:val="center"/>
              <w:rPr>
                <w:rFonts w:hint="eastAsia" w:ascii="仿宋" w:hAnsi="仿宋" w:eastAsia="仿宋" w:cs="仿宋"/>
                <w:i w:val="0"/>
                <w:iCs w:val="0"/>
                <w:color w:val="000000"/>
                <w:sz w:val="24"/>
                <w:szCs w:val="24"/>
                <w:highlight w:val="none"/>
                <w:u w:val="none"/>
              </w:rPr>
            </w:pP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5CD09884">
            <w:pPr>
              <w:keepNext w:val="0"/>
              <w:keepLines w:val="0"/>
              <w:widowControl/>
              <w:suppressLineNumbers w:val="0"/>
              <w:spacing w:line="240" w:lineRule="auto"/>
              <w:jc w:val="center"/>
              <w:textAlignment w:val="center"/>
              <w:rPr>
                <w:rFonts w:hint="default"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十一层</w:t>
            </w:r>
          </w:p>
        </w:tc>
        <w:tc>
          <w:tcPr>
            <w:tcW w:w="1036" w:type="dxa"/>
            <w:vMerge w:val="continue"/>
            <w:tcBorders>
              <w:top w:val="single" w:color="000000" w:sz="8" w:space="0"/>
              <w:left w:val="single" w:color="000000" w:sz="8" w:space="0"/>
              <w:bottom w:val="single" w:color="000000" w:sz="8" w:space="0"/>
              <w:right w:val="single" w:color="000000" w:sz="8" w:space="0"/>
            </w:tcBorders>
            <w:noWrap w:val="0"/>
            <w:vAlign w:val="center"/>
          </w:tcPr>
          <w:p w14:paraId="6A17AC0F">
            <w:pPr>
              <w:spacing w:line="240" w:lineRule="auto"/>
              <w:jc w:val="center"/>
              <w:rPr>
                <w:rFonts w:hint="eastAsia" w:ascii="仿宋" w:hAnsi="仿宋" w:eastAsia="仿宋" w:cs="仿宋"/>
                <w:i w:val="0"/>
                <w:iCs w:val="0"/>
                <w:color w:val="000000"/>
                <w:sz w:val="24"/>
                <w:szCs w:val="24"/>
                <w:highlight w:val="none"/>
                <w:u w:val="none"/>
              </w:rPr>
            </w:pPr>
          </w:p>
        </w:tc>
        <w:tc>
          <w:tcPr>
            <w:tcW w:w="1528" w:type="dxa"/>
            <w:vMerge w:val="continue"/>
            <w:tcBorders>
              <w:top w:val="single" w:color="000000" w:sz="8" w:space="0"/>
              <w:left w:val="single" w:color="000000" w:sz="8" w:space="0"/>
              <w:bottom w:val="single" w:color="000000" w:sz="8" w:space="0"/>
              <w:right w:val="single" w:color="000000" w:sz="8" w:space="0"/>
            </w:tcBorders>
            <w:noWrap w:val="0"/>
            <w:vAlign w:val="center"/>
          </w:tcPr>
          <w:p w14:paraId="27ACD7EB">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14D59537">
            <w:pPr>
              <w:spacing w:line="240" w:lineRule="auto"/>
              <w:jc w:val="center"/>
              <w:rPr>
                <w:rFonts w:hint="eastAsia" w:ascii="仿宋" w:hAnsi="仿宋" w:eastAsia="仿宋" w:cs="仿宋"/>
                <w:i w:val="0"/>
                <w:iCs w:val="0"/>
                <w:color w:val="000000"/>
                <w:sz w:val="24"/>
                <w:szCs w:val="24"/>
                <w:highlight w:val="none"/>
                <w:u w:val="none"/>
              </w:rPr>
            </w:pPr>
          </w:p>
        </w:tc>
      </w:tr>
      <w:tr w14:paraId="4489A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1183" w:type="dxa"/>
            <w:tcBorders>
              <w:top w:val="single" w:color="000000" w:sz="8" w:space="0"/>
              <w:left w:val="single" w:color="000000" w:sz="8" w:space="0"/>
              <w:bottom w:val="single" w:color="000000" w:sz="8" w:space="0"/>
              <w:right w:val="single" w:color="000000" w:sz="8" w:space="0"/>
            </w:tcBorders>
            <w:noWrap w:val="0"/>
            <w:vAlign w:val="center"/>
          </w:tcPr>
          <w:p w14:paraId="4656170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合计</w:t>
            </w:r>
          </w:p>
        </w:tc>
        <w:tc>
          <w:tcPr>
            <w:tcW w:w="1391" w:type="dxa"/>
            <w:tcBorders>
              <w:top w:val="single" w:color="000000" w:sz="8" w:space="0"/>
              <w:left w:val="single" w:color="000000" w:sz="8" w:space="0"/>
              <w:bottom w:val="single" w:color="000000" w:sz="8" w:space="0"/>
              <w:right w:val="single" w:color="000000" w:sz="8" w:space="0"/>
            </w:tcBorders>
            <w:noWrap w:val="0"/>
            <w:vAlign w:val="center"/>
          </w:tcPr>
          <w:p w14:paraId="674FD6A0">
            <w:pPr>
              <w:spacing w:line="240" w:lineRule="auto"/>
              <w:jc w:val="center"/>
              <w:rPr>
                <w:rFonts w:hint="eastAsia" w:ascii="仿宋" w:hAnsi="仿宋" w:eastAsia="仿宋" w:cs="仿宋"/>
                <w:i w:val="0"/>
                <w:iCs w:val="0"/>
                <w:color w:val="000000"/>
                <w:kern w:val="0"/>
                <w:sz w:val="24"/>
                <w:szCs w:val="24"/>
                <w:highlight w:val="none"/>
                <w:u w:val="none"/>
                <w:lang w:val="en-US" w:eastAsia="zh-CN" w:bidi="ar"/>
              </w:rPr>
            </w:pPr>
          </w:p>
        </w:tc>
        <w:tc>
          <w:tcPr>
            <w:tcW w:w="1036" w:type="dxa"/>
            <w:tcBorders>
              <w:top w:val="single" w:color="000000" w:sz="8" w:space="0"/>
              <w:left w:val="single" w:color="000000" w:sz="8" w:space="0"/>
              <w:bottom w:val="single" w:color="000000" w:sz="8" w:space="0"/>
              <w:right w:val="single" w:color="000000" w:sz="8" w:space="0"/>
            </w:tcBorders>
            <w:noWrap w:val="0"/>
            <w:vAlign w:val="center"/>
          </w:tcPr>
          <w:p w14:paraId="1E8DF9B9">
            <w:pPr>
              <w:keepNext w:val="0"/>
              <w:keepLines w:val="0"/>
              <w:widowControl/>
              <w:suppressLineNumbers w:val="0"/>
              <w:spacing w:line="240" w:lineRule="auto"/>
              <w:jc w:val="center"/>
              <w:textAlignment w:val="center"/>
              <w:rPr>
                <w:rFonts w:hint="default"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60</w:t>
            </w:r>
          </w:p>
        </w:tc>
        <w:tc>
          <w:tcPr>
            <w:tcW w:w="1528" w:type="dxa"/>
            <w:tcBorders>
              <w:top w:val="single" w:color="000000" w:sz="8" w:space="0"/>
              <w:left w:val="single" w:color="000000" w:sz="8" w:space="0"/>
              <w:bottom w:val="single" w:color="000000" w:sz="8" w:space="0"/>
              <w:right w:val="single" w:color="000000" w:sz="8" w:space="0"/>
            </w:tcBorders>
            <w:noWrap w:val="0"/>
            <w:vAlign w:val="center"/>
          </w:tcPr>
          <w:p w14:paraId="7E809BD6">
            <w:pPr>
              <w:spacing w:line="240" w:lineRule="auto"/>
              <w:jc w:val="center"/>
              <w:rPr>
                <w:rFonts w:hint="eastAsia" w:ascii="仿宋" w:hAnsi="仿宋" w:eastAsia="仿宋" w:cs="仿宋"/>
                <w:i w:val="0"/>
                <w:iCs w:val="0"/>
                <w:color w:val="000000"/>
                <w:sz w:val="24"/>
                <w:szCs w:val="24"/>
                <w:highlight w:val="none"/>
                <w:u w:val="none"/>
              </w:rPr>
            </w:pPr>
          </w:p>
        </w:tc>
        <w:tc>
          <w:tcPr>
            <w:tcW w:w="3736" w:type="dxa"/>
            <w:tcBorders>
              <w:top w:val="single" w:color="000000" w:sz="8" w:space="0"/>
              <w:left w:val="single" w:color="000000" w:sz="8" w:space="0"/>
              <w:bottom w:val="single" w:color="000000" w:sz="8" w:space="0"/>
              <w:right w:val="single" w:color="000000" w:sz="8" w:space="0"/>
            </w:tcBorders>
            <w:noWrap w:val="0"/>
            <w:vAlign w:val="center"/>
          </w:tcPr>
          <w:p w14:paraId="7ABC63DE">
            <w:pPr>
              <w:spacing w:line="240" w:lineRule="auto"/>
              <w:jc w:val="center"/>
              <w:rPr>
                <w:rFonts w:hint="eastAsia" w:ascii="仿宋" w:hAnsi="仿宋" w:eastAsia="仿宋" w:cs="仿宋"/>
                <w:i w:val="0"/>
                <w:iCs w:val="0"/>
                <w:color w:val="000000"/>
                <w:sz w:val="24"/>
                <w:szCs w:val="24"/>
                <w:highlight w:val="none"/>
                <w:u w:val="none"/>
              </w:rPr>
            </w:pPr>
          </w:p>
        </w:tc>
      </w:tr>
    </w:tbl>
    <w:p w14:paraId="7543397F">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三、保洁服务要求及标准</w:t>
      </w:r>
    </w:p>
    <w:p w14:paraId="1CBF96F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.病房干净整洁，空气清新无异味，各种物体表面干净无污迹，无死角，并符合院感管理的相关要求。</w:t>
      </w:r>
    </w:p>
    <w:p w14:paraId="5F7DA71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.保持病房空气新鲜、每日通风1-2次，每次30分钟。</w:t>
      </w:r>
    </w:p>
    <w:p w14:paraId="5DB338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.病房地面经常保持整洁、干燥。拖布有明显标识，分区使用，红色标识传染病专用：绿色标识病房专用；蓝色标识楼道专用；黑色标识厕所专用。墩布片应可拆卸</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用后统一回收清洗、消毒，悬挂晾干备用。</w:t>
      </w:r>
    </w:p>
    <w:p w14:paraId="68F3640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.普通病房地面每天用清水墩擦，遇有血液、分泌物、排泄物时用1000mg-2000mg/L含氯消毒液覆盖在污染地面，作用30分钟后处理干净。拖布用500mg/L含氯消毒液浸泡30分钟后，清水冲洗干净，悬挂晾干备用。</w:t>
      </w:r>
    </w:p>
    <w:p w14:paraId="5DAD4CA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病房物体表面用清洁湿布擦拭，每日上下午各擦拭1次，新生儿产房、血透室、重症监护室每日擦拭3次。出院、转院、死亡的病人及污染情况下用200-500mg/L消毒液擦拭2次。病房厕所墙壁、镜子、门、窗、屋顶、床头柜、床、灯具开关等保持干净整洁，无污垢。</w:t>
      </w:r>
    </w:p>
    <w:p w14:paraId="28424A2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.传染病区：物体表面使用1000mg/L含氯消毒液擦拭，作用30分钟后清水擦拭干净。地面用500mg/L含氯消毒液擦拭，作用30分钟后清水擦拭干净。用后的桌布、墩布片清洗、消毒后悬挂晾干备用。</w:t>
      </w:r>
    </w:p>
    <w:p w14:paraId="463852C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.病房的抹布实行“一桌一巾”，所有抹布做到一巾擦拭一个物体，分开使用。</w:t>
      </w:r>
    </w:p>
    <w:p w14:paraId="25A320F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.病房、楼道内的垃圾随时清查，不要存放过多、过久。</w:t>
      </w:r>
    </w:p>
    <w:p w14:paraId="6874407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9</w:t>
      </w:r>
      <w:r>
        <w:rPr>
          <w:rFonts w:hint="eastAsia" w:ascii="仿宋" w:hAnsi="仿宋" w:eastAsia="仿宋" w:cs="仿宋"/>
          <w:sz w:val="24"/>
          <w:szCs w:val="24"/>
          <w:highlight w:val="none"/>
        </w:rPr>
        <w:t>.便器</w:t>
      </w:r>
      <w:r>
        <w:rPr>
          <w:rFonts w:hint="eastAsia" w:ascii="仿宋" w:hAnsi="仿宋" w:eastAsia="仿宋" w:cs="仿宋"/>
          <w:sz w:val="24"/>
          <w:szCs w:val="24"/>
          <w:highlight w:val="none"/>
          <w:lang w:eastAsia="zh-CN"/>
        </w:rPr>
        <w:t>和便池</w:t>
      </w:r>
      <w:r>
        <w:rPr>
          <w:rFonts w:hint="eastAsia" w:ascii="仿宋" w:hAnsi="仿宋" w:eastAsia="仿宋" w:cs="仿宋"/>
          <w:sz w:val="24"/>
          <w:szCs w:val="24"/>
          <w:highlight w:val="none"/>
        </w:rPr>
        <w:t>，内外清洁无污垢，每日用消毒液清洗擦拭。</w:t>
      </w:r>
    </w:p>
    <w:p w14:paraId="0AFAD96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.每季度扫房一次，擦玻璃一次。</w:t>
      </w:r>
    </w:p>
    <w:p w14:paraId="49E660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.日常保洁、保养工作，做到场地无杂物，无死角，卫生间无水、无污渍、无异味。</w:t>
      </w:r>
    </w:p>
    <w:p w14:paraId="6422034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.玻璃、门窗</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rPr>
        <w:t>无手印、无水印、随时清洗、擦拭。</w:t>
      </w:r>
    </w:p>
    <w:p w14:paraId="00DCCC9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13</w:t>
      </w:r>
      <w:r>
        <w:rPr>
          <w:rFonts w:hint="eastAsia" w:ascii="仿宋" w:hAnsi="仿宋" w:eastAsia="仿宋" w:cs="仿宋"/>
          <w:sz w:val="24"/>
          <w:szCs w:val="24"/>
          <w:highlight w:val="none"/>
        </w:rPr>
        <w:t>.墙面、屋顶、空调、电视机、灯具、开关等处保持干净、清洁。</w:t>
      </w:r>
    </w:p>
    <w:p w14:paraId="4238C2D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14</w:t>
      </w:r>
      <w:r>
        <w:rPr>
          <w:rFonts w:hint="eastAsia" w:ascii="仿宋" w:hAnsi="仿宋" w:eastAsia="仿宋" w:cs="仿宋"/>
          <w:sz w:val="24"/>
          <w:szCs w:val="24"/>
          <w:highlight w:val="none"/>
        </w:rPr>
        <w:t>.出院病人的病床、床头柜应及时彻底清洁消毒。</w:t>
      </w:r>
    </w:p>
    <w:p w14:paraId="6606369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.门诊楼通风口及空调出风口应保证每年保洁不少于3次，特别是在夏季空调使用前，做好空调通风口的提前保洁工作。</w:t>
      </w:r>
    </w:p>
    <w:p w14:paraId="3CFFC72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16</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综合服务楼、门诊楼、住院楼等区域的</w:t>
      </w:r>
      <w:r>
        <w:rPr>
          <w:rFonts w:hint="eastAsia" w:ascii="仿宋" w:hAnsi="仿宋" w:eastAsia="仿宋" w:cs="仿宋"/>
          <w:sz w:val="24"/>
          <w:szCs w:val="24"/>
          <w:highlight w:val="none"/>
        </w:rPr>
        <w:t>玻璃每</w:t>
      </w:r>
      <w:r>
        <w:rPr>
          <w:rFonts w:hint="eastAsia" w:ascii="仿宋" w:hAnsi="仿宋" w:eastAsia="仿宋" w:cs="仿宋"/>
          <w:sz w:val="24"/>
          <w:szCs w:val="24"/>
          <w:highlight w:val="none"/>
          <w:lang w:val="en-US" w:eastAsia="zh-CN"/>
        </w:rPr>
        <w:t>年</w:t>
      </w:r>
      <w:r>
        <w:rPr>
          <w:rFonts w:hint="eastAsia" w:ascii="仿宋" w:hAnsi="仿宋" w:eastAsia="仿宋" w:cs="仿宋"/>
          <w:sz w:val="24"/>
          <w:szCs w:val="24"/>
          <w:highlight w:val="none"/>
        </w:rPr>
        <w:t>定期清理。</w:t>
      </w:r>
    </w:p>
    <w:p w14:paraId="06EAA3D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17</w:t>
      </w:r>
      <w:r>
        <w:rPr>
          <w:rFonts w:hint="eastAsia" w:ascii="仿宋" w:hAnsi="仿宋" w:eastAsia="仿宋" w:cs="仿宋"/>
          <w:sz w:val="24"/>
          <w:szCs w:val="24"/>
          <w:highlight w:val="none"/>
        </w:rPr>
        <w:t>.上述保洁，特别是临床科室和门诊楼的保洁必须符合《医政发33号--环境清洁与卫生技术与管理规范》的相关规定和要求。</w:t>
      </w:r>
    </w:p>
    <w:p w14:paraId="7DCA3F1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18</w:t>
      </w:r>
      <w:r>
        <w:rPr>
          <w:rFonts w:hint="eastAsia" w:ascii="仿宋" w:hAnsi="仿宋" w:eastAsia="仿宋" w:cs="仿宋"/>
          <w:sz w:val="24"/>
          <w:szCs w:val="24"/>
          <w:highlight w:val="none"/>
        </w:rPr>
        <w:t>.门诊夜班保洁范围包括：门诊、急诊大厅、急诊、儿科门诊、检验科、发热门诊、收费窗口等科室及其他楼层公共区域应急卫生处置。</w:t>
      </w:r>
    </w:p>
    <w:p w14:paraId="52B15B4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19.总院区、家属区、医院西侧停车场等处的公共区域日常消毒。</w:t>
      </w:r>
    </w:p>
    <w:p w14:paraId="6E9E369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20.保洁工作人员负责工作区域内的分类垃圾桶值守工作。</w:t>
      </w:r>
    </w:p>
    <w:p w14:paraId="1CC5D5A3">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四、其他保洁要求</w:t>
      </w:r>
    </w:p>
    <w:p w14:paraId="22C6517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1.清洁工具应分区使用，实行颜色标记。</w:t>
      </w:r>
    </w:p>
    <w:p w14:paraId="2509CF6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不应将使用后或污染的擦拭布巾或地巾重复浸泡至清洁用水、使用中的清洁剂和消毒剂内。</w:t>
      </w:r>
    </w:p>
    <w:p w14:paraId="3B5D9DD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2.日常清洁与消毒应遵守清洁与消毒原则</w:t>
      </w:r>
    </w:p>
    <w:p w14:paraId="3DE530D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被患者体液、血液、排泄物、分泌物等污染的环境表面，应先采用可吸附的材料将其清除，再根据污染的病原体特点选用适宜的消毒剂进行消毒。</w:t>
      </w:r>
    </w:p>
    <w:p w14:paraId="67B94E2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3.清洁工具复用处理要求</w:t>
      </w:r>
    </w:p>
    <w:p w14:paraId="0239012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清洁工具的数量、复用处理设施应满足病区或科室规模的需要。清洁工具使用后应及时清洁与消毒，干燥保存，其复用处理方式应采用机械清洗。</w:t>
      </w:r>
    </w:p>
    <w:p w14:paraId="299EBD6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4.环境感染重点级别科室保洁规定</w:t>
      </w:r>
    </w:p>
    <w:p w14:paraId="1B8DDEC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新生儿产房、血液透析室、重症监护室（ICU）、检验科、急诊科等科室应配备专人，须定期接受科室消毒培训。</w:t>
      </w:r>
    </w:p>
    <w:p w14:paraId="365DC28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5.急诊夜班人员保洁规定 </w:t>
      </w:r>
    </w:p>
    <w:p w14:paraId="4678771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急诊夜班保洁人员随时保持地面干净整洁，没有血迹、污迹、分泌物等污垢，随时接受主管部门的检查。</w:t>
      </w:r>
    </w:p>
    <w:p w14:paraId="630A816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6.行政、职能办公区的卫生每天打扫，随时保持清洁。</w:t>
      </w:r>
    </w:p>
    <w:p w14:paraId="05E0E2F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7.全院保洁范围必须全部使用可拆卸拖布头，病房区应符合“一桌一巾”的相关要求，避免交叉感染。</w:t>
      </w:r>
    </w:p>
    <w:p w14:paraId="7344EA3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8.停车场及家属院的保洁服务执行北京市住宅物业服务一级标准。</w:t>
      </w:r>
    </w:p>
    <w:p w14:paraId="4D0C2E8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9.保证清洁质量，践行低碳理念，达到甲方满意，随时接受甲方监督检查。</w:t>
      </w:r>
    </w:p>
    <w:p w14:paraId="11A0A5CF">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五、保洁服务公司要求</w:t>
      </w:r>
    </w:p>
    <w:p w14:paraId="31AC09B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1.保洁服务公司应具有完善的物业支持和专业保洁服务经验；拥有一套先进的保洁设备，有一套完整的医院保洁运作方法和严格的操作规程；有科学、严格的管理制度和质量标准；</w:t>
      </w:r>
    </w:p>
    <w:p w14:paraId="035DBA2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val="zh-CN"/>
        </w:rPr>
        <w:t>保洁服务公司负责所有有关环境保洁所需的清洁、洗涤药剂，地面和物体表面擦拭用的消毒剂，地面养护药剂、材料和保洁工具等耗材；</w:t>
      </w:r>
    </w:p>
    <w:p w14:paraId="2FA07E5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val="zh-CN"/>
        </w:rPr>
        <w:t>保洁服务公司须提供足够的作业机具,自行解决后勤管理服务时所需的日常工具和劳保用品,并能根据医院的行业形象要求及规范,保证文明工作；</w:t>
      </w:r>
    </w:p>
    <w:p w14:paraId="1E79AC0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由</w:t>
      </w:r>
      <w:r>
        <w:rPr>
          <w:rFonts w:hint="eastAsia" w:ascii="仿宋" w:hAnsi="仿宋" w:eastAsia="仿宋" w:cs="仿宋"/>
          <w:sz w:val="24"/>
          <w:szCs w:val="24"/>
          <w:highlight w:val="none"/>
          <w:lang w:val="zh-CN"/>
        </w:rPr>
        <w:t>保洁服务公司</w:t>
      </w:r>
      <w:r>
        <w:rPr>
          <w:rFonts w:hint="eastAsia" w:ascii="仿宋" w:hAnsi="仿宋" w:eastAsia="仿宋" w:cs="仿宋"/>
          <w:sz w:val="24"/>
          <w:szCs w:val="24"/>
          <w:highlight w:val="none"/>
          <w:lang w:val="en-US" w:eastAsia="zh-CN"/>
        </w:rPr>
        <w:t>根据医院实际需求</w:t>
      </w:r>
      <w:r>
        <w:rPr>
          <w:rFonts w:hint="eastAsia" w:ascii="仿宋" w:hAnsi="仿宋" w:eastAsia="仿宋" w:cs="仿宋"/>
          <w:sz w:val="24"/>
          <w:szCs w:val="24"/>
          <w:highlight w:val="none"/>
          <w:lang w:val="zh-CN"/>
        </w:rPr>
        <w:t>配置项目相关人员的装备及其保洁设备。</w:t>
      </w:r>
    </w:p>
    <w:p w14:paraId="60679F3E">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val="zh-CN"/>
        </w:rPr>
        <w:t>保洁服务公司提供的所有用品、工具、耗材、设备必须合符国家相关规定，必须经正规渠道采购，具有产品合格证等质量证明；</w:t>
      </w:r>
    </w:p>
    <w:p w14:paraId="4D901BB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val="zh-CN"/>
        </w:rPr>
        <w:t>保洁服务公司员工的基本工资应不低于北京市最低工资标准；</w:t>
      </w:r>
    </w:p>
    <w:p w14:paraId="054B968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lang w:val="zh-CN"/>
        </w:rPr>
        <w:t>保洁服务公司应严格遵守国家有关的法律、法规及行业标准并承担相应费用。包括但不限于：全部服务人员的工作时间应严格按国家有关法律、法规要求的标准执行，因工作原因产生的加班（含节假日加班）应严格按国家有关法律、法规要求的标准给付员工加班薪资；</w:t>
      </w:r>
    </w:p>
    <w:p w14:paraId="2FD32B7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lang w:val="zh-CN"/>
        </w:rPr>
        <w:t>保洁服务公司自行负责其招聘员工的一切工资、福利；如员工发生工伤、疾病乃至死亡的一切责任及费用由保洁服务公司全部负责；保洁服务公司全部服务人员的劳动合同应严格按《中华人民共和国劳动合同法》标准执行；</w:t>
      </w:r>
    </w:p>
    <w:p w14:paraId="15B12E17">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9.</w:t>
      </w:r>
      <w:r>
        <w:rPr>
          <w:rFonts w:hint="eastAsia" w:ascii="仿宋" w:hAnsi="仿宋" w:eastAsia="仿宋" w:cs="仿宋"/>
          <w:sz w:val="24"/>
          <w:szCs w:val="24"/>
          <w:highlight w:val="none"/>
        </w:rPr>
        <w:t>招聘员工要有良好的职业道德和服务态度，定期进行职业培训和考核，教育员工节约用水用电，爱护公共财物；</w:t>
      </w:r>
    </w:p>
    <w:p w14:paraId="1C8A02A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组织所有员工参加</w:t>
      </w:r>
      <w:r>
        <w:rPr>
          <w:rFonts w:hint="eastAsia" w:ascii="仿宋" w:hAnsi="仿宋" w:eastAsia="仿宋" w:cs="仿宋"/>
          <w:sz w:val="24"/>
          <w:szCs w:val="24"/>
          <w:highlight w:val="none"/>
          <w:lang w:val="en-US" w:eastAsia="zh-CN"/>
        </w:rPr>
        <w:t>院感</w:t>
      </w:r>
      <w:r>
        <w:rPr>
          <w:rFonts w:hint="eastAsia" w:ascii="仿宋" w:hAnsi="仿宋" w:eastAsia="仿宋" w:cs="仿宋"/>
          <w:sz w:val="24"/>
          <w:szCs w:val="24"/>
          <w:highlight w:val="none"/>
        </w:rPr>
        <w:t>知识培训及学习基本的操作规程；</w:t>
      </w:r>
    </w:p>
    <w:p w14:paraId="52D113EE">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11.</w:t>
      </w:r>
      <w:r>
        <w:rPr>
          <w:rFonts w:hint="eastAsia" w:ascii="仿宋" w:hAnsi="仿宋" w:eastAsia="仿宋" w:cs="仿宋"/>
          <w:sz w:val="24"/>
          <w:szCs w:val="24"/>
          <w:highlight w:val="none"/>
          <w:lang w:val="zh-CN"/>
        </w:rPr>
        <w:t>各岗位工作人员应统一服装，并由保洁服务公司负责其员工工作服的配备和洗涤；</w:t>
      </w:r>
    </w:p>
    <w:p w14:paraId="023F0AD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lang w:val="zh-CN"/>
        </w:rPr>
        <w:t>保洁服务公司员工需礼貌服务，日常工作中使用文明用语，遵守医院服务标准和要求。对保洁服务公司员工的服务态度，医院有权考核；</w:t>
      </w:r>
    </w:p>
    <w:p w14:paraId="0C2BAF5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13.</w:t>
      </w:r>
      <w:r>
        <w:rPr>
          <w:rFonts w:hint="eastAsia" w:ascii="仿宋" w:hAnsi="仿宋" w:eastAsia="仿宋" w:cs="仿宋"/>
          <w:sz w:val="24"/>
          <w:szCs w:val="24"/>
          <w:highlight w:val="none"/>
        </w:rPr>
        <w:t>医院业务区域卫生实行24小时负责制，下班时间安排值班人员，节假日根据实际工作合理安排人员；</w:t>
      </w:r>
    </w:p>
    <w:p w14:paraId="437A8ED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14.</w:t>
      </w:r>
      <w:r>
        <w:rPr>
          <w:rFonts w:hint="eastAsia" w:ascii="仿宋" w:hAnsi="仿宋" w:eastAsia="仿宋" w:cs="仿宋"/>
          <w:sz w:val="24"/>
          <w:szCs w:val="24"/>
          <w:highlight w:val="none"/>
          <w:lang w:val="zh-CN"/>
        </w:rPr>
        <w:t>保洁服务公司</w:t>
      </w:r>
      <w:r>
        <w:rPr>
          <w:rFonts w:hint="eastAsia" w:ascii="仿宋" w:hAnsi="仿宋" w:eastAsia="仿宋" w:cs="仿宋"/>
          <w:sz w:val="24"/>
          <w:szCs w:val="24"/>
          <w:highlight w:val="none"/>
        </w:rPr>
        <w:t>要安排专门的管理人员，每天对医院进行巡查，经常与临床医技科室沟通，及时解决临床医技科室提出的问题；</w:t>
      </w:r>
    </w:p>
    <w:p w14:paraId="265C22EE">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lang w:val="zh-CN"/>
        </w:rPr>
        <w:t>保洁服务公司</w:t>
      </w:r>
      <w:r>
        <w:rPr>
          <w:rFonts w:hint="eastAsia" w:ascii="仿宋" w:hAnsi="仿宋" w:eastAsia="仿宋" w:cs="仿宋"/>
          <w:color w:val="auto"/>
          <w:sz w:val="24"/>
          <w:szCs w:val="24"/>
          <w:highlight w:val="none"/>
          <w:lang w:val="en-US" w:eastAsia="zh-CN"/>
        </w:rPr>
        <w:t>提供服务人员年龄应在55岁以内；</w:t>
      </w:r>
    </w:p>
    <w:p w14:paraId="63EF3AF0">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16.</w:t>
      </w:r>
      <w:r>
        <w:rPr>
          <w:rFonts w:hint="eastAsia" w:ascii="仿宋" w:hAnsi="仿宋" w:eastAsia="仿宋" w:cs="仿宋"/>
          <w:sz w:val="24"/>
          <w:szCs w:val="24"/>
          <w:highlight w:val="none"/>
          <w:lang w:val="zh-CN"/>
        </w:rPr>
        <w:t>保洁服务公司部门经理等管理人员应接受院方监督，保洁服务公司应接受院方对其服务质量进行监督，并配合院方接受上级行政主管部门开展的各项检查评比工作；</w:t>
      </w:r>
    </w:p>
    <w:p w14:paraId="6FA9DC5D">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17.</w:t>
      </w:r>
      <w:r>
        <w:rPr>
          <w:rFonts w:hint="eastAsia" w:ascii="仿宋" w:hAnsi="仿宋" w:eastAsia="仿宋" w:cs="仿宋"/>
          <w:sz w:val="24"/>
          <w:szCs w:val="24"/>
          <w:highlight w:val="none"/>
          <w:lang w:val="zh-CN"/>
        </w:rPr>
        <w:t>保洁服务公司须严格按照标准化的操作程序、完善的培训体系和质量控制体系完成本项目，以保证</w:t>
      </w:r>
      <w:r>
        <w:rPr>
          <w:rFonts w:hint="eastAsia" w:ascii="仿宋" w:hAnsi="仿宋" w:eastAsia="仿宋" w:cs="仿宋"/>
          <w:sz w:val="24"/>
          <w:szCs w:val="24"/>
          <w:highlight w:val="none"/>
          <w:lang w:val="en-US" w:eastAsia="zh-CN"/>
        </w:rPr>
        <w:t>医院</w:t>
      </w:r>
      <w:r>
        <w:rPr>
          <w:rFonts w:hint="eastAsia" w:ascii="仿宋" w:hAnsi="仿宋" w:eastAsia="仿宋" w:cs="仿宋"/>
          <w:sz w:val="24"/>
          <w:szCs w:val="24"/>
          <w:highlight w:val="none"/>
          <w:lang w:val="zh-CN"/>
        </w:rPr>
        <w:t>后勤系统</w:t>
      </w:r>
      <w:r>
        <w:rPr>
          <w:rFonts w:hint="eastAsia" w:ascii="仿宋" w:hAnsi="仿宋" w:eastAsia="仿宋" w:cs="仿宋"/>
          <w:sz w:val="24"/>
          <w:szCs w:val="24"/>
          <w:highlight w:val="none"/>
          <w:lang w:val="en-US" w:eastAsia="zh-CN"/>
        </w:rPr>
        <w:t>整体</w:t>
      </w:r>
      <w:r>
        <w:rPr>
          <w:rFonts w:hint="eastAsia" w:ascii="仿宋" w:hAnsi="仿宋" w:eastAsia="仿宋" w:cs="仿宋"/>
          <w:sz w:val="24"/>
          <w:szCs w:val="24"/>
          <w:highlight w:val="none"/>
          <w:lang w:val="zh-CN"/>
        </w:rPr>
        <w:t>安全、高效、有序和有计划地运转；</w:t>
      </w:r>
    </w:p>
    <w:p w14:paraId="73B70CAA">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18.</w:t>
      </w:r>
      <w:r>
        <w:rPr>
          <w:rFonts w:hint="eastAsia" w:ascii="仿宋" w:hAnsi="仿宋" w:eastAsia="仿宋" w:cs="仿宋"/>
          <w:sz w:val="24"/>
          <w:szCs w:val="24"/>
          <w:highlight w:val="none"/>
          <w:lang w:val="zh-CN"/>
        </w:rPr>
        <w:t>保洁服务公司</w:t>
      </w:r>
      <w:r>
        <w:rPr>
          <w:rFonts w:hint="eastAsia" w:ascii="仿宋" w:hAnsi="仿宋" w:eastAsia="仿宋" w:cs="仿宋"/>
          <w:sz w:val="24"/>
          <w:szCs w:val="24"/>
          <w:highlight w:val="none"/>
          <w:lang w:val="en-US" w:eastAsia="zh-CN"/>
        </w:rPr>
        <w:t>提供的</w:t>
      </w:r>
      <w:r>
        <w:rPr>
          <w:rFonts w:hint="eastAsia" w:ascii="仿宋" w:hAnsi="仿宋" w:eastAsia="仿宋" w:cs="仿宋"/>
          <w:sz w:val="24"/>
          <w:szCs w:val="24"/>
          <w:highlight w:val="none"/>
          <w:lang w:val="zh-CN"/>
        </w:rPr>
        <w:t>服务人员</w:t>
      </w:r>
      <w:r>
        <w:rPr>
          <w:rFonts w:hint="eastAsia" w:ascii="仿宋" w:hAnsi="仿宋" w:eastAsia="仿宋" w:cs="仿宋"/>
          <w:sz w:val="24"/>
          <w:szCs w:val="24"/>
          <w:highlight w:val="none"/>
          <w:lang w:val="en-US" w:eastAsia="zh-CN"/>
        </w:rPr>
        <w:t>必须</w:t>
      </w:r>
      <w:r>
        <w:rPr>
          <w:rFonts w:hint="eastAsia" w:ascii="仿宋" w:hAnsi="仿宋" w:eastAsia="仿宋" w:cs="仿宋"/>
          <w:sz w:val="24"/>
          <w:szCs w:val="24"/>
          <w:highlight w:val="none"/>
          <w:lang w:val="zh-CN"/>
        </w:rPr>
        <w:t>经过</w:t>
      </w:r>
      <w:r>
        <w:rPr>
          <w:rFonts w:hint="eastAsia" w:ascii="仿宋" w:hAnsi="仿宋" w:eastAsia="仿宋" w:cs="仿宋"/>
          <w:sz w:val="24"/>
          <w:szCs w:val="24"/>
          <w:highlight w:val="none"/>
          <w:lang w:val="en-US" w:eastAsia="zh-CN"/>
        </w:rPr>
        <w:t>完整</w:t>
      </w:r>
      <w:r>
        <w:rPr>
          <w:rFonts w:hint="eastAsia" w:ascii="仿宋" w:hAnsi="仿宋" w:eastAsia="仿宋" w:cs="仿宋"/>
          <w:sz w:val="24"/>
          <w:szCs w:val="24"/>
          <w:highlight w:val="none"/>
          <w:lang w:val="zh-CN"/>
        </w:rPr>
        <w:t>岗前培训合格</w:t>
      </w:r>
      <w:r>
        <w:rPr>
          <w:rFonts w:hint="eastAsia" w:ascii="仿宋" w:hAnsi="仿宋" w:eastAsia="仿宋" w:cs="仿宋"/>
          <w:sz w:val="24"/>
          <w:szCs w:val="24"/>
          <w:highlight w:val="none"/>
          <w:lang w:val="en-US" w:eastAsia="zh-CN"/>
        </w:rPr>
        <w:t>方可</w:t>
      </w:r>
      <w:r>
        <w:rPr>
          <w:rFonts w:hint="eastAsia" w:ascii="仿宋" w:hAnsi="仿宋" w:eastAsia="仿宋" w:cs="仿宋"/>
          <w:sz w:val="24"/>
          <w:szCs w:val="24"/>
          <w:highlight w:val="none"/>
          <w:lang w:val="zh-CN"/>
        </w:rPr>
        <w:t>上岗；</w:t>
      </w:r>
    </w:p>
    <w:p w14:paraId="5830177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19.</w:t>
      </w:r>
      <w:r>
        <w:rPr>
          <w:rFonts w:hint="eastAsia" w:ascii="仿宋" w:hAnsi="仿宋" w:eastAsia="仿宋" w:cs="仿宋"/>
          <w:sz w:val="24"/>
          <w:szCs w:val="24"/>
          <w:highlight w:val="none"/>
          <w:lang w:val="zh-CN"/>
        </w:rPr>
        <w:t>保洁服务公司服务内部（医院职工）满意度应达到80%或以上，医院有权对满意度进行考核，按照合同约定执行；</w:t>
      </w:r>
    </w:p>
    <w:p w14:paraId="48BE7ABD">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b w:val="0"/>
          <w:bCs w:val="0"/>
          <w:sz w:val="24"/>
          <w:szCs w:val="24"/>
        </w:rPr>
      </w:pPr>
      <w:r>
        <w:rPr>
          <w:rFonts w:hint="eastAsia" w:ascii="仿宋" w:hAnsi="仿宋" w:eastAsia="仿宋" w:cs="仿宋"/>
          <w:sz w:val="24"/>
          <w:szCs w:val="24"/>
          <w:highlight w:val="none"/>
          <w:lang w:val="en-US" w:eastAsia="zh-CN"/>
        </w:rPr>
        <w:t>20.医院不向</w:t>
      </w:r>
      <w:r>
        <w:rPr>
          <w:rFonts w:hint="eastAsia" w:ascii="仿宋" w:hAnsi="仿宋" w:eastAsia="仿宋" w:cs="仿宋"/>
          <w:sz w:val="24"/>
          <w:szCs w:val="24"/>
          <w:highlight w:val="none"/>
          <w:lang w:val="zh-CN"/>
        </w:rPr>
        <w:t>保洁服务公司</w:t>
      </w:r>
      <w:r>
        <w:rPr>
          <w:rFonts w:hint="eastAsia" w:ascii="仿宋" w:hAnsi="仿宋" w:eastAsia="仿宋" w:cs="仿宋"/>
          <w:sz w:val="24"/>
          <w:szCs w:val="24"/>
          <w:highlight w:val="none"/>
        </w:rPr>
        <w:t>提供</w:t>
      </w:r>
      <w:r>
        <w:rPr>
          <w:rFonts w:hint="eastAsia" w:ascii="仿宋" w:hAnsi="仿宋" w:eastAsia="仿宋" w:cs="仿宋"/>
          <w:sz w:val="24"/>
          <w:szCs w:val="24"/>
          <w:highlight w:val="none"/>
          <w:lang w:val="en-US" w:eastAsia="zh-CN"/>
        </w:rPr>
        <w:t>诸如办公室、休息室等房间</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保洁公司所有用房需求均须</w:t>
      </w:r>
      <w:r>
        <w:rPr>
          <w:rFonts w:hint="eastAsia" w:ascii="仿宋" w:hAnsi="仿宋" w:eastAsia="仿宋" w:cs="仿宋"/>
          <w:sz w:val="24"/>
          <w:szCs w:val="24"/>
          <w:highlight w:val="none"/>
        </w:rPr>
        <w:t>自行解决。</w:t>
      </w:r>
    </w:p>
    <w:p w14:paraId="56B1CAB6">
      <w:pPr>
        <w:keepNext w:val="0"/>
        <w:keepLines w:val="0"/>
        <w:pageBreakBefore w:val="0"/>
        <w:widowControl/>
        <w:suppressLineNumbers w:val="0"/>
        <w:kinsoku/>
        <w:wordWrap/>
        <w:overflowPunct/>
        <w:topLinePunct w:val="0"/>
        <w:autoSpaceDE/>
        <w:autoSpaceDN/>
        <w:bidi w:val="0"/>
        <w:adjustRightInd/>
        <w:snapToGrid/>
        <w:spacing w:line="400" w:lineRule="exact"/>
        <w:ind w:firstLine="482" w:firstLineChars="200"/>
        <w:jc w:val="left"/>
        <w:textAlignment w:val="auto"/>
      </w:pPr>
      <w:r>
        <w:rPr>
          <w:rFonts w:hint="eastAsia" w:ascii="宋体" w:hAnsi="宋体" w:eastAsia="宋体" w:cs="宋体"/>
          <w:b/>
          <w:bCs/>
          <w:color w:val="000000"/>
          <w:kern w:val="0"/>
          <w:sz w:val="24"/>
          <w:szCs w:val="24"/>
          <w:lang w:val="en-US" w:eastAsia="zh-CN" w:bidi="ar"/>
        </w:rPr>
        <w:t>六、保洁员礼仪规范和工作要求</w:t>
      </w:r>
    </w:p>
    <w:p w14:paraId="604BEDE7">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在工作岗位上衣帽整洁，穿戴符合规范要求（要求有工作服）及时更换、清洗，工作服不许有异味。头发不过肩、长发戴发网，工作期间不许戴耳环、戒指、手镯、不浓妆等。</w:t>
      </w:r>
    </w:p>
    <w:p w14:paraId="4ABFF9D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上班时精神饱满，举止端庄大方、佩戴胸卡。</w:t>
      </w:r>
    </w:p>
    <w:p w14:paraId="478A9277">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工作时间要遵守劳动纪律，不脱岗、不迟到、不早退、不无故请假。</w:t>
      </w:r>
    </w:p>
    <w:p w14:paraId="43C80F1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工作期间不允许干私活、串岗及与本岗位无关的事情，不准扎堆聊天，不得带孩子及家属值班。</w:t>
      </w:r>
    </w:p>
    <w:p w14:paraId="1E2481D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不准为病人代传递物品、禁止为病人购买食品、饮料，尤其是酒类等给病人。</w:t>
      </w:r>
    </w:p>
    <w:p w14:paraId="6E092E68">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不能把打火机、刀、剪子等危险品给病人。</w:t>
      </w:r>
    </w:p>
    <w:p w14:paraId="020D2D8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7</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不准私自吃、拿、用病人的食物及物品。</w:t>
      </w:r>
    </w:p>
    <w:p w14:paraId="32AAD692">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sz w:val="24"/>
          <w:szCs w:val="24"/>
          <w:highlight w:val="none"/>
          <w:lang w:val="en-US" w:eastAsia="zh-CN"/>
        </w:rPr>
        <w:t>七、</w:t>
      </w:r>
      <w:r>
        <w:rPr>
          <w:rFonts w:hint="eastAsia" w:ascii="仿宋" w:hAnsi="仿宋" w:eastAsia="仿宋" w:cs="仿宋"/>
          <w:b/>
          <w:bCs/>
          <w:sz w:val="24"/>
          <w:szCs w:val="24"/>
          <w:highlight w:val="none"/>
        </w:rPr>
        <w:t>保洁人员工作防护着装要求(规范性附录)</w:t>
      </w:r>
    </w:p>
    <w:p w14:paraId="680BBCAB">
      <w:pPr>
        <w:keepNext w:val="0"/>
        <w:keepLines w:val="0"/>
        <w:pageBreakBefore w:val="0"/>
        <w:tabs>
          <w:tab w:val="right" w:pos="8844"/>
        </w:tabs>
        <w:kinsoku/>
        <w:wordWrap/>
        <w:overflowPunct/>
        <w:topLinePunct w:val="0"/>
        <w:autoSpaceDE/>
        <w:autoSpaceDN/>
        <w:bidi w:val="0"/>
        <w:adjustRightInd/>
        <w:snapToGrid/>
        <w:spacing w:line="240" w:lineRule="auto"/>
        <w:ind w:firstLine="120" w:firstLineChars="50"/>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表一 保洁人员工作防护着装选择</w:t>
      </w:r>
    </w:p>
    <w:tbl>
      <w:tblPr>
        <w:tblStyle w:val="6"/>
        <w:tblW w:w="0" w:type="auto"/>
        <w:tblInd w:w="93" w:type="dxa"/>
        <w:tblLayout w:type="fixed"/>
        <w:tblCellMar>
          <w:top w:w="0" w:type="dxa"/>
          <w:left w:w="108" w:type="dxa"/>
          <w:bottom w:w="0" w:type="dxa"/>
          <w:right w:w="108" w:type="dxa"/>
        </w:tblCellMar>
      </w:tblPr>
      <w:tblGrid>
        <w:gridCol w:w="2200"/>
        <w:gridCol w:w="900"/>
        <w:gridCol w:w="860"/>
        <w:gridCol w:w="880"/>
        <w:gridCol w:w="1000"/>
        <w:gridCol w:w="1000"/>
        <w:gridCol w:w="1000"/>
        <w:gridCol w:w="1000"/>
      </w:tblGrid>
      <w:tr w14:paraId="533AD0EA">
        <w:tblPrEx>
          <w:tblCellMar>
            <w:top w:w="0" w:type="dxa"/>
            <w:left w:w="108" w:type="dxa"/>
            <w:bottom w:w="0" w:type="dxa"/>
            <w:right w:w="108" w:type="dxa"/>
          </w:tblCellMar>
        </w:tblPrEx>
        <w:trPr>
          <w:trHeight w:val="600" w:hRule="atLeast"/>
        </w:trPr>
        <w:tc>
          <w:tcPr>
            <w:tcW w:w="2200" w:type="dxa"/>
            <w:vMerge w:val="restart"/>
            <w:tcBorders>
              <w:top w:val="single" w:color="auto" w:sz="4" w:space="0"/>
              <w:left w:val="single" w:color="auto" w:sz="4" w:space="0"/>
              <w:bottom w:val="single" w:color="auto" w:sz="4" w:space="0"/>
              <w:right w:val="single" w:color="auto" w:sz="4" w:space="0"/>
            </w:tcBorders>
            <w:noWrap w:val="0"/>
            <w:vAlign w:val="center"/>
          </w:tcPr>
          <w:p w14:paraId="268C7F29">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操作</w:t>
            </w:r>
          </w:p>
        </w:tc>
        <w:tc>
          <w:tcPr>
            <w:tcW w:w="6640" w:type="dxa"/>
            <w:gridSpan w:val="7"/>
            <w:tcBorders>
              <w:top w:val="single" w:color="auto" w:sz="4" w:space="0"/>
              <w:left w:val="nil"/>
              <w:bottom w:val="single" w:color="auto" w:sz="4" w:space="0"/>
              <w:right w:val="single" w:color="auto" w:sz="4" w:space="0"/>
            </w:tcBorders>
            <w:noWrap w:val="0"/>
            <w:vAlign w:val="center"/>
          </w:tcPr>
          <w:p w14:paraId="6CB17D09">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防护着装</w:t>
            </w:r>
          </w:p>
        </w:tc>
      </w:tr>
      <w:tr w14:paraId="62CA06D2">
        <w:tblPrEx>
          <w:tblCellMar>
            <w:top w:w="0" w:type="dxa"/>
            <w:left w:w="108" w:type="dxa"/>
            <w:bottom w:w="0" w:type="dxa"/>
            <w:right w:w="108" w:type="dxa"/>
          </w:tblCellMar>
        </w:tblPrEx>
        <w:trPr>
          <w:trHeight w:val="1973" w:hRule="atLeast"/>
        </w:trPr>
        <w:tc>
          <w:tcPr>
            <w:tcW w:w="2200" w:type="dxa"/>
            <w:vMerge w:val="continue"/>
            <w:tcBorders>
              <w:top w:val="single" w:color="auto" w:sz="4" w:space="0"/>
              <w:left w:val="single" w:color="auto" w:sz="4" w:space="0"/>
              <w:bottom w:val="single" w:color="auto" w:sz="4" w:space="0"/>
              <w:right w:val="single" w:color="auto" w:sz="4" w:space="0"/>
            </w:tcBorders>
            <w:noWrap w:val="0"/>
            <w:vAlign w:val="center"/>
          </w:tcPr>
          <w:p w14:paraId="61FF789E">
            <w:pPr>
              <w:keepNext w:val="0"/>
              <w:keepLines w:val="0"/>
              <w:pageBreakBefore w:val="0"/>
              <w:widowControl/>
              <w:kinsoku/>
              <w:wordWrap/>
              <w:overflowPunct/>
              <w:topLinePunct w:val="0"/>
              <w:autoSpaceDE/>
              <w:autoSpaceDN/>
              <w:bidi w:val="0"/>
              <w:adjustRightInd/>
              <w:snapToGrid/>
              <w:spacing w:line="240" w:lineRule="auto"/>
              <w:jc w:val="left"/>
              <w:rPr>
                <w:rFonts w:hint="eastAsia" w:ascii="仿宋" w:hAnsi="仿宋" w:eastAsia="仿宋" w:cs="仿宋"/>
                <w:kern w:val="0"/>
                <w:sz w:val="24"/>
                <w:szCs w:val="24"/>
                <w:highlight w:val="none"/>
              </w:rPr>
            </w:pPr>
          </w:p>
        </w:tc>
        <w:tc>
          <w:tcPr>
            <w:tcW w:w="900" w:type="dxa"/>
            <w:tcBorders>
              <w:top w:val="single" w:color="auto" w:sz="4" w:space="0"/>
              <w:left w:val="nil"/>
              <w:bottom w:val="single" w:color="auto" w:sz="4" w:space="0"/>
              <w:right w:val="single" w:color="auto" w:sz="4" w:space="0"/>
            </w:tcBorders>
            <w:noWrap w:val="0"/>
            <w:vAlign w:val="center"/>
          </w:tcPr>
          <w:p w14:paraId="084C4296">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工作服</w:t>
            </w:r>
          </w:p>
        </w:tc>
        <w:tc>
          <w:tcPr>
            <w:tcW w:w="860" w:type="dxa"/>
            <w:tcBorders>
              <w:top w:val="single" w:color="auto" w:sz="4" w:space="0"/>
              <w:left w:val="nil"/>
              <w:bottom w:val="single" w:color="auto" w:sz="4" w:space="0"/>
              <w:right w:val="single" w:color="auto" w:sz="4" w:space="0"/>
            </w:tcBorders>
            <w:noWrap w:val="0"/>
            <w:vAlign w:val="center"/>
          </w:tcPr>
          <w:p w14:paraId="36567189">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圆帽</w:t>
            </w:r>
          </w:p>
        </w:tc>
        <w:tc>
          <w:tcPr>
            <w:tcW w:w="880" w:type="dxa"/>
            <w:tcBorders>
              <w:top w:val="single" w:color="auto" w:sz="4" w:space="0"/>
              <w:left w:val="nil"/>
              <w:bottom w:val="single" w:color="auto" w:sz="4" w:space="0"/>
              <w:right w:val="single" w:color="auto" w:sz="4" w:space="0"/>
            </w:tcBorders>
            <w:noWrap w:val="0"/>
            <w:vAlign w:val="center"/>
          </w:tcPr>
          <w:p w14:paraId="1677BD1A">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口罩</w:t>
            </w:r>
          </w:p>
        </w:tc>
        <w:tc>
          <w:tcPr>
            <w:tcW w:w="1000" w:type="dxa"/>
            <w:tcBorders>
              <w:top w:val="single" w:color="auto" w:sz="4" w:space="0"/>
              <w:left w:val="nil"/>
              <w:bottom w:val="single" w:color="auto" w:sz="4" w:space="0"/>
              <w:right w:val="single" w:color="auto" w:sz="4" w:space="0"/>
            </w:tcBorders>
            <w:noWrap w:val="0"/>
            <w:vAlign w:val="center"/>
          </w:tcPr>
          <w:p w14:paraId="33545B8B">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隔离衣/防水围裙</w:t>
            </w:r>
          </w:p>
        </w:tc>
        <w:tc>
          <w:tcPr>
            <w:tcW w:w="1000" w:type="dxa"/>
            <w:tcBorders>
              <w:top w:val="single" w:color="auto" w:sz="4" w:space="0"/>
              <w:left w:val="nil"/>
              <w:bottom w:val="single" w:color="auto" w:sz="4" w:space="0"/>
              <w:right w:val="single" w:color="auto" w:sz="4" w:space="0"/>
            </w:tcBorders>
            <w:noWrap w:val="0"/>
            <w:vAlign w:val="center"/>
          </w:tcPr>
          <w:p w14:paraId="7F317875">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靴/鞋套</w:t>
            </w:r>
          </w:p>
        </w:tc>
        <w:tc>
          <w:tcPr>
            <w:tcW w:w="1000" w:type="dxa"/>
            <w:tcBorders>
              <w:top w:val="single" w:color="auto" w:sz="4" w:space="0"/>
              <w:left w:val="nil"/>
              <w:bottom w:val="single" w:color="auto" w:sz="4" w:space="0"/>
              <w:right w:val="single" w:color="auto" w:sz="4" w:space="0"/>
            </w:tcBorders>
            <w:noWrap w:val="0"/>
            <w:vAlign w:val="center"/>
          </w:tcPr>
          <w:p w14:paraId="726C5588">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手套</w:t>
            </w:r>
          </w:p>
        </w:tc>
        <w:tc>
          <w:tcPr>
            <w:tcW w:w="1000" w:type="dxa"/>
            <w:tcBorders>
              <w:top w:val="single" w:color="auto" w:sz="4" w:space="0"/>
              <w:left w:val="nil"/>
              <w:bottom w:val="single" w:color="auto" w:sz="4" w:space="0"/>
              <w:right w:val="single" w:color="auto" w:sz="4" w:space="0"/>
            </w:tcBorders>
            <w:noWrap w:val="0"/>
            <w:vAlign w:val="center"/>
          </w:tcPr>
          <w:p w14:paraId="1393CDCE">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护目镜/面罩</w:t>
            </w:r>
          </w:p>
        </w:tc>
      </w:tr>
      <w:tr w14:paraId="165F2D79">
        <w:tblPrEx>
          <w:tblCellMar>
            <w:top w:w="0" w:type="dxa"/>
            <w:left w:w="108" w:type="dxa"/>
            <w:bottom w:w="0" w:type="dxa"/>
            <w:right w:w="108" w:type="dxa"/>
          </w:tblCellMar>
        </w:tblPrEx>
        <w:trPr>
          <w:trHeight w:val="600" w:hRule="atLeast"/>
        </w:trPr>
        <w:tc>
          <w:tcPr>
            <w:tcW w:w="2200" w:type="dxa"/>
            <w:tcBorders>
              <w:top w:val="single" w:color="auto" w:sz="4" w:space="0"/>
              <w:left w:val="single" w:color="auto" w:sz="4" w:space="0"/>
              <w:bottom w:val="single" w:color="auto" w:sz="4" w:space="0"/>
              <w:right w:val="single" w:color="auto" w:sz="4" w:space="0"/>
            </w:tcBorders>
            <w:noWrap w:val="0"/>
            <w:vAlign w:val="center"/>
          </w:tcPr>
          <w:p w14:paraId="1352E169">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处理医疗废物</w:t>
            </w:r>
          </w:p>
        </w:tc>
        <w:tc>
          <w:tcPr>
            <w:tcW w:w="900" w:type="dxa"/>
            <w:tcBorders>
              <w:top w:val="single" w:color="auto" w:sz="4" w:space="0"/>
              <w:left w:val="nil"/>
              <w:bottom w:val="single" w:color="auto" w:sz="4" w:space="0"/>
              <w:right w:val="single" w:color="auto" w:sz="4" w:space="0"/>
            </w:tcBorders>
            <w:noWrap w:val="0"/>
            <w:vAlign w:val="center"/>
          </w:tcPr>
          <w:p w14:paraId="4F4708A1">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860" w:type="dxa"/>
            <w:tcBorders>
              <w:top w:val="single" w:color="auto" w:sz="4" w:space="0"/>
              <w:left w:val="nil"/>
              <w:bottom w:val="single" w:color="auto" w:sz="4" w:space="0"/>
              <w:right w:val="single" w:color="auto" w:sz="4" w:space="0"/>
            </w:tcBorders>
            <w:noWrap w:val="0"/>
            <w:vAlign w:val="center"/>
          </w:tcPr>
          <w:p w14:paraId="63C47116">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880" w:type="dxa"/>
            <w:tcBorders>
              <w:top w:val="single" w:color="auto" w:sz="4" w:space="0"/>
              <w:left w:val="nil"/>
              <w:bottom w:val="single" w:color="auto" w:sz="4" w:space="0"/>
              <w:right w:val="single" w:color="auto" w:sz="4" w:space="0"/>
            </w:tcBorders>
            <w:noWrap w:val="0"/>
            <w:vAlign w:val="center"/>
          </w:tcPr>
          <w:p w14:paraId="03C0B73E">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31656F76">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√注</w:t>
            </w:r>
          </w:p>
        </w:tc>
        <w:tc>
          <w:tcPr>
            <w:tcW w:w="1000" w:type="dxa"/>
            <w:tcBorders>
              <w:top w:val="single" w:color="auto" w:sz="4" w:space="0"/>
              <w:left w:val="nil"/>
              <w:bottom w:val="single" w:color="auto" w:sz="4" w:space="0"/>
              <w:right w:val="single" w:color="auto" w:sz="4" w:space="0"/>
            </w:tcBorders>
            <w:noWrap w:val="0"/>
            <w:vAlign w:val="center"/>
          </w:tcPr>
          <w:p w14:paraId="64B727B2">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√注</w:t>
            </w:r>
          </w:p>
        </w:tc>
        <w:tc>
          <w:tcPr>
            <w:tcW w:w="1000" w:type="dxa"/>
            <w:tcBorders>
              <w:top w:val="single" w:color="auto" w:sz="4" w:space="0"/>
              <w:left w:val="nil"/>
              <w:bottom w:val="single" w:color="auto" w:sz="4" w:space="0"/>
              <w:right w:val="single" w:color="auto" w:sz="4" w:space="0"/>
            </w:tcBorders>
            <w:noWrap w:val="0"/>
            <w:vAlign w:val="center"/>
          </w:tcPr>
          <w:p w14:paraId="7B04CAA2">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1C8BD1DA">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r>
      <w:tr w14:paraId="25D72705">
        <w:tblPrEx>
          <w:tblCellMar>
            <w:top w:w="0" w:type="dxa"/>
            <w:left w:w="108" w:type="dxa"/>
            <w:bottom w:w="0" w:type="dxa"/>
            <w:right w:w="108" w:type="dxa"/>
          </w:tblCellMar>
        </w:tblPrEx>
        <w:trPr>
          <w:trHeight w:val="600" w:hRule="atLeast"/>
        </w:trPr>
        <w:tc>
          <w:tcPr>
            <w:tcW w:w="2200" w:type="dxa"/>
            <w:tcBorders>
              <w:top w:val="single" w:color="auto" w:sz="4" w:space="0"/>
              <w:left w:val="single" w:color="auto" w:sz="4" w:space="0"/>
              <w:bottom w:val="single" w:color="auto" w:sz="4" w:space="0"/>
              <w:right w:val="single" w:color="auto" w:sz="4" w:space="0"/>
            </w:tcBorders>
            <w:noWrap w:val="0"/>
            <w:vAlign w:val="center"/>
          </w:tcPr>
          <w:p w14:paraId="5D00E35E">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处理生活垃圾</w:t>
            </w:r>
          </w:p>
        </w:tc>
        <w:tc>
          <w:tcPr>
            <w:tcW w:w="900" w:type="dxa"/>
            <w:tcBorders>
              <w:top w:val="single" w:color="auto" w:sz="4" w:space="0"/>
              <w:left w:val="nil"/>
              <w:bottom w:val="single" w:color="auto" w:sz="4" w:space="0"/>
              <w:right w:val="single" w:color="auto" w:sz="4" w:space="0"/>
            </w:tcBorders>
            <w:noWrap w:val="0"/>
            <w:vAlign w:val="center"/>
          </w:tcPr>
          <w:p w14:paraId="3A571115">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860" w:type="dxa"/>
            <w:tcBorders>
              <w:top w:val="single" w:color="auto" w:sz="4" w:space="0"/>
              <w:left w:val="nil"/>
              <w:bottom w:val="single" w:color="auto" w:sz="4" w:space="0"/>
              <w:right w:val="single" w:color="auto" w:sz="4" w:space="0"/>
            </w:tcBorders>
            <w:noWrap w:val="0"/>
            <w:vAlign w:val="center"/>
          </w:tcPr>
          <w:p w14:paraId="6E45E874">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880" w:type="dxa"/>
            <w:tcBorders>
              <w:top w:val="single" w:color="auto" w:sz="4" w:space="0"/>
              <w:left w:val="nil"/>
              <w:bottom w:val="single" w:color="auto" w:sz="4" w:space="0"/>
              <w:right w:val="single" w:color="auto" w:sz="4" w:space="0"/>
            </w:tcBorders>
            <w:noWrap w:val="0"/>
            <w:vAlign w:val="center"/>
          </w:tcPr>
          <w:p w14:paraId="72F47595">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5D07FE8C">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　</w:t>
            </w:r>
          </w:p>
        </w:tc>
        <w:tc>
          <w:tcPr>
            <w:tcW w:w="1000" w:type="dxa"/>
            <w:tcBorders>
              <w:top w:val="single" w:color="auto" w:sz="4" w:space="0"/>
              <w:left w:val="nil"/>
              <w:bottom w:val="single" w:color="auto" w:sz="4" w:space="0"/>
              <w:right w:val="single" w:color="auto" w:sz="4" w:space="0"/>
            </w:tcBorders>
            <w:noWrap w:val="0"/>
            <w:vAlign w:val="center"/>
          </w:tcPr>
          <w:p w14:paraId="650D5DF9">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51B8D5A2">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7F0781F2">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　</w:t>
            </w:r>
          </w:p>
        </w:tc>
      </w:tr>
      <w:tr w14:paraId="565F5628">
        <w:tblPrEx>
          <w:tblCellMar>
            <w:top w:w="0" w:type="dxa"/>
            <w:left w:w="108" w:type="dxa"/>
            <w:bottom w:w="0" w:type="dxa"/>
            <w:right w:w="108" w:type="dxa"/>
          </w:tblCellMar>
        </w:tblPrEx>
        <w:trPr>
          <w:trHeight w:val="600" w:hRule="atLeast"/>
        </w:trPr>
        <w:tc>
          <w:tcPr>
            <w:tcW w:w="2200" w:type="dxa"/>
            <w:tcBorders>
              <w:top w:val="single" w:color="auto" w:sz="4" w:space="0"/>
              <w:left w:val="single" w:color="auto" w:sz="4" w:space="0"/>
              <w:bottom w:val="single" w:color="auto" w:sz="4" w:space="0"/>
              <w:right w:val="single" w:color="auto" w:sz="4" w:space="0"/>
            </w:tcBorders>
            <w:noWrap w:val="0"/>
            <w:vAlign w:val="center"/>
          </w:tcPr>
          <w:p w14:paraId="7265A871">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收工清洗消毒污染器具、用品</w:t>
            </w:r>
          </w:p>
        </w:tc>
        <w:tc>
          <w:tcPr>
            <w:tcW w:w="900" w:type="dxa"/>
            <w:tcBorders>
              <w:top w:val="single" w:color="auto" w:sz="4" w:space="0"/>
              <w:left w:val="nil"/>
              <w:bottom w:val="single" w:color="auto" w:sz="4" w:space="0"/>
              <w:right w:val="single" w:color="auto" w:sz="4" w:space="0"/>
            </w:tcBorders>
            <w:noWrap w:val="0"/>
            <w:vAlign w:val="center"/>
          </w:tcPr>
          <w:p w14:paraId="58757AA9">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860" w:type="dxa"/>
            <w:tcBorders>
              <w:top w:val="single" w:color="auto" w:sz="4" w:space="0"/>
              <w:left w:val="nil"/>
              <w:bottom w:val="single" w:color="auto" w:sz="4" w:space="0"/>
              <w:right w:val="single" w:color="auto" w:sz="4" w:space="0"/>
            </w:tcBorders>
            <w:noWrap w:val="0"/>
            <w:vAlign w:val="center"/>
          </w:tcPr>
          <w:p w14:paraId="765154B4">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880" w:type="dxa"/>
            <w:tcBorders>
              <w:top w:val="single" w:color="auto" w:sz="4" w:space="0"/>
              <w:left w:val="nil"/>
              <w:bottom w:val="single" w:color="auto" w:sz="4" w:space="0"/>
              <w:right w:val="single" w:color="auto" w:sz="4" w:space="0"/>
            </w:tcBorders>
            <w:noWrap w:val="0"/>
            <w:vAlign w:val="center"/>
          </w:tcPr>
          <w:p w14:paraId="6633FB90">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35F21E55">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3EEAEAFD">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7FB8D86D">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625062D4">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r>
      <w:tr w14:paraId="7D49CB93">
        <w:tblPrEx>
          <w:tblCellMar>
            <w:top w:w="0" w:type="dxa"/>
            <w:left w:w="108" w:type="dxa"/>
            <w:bottom w:w="0" w:type="dxa"/>
            <w:right w:w="108" w:type="dxa"/>
          </w:tblCellMar>
        </w:tblPrEx>
        <w:trPr>
          <w:trHeight w:val="600" w:hRule="atLeast"/>
        </w:trPr>
        <w:tc>
          <w:tcPr>
            <w:tcW w:w="2200" w:type="dxa"/>
            <w:tcBorders>
              <w:top w:val="single" w:color="auto" w:sz="4" w:space="0"/>
              <w:left w:val="single" w:color="auto" w:sz="4" w:space="0"/>
              <w:bottom w:val="single" w:color="auto" w:sz="4" w:space="0"/>
              <w:right w:val="single" w:color="auto" w:sz="4" w:space="0"/>
            </w:tcBorders>
            <w:noWrap w:val="0"/>
            <w:vAlign w:val="center"/>
          </w:tcPr>
          <w:p w14:paraId="400B9920">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洁具机械复用</w:t>
            </w:r>
          </w:p>
          <w:p w14:paraId="37E94297">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处   置</w:t>
            </w:r>
          </w:p>
        </w:tc>
        <w:tc>
          <w:tcPr>
            <w:tcW w:w="900" w:type="dxa"/>
            <w:tcBorders>
              <w:top w:val="single" w:color="auto" w:sz="4" w:space="0"/>
              <w:left w:val="nil"/>
              <w:bottom w:val="single" w:color="auto" w:sz="4" w:space="0"/>
              <w:right w:val="single" w:color="auto" w:sz="4" w:space="0"/>
            </w:tcBorders>
            <w:noWrap w:val="0"/>
            <w:vAlign w:val="center"/>
          </w:tcPr>
          <w:p w14:paraId="6FFB9254">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860" w:type="dxa"/>
            <w:tcBorders>
              <w:top w:val="single" w:color="auto" w:sz="4" w:space="0"/>
              <w:left w:val="nil"/>
              <w:bottom w:val="single" w:color="auto" w:sz="4" w:space="0"/>
              <w:right w:val="single" w:color="auto" w:sz="4" w:space="0"/>
            </w:tcBorders>
            <w:noWrap w:val="0"/>
            <w:vAlign w:val="center"/>
          </w:tcPr>
          <w:p w14:paraId="7C2DE569">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880" w:type="dxa"/>
            <w:tcBorders>
              <w:top w:val="single" w:color="auto" w:sz="4" w:space="0"/>
              <w:left w:val="nil"/>
              <w:bottom w:val="single" w:color="auto" w:sz="4" w:space="0"/>
              <w:right w:val="single" w:color="auto" w:sz="4" w:space="0"/>
            </w:tcBorders>
            <w:noWrap w:val="0"/>
            <w:vAlign w:val="center"/>
          </w:tcPr>
          <w:p w14:paraId="4823C2D9">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　</w:t>
            </w:r>
          </w:p>
        </w:tc>
        <w:tc>
          <w:tcPr>
            <w:tcW w:w="1000" w:type="dxa"/>
            <w:tcBorders>
              <w:top w:val="single" w:color="auto" w:sz="4" w:space="0"/>
              <w:left w:val="nil"/>
              <w:bottom w:val="single" w:color="auto" w:sz="4" w:space="0"/>
              <w:right w:val="single" w:color="auto" w:sz="4" w:space="0"/>
            </w:tcBorders>
            <w:noWrap w:val="0"/>
            <w:vAlign w:val="center"/>
          </w:tcPr>
          <w:p w14:paraId="12475B70">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　</w:t>
            </w:r>
          </w:p>
        </w:tc>
        <w:tc>
          <w:tcPr>
            <w:tcW w:w="1000" w:type="dxa"/>
            <w:tcBorders>
              <w:top w:val="single" w:color="auto" w:sz="4" w:space="0"/>
              <w:left w:val="nil"/>
              <w:bottom w:val="single" w:color="auto" w:sz="4" w:space="0"/>
              <w:right w:val="single" w:color="auto" w:sz="4" w:space="0"/>
            </w:tcBorders>
            <w:noWrap w:val="0"/>
            <w:vAlign w:val="center"/>
          </w:tcPr>
          <w:p w14:paraId="52F0CF7B">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3A0CDDE0">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5EE368D1">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　</w:t>
            </w:r>
          </w:p>
        </w:tc>
      </w:tr>
      <w:tr w14:paraId="7C3DA0AA">
        <w:tblPrEx>
          <w:tblCellMar>
            <w:top w:w="0" w:type="dxa"/>
            <w:left w:w="108" w:type="dxa"/>
            <w:bottom w:w="0" w:type="dxa"/>
            <w:right w:w="108" w:type="dxa"/>
          </w:tblCellMar>
        </w:tblPrEx>
        <w:trPr>
          <w:trHeight w:val="600" w:hRule="atLeast"/>
        </w:trPr>
        <w:tc>
          <w:tcPr>
            <w:tcW w:w="2200" w:type="dxa"/>
            <w:tcBorders>
              <w:top w:val="single" w:color="auto" w:sz="4" w:space="0"/>
              <w:left w:val="single" w:color="auto" w:sz="4" w:space="0"/>
              <w:bottom w:val="single" w:color="auto" w:sz="4" w:space="0"/>
              <w:right w:val="single" w:color="auto" w:sz="4" w:space="0"/>
            </w:tcBorders>
            <w:noWrap w:val="0"/>
            <w:vAlign w:val="center"/>
          </w:tcPr>
          <w:p w14:paraId="34AE188A">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日常清洁与消毒</w:t>
            </w:r>
          </w:p>
        </w:tc>
        <w:tc>
          <w:tcPr>
            <w:tcW w:w="900" w:type="dxa"/>
            <w:tcBorders>
              <w:top w:val="single" w:color="auto" w:sz="4" w:space="0"/>
              <w:left w:val="nil"/>
              <w:bottom w:val="single" w:color="auto" w:sz="4" w:space="0"/>
              <w:right w:val="single" w:color="auto" w:sz="4" w:space="0"/>
            </w:tcBorders>
            <w:noWrap w:val="0"/>
            <w:vAlign w:val="center"/>
          </w:tcPr>
          <w:p w14:paraId="3C919187">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860" w:type="dxa"/>
            <w:tcBorders>
              <w:top w:val="single" w:color="auto" w:sz="4" w:space="0"/>
              <w:left w:val="nil"/>
              <w:bottom w:val="single" w:color="auto" w:sz="4" w:space="0"/>
              <w:right w:val="single" w:color="auto" w:sz="4" w:space="0"/>
            </w:tcBorders>
            <w:noWrap w:val="0"/>
            <w:vAlign w:val="center"/>
          </w:tcPr>
          <w:p w14:paraId="34E064FD">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880" w:type="dxa"/>
            <w:tcBorders>
              <w:top w:val="single" w:color="auto" w:sz="4" w:space="0"/>
              <w:left w:val="nil"/>
              <w:bottom w:val="single" w:color="auto" w:sz="4" w:space="0"/>
              <w:right w:val="single" w:color="auto" w:sz="4" w:space="0"/>
            </w:tcBorders>
            <w:noWrap w:val="0"/>
            <w:vAlign w:val="center"/>
          </w:tcPr>
          <w:p w14:paraId="29680F00">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751C04DF">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　</w:t>
            </w:r>
          </w:p>
        </w:tc>
        <w:tc>
          <w:tcPr>
            <w:tcW w:w="1000" w:type="dxa"/>
            <w:tcBorders>
              <w:top w:val="single" w:color="auto" w:sz="4" w:space="0"/>
              <w:left w:val="nil"/>
              <w:bottom w:val="single" w:color="auto" w:sz="4" w:space="0"/>
              <w:right w:val="single" w:color="auto" w:sz="4" w:space="0"/>
            </w:tcBorders>
            <w:noWrap w:val="0"/>
            <w:vAlign w:val="center"/>
          </w:tcPr>
          <w:p w14:paraId="48D73BBF">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46A1366C">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479DB657">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　</w:t>
            </w:r>
          </w:p>
        </w:tc>
      </w:tr>
      <w:tr w14:paraId="4012E42C">
        <w:tblPrEx>
          <w:tblCellMar>
            <w:top w:w="0" w:type="dxa"/>
            <w:left w:w="108" w:type="dxa"/>
            <w:bottom w:w="0" w:type="dxa"/>
            <w:right w:w="108" w:type="dxa"/>
          </w:tblCellMar>
        </w:tblPrEx>
        <w:trPr>
          <w:trHeight w:val="600" w:hRule="atLeast"/>
        </w:trPr>
        <w:tc>
          <w:tcPr>
            <w:tcW w:w="2200" w:type="dxa"/>
            <w:tcBorders>
              <w:top w:val="single" w:color="auto" w:sz="4" w:space="0"/>
              <w:left w:val="single" w:color="auto" w:sz="4" w:space="0"/>
              <w:bottom w:val="single" w:color="auto" w:sz="4" w:space="0"/>
              <w:right w:val="single" w:color="auto" w:sz="4" w:space="0"/>
            </w:tcBorders>
            <w:noWrap w:val="0"/>
            <w:vAlign w:val="center"/>
          </w:tcPr>
          <w:p w14:paraId="64D8B34F">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终末清洁与消毒</w:t>
            </w:r>
          </w:p>
        </w:tc>
        <w:tc>
          <w:tcPr>
            <w:tcW w:w="900" w:type="dxa"/>
            <w:tcBorders>
              <w:top w:val="single" w:color="auto" w:sz="4" w:space="0"/>
              <w:left w:val="nil"/>
              <w:bottom w:val="single" w:color="auto" w:sz="4" w:space="0"/>
              <w:right w:val="single" w:color="auto" w:sz="4" w:space="0"/>
            </w:tcBorders>
            <w:noWrap w:val="0"/>
            <w:vAlign w:val="center"/>
          </w:tcPr>
          <w:p w14:paraId="12B55C39">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860" w:type="dxa"/>
            <w:tcBorders>
              <w:top w:val="single" w:color="auto" w:sz="4" w:space="0"/>
              <w:left w:val="nil"/>
              <w:bottom w:val="single" w:color="auto" w:sz="4" w:space="0"/>
              <w:right w:val="single" w:color="auto" w:sz="4" w:space="0"/>
            </w:tcBorders>
            <w:noWrap w:val="0"/>
            <w:vAlign w:val="center"/>
          </w:tcPr>
          <w:p w14:paraId="7D354554">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880" w:type="dxa"/>
            <w:tcBorders>
              <w:top w:val="single" w:color="auto" w:sz="4" w:space="0"/>
              <w:left w:val="nil"/>
              <w:bottom w:val="single" w:color="auto" w:sz="4" w:space="0"/>
              <w:right w:val="single" w:color="auto" w:sz="4" w:space="0"/>
            </w:tcBorders>
            <w:noWrap w:val="0"/>
            <w:vAlign w:val="center"/>
          </w:tcPr>
          <w:p w14:paraId="6D751B64">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5595434C">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　</w:t>
            </w:r>
          </w:p>
        </w:tc>
        <w:tc>
          <w:tcPr>
            <w:tcW w:w="1000" w:type="dxa"/>
            <w:tcBorders>
              <w:top w:val="single" w:color="auto" w:sz="4" w:space="0"/>
              <w:left w:val="nil"/>
              <w:bottom w:val="single" w:color="auto" w:sz="4" w:space="0"/>
              <w:right w:val="single" w:color="auto" w:sz="4" w:space="0"/>
            </w:tcBorders>
            <w:noWrap w:val="0"/>
            <w:vAlign w:val="center"/>
          </w:tcPr>
          <w:p w14:paraId="58EB4B1B">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2AA3C310">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5FB81B6A">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　</w:t>
            </w:r>
          </w:p>
        </w:tc>
      </w:tr>
      <w:tr w14:paraId="0EF8E5CE">
        <w:tblPrEx>
          <w:tblCellMar>
            <w:top w:w="0" w:type="dxa"/>
            <w:left w:w="108" w:type="dxa"/>
            <w:bottom w:w="0" w:type="dxa"/>
            <w:right w:w="108" w:type="dxa"/>
          </w:tblCellMar>
        </w:tblPrEx>
        <w:trPr>
          <w:trHeight w:val="600" w:hRule="atLeast"/>
        </w:trPr>
        <w:tc>
          <w:tcPr>
            <w:tcW w:w="2200" w:type="dxa"/>
            <w:tcBorders>
              <w:top w:val="single" w:color="auto" w:sz="4" w:space="0"/>
              <w:left w:val="single" w:color="auto" w:sz="4" w:space="0"/>
              <w:bottom w:val="single" w:color="auto" w:sz="4" w:space="0"/>
              <w:right w:val="single" w:color="auto" w:sz="4" w:space="0"/>
            </w:tcBorders>
            <w:noWrap w:val="0"/>
            <w:vAlign w:val="center"/>
          </w:tcPr>
          <w:p w14:paraId="28D1F364">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强化清洁与消毒</w:t>
            </w:r>
          </w:p>
        </w:tc>
        <w:tc>
          <w:tcPr>
            <w:tcW w:w="900" w:type="dxa"/>
            <w:tcBorders>
              <w:top w:val="single" w:color="auto" w:sz="4" w:space="0"/>
              <w:left w:val="nil"/>
              <w:bottom w:val="single" w:color="auto" w:sz="4" w:space="0"/>
              <w:right w:val="single" w:color="auto" w:sz="4" w:space="0"/>
            </w:tcBorders>
            <w:noWrap w:val="0"/>
            <w:vAlign w:val="center"/>
          </w:tcPr>
          <w:p w14:paraId="65C76928">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860" w:type="dxa"/>
            <w:tcBorders>
              <w:top w:val="single" w:color="auto" w:sz="4" w:space="0"/>
              <w:left w:val="nil"/>
              <w:bottom w:val="single" w:color="auto" w:sz="4" w:space="0"/>
              <w:right w:val="single" w:color="auto" w:sz="4" w:space="0"/>
            </w:tcBorders>
            <w:noWrap w:val="0"/>
            <w:vAlign w:val="center"/>
          </w:tcPr>
          <w:p w14:paraId="7FA86C06">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880" w:type="dxa"/>
            <w:tcBorders>
              <w:top w:val="single" w:color="auto" w:sz="4" w:space="0"/>
              <w:left w:val="nil"/>
              <w:bottom w:val="single" w:color="auto" w:sz="4" w:space="0"/>
              <w:right w:val="single" w:color="auto" w:sz="4" w:space="0"/>
            </w:tcBorders>
            <w:noWrap w:val="0"/>
            <w:vAlign w:val="center"/>
          </w:tcPr>
          <w:p w14:paraId="41D0269B">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7976047B">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6586AED2">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74251210">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tc>
        <w:tc>
          <w:tcPr>
            <w:tcW w:w="1000" w:type="dxa"/>
            <w:tcBorders>
              <w:top w:val="single" w:color="auto" w:sz="4" w:space="0"/>
              <w:left w:val="nil"/>
              <w:bottom w:val="single" w:color="auto" w:sz="4" w:space="0"/>
              <w:right w:val="single" w:color="auto" w:sz="4" w:space="0"/>
            </w:tcBorders>
            <w:noWrap w:val="0"/>
            <w:vAlign w:val="center"/>
          </w:tcPr>
          <w:p w14:paraId="4309E6FB">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　</w:t>
            </w:r>
          </w:p>
        </w:tc>
      </w:tr>
    </w:tbl>
    <w:p w14:paraId="24DC8B21">
      <w:pPr>
        <w:keepNext w:val="0"/>
        <w:keepLines w:val="0"/>
        <w:pageBreakBefore w:val="0"/>
        <w:tabs>
          <w:tab w:val="right" w:pos="8844"/>
        </w:tabs>
        <w:kinsoku/>
        <w:wordWrap/>
        <w:overflowPunct/>
        <w:topLinePunct w:val="0"/>
        <w:autoSpaceDE/>
        <w:autoSpaceDN/>
        <w:bidi w:val="0"/>
        <w:adjustRightInd/>
        <w:snapToGrid/>
        <w:spacing w:line="24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注：√：应使用：    √注：指医疗废物转运人员 </w:t>
      </w:r>
    </w:p>
    <w:p w14:paraId="0C92C924">
      <w:pPr>
        <w:keepNext w:val="0"/>
        <w:keepLines w:val="0"/>
        <w:pageBreakBefore w:val="0"/>
        <w:tabs>
          <w:tab w:val="right" w:pos="8844"/>
        </w:tabs>
        <w:kinsoku/>
        <w:wordWrap/>
        <w:overflowPunct/>
        <w:topLinePunct w:val="0"/>
        <w:autoSpaceDE/>
        <w:autoSpaceDN/>
        <w:bidi w:val="0"/>
        <w:adjustRightInd/>
        <w:snapToGrid/>
        <w:spacing w:line="24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△：按需要使用  ◇：根据所在区域要求 </w:t>
      </w:r>
    </w:p>
    <w:p w14:paraId="3841ECF8">
      <w:pPr>
        <w:keepNext w:val="0"/>
        <w:keepLines w:val="0"/>
        <w:pageBreakBefore w:val="0"/>
        <w:kinsoku/>
        <w:wordWrap/>
        <w:overflowPunct/>
        <w:topLinePunct w:val="0"/>
        <w:autoSpaceDE/>
        <w:autoSpaceDN/>
        <w:bidi w:val="0"/>
        <w:adjustRightInd/>
        <w:snapToGrid/>
        <w:spacing w:line="24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：具有防烫功能的手套</w:t>
      </w:r>
    </w:p>
    <w:p w14:paraId="150B103C">
      <w:pPr>
        <w:pStyle w:val="2"/>
        <w:rPr>
          <w:rFonts w:hint="eastAsia"/>
        </w:rPr>
      </w:pPr>
    </w:p>
    <w:p w14:paraId="26EBB309">
      <w:pPr>
        <w:keepNext w:val="0"/>
        <w:keepLines w:val="0"/>
        <w:pageBreakBefore w:val="0"/>
        <w:kinsoku/>
        <w:wordWrap/>
        <w:overflowPunct/>
        <w:topLinePunct w:val="0"/>
        <w:autoSpaceDE/>
        <w:autoSpaceDN/>
        <w:bidi w:val="0"/>
        <w:adjustRightInd/>
        <w:snapToGrid/>
        <w:spacing w:line="24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表二 环境清洁人员个人防护用品选择</w:t>
      </w:r>
    </w:p>
    <w:tbl>
      <w:tblPr>
        <w:tblStyle w:val="6"/>
        <w:tblW w:w="0" w:type="auto"/>
        <w:tblInd w:w="0" w:type="dxa"/>
        <w:tblLayout w:type="fixed"/>
        <w:tblCellMar>
          <w:top w:w="15" w:type="dxa"/>
          <w:left w:w="15" w:type="dxa"/>
          <w:bottom w:w="15" w:type="dxa"/>
          <w:right w:w="15" w:type="dxa"/>
        </w:tblCellMar>
      </w:tblPr>
      <w:tblGrid>
        <w:gridCol w:w="1436"/>
        <w:gridCol w:w="1028"/>
        <w:gridCol w:w="1028"/>
        <w:gridCol w:w="1043"/>
        <w:gridCol w:w="1043"/>
        <w:gridCol w:w="1028"/>
        <w:gridCol w:w="1028"/>
        <w:gridCol w:w="1436"/>
      </w:tblGrid>
      <w:tr w14:paraId="53E846BF">
        <w:tblPrEx>
          <w:tblCellMar>
            <w:top w:w="15" w:type="dxa"/>
            <w:left w:w="15" w:type="dxa"/>
            <w:bottom w:w="15" w:type="dxa"/>
            <w:right w:w="15" w:type="dxa"/>
          </w:tblCellMar>
        </w:tblPrEx>
        <w:trPr>
          <w:trHeight w:val="795" w:hRule="atLeast"/>
        </w:trPr>
        <w:tc>
          <w:tcPr>
            <w:tcW w:w="1436" w:type="dxa"/>
            <w:tcBorders>
              <w:top w:val="single" w:color="000000" w:sz="4" w:space="0"/>
              <w:left w:val="single" w:color="000000" w:sz="4" w:space="0"/>
              <w:bottom w:val="single" w:color="000000" w:sz="4" w:space="0"/>
              <w:right w:val="single" w:color="000000" w:sz="4" w:space="0"/>
            </w:tcBorders>
            <w:noWrap w:val="0"/>
            <w:vAlign w:val="center"/>
          </w:tcPr>
          <w:p w14:paraId="4B14464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风险等级</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2BB4E27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工作服</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49EA48B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手套</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15174E8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专用鞋</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/鞋套</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5EFD718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口罩</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04DFF24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隔离衣/</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防水围裙</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0757B93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护目镜</w:t>
            </w:r>
            <w:r>
              <w:rPr>
                <w:rFonts w:hint="eastAsia" w:ascii="仿宋" w:hAnsi="仿宋" w:eastAsia="仿宋" w:cs="仿宋"/>
                <w:kern w:val="0"/>
                <w:sz w:val="24"/>
                <w:szCs w:val="24"/>
                <w:highlight w:val="none"/>
                <w:lang w:bidi="ar"/>
              </w:rPr>
              <w:br w:type="textWrapping"/>
            </w:r>
            <w:r>
              <w:rPr>
                <w:rFonts w:hint="eastAsia" w:ascii="仿宋" w:hAnsi="仿宋" w:eastAsia="仿宋" w:cs="仿宋"/>
                <w:kern w:val="0"/>
                <w:sz w:val="24"/>
                <w:szCs w:val="24"/>
                <w:highlight w:val="none"/>
                <w:lang w:bidi="ar"/>
              </w:rPr>
              <w:t>/面罩</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349DDAD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帽子</w:t>
            </w:r>
          </w:p>
        </w:tc>
      </w:tr>
      <w:tr w14:paraId="549EB6C9">
        <w:tblPrEx>
          <w:tblCellMar>
            <w:top w:w="15" w:type="dxa"/>
            <w:left w:w="15" w:type="dxa"/>
            <w:bottom w:w="15" w:type="dxa"/>
            <w:right w:w="15" w:type="dxa"/>
          </w:tblCellMar>
        </w:tblPrEx>
        <w:trPr>
          <w:trHeight w:val="495" w:hRule="atLeast"/>
        </w:trPr>
        <w:tc>
          <w:tcPr>
            <w:tcW w:w="1436" w:type="dxa"/>
            <w:tcBorders>
              <w:top w:val="single" w:color="000000" w:sz="4" w:space="0"/>
              <w:left w:val="single" w:color="000000" w:sz="4" w:space="0"/>
              <w:bottom w:val="single" w:color="000000" w:sz="4" w:space="0"/>
              <w:right w:val="single" w:color="000000" w:sz="4" w:space="0"/>
            </w:tcBorders>
            <w:noWrap w:val="0"/>
            <w:vAlign w:val="center"/>
          </w:tcPr>
          <w:p w14:paraId="1DCF04C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低度风险区域</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64149D2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1D17C06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3D4A091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7E33370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3385058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2C1BEC1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48714CF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r>
      <w:tr w14:paraId="049D895B">
        <w:tblPrEx>
          <w:tblCellMar>
            <w:top w:w="15" w:type="dxa"/>
            <w:left w:w="15" w:type="dxa"/>
            <w:bottom w:w="15" w:type="dxa"/>
            <w:right w:w="15" w:type="dxa"/>
          </w:tblCellMar>
        </w:tblPrEx>
        <w:trPr>
          <w:trHeight w:val="495" w:hRule="atLeast"/>
        </w:trPr>
        <w:tc>
          <w:tcPr>
            <w:tcW w:w="1436" w:type="dxa"/>
            <w:tcBorders>
              <w:top w:val="single" w:color="000000" w:sz="4" w:space="0"/>
              <w:left w:val="single" w:color="000000" w:sz="4" w:space="0"/>
              <w:bottom w:val="single" w:color="000000" w:sz="4" w:space="0"/>
              <w:right w:val="single" w:color="000000" w:sz="4" w:space="0"/>
            </w:tcBorders>
            <w:noWrap w:val="0"/>
            <w:vAlign w:val="center"/>
          </w:tcPr>
          <w:p w14:paraId="28EC1BF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中度风险区域</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21E1E3F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21BBF44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473A96F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2A19AA2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6CB78D4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76A496D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27E5BB3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r>
      <w:tr w14:paraId="4131DB52">
        <w:tblPrEx>
          <w:tblCellMar>
            <w:top w:w="15" w:type="dxa"/>
            <w:left w:w="15" w:type="dxa"/>
            <w:bottom w:w="15" w:type="dxa"/>
            <w:right w:w="15" w:type="dxa"/>
          </w:tblCellMar>
        </w:tblPrEx>
        <w:trPr>
          <w:trHeight w:val="495" w:hRule="atLeast"/>
        </w:trPr>
        <w:tc>
          <w:tcPr>
            <w:tcW w:w="1436" w:type="dxa"/>
            <w:tcBorders>
              <w:top w:val="single" w:color="000000" w:sz="4" w:space="0"/>
              <w:left w:val="single" w:color="000000" w:sz="4" w:space="0"/>
              <w:bottom w:val="single" w:color="000000" w:sz="4" w:space="0"/>
              <w:right w:val="single" w:color="000000" w:sz="4" w:space="0"/>
            </w:tcBorders>
            <w:noWrap w:val="0"/>
            <w:vAlign w:val="center"/>
          </w:tcPr>
          <w:p w14:paraId="4092E45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高度风险区域</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3B581EF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0725187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661E0E5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r>
              <w:rPr>
                <w:rFonts w:hint="eastAsia" w:ascii="仿宋" w:hAnsi="仿宋" w:eastAsia="仿宋" w:cs="仿宋"/>
                <w:sz w:val="24"/>
                <w:szCs w:val="24"/>
                <w:highlight w:val="none"/>
                <w:lang w:bidi="ar"/>
              </w:rPr>
              <w:t>±</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0E9D761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2C43BCB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510711A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c>
          <w:tcPr>
            <w:tcW w:w="1436" w:type="dxa"/>
            <w:tcBorders>
              <w:top w:val="single" w:color="000000" w:sz="4" w:space="0"/>
              <w:left w:val="single" w:color="000000" w:sz="4" w:space="0"/>
              <w:bottom w:val="single" w:color="000000" w:sz="4" w:space="0"/>
              <w:right w:val="single" w:color="000000" w:sz="4" w:space="0"/>
            </w:tcBorders>
            <w:noWrap w:val="0"/>
            <w:vAlign w:val="center"/>
          </w:tcPr>
          <w:p w14:paraId="786001F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w:t>
            </w:r>
          </w:p>
        </w:tc>
      </w:tr>
      <w:tr w14:paraId="7BB78386">
        <w:tblPrEx>
          <w:tblCellMar>
            <w:top w:w="15" w:type="dxa"/>
            <w:left w:w="15" w:type="dxa"/>
            <w:bottom w:w="15" w:type="dxa"/>
            <w:right w:w="15" w:type="dxa"/>
          </w:tblCellMar>
        </w:tblPrEx>
        <w:trPr>
          <w:trHeight w:val="1200" w:hRule="atLeast"/>
        </w:trPr>
        <w:tc>
          <w:tcPr>
            <w:tcW w:w="9070" w:type="dxa"/>
            <w:gridSpan w:val="8"/>
            <w:tcBorders>
              <w:top w:val="single" w:color="000000" w:sz="4" w:space="0"/>
              <w:left w:val="single" w:color="000000" w:sz="4" w:space="0"/>
              <w:bottom w:val="single" w:color="000000" w:sz="4" w:space="0"/>
              <w:right w:val="single" w:color="000000" w:sz="4" w:space="0"/>
            </w:tcBorders>
            <w:noWrap w:val="0"/>
            <w:vAlign w:val="center"/>
          </w:tcPr>
          <w:p w14:paraId="23C6C0E3">
            <w:pPr>
              <w:keepNext w:val="0"/>
              <w:keepLines w:val="0"/>
              <w:pageBreakBefore w:val="0"/>
              <w:widowControl/>
              <w:kinsoku/>
              <w:wordWrap/>
              <w:overflowPunct/>
              <w:topLinePunct w:val="0"/>
              <w:autoSpaceDE/>
              <w:autoSpaceDN/>
              <w:bidi w:val="0"/>
              <w:adjustRightInd/>
              <w:snapToGrid/>
              <w:spacing w:line="240" w:lineRule="auto"/>
              <w:ind w:left="720" w:hanging="720" w:hangingChars="300"/>
              <w:jc w:val="left"/>
              <w:textAlignment w:val="center"/>
              <w:rPr>
                <w:rFonts w:hint="eastAsia" w:ascii="仿宋" w:hAnsi="仿宋" w:eastAsia="仿宋" w:cs="仿宋"/>
                <w:kern w:val="0"/>
                <w:sz w:val="24"/>
                <w:szCs w:val="24"/>
                <w:highlight w:val="none"/>
                <w:lang w:bidi="ar"/>
              </w:rPr>
            </w:pPr>
            <w:r>
              <w:rPr>
                <w:rFonts w:hint="eastAsia" w:ascii="仿宋" w:hAnsi="仿宋" w:eastAsia="仿宋" w:cs="仿宋"/>
                <w:kern w:val="0"/>
                <w:sz w:val="24"/>
                <w:szCs w:val="24"/>
                <w:highlight w:val="none"/>
                <w:lang w:bidi="ar"/>
              </w:rPr>
              <w:t>注1：“++”表示应使用N95口罩，“+”表示应使用，“±”表示可使用或按该区域的个人防护要求使用，“-”表示可以不使用。</w:t>
            </w:r>
          </w:p>
          <w:p w14:paraId="4BEC314F">
            <w:pPr>
              <w:keepNext w:val="0"/>
              <w:keepLines w:val="0"/>
              <w:pageBreakBefore w:val="0"/>
              <w:widowControl/>
              <w:kinsoku/>
              <w:wordWrap/>
              <w:overflowPunct/>
              <w:topLinePunct w:val="0"/>
              <w:autoSpaceDE/>
              <w:autoSpaceDN/>
              <w:bidi w:val="0"/>
              <w:adjustRightInd/>
              <w:snapToGrid/>
              <w:spacing w:line="240" w:lineRule="auto"/>
              <w:ind w:left="720" w:hanging="720" w:hangingChars="300"/>
              <w:jc w:val="left"/>
              <w:textAlignment w:val="center"/>
              <w:rPr>
                <w:rFonts w:hint="eastAsia" w:ascii="仿宋" w:hAnsi="仿宋" w:eastAsia="仿宋" w:cs="仿宋"/>
                <w:sz w:val="24"/>
                <w:szCs w:val="24"/>
                <w:highlight w:val="none"/>
              </w:rPr>
            </w:pPr>
            <w:r>
              <w:rPr>
                <w:rFonts w:hint="eastAsia" w:ascii="仿宋" w:hAnsi="仿宋" w:eastAsia="仿宋" w:cs="仿宋"/>
                <w:kern w:val="0"/>
                <w:sz w:val="24"/>
                <w:szCs w:val="24"/>
                <w:highlight w:val="none"/>
                <w:lang w:bidi="ar"/>
              </w:rPr>
              <w:t>注2：处理患者体液、血液、排泄物、分泌物等污染物、医疗废物和消毒液配制时，应佩戴上述所有个人防护用品。</w:t>
            </w:r>
          </w:p>
        </w:tc>
      </w:tr>
    </w:tbl>
    <w:p w14:paraId="0E307012">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八、</w:t>
      </w:r>
      <w:r>
        <w:rPr>
          <w:rFonts w:hint="eastAsia" w:ascii="仿宋" w:hAnsi="仿宋" w:eastAsia="仿宋" w:cs="仿宋"/>
          <w:b/>
          <w:sz w:val="24"/>
          <w:szCs w:val="24"/>
          <w:highlight w:val="none"/>
        </w:rPr>
        <w:t>甲方的权利和义务</w:t>
      </w:r>
    </w:p>
    <w:p w14:paraId="2F57C1C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甲方保证乙方工作期间水、电供应，提供必要的工作条件。若发生停水、停电、厕所及下水道堵塞应及时维修。</w:t>
      </w:r>
    </w:p>
    <w:p w14:paraId="62AA745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全部卫生间内的卫生纸和洗手液由甲方提供。</w:t>
      </w:r>
    </w:p>
    <w:p w14:paraId="09E792A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bCs/>
          <w:color w:val="auto"/>
          <w:sz w:val="24"/>
          <w:szCs w:val="24"/>
          <w:highlight w:val="none"/>
        </w:rPr>
        <w:t>.</w:t>
      </w:r>
      <w:r>
        <w:rPr>
          <w:rFonts w:hint="eastAsia" w:ascii="仿宋" w:hAnsi="仿宋" w:eastAsia="仿宋" w:cs="仿宋"/>
          <w:color w:val="auto"/>
          <w:sz w:val="24"/>
          <w:szCs w:val="24"/>
          <w:highlight w:val="none"/>
        </w:rPr>
        <w:t>甲方负责人有监督指导权，发现问题可督促乙方在限期内改正，甲方对个别员工不满意可以书面形式通知乙方</w:t>
      </w:r>
      <w:r>
        <w:rPr>
          <w:rFonts w:hint="eastAsia" w:ascii="仿宋" w:hAnsi="仿宋" w:eastAsia="仿宋" w:cs="仿宋"/>
          <w:color w:val="auto"/>
          <w:sz w:val="24"/>
          <w:szCs w:val="24"/>
          <w:highlight w:val="none"/>
          <w:lang w:eastAsia="zh-CN"/>
        </w:rPr>
        <w:t>召</w:t>
      </w:r>
      <w:r>
        <w:rPr>
          <w:rFonts w:hint="eastAsia" w:ascii="仿宋" w:hAnsi="仿宋" w:eastAsia="仿宋" w:cs="仿宋"/>
          <w:color w:val="auto"/>
          <w:sz w:val="24"/>
          <w:szCs w:val="24"/>
          <w:highlight w:val="none"/>
        </w:rPr>
        <w:t>回该员工，乙方须于7日内</w:t>
      </w:r>
      <w:r>
        <w:rPr>
          <w:rFonts w:hint="eastAsia" w:ascii="仿宋" w:hAnsi="仿宋" w:eastAsia="仿宋" w:cs="仿宋"/>
          <w:color w:val="auto"/>
          <w:sz w:val="24"/>
          <w:szCs w:val="24"/>
          <w:highlight w:val="none"/>
          <w:lang w:eastAsia="zh-CN"/>
        </w:rPr>
        <w:t>召</w:t>
      </w:r>
      <w:r>
        <w:rPr>
          <w:rFonts w:hint="eastAsia" w:ascii="仿宋" w:hAnsi="仿宋" w:eastAsia="仿宋" w:cs="仿宋"/>
          <w:color w:val="auto"/>
          <w:sz w:val="24"/>
          <w:szCs w:val="24"/>
          <w:highlight w:val="none"/>
        </w:rPr>
        <w:t>回</w:t>
      </w:r>
      <w:r>
        <w:rPr>
          <w:rFonts w:hint="eastAsia" w:ascii="仿宋" w:hAnsi="仿宋" w:eastAsia="仿宋" w:cs="仿宋"/>
          <w:color w:val="auto"/>
          <w:sz w:val="24"/>
          <w:szCs w:val="24"/>
          <w:highlight w:val="none"/>
          <w:lang w:eastAsia="zh-CN"/>
        </w:rPr>
        <w:t>该人并</w:t>
      </w:r>
      <w:r>
        <w:rPr>
          <w:rFonts w:hint="eastAsia" w:ascii="仿宋" w:hAnsi="仿宋" w:eastAsia="仿宋" w:cs="仿宋"/>
          <w:color w:val="auto"/>
          <w:sz w:val="24"/>
          <w:szCs w:val="24"/>
          <w:highlight w:val="none"/>
        </w:rPr>
        <w:t>另行安排其他员工提供保洁服务。</w:t>
      </w:r>
    </w:p>
    <w:p w14:paraId="373ECCE8">
      <w:pPr>
        <w:pStyle w:val="3"/>
        <w:keepNext w:val="0"/>
        <w:keepLines w:val="0"/>
        <w:pageBreakBefore w:val="0"/>
        <w:widowControl w:val="0"/>
        <w:kinsoku/>
        <w:wordWrap/>
        <w:overflowPunct/>
        <w:topLinePunct w:val="0"/>
        <w:autoSpaceDE/>
        <w:autoSpaceDN/>
        <w:bidi w:val="0"/>
        <w:adjustRightInd/>
        <w:snapToGrid/>
        <w:spacing w:line="400" w:lineRule="exact"/>
        <w:ind w:right="237" w:firstLine="48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4</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val="en-US" w:eastAsia="zh-CN"/>
        </w:rPr>
        <w:t>甲方</w:t>
      </w:r>
      <w:r>
        <w:rPr>
          <w:rFonts w:hint="default" w:ascii="仿宋_GB2312" w:hAnsi="仿宋_GB2312" w:eastAsia="仿宋_GB2312" w:cs="仿宋_GB2312"/>
          <w:color w:val="auto"/>
          <w:sz w:val="24"/>
          <w:szCs w:val="24"/>
          <w:highlight w:val="none"/>
          <w:lang w:val="en-US" w:eastAsia="zh-CN"/>
        </w:rPr>
        <w:t>不为</w:t>
      </w:r>
      <w:r>
        <w:rPr>
          <w:rFonts w:hint="eastAsia" w:ascii="仿宋_GB2312" w:hAnsi="仿宋_GB2312" w:eastAsia="仿宋_GB2312" w:cs="仿宋_GB2312"/>
          <w:color w:val="auto"/>
          <w:sz w:val="24"/>
          <w:szCs w:val="24"/>
          <w:highlight w:val="none"/>
          <w:lang w:val="en-US" w:eastAsia="zh-CN"/>
        </w:rPr>
        <w:t>乙方</w:t>
      </w:r>
      <w:r>
        <w:rPr>
          <w:rFonts w:hint="default" w:ascii="仿宋_GB2312" w:hAnsi="仿宋_GB2312" w:eastAsia="仿宋_GB2312" w:cs="仿宋_GB2312"/>
          <w:color w:val="auto"/>
          <w:sz w:val="24"/>
          <w:szCs w:val="24"/>
          <w:highlight w:val="none"/>
          <w:lang w:val="en-US" w:eastAsia="zh-CN"/>
        </w:rPr>
        <w:t>单位提供办公室、库房、宿舍等用房</w:t>
      </w:r>
      <w:r>
        <w:rPr>
          <w:rFonts w:ascii="Segoe UI" w:hAnsi="Segoe UI" w:eastAsia="Segoe UI" w:cs="Segoe UI"/>
          <w:i w:val="0"/>
          <w:iCs w:val="0"/>
          <w:caps w:val="0"/>
          <w:color w:val="232930"/>
          <w:spacing w:val="0"/>
          <w:sz w:val="21"/>
          <w:szCs w:val="21"/>
          <w:shd w:val="clear" w:fill="FFFFFF"/>
        </w:rPr>
        <w:t>，</w:t>
      </w:r>
      <w:r>
        <w:rPr>
          <w:rFonts w:hint="eastAsia" w:ascii="仿宋" w:hAnsi="仿宋" w:eastAsia="仿宋" w:cs="仿宋"/>
          <w:color w:val="auto"/>
          <w:kern w:val="2"/>
          <w:sz w:val="24"/>
          <w:szCs w:val="24"/>
          <w:highlight w:val="none"/>
          <w:lang w:val="en-US" w:eastAsia="zh-CN" w:bidi="ar-SA"/>
        </w:rPr>
        <w:t>乙方所有用房需求均需自行解决。</w:t>
      </w:r>
    </w:p>
    <w:p w14:paraId="58DE71D9">
      <w:pPr>
        <w:pStyle w:val="3"/>
        <w:keepNext w:val="0"/>
        <w:keepLines w:val="0"/>
        <w:pageBreakBefore w:val="0"/>
        <w:widowControl w:val="0"/>
        <w:kinsoku/>
        <w:wordWrap/>
        <w:overflowPunct/>
        <w:topLinePunct w:val="0"/>
        <w:autoSpaceDE/>
        <w:autoSpaceDN/>
        <w:bidi w:val="0"/>
        <w:adjustRightInd/>
        <w:snapToGrid/>
        <w:spacing w:line="400" w:lineRule="exact"/>
        <w:ind w:right="237" w:firstLine="480"/>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5.乙方</w:t>
      </w:r>
      <w:r>
        <w:rPr>
          <w:rFonts w:hint="default" w:ascii="仿宋_GB2312" w:hAnsi="仿宋_GB2312" w:eastAsia="仿宋_GB2312" w:cs="仿宋_GB2312"/>
          <w:color w:val="auto"/>
          <w:sz w:val="24"/>
          <w:szCs w:val="24"/>
          <w:highlight w:val="none"/>
          <w:lang w:val="en-US" w:eastAsia="zh-CN"/>
        </w:rPr>
        <w:t>人员在履行合同中，因安全生产落实不严格，操作不当、或对安全隐患处理不及时给医院造成损失的，</w:t>
      </w:r>
      <w:r>
        <w:rPr>
          <w:rFonts w:hint="eastAsia" w:ascii="仿宋_GB2312" w:hAnsi="仿宋_GB2312" w:eastAsia="仿宋_GB2312" w:cs="仿宋_GB2312"/>
          <w:color w:val="auto"/>
          <w:sz w:val="24"/>
          <w:szCs w:val="24"/>
          <w:highlight w:val="none"/>
          <w:lang w:val="en-US" w:eastAsia="zh-CN"/>
        </w:rPr>
        <w:t>甲方</w:t>
      </w:r>
      <w:r>
        <w:rPr>
          <w:rFonts w:hint="default" w:ascii="仿宋_GB2312" w:hAnsi="仿宋_GB2312" w:eastAsia="仿宋_GB2312" w:cs="仿宋_GB2312"/>
          <w:color w:val="auto"/>
          <w:sz w:val="24"/>
          <w:szCs w:val="24"/>
          <w:highlight w:val="none"/>
          <w:lang w:val="en-US" w:eastAsia="zh-CN"/>
        </w:rPr>
        <w:t>可视情节轻重对</w:t>
      </w:r>
      <w:r>
        <w:rPr>
          <w:rFonts w:hint="eastAsia" w:ascii="仿宋_GB2312" w:hAnsi="仿宋_GB2312" w:eastAsia="仿宋_GB2312" w:cs="仿宋_GB2312"/>
          <w:color w:val="auto"/>
          <w:sz w:val="24"/>
          <w:szCs w:val="24"/>
          <w:highlight w:val="none"/>
          <w:lang w:val="en-US" w:eastAsia="zh-CN"/>
        </w:rPr>
        <w:t>乙</w:t>
      </w:r>
      <w:r>
        <w:rPr>
          <w:rFonts w:hint="default" w:ascii="仿宋_GB2312" w:hAnsi="仿宋_GB2312" w:eastAsia="仿宋_GB2312" w:cs="仿宋_GB2312"/>
          <w:color w:val="auto"/>
          <w:sz w:val="24"/>
          <w:szCs w:val="24"/>
          <w:highlight w:val="none"/>
          <w:lang w:val="en-US" w:eastAsia="zh-CN"/>
        </w:rPr>
        <w:t>方进行5000元到20000元的处罚，对于给医院造成重大财产损失的安全事故和较大社会负面影响的情况，医院可以解除</w:t>
      </w:r>
      <w:r>
        <w:rPr>
          <w:rFonts w:hint="eastAsia" w:ascii="仿宋_GB2312" w:hAnsi="仿宋_GB2312" w:eastAsia="仿宋_GB2312" w:cs="仿宋_GB2312"/>
          <w:color w:val="auto"/>
          <w:sz w:val="24"/>
          <w:szCs w:val="24"/>
          <w:highlight w:val="none"/>
          <w:lang w:val="en-US" w:eastAsia="zh-CN"/>
        </w:rPr>
        <w:t>乙方</w:t>
      </w:r>
      <w:r>
        <w:rPr>
          <w:rFonts w:hint="default" w:ascii="仿宋_GB2312" w:hAnsi="仿宋_GB2312" w:eastAsia="仿宋_GB2312" w:cs="仿宋_GB2312"/>
          <w:color w:val="auto"/>
          <w:sz w:val="24"/>
          <w:szCs w:val="24"/>
          <w:highlight w:val="none"/>
          <w:lang w:val="en-US" w:eastAsia="zh-CN"/>
        </w:rPr>
        <w:t>服务合同</w:t>
      </w:r>
      <w:r>
        <w:rPr>
          <w:rFonts w:hint="eastAsia" w:ascii="仿宋_GB2312" w:hAnsi="仿宋_GB2312" w:eastAsia="仿宋_GB2312" w:cs="仿宋_GB2312"/>
          <w:color w:val="auto"/>
          <w:sz w:val="24"/>
          <w:szCs w:val="24"/>
          <w:highlight w:val="none"/>
          <w:lang w:val="en-US" w:eastAsia="zh-CN"/>
        </w:rPr>
        <w:t>。</w:t>
      </w:r>
    </w:p>
    <w:p w14:paraId="5DFCDC13">
      <w:pPr>
        <w:pStyle w:val="3"/>
        <w:keepNext w:val="0"/>
        <w:keepLines w:val="0"/>
        <w:pageBreakBefore w:val="0"/>
        <w:widowControl w:val="0"/>
        <w:kinsoku/>
        <w:wordWrap/>
        <w:overflowPunct/>
        <w:topLinePunct w:val="0"/>
        <w:autoSpaceDE/>
        <w:autoSpaceDN/>
        <w:bidi w:val="0"/>
        <w:adjustRightInd/>
        <w:snapToGrid/>
        <w:spacing w:line="400" w:lineRule="exact"/>
        <w:ind w:right="237" w:firstLine="480"/>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r>
        <w:rPr>
          <w:rFonts w:hint="default" w:ascii="仿宋_GB2312" w:hAnsi="仿宋_GB2312" w:eastAsia="仿宋_GB2312" w:cs="仿宋_GB2312"/>
          <w:color w:val="auto"/>
          <w:sz w:val="24"/>
          <w:szCs w:val="24"/>
          <w:highlight w:val="none"/>
          <w:lang w:val="en-US" w:eastAsia="zh-CN"/>
        </w:rPr>
        <w:t>如因</w:t>
      </w:r>
      <w:r>
        <w:rPr>
          <w:rFonts w:hint="eastAsia" w:ascii="仿宋_GB2312" w:hAnsi="仿宋_GB2312" w:eastAsia="仿宋_GB2312" w:cs="仿宋_GB2312"/>
          <w:color w:val="auto"/>
          <w:sz w:val="24"/>
          <w:szCs w:val="24"/>
          <w:highlight w:val="none"/>
          <w:lang w:val="en-US" w:eastAsia="zh-CN"/>
        </w:rPr>
        <w:t>乙方</w:t>
      </w:r>
      <w:r>
        <w:rPr>
          <w:rFonts w:hint="default" w:ascii="仿宋_GB2312" w:hAnsi="仿宋_GB2312" w:eastAsia="仿宋_GB2312" w:cs="仿宋_GB2312"/>
          <w:color w:val="auto"/>
          <w:sz w:val="24"/>
          <w:szCs w:val="24"/>
          <w:highlight w:val="none"/>
          <w:lang w:val="en-US" w:eastAsia="zh-CN"/>
        </w:rPr>
        <w:t>单位服务不到位而造成医院12345投诉，将按照每件投诉2000元的标准对</w:t>
      </w:r>
      <w:r>
        <w:rPr>
          <w:rFonts w:hint="eastAsia" w:ascii="仿宋_GB2312" w:hAnsi="仿宋_GB2312" w:eastAsia="仿宋_GB2312" w:cs="仿宋_GB2312"/>
          <w:color w:val="auto"/>
          <w:sz w:val="24"/>
          <w:szCs w:val="24"/>
          <w:highlight w:val="none"/>
          <w:lang w:val="en-US" w:eastAsia="zh-CN"/>
        </w:rPr>
        <w:t>乙方</w:t>
      </w:r>
      <w:r>
        <w:rPr>
          <w:rFonts w:hint="default" w:ascii="仿宋_GB2312" w:hAnsi="仿宋_GB2312" w:eastAsia="仿宋_GB2312" w:cs="仿宋_GB2312"/>
          <w:color w:val="auto"/>
          <w:sz w:val="24"/>
          <w:szCs w:val="24"/>
          <w:highlight w:val="none"/>
          <w:lang w:val="en-US" w:eastAsia="zh-CN"/>
        </w:rPr>
        <w:t>进行处罚。</w:t>
      </w:r>
    </w:p>
    <w:p w14:paraId="6E4125AB">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九、</w:t>
      </w:r>
      <w:r>
        <w:rPr>
          <w:rFonts w:hint="eastAsia" w:ascii="仿宋" w:hAnsi="仿宋" w:eastAsia="仿宋" w:cs="仿宋"/>
          <w:b/>
          <w:sz w:val="24"/>
          <w:szCs w:val="24"/>
          <w:highlight w:val="none"/>
        </w:rPr>
        <w:t>乙方的权利和义务</w:t>
      </w:r>
    </w:p>
    <w:p w14:paraId="2F8ED2B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1.乙方须提供上岗保洁员的身份信息和健康体检证明，由医院保洁管理部门负责留存备案，未提供上述材料的保洁员可视为无资质工作人员，甲方在考核时按缺岗处理。</w:t>
      </w:r>
    </w:p>
    <w:p w14:paraId="78C9EDB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2.乙方应建立健全环境清洁工作的组织管理体系和规章制度，明确人员的职责。乙方应对新员工进行岗前培训教育，有记录，随时接受甲方检查。如发现新上岗保洁员未完成岗前培训，</w:t>
      </w:r>
      <w:r>
        <w:rPr>
          <w:rFonts w:hint="eastAsia" w:ascii="仿宋" w:hAnsi="仿宋" w:eastAsia="仿宋" w:cs="仿宋"/>
          <w:sz w:val="24"/>
          <w:szCs w:val="24"/>
          <w:highlight w:val="none"/>
          <w:lang w:eastAsia="zh-CN"/>
        </w:rPr>
        <w:t>甲方有权按约定进行处罚</w:t>
      </w:r>
      <w:r>
        <w:rPr>
          <w:rFonts w:hint="eastAsia" w:ascii="仿宋" w:hAnsi="仿宋" w:eastAsia="仿宋" w:cs="仿宋"/>
          <w:sz w:val="24"/>
          <w:szCs w:val="24"/>
          <w:highlight w:val="none"/>
        </w:rPr>
        <w:t>。项目主管或组长应陪同新上岗保洁在科室内工作7日以上，直至可独立承担科室保洁工作。</w:t>
      </w:r>
    </w:p>
    <w:p w14:paraId="66F2639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3.乙方每季度应对全体保洁员进行业务和安全相关培训，并留存记录随时备查，未按规定时间完成培训的，</w:t>
      </w:r>
      <w:r>
        <w:rPr>
          <w:rFonts w:hint="eastAsia" w:ascii="仿宋" w:hAnsi="仿宋" w:eastAsia="仿宋" w:cs="仿宋"/>
          <w:sz w:val="24"/>
          <w:szCs w:val="24"/>
          <w:highlight w:val="none"/>
          <w:lang w:eastAsia="zh-CN"/>
        </w:rPr>
        <w:t>甲方有权按约定进行处罚</w:t>
      </w:r>
      <w:r>
        <w:rPr>
          <w:rFonts w:hint="eastAsia" w:ascii="仿宋" w:hAnsi="仿宋" w:eastAsia="仿宋" w:cs="仿宋"/>
          <w:sz w:val="24"/>
          <w:szCs w:val="24"/>
          <w:highlight w:val="none"/>
        </w:rPr>
        <w:t>。</w:t>
      </w:r>
    </w:p>
    <w:p w14:paraId="2D57CC6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highlight w:val="none"/>
        </w:rPr>
        <w:t>4.乙方须派遣经过专业培训的管理人员担任项目负责人，应具有同类项目管理经验，有多年保洁从业经验，熟悉各种保洁工具、用品的特性，有较高的保洁专业技</w:t>
      </w:r>
      <w:r>
        <w:rPr>
          <w:rFonts w:hint="eastAsia" w:ascii="仿宋" w:hAnsi="仿宋" w:eastAsia="仿宋" w:cs="仿宋"/>
          <w:color w:val="auto"/>
          <w:sz w:val="24"/>
          <w:szCs w:val="24"/>
          <w:highlight w:val="none"/>
        </w:rPr>
        <w:t>能。</w:t>
      </w:r>
    </w:p>
    <w:p w14:paraId="5753CF0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color w:val="auto"/>
          <w:sz w:val="24"/>
          <w:szCs w:val="24"/>
          <w:highlight w:val="none"/>
        </w:rPr>
        <w:t>项目负责人应为乙方指定授权的管理人员</w:t>
      </w:r>
      <w:r>
        <w:rPr>
          <w:rFonts w:hint="eastAsia" w:ascii="仿宋" w:hAnsi="仿宋" w:eastAsia="仿宋" w:cs="仿宋"/>
          <w:sz w:val="24"/>
          <w:szCs w:val="24"/>
          <w:highlight w:val="none"/>
        </w:rPr>
        <w:t>和联系人，应于每月中旬参加甲方的保洁业务考评会，未按时参会的，</w:t>
      </w:r>
      <w:r>
        <w:rPr>
          <w:rFonts w:hint="eastAsia" w:ascii="仿宋" w:hAnsi="仿宋" w:eastAsia="仿宋" w:cs="仿宋"/>
          <w:sz w:val="24"/>
          <w:szCs w:val="24"/>
          <w:highlight w:val="none"/>
          <w:lang w:eastAsia="zh-CN"/>
        </w:rPr>
        <w:t>甲方有权按约定进行处罚</w:t>
      </w:r>
      <w:r>
        <w:rPr>
          <w:rFonts w:hint="eastAsia" w:ascii="仿宋" w:hAnsi="仿宋" w:eastAsia="仿宋" w:cs="仿宋"/>
          <w:sz w:val="24"/>
          <w:szCs w:val="24"/>
          <w:highlight w:val="none"/>
        </w:rPr>
        <w:t>。</w:t>
      </w:r>
    </w:p>
    <w:p w14:paraId="6E95EE7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仿宋" w:hAnsi="仿宋" w:eastAsia="仿宋" w:cs="仿宋"/>
          <w:sz w:val="24"/>
          <w:szCs w:val="24"/>
          <w:highlight w:val="none"/>
          <w:u w:val="single"/>
          <w:lang w:val="en-US" w:eastAsia="zh-CN"/>
        </w:rPr>
      </w:pPr>
      <w:r>
        <w:rPr>
          <w:rFonts w:hint="eastAsia" w:ascii="仿宋" w:hAnsi="仿宋" w:eastAsia="仿宋" w:cs="仿宋"/>
          <w:sz w:val="24"/>
          <w:szCs w:val="24"/>
          <w:highlight w:val="none"/>
        </w:rPr>
        <w:t>项目负责人：</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 xml:space="preserve">    联系电话：</w:t>
      </w:r>
      <w:r>
        <w:rPr>
          <w:rFonts w:hint="eastAsia" w:ascii="仿宋" w:hAnsi="仿宋" w:eastAsia="仿宋" w:cs="仿宋"/>
          <w:sz w:val="24"/>
          <w:szCs w:val="24"/>
          <w:highlight w:val="none"/>
          <w:u w:val="single"/>
          <w:lang w:val="en-US" w:eastAsia="zh-CN"/>
        </w:rPr>
        <w:t xml:space="preserve">             </w:t>
      </w:r>
    </w:p>
    <w:p w14:paraId="4937E92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总院区设置保洁主管一人，保洁主管负责日常管理、检查和培训，不得到科室顶岗，如出现保洁主管顶岗的情况，</w:t>
      </w:r>
      <w:r>
        <w:rPr>
          <w:rFonts w:hint="eastAsia" w:ascii="仿宋" w:hAnsi="仿宋" w:eastAsia="仿宋" w:cs="仿宋"/>
          <w:sz w:val="24"/>
          <w:szCs w:val="24"/>
          <w:highlight w:val="none"/>
          <w:lang w:eastAsia="zh-CN"/>
        </w:rPr>
        <w:t>甲方有权按约定进行处罚</w:t>
      </w:r>
      <w:r>
        <w:rPr>
          <w:rFonts w:hint="eastAsia" w:ascii="仿宋" w:hAnsi="仿宋" w:eastAsia="仿宋" w:cs="仿宋"/>
          <w:sz w:val="24"/>
          <w:szCs w:val="24"/>
          <w:highlight w:val="none"/>
        </w:rPr>
        <w:t>。</w:t>
      </w:r>
    </w:p>
    <w:p w14:paraId="2B4D672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5.乙方需针对本项目设定组织管理架构及人员编制，保洁人员年龄要求</w:t>
      </w:r>
      <w:r>
        <w:rPr>
          <w:rFonts w:hint="eastAsia" w:ascii="仿宋" w:hAnsi="仿宋" w:eastAsia="仿宋" w:cs="仿宋"/>
          <w:sz w:val="24"/>
          <w:szCs w:val="24"/>
          <w:highlight w:val="none"/>
          <w:lang w:val="en-US" w:eastAsia="zh-CN"/>
        </w:rPr>
        <w:t>控制</w:t>
      </w:r>
      <w:r>
        <w:rPr>
          <w:rFonts w:hint="eastAsia" w:ascii="仿宋" w:hAnsi="仿宋" w:eastAsia="仿宋" w:cs="仿宋"/>
          <w:sz w:val="24"/>
          <w:szCs w:val="24"/>
          <w:highlight w:val="none"/>
        </w:rPr>
        <w:t>在</w:t>
      </w:r>
      <w:r>
        <w:rPr>
          <w:rFonts w:hint="eastAsia" w:ascii="仿宋" w:hAnsi="仿宋" w:eastAsia="仿宋" w:cs="仿宋"/>
          <w:sz w:val="24"/>
          <w:szCs w:val="24"/>
          <w:highlight w:val="none"/>
          <w:lang w:val="en-US" w:eastAsia="zh-CN"/>
        </w:rPr>
        <w:t>55</w:t>
      </w:r>
      <w:r>
        <w:rPr>
          <w:rFonts w:hint="eastAsia" w:ascii="仿宋" w:hAnsi="仿宋" w:eastAsia="仿宋" w:cs="仿宋"/>
          <w:sz w:val="24"/>
          <w:szCs w:val="24"/>
          <w:highlight w:val="none"/>
        </w:rPr>
        <w:t>岁</w:t>
      </w:r>
      <w:r>
        <w:rPr>
          <w:rFonts w:hint="eastAsia" w:ascii="仿宋" w:hAnsi="仿宋" w:eastAsia="仿宋" w:cs="仿宋"/>
          <w:sz w:val="24"/>
          <w:szCs w:val="24"/>
          <w:highlight w:val="none"/>
          <w:lang w:val="en-US" w:eastAsia="zh-CN"/>
        </w:rPr>
        <w:t>以下</w:t>
      </w:r>
      <w:r>
        <w:rPr>
          <w:rFonts w:hint="eastAsia" w:ascii="仿宋" w:hAnsi="仿宋" w:eastAsia="仿宋" w:cs="仿宋"/>
          <w:sz w:val="24"/>
          <w:szCs w:val="24"/>
          <w:highlight w:val="none"/>
        </w:rPr>
        <w:t>。</w:t>
      </w:r>
    </w:p>
    <w:p w14:paraId="27A9F0D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6.乙方应确保各保洁岗位每日有人在岗，如因离职、生病等特殊原因，乙方应及时调整人员，安排相应人员进行补充，确保科室内保洁工作正常运行。如出现脱岗等情况，甲方有权扣除相应服务费用</w:t>
      </w:r>
      <w:r>
        <w:rPr>
          <w:rFonts w:hint="eastAsia" w:ascii="仿宋" w:hAnsi="仿宋" w:eastAsia="仿宋" w:cs="仿宋"/>
          <w:sz w:val="24"/>
          <w:szCs w:val="24"/>
          <w:highlight w:val="none"/>
          <w:lang w:eastAsia="zh-CN"/>
        </w:rPr>
        <w:t>。</w:t>
      </w:r>
    </w:p>
    <w:p w14:paraId="63F8EA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7.为保证服务质量</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乙方</w:t>
      </w:r>
      <w:r>
        <w:rPr>
          <w:rFonts w:hint="eastAsia" w:ascii="仿宋" w:hAnsi="仿宋" w:eastAsia="仿宋" w:cs="仿宋"/>
          <w:color w:val="auto"/>
          <w:sz w:val="24"/>
          <w:szCs w:val="24"/>
          <w:highlight w:val="none"/>
        </w:rPr>
        <w:t>应配置齐全各类保洁工具、设备，如：门诊楼、住院楼应配置洗地机，桌巾、地巾集中清洗消毒应配置洗衣</w:t>
      </w:r>
      <w:r>
        <w:rPr>
          <w:rFonts w:hint="eastAsia" w:ascii="仿宋" w:hAnsi="仿宋" w:eastAsia="仿宋" w:cs="仿宋"/>
          <w:sz w:val="24"/>
          <w:szCs w:val="24"/>
          <w:highlight w:val="none"/>
        </w:rPr>
        <w:t>机、烘干机，擦洗外墙玻璃、开荒应配置各类专用工具等。未按要求配置保洁工具、设备的，未按甲方要求按时对外墙玻璃进行清洗的，</w:t>
      </w:r>
      <w:r>
        <w:rPr>
          <w:rFonts w:hint="eastAsia" w:ascii="仿宋" w:hAnsi="仿宋" w:eastAsia="仿宋" w:cs="仿宋"/>
          <w:sz w:val="24"/>
          <w:szCs w:val="24"/>
          <w:highlight w:val="none"/>
          <w:lang w:eastAsia="zh-CN"/>
        </w:rPr>
        <w:t>甲方有权按约定进行处罚</w:t>
      </w:r>
      <w:r>
        <w:rPr>
          <w:rFonts w:hint="eastAsia" w:ascii="仿宋" w:hAnsi="仿宋" w:eastAsia="仿宋" w:cs="仿宋"/>
          <w:sz w:val="24"/>
          <w:szCs w:val="24"/>
          <w:highlight w:val="none"/>
        </w:rPr>
        <w:t>。</w:t>
      </w:r>
    </w:p>
    <w:p w14:paraId="05EFD72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乙方保洁员必须遵守甲方的工作制度，做好防火、防盗、消防安全、用电安全、用水安全、控烟、节能等工作。若因个人原因对甲方或第三方造成损失，由乙方承担全部责任和费用，甲方不承担任何责任。</w:t>
      </w:r>
    </w:p>
    <w:p w14:paraId="3314A30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9.检验科因生物安全管理相关规定，乙方需在封闭区域设专职保洁员1人。</w:t>
      </w:r>
    </w:p>
    <w:p w14:paraId="3616A43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10</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绿化人员工作时间为每年3月16日至10月31日。</w:t>
      </w:r>
    </w:p>
    <w:p w14:paraId="435AC9D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11.建立逐步检查制度，保洁员自查，组长检查、管理员重点抽查。</w:t>
      </w:r>
    </w:p>
    <w:p w14:paraId="25F68E5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12.对甲方提出的保洁范围之外的特殊保洁要求，乙方积极配合解决。如甲方新增科室开荒面积超过500平方米的，由乙方向医院提交单位面积报价，经采购办确认价格后，医院支付相应保洁开荒费用。如乙方报价高于市场价格，甲方有权另行选择其他保洁公司完成开荒工作。不足500平方米的，乙方应服从医院安排免费提供开荒服务。</w:t>
      </w:r>
    </w:p>
    <w:p w14:paraId="0AD93E8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13.乙方应做好冬季扫雪、铲冰等政府规定的门前三包事项。</w:t>
      </w:r>
    </w:p>
    <w:p w14:paraId="56B7D9B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14.各科室、楼层的生活垃圾应收集到指定地点，做到日产日清。</w:t>
      </w:r>
    </w:p>
    <w:p w14:paraId="4669245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15.每日保洁工作时间为： </w:t>
      </w:r>
    </w:p>
    <w:p w14:paraId="382795B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冬季：上午：6：30——11：30，下午：13：30——17：00 </w:t>
      </w:r>
    </w:p>
    <w:p w14:paraId="2DBEFCD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夏季：上午：6：30——11：30，下午：14：00——17：30 </w:t>
      </w:r>
    </w:p>
    <w:p w14:paraId="7E989F0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夜班时间： </w:t>
      </w:r>
      <w:r>
        <w:rPr>
          <w:rFonts w:hint="eastAsia" w:ascii="仿宋" w:hAnsi="仿宋" w:eastAsia="仿宋" w:cs="仿宋"/>
          <w:sz w:val="24"/>
          <w:szCs w:val="24"/>
          <w:highlight w:val="none"/>
          <w:lang w:val="en-US" w:eastAsia="zh-CN"/>
        </w:rPr>
        <w:t>17：00（冬）/</w:t>
      </w:r>
      <w:r>
        <w:rPr>
          <w:rFonts w:hint="eastAsia" w:ascii="仿宋" w:hAnsi="仿宋" w:eastAsia="仿宋" w:cs="仿宋"/>
          <w:sz w:val="24"/>
          <w:szCs w:val="24"/>
          <w:highlight w:val="none"/>
        </w:rPr>
        <w:t>17：30</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夏</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——次日6：30</w:t>
      </w:r>
    </w:p>
    <w:p w14:paraId="77A03652">
      <w:pPr>
        <w:pStyle w:val="3"/>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color w:val="auto"/>
          <w:sz w:val="24"/>
          <w:szCs w:val="24"/>
          <w:highlight w:val="none"/>
        </w:rPr>
      </w:pPr>
      <w:r>
        <w:rPr>
          <w:rFonts w:hint="eastAsia" w:ascii="仿宋" w:hAnsi="仿宋" w:eastAsia="仿宋" w:cs="仿宋"/>
          <w:color w:val="auto"/>
          <w:sz w:val="24"/>
          <w:szCs w:val="24"/>
          <w:highlight w:val="none"/>
          <w:lang w:val="en-US" w:eastAsia="zh-CN"/>
        </w:rPr>
        <w:t>16.</w:t>
      </w:r>
      <w:r>
        <w:rPr>
          <w:rFonts w:hint="eastAsia" w:ascii="仿宋" w:hAnsi="仿宋" w:eastAsia="仿宋" w:cs="仿宋"/>
          <w:color w:val="auto"/>
          <w:sz w:val="24"/>
          <w:szCs w:val="24"/>
          <w:highlight w:val="none"/>
        </w:rPr>
        <w:t>乙方应当同雇佣的</w:t>
      </w:r>
      <w:r>
        <w:rPr>
          <w:rFonts w:hint="eastAsia" w:ascii="仿宋" w:hAnsi="仿宋" w:eastAsia="仿宋" w:cs="仿宋"/>
          <w:color w:val="auto"/>
          <w:sz w:val="24"/>
          <w:szCs w:val="24"/>
          <w:highlight w:val="none"/>
          <w:lang w:val="en-US" w:eastAsia="zh-CN"/>
        </w:rPr>
        <w:t>人员</w:t>
      </w:r>
      <w:r>
        <w:rPr>
          <w:rFonts w:hint="eastAsia" w:ascii="仿宋" w:hAnsi="仿宋" w:eastAsia="仿宋" w:cs="仿宋"/>
          <w:color w:val="auto"/>
          <w:sz w:val="24"/>
          <w:szCs w:val="24"/>
          <w:highlight w:val="none"/>
        </w:rPr>
        <w:t>按照劳动合同法的规定签订相关合同，</w:t>
      </w:r>
      <w:r>
        <w:rPr>
          <w:rFonts w:hint="eastAsia" w:ascii="仿宋" w:hAnsi="仿宋" w:eastAsia="仿宋" w:cs="仿宋"/>
          <w:color w:val="auto"/>
          <w:sz w:val="24"/>
          <w:szCs w:val="24"/>
          <w:highlight w:val="none"/>
          <w:lang w:val="en-US" w:eastAsia="zh-CN"/>
        </w:rPr>
        <w:t>如产生劳动争议，与甲方无关，由乙方承担全部责任并及时处理争议案件</w:t>
      </w:r>
      <w:r>
        <w:rPr>
          <w:rFonts w:hint="eastAsia" w:ascii="仿宋" w:hAnsi="仿宋" w:eastAsia="仿宋" w:cs="仿宋"/>
          <w:color w:val="auto"/>
          <w:sz w:val="24"/>
          <w:szCs w:val="24"/>
          <w:highlight w:val="none"/>
        </w:rPr>
        <w:t>。</w:t>
      </w:r>
    </w:p>
    <w:p w14:paraId="78924D89">
      <w:pPr>
        <w:pStyle w:val="5"/>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0"/>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十 反腐廉政相关要求</w:t>
      </w:r>
    </w:p>
    <w:p w14:paraId="0AC3CB3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default"/>
          <w:b/>
          <w:bCs/>
          <w:sz w:val="28"/>
          <w:szCs w:val="28"/>
          <w:lang w:val="en-US" w:eastAsia="zh-CN"/>
        </w:rPr>
      </w:pPr>
      <w:r>
        <w:rPr>
          <w:rFonts w:hint="eastAsia" w:ascii="仿宋" w:hAnsi="仿宋" w:eastAsia="仿宋" w:cs="仿宋"/>
          <w:bCs/>
          <w:sz w:val="24"/>
          <w:szCs w:val="24"/>
          <w:highlight w:val="none"/>
          <w:lang w:val="en-US" w:eastAsia="zh-CN"/>
        </w:rPr>
        <w:t>第三方服务单位及在院区内工作的相关人员，必须一律接受医院反腐廉政各类要求管理，不得以各种理由、形式向患者及家属违法违规收取服务费用或报酬。对于违反此项要求的，医院将根据实际情况处以（包括但不限于）：罚款、取消相关人员院内服务资格、解除服务合同等处罚，并保留追究其法律责任的权利。</w:t>
      </w:r>
    </w:p>
    <w:p w14:paraId="44DCEEC4">
      <w:pPr>
        <w:keepNext w:val="0"/>
        <w:keepLines w:val="0"/>
        <w:pageBreakBefore w:val="0"/>
        <w:widowControl/>
        <w:suppressLineNumbers w:val="0"/>
        <w:kinsoku/>
        <w:wordWrap/>
        <w:overflowPunct/>
        <w:topLinePunct w:val="0"/>
        <w:autoSpaceDE/>
        <w:autoSpaceDN/>
        <w:bidi w:val="0"/>
        <w:adjustRightInd/>
        <w:snapToGrid/>
        <w:spacing w:line="400" w:lineRule="exact"/>
        <w:ind w:firstLine="2108" w:firstLineChars="700"/>
        <w:jc w:val="left"/>
        <w:textAlignment w:val="auto"/>
        <w:rPr>
          <w:rFonts w:hint="eastAsia" w:ascii="宋体" w:hAnsi="宋体" w:eastAsia="宋体" w:cs="宋体"/>
          <w:b/>
          <w:bCs/>
          <w:color w:val="000000"/>
          <w:kern w:val="0"/>
          <w:sz w:val="30"/>
          <w:szCs w:val="30"/>
          <w:lang w:val="en-US" w:eastAsia="zh-CN" w:bidi="ar"/>
        </w:rPr>
      </w:pPr>
    </w:p>
    <w:p w14:paraId="2FDC1441">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leftChars="0" w:firstLine="3313" w:firstLineChars="1100"/>
        <w:jc w:val="left"/>
        <w:textAlignment w:val="auto"/>
        <w:rPr>
          <w:rFonts w:hint="eastAsia" w:ascii="宋体" w:hAnsi="宋体" w:eastAsia="宋体" w:cs="宋体"/>
          <w:b/>
          <w:bCs/>
          <w:color w:val="000000"/>
          <w:kern w:val="0"/>
          <w:sz w:val="30"/>
          <w:szCs w:val="30"/>
          <w:lang w:val="en-US" w:eastAsia="zh-CN" w:bidi="ar"/>
        </w:rPr>
      </w:pPr>
      <w:r>
        <w:rPr>
          <w:rFonts w:hint="eastAsia" w:ascii="宋体" w:hAnsi="宋体" w:eastAsia="宋体" w:cs="宋体"/>
          <w:b/>
          <w:bCs/>
          <w:color w:val="000000"/>
          <w:kern w:val="0"/>
          <w:sz w:val="30"/>
          <w:szCs w:val="30"/>
          <w:lang w:val="en-US" w:eastAsia="zh-CN" w:bidi="ar"/>
        </w:rPr>
        <w:t xml:space="preserve">其他要求 </w:t>
      </w:r>
    </w:p>
    <w:p w14:paraId="1F937ECE">
      <w:pPr>
        <w:pStyle w:val="2"/>
        <w:numPr>
          <w:ilvl w:val="0"/>
          <w:numId w:val="0"/>
        </w:numPr>
        <w:ind w:leftChars="1100"/>
      </w:pPr>
    </w:p>
    <w:p w14:paraId="500AA642">
      <w:pPr>
        <w:pStyle w:val="2"/>
        <w:numPr>
          <w:ilvl w:val="0"/>
          <w:numId w:val="0"/>
        </w:numPr>
        <w:ind w:leftChars="1100"/>
      </w:pPr>
    </w:p>
    <w:p w14:paraId="7576DDF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 w:hAnsi="仿宋" w:eastAsia="仿宋" w:cs="仿宋"/>
        </w:rPr>
      </w:pPr>
      <w:r>
        <w:rPr>
          <w:rFonts w:hint="eastAsia" w:ascii="仿宋" w:hAnsi="仿宋" w:eastAsia="仿宋" w:cs="仿宋"/>
          <w:b/>
          <w:bCs/>
          <w:color w:val="000000"/>
          <w:kern w:val="0"/>
          <w:sz w:val="24"/>
          <w:szCs w:val="24"/>
          <w:lang w:val="en-US" w:eastAsia="zh-CN" w:bidi="ar"/>
        </w:rPr>
        <w:t xml:space="preserve">1、服务期、服务地点、服务方式及服务标准。 </w:t>
      </w:r>
    </w:p>
    <w:p w14:paraId="0811890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 w:hAnsi="仿宋" w:eastAsia="仿宋" w:cs="仿宋"/>
        </w:rPr>
      </w:pPr>
      <w:r>
        <w:rPr>
          <w:rFonts w:hint="eastAsia" w:ascii="仿宋" w:hAnsi="仿宋" w:eastAsia="仿宋" w:cs="仿宋"/>
          <w:color w:val="000000"/>
          <w:kern w:val="0"/>
          <w:sz w:val="24"/>
          <w:szCs w:val="24"/>
          <w:lang w:val="en-US" w:eastAsia="zh-CN" w:bidi="ar"/>
        </w:rPr>
        <w:t xml:space="preserve">（1）服务期：合同签订之日起一年。 </w:t>
      </w:r>
    </w:p>
    <w:p w14:paraId="751D187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 w:hAnsi="仿宋" w:eastAsia="仿宋" w:cs="仿宋"/>
        </w:rPr>
      </w:pPr>
      <w:r>
        <w:rPr>
          <w:rFonts w:hint="eastAsia" w:ascii="仿宋" w:hAnsi="仿宋" w:eastAsia="仿宋" w:cs="仿宋"/>
          <w:color w:val="000000"/>
          <w:kern w:val="0"/>
          <w:sz w:val="24"/>
          <w:szCs w:val="24"/>
          <w:lang w:val="en-US" w:eastAsia="zh-CN" w:bidi="ar"/>
        </w:rPr>
        <w:t xml:space="preserve">（2）服务地点：甲方指定的服务地点。 </w:t>
      </w:r>
    </w:p>
    <w:p w14:paraId="557493B0">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 w:hAnsi="仿宋" w:eastAsia="仿宋" w:cs="仿宋"/>
        </w:rPr>
      </w:pPr>
      <w:r>
        <w:rPr>
          <w:rFonts w:hint="eastAsia" w:ascii="仿宋" w:hAnsi="仿宋" w:eastAsia="仿宋" w:cs="仿宋"/>
          <w:color w:val="000000"/>
          <w:kern w:val="0"/>
          <w:sz w:val="24"/>
          <w:szCs w:val="24"/>
          <w:lang w:val="en-US" w:eastAsia="zh-CN" w:bidi="ar"/>
        </w:rPr>
        <w:t xml:space="preserve">（3）服务方式：保洁服务。 </w:t>
      </w:r>
    </w:p>
    <w:p w14:paraId="371D260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 w:hAnsi="仿宋" w:eastAsia="仿宋" w:cs="仿宋"/>
        </w:rPr>
      </w:pPr>
      <w:r>
        <w:rPr>
          <w:rFonts w:hint="eastAsia" w:ascii="仿宋" w:hAnsi="仿宋" w:eastAsia="仿宋" w:cs="仿宋"/>
          <w:color w:val="000000"/>
          <w:kern w:val="0"/>
          <w:sz w:val="24"/>
          <w:szCs w:val="24"/>
          <w:lang w:val="en-US" w:eastAsia="zh-CN" w:bidi="ar"/>
        </w:rPr>
        <w:t xml:space="preserve">（4）服务标准：符合甲方要求。 </w:t>
      </w:r>
    </w:p>
    <w:p w14:paraId="587FF0F1">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 w:hAnsi="仿宋" w:eastAsia="仿宋" w:cs="仿宋"/>
        </w:rPr>
      </w:pPr>
      <w:r>
        <w:rPr>
          <w:rFonts w:hint="eastAsia" w:ascii="仿宋" w:hAnsi="仿宋" w:eastAsia="仿宋" w:cs="仿宋"/>
          <w:b/>
          <w:bCs/>
          <w:color w:val="000000"/>
          <w:kern w:val="0"/>
          <w:sz w:val="24"/>
          <w:szCs w:val="24"/>
          <w:lang w:val="en-US" w:eastAsia="zh-CN" w:bidi="ar"/>
        </w:rPr>
        <w:t xml:space="preserve">2、付款方式 </w:t>
      </w:r>
    </w:p>
    <w:p w14:paraId="255899ED">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rPr>
      </w:pPr>
      <w:r>
        <w:rPr>
          <w:rFonts w:hint="eastAsia" w:ascii="仿宋" w:hAnsi="仿宋" w:eastAsia="仿宋" w:cs="仿宋"/>
          <w:color w:val="000000"/>
          <w:kern w:val="0"/>
          <w:sz w:val="24"/>
          <w:szCs w:val="24"/>
          <w:lang w:val="en-US" w:eastAsia="zh-CN" w:bidi="ar"/>
        </w:rPr>
        <w:t xml:space="preserve">(1)在乙方按照甲方要求履行合同且无任何违约行为的基础上，甲方按季支付给乙方服务费用金额； </w:t>
      </w:r>
    </w:p>
    <w:p w14:paraId="42D4A944">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rPr>
      </w:pPr>
      <w:r>
        <w:rPr>
          <w:rFonts w:hint="eastAsia" w:ascii="仿宋" w:hAnsi="仿宋" w:eastAsia="仿宋" w:cs="仿宋"/>
          <w:color w:val="000000"/>
          <w:kern w:val="0"/>
          <w:sz w:val="24"/>
          <w:szCs w:val="24"/>
          <w:lang w:val="en-US" w:eastAsia="zh-CN" w:bidi="ar"/>
        </w:rPr>
        <w:t xml:space="preserve">(2)甲方付款前，乙方应向甲方提交相应金额的合规发票，否则，甲方有权拒绝付款且无需承担违约责任；如乙方向甲方提供的发票不符合本合同约定或法律规定，因此 给甲方造成的一切损失由乙方承担（包括但不限于损害赔偿、消除影响等）。 </w:t>
      </w:r>
    </w:p>
    <w:p w14:paraId="44F412E5">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rPr>
      </w:pPr>
      <w:r>
        <w:rPr>
          <w:rFonts w:hint="eastAsia" w:ascii="仿宋" w:hAnsi="仿宋" w:eastAsia="仿宋" w:cs="仿宋"/>
          <w:color w:val="000000"/>
          <w:kern w:val="0"/>
          <w:sz w:val="24"/>
          <w:szCs w:val="24"/>
          <w:lang w:val="en-US" w:eastAsia="zh-CN" w:bidi="ar"/>
        </w:rPr>
        <w:t xml:space="preserve">(3)乙方向甲方提交相应金额的合规发票后，甲方应当自收到发票之日起 10 个工作日内将资金支付到合同约定的乙方账户，不得以机构变动、人员更替、政策调整等为由延迟付款，不得将采购文件和合同中未规定的义务作为向乙方付款的条件。但非甲方原因引起的延迟付款，甲方不承担违约责任。 </w:t>
      </w:r>
    </w:p>
    <w:p w14:paraId="00324FD2">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 w:hAnsi="仿宋" w:eastAsia="仿宋" w:cs="仿宋"/>
        </w:rPr>
      </w:pPr>
      <w:r>
        <w:rPr>
          <w:rFonts w:hint="eastAsia" w:ascii="仿宋" w:hAnsi="仿宋" w:eastAsia="仿宋" w:cs="仿宋"/>
          <w:b/>
          <w:bCs/>
          <w:color w:val="000000"/>
          <w:kern w:val="0"/>
          <w:sz w:val="24"/>
          <w:szCs w:val="24"/>
          <w:lang w:val="en-US" w:eastAsia="zh-CN" w:bidi="ar"/>
        </w:rPr>
        <w:t xml:space="preserve">3、履约保证金 </w:t>
      </w:r>
      <w:r>
        <w:rPr>
          <w:rFonts w:hint="eastAsia" w:ascii="仿宋" w:hAnsi="仿宋" w:eastAsia="仿宋" w:cs="仿宋"/>
          <w:color w:val="000000"/>
          <w:kern w:val="0"/>
          <w:sz w:val="24"/>
          <w:szCs w:val="24"/>
          <w:lang w:val="en-US" w:eastAsia="zh-CN" w:bidi="ar"/>
        </w:rPr>
        <w:t xml:space="preserve">本项目不收取履约保证金。 </w:t>
      </w:r>
    </w:p>
    <w:p w14:paraId="101EF5D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 w:hAnsi="仿宋" w:eastAsia="仿宋" w:cs="仿宋"/>
        </w:rPr>
      </w:pPr>
      <w:r>
        <w:rPr>
          <w:rFonts w:hint="eastAsia" w:ascii="仿宋" w:hAnsi="仿宋" w:eastAsia="仿宋" w:cs="仿宋"/>
          <w:b/>
          <w:bCs/>
          <w:color w:val="000000"/>
          <w:kern w:val="0"/>
          <w:sz w:val="24"/>
          <w:szCs w:val="24"/>
          <w:lang w:val="en-US" w:eastAsia="zh-CN" w:bidi="ar"/>
        </w:rPr>
        <w:t xml:space="preserve">4、补充条款 </w:t>
      </w:r>
      <w:r>
        <w:rPr>
          <w:rFonts w:hint="eastAsia" w:ascii="仿宋" w:hAnsi="仿宋" w:eastAsia="仿宋" w:cs="仿宋"/>
          <w:color w:val="000000"/>
          <w:kern w:val="0"/>
          <w:sz w:val="24"/>
          <w:szCs w:val="24"/>
          <w:lang w:val="en-US" w:eastAsia="zh-CN" w:bidi="ar"/>
        </w:rPr>
        <w:t xml:space="preserve">其他未尽事宜，经甲乙双方友好协商，签订补充协议。 </w:t>
      </w:r>
    </w:p>
    <w:p w14:paraId="348CE543">
      <w:pPr>
        <w:pStyle w:val="2"/>
        <w:keepNext w:val="0"/>
        <w:keepLines w:val="0"/>
        <w:pageBreakBefore w:val="0"/>
        <w:kinsoku/>
        <w:wordWrap/>
        <w:overflowPunct/>
        <w:topLinePunct w:val="0"/>
        <w:autoSpaceDE/>
        <w:autoSpaceDN/>
        <w:bidi w:val="0"/>
        <w:adjustRightInd/>
        <w:snapToGrid/>
        <w:spacing w:line="440" w:lineRule="exact"/>
        <w:textAlignment w:val="auto"/>
        <w:rPr>
          <w:rFonts w:hint="eastAsia"/>
          <w:b/>
          <w:bCs/>
          <w:sz w:val="28"/>
          <w:szCs w:val="28"/>
          <w:lang w:val="en-US" w:eastAsia="zh-CN"/>
        </w:rPr>
      </w:pPr>
    </w:p>
    <w:p w14:paraId="515A336E">
      <w:pPr>
        <w:pStyle w:val="2"/>
        <w:rPr>
          <w:rFonts w:hint="eastAsia"/>
          <w:b/>
          <w:bCs/>
          <w:sz w:val="28"/>
          <w:szCs w:val="28"/>
          <w:lang w:val="en-US" w:eastAsia="zh-CN"/>
        </w:rPr>
      </w:pPr>
    </w:p>
    <w:p w14:paraId="1658970D">
      <w:pPr>
        <w:pStyle w:val="2"/>
        <w:rPr>
          <w:rFonts w:hint="default"/>
          <w:b/>
          <w:bCs/>
          <w:sz w:val="28"/>
          <w:szCs w:val="28"/>
          <w:lang w:val="en-US" w:eastAsia="zh-CN"/>
        </w:rPr>
      </w:pPr>
      <w:r>
        <w:rPr>
          <w:rFonts w:hint="eastAsia"/>
          <w:b/>
          <w:bCs/>
          <w:sz w:val="28"/>
          <w:szCs w:val="28"/>
          <w:lang w:val="en-US" w:eastAsia="zh-CN"/>
        </w:rPr>
        <w:t xml:space="preserve">                                    </w:t>
      </w: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egoe UI">
    <w:panose1 w:val="020B0502040204020203"/>
    <w:charset w:val="00"/>
    <w:family w:val="auto"/>
    <w:pitch w:val="default"/>
    <w:sig w:usb0="E10022FF" w:usb1="C000E47F" w:usb2="00000029" w:usb3="00000000" w:csb0="200001DF" w:csb1="2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F66D1D"/>
    <w:multiLevelType w:val="singleLevel"/>
    <w:tmpl w:val="E8F66D1D"/>
    <w:lvl w:ilvl="0" w:tentative="0">
      <w:start w:val="1"/>
      <w:numFmt w:val="chineseCounting"/>
      <w:suff w:val="space"/>
      <w:lvlText w:val="第%1部分"/>
      <w:lvlJc w:val="left"/>
      <w:rPr>
        <w:rFonts w:hint="eastAsia"/>
      </w:rPr>
    </w:lvl>
  </w:abstractNum>
  <w:abstractNum w:abstractNumId="1">
    <w:nsid w:val="3D1BB154"/>
    <w:multiLevelType w:val="singleLevel"/>
    <w:tmpl w:val="3D1BB154"/>
    <w:lvl w:ilvl="0" w:tentative="0">
      <w:start w:val="1"/>
      <w:numFmt w:val="chineseCounting"/>
      <w:suff w:val="nothing"/>
      <w:lvlText w:val="%1、"/>
      <w:lvlJc w:val="left"/>
      <w:rPr>
        <w:rFonts w:hint="eastAsia"/>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25BE7"/>
    <w:rsid w:val="0E9B7A2F"/>
    <w:rsid w:val="10872C00"/>
    <w:rsid w:val="1D3228EC"/>
    <w:rsid w:val="1F194F23"/>
    <w:rsid w:val="240D3C2F"/>
    <w:rsid w:val="26430B33"/>
    <w:rsid w:val="33A45C02"/>
    <w:rsid w:val="4104414D"/>
    <w:rsid w:val="42EF6081"/>
    <w:rsid w:val="491B324C"/>
    <w:rsid w:val="52EE648E"/>
    <w:rsid w:val="5B334B0B"/>
    <w:rsid w:val="6123585C"/>
    <w:rsid w:val="61CA277B"/>
    <w:rsid w:val="6A703513"/>
    <w:rsid w:val="6FE70C97"/>
    <w:rsid w:val="791D2015"/>
    <w:rsid w:val="79FF4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1"/>
    <w:pPr>
      <w:ind w:left="120"/>
    </w:pPr>
    <w:rPr>
      <w:sz w:val="24"/>
      <w:szCs w:val="24"/>
    </w:rPr>
  </w:style>
  <w:style w:type="paragraph" w:styleId="4">
    <w:name w:val="Body Text Indent"/>
    <w:basedOn w:val="1"/>
    <w:unhideWhenUsed/>
    <w:qFormat/>
    <w:uiPriority w:val="99"/>
    <w:pPr>
      <w:spacing w:after="120"/>
      <w:ind w:left="420" w:leftChars="200"/>
    </w:pPr>
  </w:style>
  <w:style w:type="paragraph" w:styleId="5">
    <w:name w:val="Body Text First Indent 2"/>
    <w:basedOn w:val="4"/>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5902</Words>
  <Characters>6205</Characters>
  <Lines>0</Lines>
  <Paragraphs>0</Paragraphs>
  <TotalTime>81</TotalTime>
  <ScaleCrop>false</ScaleCrop>
  <LinksUpToDate>false</LinksUpToDate>
  <CharactersWithSpaces>6337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2025-11-11T07:47:00Z</dcterms:created>
  <dc:creator>lenovo</dc:creator>
  <cp:lastModifiedBy>杜甫草堂</cp:lastModifiedBy>
  <dcterms:modified xsi:type="dcterms:W3CDTF">2026-07-27T00:32:15Z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A7D75708062A4A278E0C54F48883A92F_13</vt:lpwstr>
  </property>
  <property fmtid="{D5CDD505-2E9C-101B-9397-08002B2CF9AE}" pid="4" name="KSOTemplateDocerSaveRecord">
    <vt:lpwstr>eyJoZGlkIjoiYTAwZTJkN2QxNDg4ODY1ODg1Mzk2ODMyYThiMTRiZmEiLCJ1c2VySWQiOiIxODUyNDA3MTc4In0=</vt:lpwstr>
  </property>
</Properties>
</file>