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F1B042">
      <w:pPr>
        <w:numPr>
          <w:ilvl w:val="0"/>
          <w:numId w:val="1"/>
        </w:numPr>
        <w:spacing w:line="360" w:lineRule="auto"/>
        <w:jc w:val="center"/>
        <w:outlineLvl w:val="0"/>
        <w:rPr>
          <w:rFonts w:hint="default" w:ascii="Times New Roman" w:hAnsi="Times New Roman" w:eastAsia="宋体" w:cs="Times New Roman"/>
          <w:b/>
          <w:color w:val="auto"/>
          <w:sz w:val="36"/>
          <w:szCs w:val="36"/>
        </w:rPr>
      </w:pPr>
      <w:bookmarkStart w:id="0" w:name="_Toc99301424"/>
      <w:r>
        <w:rPr>
          <w:rFonts w:hint="default" w:ascii="Times New Roman" w:hAnsi="Times New Roman" w:eastAsia="宋体" w:cs="Times New Roman"/>
          <w:b/>
          <w:color w:val="auto"/>
          <w:sz w:val="36"/>
          <w:szCs w:val="36"/>
        </w:rPr>
        <w:t xml:space="preserve">  采购需求</w:t>
      </w:r>
      <w:bookmarkEnd w:id="0"/>
    </w:p>
    <w:p w14:paraId="25336B82">
      <w:pPr>
        <w:numPr>
          <w:ilvl w:val="0"/>
          <w:numId w:val="2"/>
        </w:numPr>
        <w:tabs>
          <w:tab w:val="left" w:pos="360"/>
          <w:tab w:val="left" w:pos="900"/>
        </w:tabs>
        <w:snapToGrid w:val="0"/>
        <w:spacing w:line="360" w:lineRule="auto"/>
        <w:jc w:val="left"/>
        <w:outlineLvl w:val="1"/>
        <w:rPr>
          <w:rFonts w:hint="default" w:ascii="Times New Roman" w:hAnsi="Times New Roman" w:eastAsia="宋体" w:cs="Times New Roman"/>
          <w:b/>
          <w:color w:val="auto"/>
          <w:sz w:val="24"/>
          <w:lang w:val="en-US" w:eastAsia="zh-CN"/>
        </w:rPr>
      </w:pPr>
      <w:r>
        <w:rPr>
          <w:rFonts w:hint="default" w:ascii="Times New Roman" w:hAnsi="Times New Roman" w:eastAsia="宋体" w:cs="Times New Roman"/>
          <w:b/>
          <w:color w:val="auto"/>
          <w:sz w:val="24"/>
          <w:lang w:val="en-US" w:eastAsia="zh-CN"/>
        </w:rPr>
        <w:t>采购目标</w:t>
      </w:r>
    </w:p>
    <w:p w14:paraId="4029CB8E">
      <w:pPr>
        <w:numPr>
          <w:ilvl w:val="0"/>
          <w:numId w:val="0"/>
        </w:numPr>
        <w:tabs>
          <w:tab w:val="left" w:pos="360"/>
          <w:tab w:val="left" w:pos="900"/>
        </w:tabs>
        <w:snapToGrid w:val="0"/>
        <w:spacing w:line="360" w:lineRule="auto"/>
        <w:ind w:firstLine="472" w:firstLineChars="200"/>
        <w:jc w:val="left"/>
        <w:outlineLvl w:val="1"/>
        <w:rPr>
          <w:rFonts w:hint="default" w:ascii="Times New Roman" w:hAnsi="Times New Roman" w:eastAsia="宋体" w:cs="Times New Roman"/>
          <w:color w:val="auto"/>
          <w:spacing w:val="-2"/>
          <w:kern w:val="2"/>
          <w:sz w:val="24"/>
          <w:szCs w:val="24"/>
          <w:lang w:val="en-US" w:eastAsia="zh-CN" w:bidi="ar-SA"/>
        </w:rPr>
      </w:pPr>
      <w:r>
        <w:rPr>
          <w:rFonts w:hint="default" w:ascii="Times New Roman" w:hAnsi="Times New Roman" w:eastAsia="宋体" w:cs="Times New Roman"/>
          <w:color w:val="auto"/>
          <w:spacing w:val="-2"/>
          <w:kern w:val="2"/>
          <w:sz w:val="24"/>
          <w:szCs w:val="24"/>
          <w:lang w:val="en-US" w:eastAsia="zh-CN" w:bidi="ar-SA"/>
        </w:rPr>
        <w:t>1、本项目为北京市东城区教育技术装备中心课桌椅集中带量采购，请供应商充分了解本项目下的全部技术、商务条款，并在投标文件中如实响应，若投标人存在提供虚假材料谋取中标的行为，按我国相关法律法规处理。投标人为本次项目提供的货物必须通过合法渠道获得，生产制造严格遵循我国相关强制标准及规范，不侵犯任何第三方的知识产权。</w:t>
      </w:r>
    </w:p>
    <w:p w14:paraId="05684889">
      <w:pPr>
        <w:numPr>
          <w:ilvl w:val="0"/>
          <w:numId w:val="0"/>
        </w:numPr>
        <w:tabs>
          <w:tab w:val="left" w:pos="360"/>
          <w:tab w:val="left" w:pos="900"/>
        </w:tabs>
        <w:snapToGrid w:val="0"/>
        <w:spacing w:line="360" w:lineRule="auto"/>
        <w:ind w:firstLine="472" w:firstLineChars="200"/>
        <w:jc w:val="left"/>
        <w:outlineLvl w:val="1"/>
        <w:rPr>
          <w:rFonts w:hint="default" w:ascii="Times New Roman" w:hAnsi="Times New Roman" w:eastAsia="宋体" w:cs="Times New Roman"/>
          <w:color w:val="auto"/>
          <w:spacing w:val="-2"/>
          <w:kern w:val="2"/>
          <w:sz w:val="24"/>
          <w:szCs w:val="24"/>
          <w:lang w:val="en-US" w:eastAsia="zh-CN" w:bidi="ar-SA"/>
        </w:rPr>
      </w:pPr>
      <w:r>
        <w:rPr>
          <w:rFonts w:hint="default" w:ascii="Times New Roman" w:hAnsi="Times New Roman" w:eastAsia="宋体" w:cs="Times New Roman"/>
          <w:color w:val="auto"/>
          <w:spacing w:val="-2"/>
          <w:kern w:val="2"/>
          <w:sz w:val="24"/>
          <w:szCs w:val="24"/>
          <w:lang w:val="en-US" w:eastAsia="zh-CN" w:bidi="ar-SA"/>
        </w:rPr>
        <w:t xml:space="preserve">2、供应商的报价应包括货物及其所涉及的全部费用，包括：产品制造、包装、劳务、管理、运输、保险、安装、搬运、调试、检验（或抽样送检）、技术培训及技术资料、维护、保修、验收、安装调试后的计量质控检测、外贸代理费（若有）、关税（若有）、保险增值税发票等，以及所有根据合同或其它原因应由投标人支付的税金和其它应缴费用，以及可合理推断的责任和义务。还要考虑到合同中可能出现的索赔和变更。 </w:t>
      </w:r>
    </w:p>
    <w:p w14:paraId="53B55CB2">
      <w:pPr>
        <w:numPr>
          <w:ilvl w:val="0"/>
          <w:numId w:val="0"/>
        </w:numPr>
        <w:tabs>
          <w:tab w:val="left" w:pos="360"/>
          <w:tab w:val="left" w:pos="900"/>
        </w:tabs>
        <w:snapToGrid w:val="0"/>
        <w:spacing w:line="360" w:lineRule="auto"/>
        <w:ind w:firstLine="472" w:firstLineChars="200"/>
        <w:jc w:val="left"/>
        <w:outlineLvl w:val="1"/>
        <w:rPr>
          <w:rFonts w:hint="default" w:ascii="Times New Roman" w:hAnsi="Times New Roman" w:eastAsia="宋体" w:cs="Times New Roman"/>
          <w:color w:val="auto"/>
          <w:spacing w:val="-2"/>
          <w:kern w:val="2"/>
          <w:sz w:val="24"/>
          <w:szCs w:val="24"/>
          <w:lang w:val="en-US" w:eastAsia="zh-CN" w:bidi="ar-SA"/>
        </w:rPr>
      </w:pPr>
      <w:r>
        <w:rPr>
          <w:rFonts w:hint="default" w:ascii="Times New Roman" w:hAnsi="Times New Roman" w:eastAsia="宋体" w:cs="Times New Roman"/>
          <w:color w:val="auto"/>
          <w:spacing w:val="-2"/>
          <w:kern w:val="2"/>
          <w:sz w:val="24"/>
          <w:szCs w:val="24"/>
          <w:lang w:val="en-US" w:eastAsia="zh-CN" w:bidi="ar-SA"/>
        </w:rPr>
        <w:t>3、本项目采用统招分签模式，中标人需与北京市东城区教育技术装备中心签订总合同、与本项目涉及的各学校分别签订供货分合同。各学校需求情况如下：</w:t>
      </w:r>
    </w:p>
    <w:tbl>
      <w:tblPr>
        <w:tblStyle w:val="3"/>
        <w:tblW w:w="912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21"/>
        <w:gridCol w:w="4938"/>
        <w:gridCol w:w="3369"/>
      </w:tblGrid>
      <w:tr w14:paraId="14FD1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52DD8">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序号</w:t>
            </w:r>
          </w:p>
        </w:tc>
        <w:tc>
          <w:tcPr>
            <w:tcW w:w="4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086B6">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使用单位</w:t>
            </w:r>
          </w:p>
        </w:tc>
        <w:tc>
          <w:tcPr>
            <w:tcW w:w="33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DA369">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升降课桌椅（套）</w:t>
            </w:r>
          </w:p>
        </w:tc>
      </w:tr>
      <w:tr w14:paraId="61A5F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64319">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w:t>
            </w:r>
          </w:p>
        </w:tc>
        <w:tc>
          <w:tcPr>
            <w:tcW w:w="4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8B6EB">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北京市第二中学分校</w:t>
            </w:r>
          </w:p>
        </w:tc>
        <w:tc>
          <w:tcPr>
            <w:tcW w:w="3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3474D">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350</w:t>
            </w:r>
          </w:p>
        </w:tc>
      </w:tr>
      <w:tr w14:paraId="3606B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C0F62">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2</w:t>
            </w:r>
          </w:p>
        </w:tc>
        <w:tc>
          <w:tcPr>
            <w:tcW w:w="4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AE2F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北京市第二十四中学</w:t>
            </w:r>
          </w:p>
        </w:tc>
        <w:tc>
          <w:tcPr>
            <w:tcW w:w="3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09254">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150</w:t>
            </w:r>
          </w:p>
        </w:tc>
      </w:tr>
      <w:tr w14:paraId="7E113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4808B">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3</w:t>
            </w:r>
          </w:p>
        </w:tc>
        <w:tc>
          <w:tcPr>
            <w:tcW w:w="4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C57B7">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北京市第二十五中学</w:t>
            </w:r>
          </w:p>
        </w:tc>
        <w:tc>
          <w:tcPr>
            <w:tcW w:w="3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F6D9A">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100</w:t>
            </w:r>
          </w:p>
        </w:tc>
      </w:tr>
      <w:tr w14:paraId="017A0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94602">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4</w:t>
            </w:r>
          </w:p>
        </w:tc>
        <w:tc>
          <w:tcPr>
            <w:tcW w:w="4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32E6B">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北京市第五十五中学</w:t>
            </w:r>
          </w:p>
        </w:tc>
        <w:tc>
          <w:tcPr>
            <w:tcW w:w="3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048F3">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250</w:t>
            </w:r>
          </w:p>
        </w:tc>
      </w:tr>
      <w:tr w14:paraId="0BD87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D92E2">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5</w:t>
            </w:r>
          </w:p>
        </w:tc>
        <w:tc>
          <w:tcPr>
            <w:tcW w:w="4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FEF7B">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北京市第六十五中学</w:t>
            </w:r>
          </w:p>
        </w:tc>
        <w:tc>
          <w:tcPr>
            <w:tcW w:w="3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8BACA">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40</w:t>
            </w:r>
          </w:p>
        </w:tc>
      </w:tr>
      <w:tr w14:paraId="2C555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7BB64">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6</w:t>
            </w:r>
          </w:p>
        </w:tc>
        <w:tc>
          <w:tcPr>
            <w:tcW w:w="4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9ABA1">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北京市第一四二中学</w:t>
            </w:r>
          </w:p>
        </w:tc>
        <w:tc>
          <w:tcPr>
            <w:tcW w:w="3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C004D">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100</w:t>
            </w:r>
          </w:p>
        </w:tc>
      </w:tr>
      <w:tr w14:paraId="2BF9D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6CFEE">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7</w:t>
            </w:r>
          </w:p>
        </w:tc>
        <w:tc>
          <w:tcPr>
            <w:tcW w:w="4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2AF4C">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北京市第一七一中学</w:t>
            </w:r>
          </w:p>
        </w:tc>
        <w:tc>
          <w:tcPr>
            <w:tcW w:w="3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4E549">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50</w:t>
            </w:r>
          </w:p>
        </w:tc>
      </w:tr>
      <w:tr w14:paraId="33FF9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D0C1B">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8</w:t>
            </w:r>
          </w:p>
        </w:tc>
        <w:tc>
          <w:tcPr>
            <w:tcW w:w="4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61ACD">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北京市第十一中学</w:t>
            </w:r>
          </w:p>
        </w:tc>
        <w:tc>
          <w:tcPr>
            <w:tcW w:w="3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2A3B6">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250</w:t>
            </w:r>
          </w:p>
        </w:tc>
      </w:tr>
      <w:tr w14:paraId="4DBE8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5FECE">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9</w:t>
            </w:r>
          </w:p>
        </w:tc>
        <w:tc>
          <w:tcPr>
            <w:tcW w:w="4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13AB6">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北京市第五十中学</w:t>
            </w:r>
          </w:p>
        </w:tc>
        <w:tc>
          <w:tcPr>
            <w:tcW w:w="3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EDA6A">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180</w:t>
            </w:r>
          </w:p>
        </w:tc>
      </w:tr>
      <w:tr w14:paraId="51112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90C4B">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10</w:t>
            </w:r>
          </w:p>
        </w:tc>
        <w:tc>
          <w:tcPr>
            <w:tcW w:w="4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49CA0">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北京市第一零九中学</w:t>
            </w:r>
          </w:p>
        </w:tc>
        <w:tc>
          <w:tcPr>
            <w:tcW w:w="3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02036">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110</w:t>
            </w:r>
          </w:p>
        </w:tc>
      </w:tr>
      <w:tr w14:paraId="71763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922C1">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11</w:t>
            </w:r>
          </w:p>
        </w:tc>
        <w:tc>
          <w:tcPr>
            <w:tcW w:w="4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A9295">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北京市广渠门中学</w:t>
            </w:r>
          </w:p>
        </w:tc>
        <w:tc>
          <w:tcPr>
            <w:tcW w:w="3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697DD">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225</w:t>
            </w:r>
          </w:p>
        </w:tc>
      </w:tr>
      <w:tr w14:paraId="3351D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80852">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12</w:t>
            </w:r>
          </w:p>
        </w:tc>
        <w:tc>
          <w:tcPr>
            <w:tcW w:w="4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29CFE">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北京市文汇中学</w:t>
            </w:r>
          </w:p>
        </w:tc>
        <w:tc>
          <w:tcPr>
            <w:tcW w:w="3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D2E88">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300</w:t>
            </w:r>
          </w:p>
        </w:tc>
      </w:tr>
      <w:tr w14:paraId="5BFF4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81616">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13</w:t>
            </w:r>
          </w:p>
        </w:tc>
        <w:tc>
          <w:tcPr>
            <w:tcW w:w="4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BC252">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北京市东城区黑芝麻胡同小学</w:t>
            </w:r>
          </w:p>
        </w:tc>
        <w:tc>
          <w:tcPr>
            <w:tcW w:w="3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87FD0">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450</w:t>
            </w:r>
          </w:p>
        </w:tc>
      </w:tr>
      <w:tr w14:paraId="58771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4DF1C">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14</w:t>
            </w:r>
          </w:p>
        </w:tc>
        <w:tc>
          <w:tcPr>
            <w:tcW w:w="4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B1895">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北京市东城区府学胡同小学</w:t>
            </w:r>
          </w:p>
        </w:tc>
        <w:tc>
          <w:tcPr>
            <w:tcW w:w="3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4268E">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90</w:t>
            </w:r>
          </w:p>
        </w:tc>
      </w:tr>
      <w:tr w14:paraId="12613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0795F">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15</w:t>
            </w:r>
          </w:p>
        </w:tc>
        <w:tc>
          <w:tcPr>
            <w:tcW w:w="4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14BC4">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北京市东城区史家胡同小学</w:t>
            </w:r>
          </w:p>
        </w:tc>
        <w:tc>
          <w:tcPr>
            <w:tcW w:w="3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3FAF5">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550</w:t>
            </w:r>
          </w:p>
        </w:tc>
      </w:tr>
      <w:tr w14:paraId="21D52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7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269E2">
            <w:pPr>
              <w:keepNext w:val="0"/>
              <w:keepLines w:val="0"/>
              <w:widowControl/>
              <w:suppressLineNumbers w:val="0"/>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总计</w:t>
            </w:r>
          </w:p>
        </w:tc>
        <w:tc>
          <w:tcPr>
            <w:tcW w:w="3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87433">
            <w:pPr>
              <w:keepNext w:val="0"/>
              <w:keepLines w:val="0"/>
              <w:widowControl/>
              <w:suppressLineNumbers w:val="0"/>
              <w:jc w:val="center"/>
              <w:textAlignment w:val="center"/>
              <w:rPr>
                <w:rFonts w:hint="default" w:ascii="Times New Roman" w:hAnsi="Times New Roman" w:eastAsia="宋体" w:cs="Times New Roman"/>
                <w:b/>
                <w:bCs/>
                <w:i w:val="0"/>
                <w:iCs w:val="0"/>
                <w:color w:val="auto"/>
                <w:sz w:val="24"/>
                <w:szCs w:val="24"/>
                <w:u w:val="none"/>
              </w:rPr>
            </w:pPr>
            <w:r>
              <w:rPr>
                <w:rFonts w:hint="default" w:ascii="Times New Roman" w:hAnsi="Times New Roman" w:eastAsia="宋体" w:cs="Times New Roman"/>
                <w:b/>
                <w:bCs/>
                <w:i w:val="0"/>
                <w:iCs w:val="0"/>
                <w:color w:val="auto"/>
                <w:kern w:val="0"/>
                <w:sz w:val="24"/>
                <w:szCs w:val="24"/>
                <w:u w:val="none"/>
                <w:lang w:val="en-US" w:eastAsia="zh-CN" w:bidi="ar"/>
              </w:rPr>
              <w:t>3195</w:t>
            </w:r>
          </w:p>
        </w:tc>
      </w:tr>
    </w:tbl>
    <w:p w14:paraId="0FC31C2B">
      <w:pPr>
        <w:numPr>
          <w:ilvl w:val="0"/>
          <w:numId w:val="0"/>
        </w:numPr>
        <w:spacing w:line="360" w:lineRule="auto"/>
        <w:ind w:leftChars="0"/>
        <w:rPr>
          <w:rFonts w:hint="default" w:ascii="Times New Roman" w:hAnsi="Times New Roman" w:eastAsia="宋体" w:cs="Times New Roman"/>
          <w:b/>
          <w:color w:val="auto"/>
          <w:sz w:val="24"/>
          <w:szCs w:val="24"/>
          <w:lang w:val="en-US" w:eastAsia="zh-CN"/>
        </w:rPr>
      </w:pPr>
    </w:p>
    <w:p w14:paraId="41D529F0">
      <w:pPr>
        <w:numPr>
          <w:ilvl w:val="0"/>
          <w:numId w:val="2"/>
        </w:numPr>
        <w:spacing w:line="360" w:lineRule="auto"/>
        <w:ind w:left="0" w:leftChars="0" w:firstLine="0" w:firstLineChars="0"/>
        <w:rPr>
          <w:rFonts w:hint="default" w:ascii="Times New Roman" w:hAnsi="Times New Roman" w:eastAsia="宋体" w:cs="Times New Roman"/>
          <w:b/>
          <w:color w:val="auto"/>
          <w:sz w:val="24"/>
          <w:szCs w:val="24"/>
          <w:lang w:val="en-US" w:eastAsia="zh-CN"/>
        </w:rPr>
      </w:pPr>
      <w:r>
        <w:rPr>
          <w:rFonts w:hint="default" w:ascii="Times New Roman" w:hAnsi="Times New Roman" w:eastAsia="宋体" w:cs="Times New Roman"/>
          <w:b/>
          <w:color w:val="auto"/>
          <w:sz w:val="24"/>
          <w:szCs w:val="24"/>
          <w:lang w:val="en-US" w:eastAsia="zh-CN"/>
        </w:rPr>
        <w:t>采购标的</w:t>
      </w:r>
    </w:p>
    <w:tbl>
      <w:tblPr>
        <w:tblStyle w:val="3"/>
        <w:tblW w:w="4823" w:type="pct"/>
        <w:tblInd w:w="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9"/>
        <w:gridCol w:w="2163"/>
        <w:gridCol w:w="1168"/>
        <w:gridCol w:w="2191"/>
        <w:gridCol w:w="1969"/>
      </w:tblGrid>
      <w:tr w14:paraId="01A71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4" w:type="pct"/>
            <w:vAlign w:val="center"/>
          </w:tcPr>
          <w:p w14:paraId="1B92FF54">
            <w:pPr>
              <w:spacing w:line="240" w:lineRule="auto"/>
              <w:jc w:val="center"/>
              <w:rPr>
                <w:rFonts w:hint="default" w:ascii="Times New Roman" w:hAnsi="Times New Roman" w:eastAsia="宋体" w:cs="Times New Roman"/>
                <w:b/>
                <w:bCs w:val="0"/>
                <w:color w:val="auto"/>
                <w:sz w:val="24"/>
                <w:szCs w:val="24"/>
              </w:rPr>
            </w:pPr>
            <w:r>
              <w:rPr>
                <w:rFonts w:hint="default" w:ascii="Times New Roman" w:hAnsi="Times New Roman" w:eastAsia="宋体" w:cs="Times New Roman"/>
                <w:b/>
                <w:bCs w:val="0"/>
                <w:color w:val="auto"/>
                <w:sz w:val="24"/>
                <w:szCs w:val="24"/>
                <w:lang w:val="en-US" w:eastAsia="zh-CN"/>
              </w:rPr>
              <w:t>序</w:t>
            </w:r>
            <w:r>
              <w:rPr>
                <w:rFonts w:hint="default" w:ascii="Times New Roman" w:hAnsi="Times New Roman" w:eastAsia="宋体" w:cs="Times New Roman"/>
                <w:b/>
                <w:bCs w:val="0"/>
                <w:color w:val="auto"/>
                <w:sz w:val="24"/>
                <w:szCs w:val="24"/>
              </w:rPr>
              <w:t>号</w:t>
            </w:r>
          </w:p>
        </w:tc>
        <w:tc>
          <w:tcPr>
            <w:tcW w:w="1315" w:type="pct"/>
            <w:vAlign w:val="center"/>
          </w:tcPr>
          <w:p w14:paraId="03951E23">
            <w:pPr>
              <w:spacing w:line="240" w:lineRule="auto"/>
              <w:jc w:val="center"/>
              <w:rPr>
                <w:rFonts w:hint="default" w:ascii="Times New Roman" w:hAnsi="Times New Roman" w:eastAsia="宋体" w:cs="Times New Roman"/>
                <w:b/>
                <w:bCs w:val="0"/>
                <w:color w:val="auto"/>
                <w:sz w:val="24"/>
                <w:szCs w:val="24"/>
              </w:rPr>
            </w:pPr>
            <w:r>
              <w:rPr>
                <w:rFonts w:hint="default" w:ascii="Times New Roman" w:hAnsi="Times New Roman" w:eastAsia="宋体" w:cs="Times New Roman"/>
                <w:b/>
                <w:bCs w:val="0"/>
                <w:color w:val="auto"/>
                <w:sz w:val="24"/>
                <w:szCs w:val="24"/>
              </w:rPr>
              <w:t>标的名称</w:t>
            </w:r>
          </w:p>
        </w:tc>
        <w:tc>
          <w:tcPr>
            <w:tcW w:w="710" w:type="pct"/>
            <w:shd w:val="clear" w:color="auto" w:fill="auto"/>
            <w:vAlign w:val="center"/>
          </w:tcPr>
          <w:p w14:paraId="491F7B11">
            <w:pPr>
              <w:spacing w:line="240" w:lineRule="auto"/>
              <w:jc w:val="center"/>
              <w:rPr>
                <w:rFonts w:hint="default" w:ascii="Times New Roman" w:hAnsi="Times New Roman" w:eastAsia="宋体" w:cs="Times New Roman"/>
                <w:b/>
                <w:bCs w:val="0"/>
                <w:color w:val="auto"/>
                <w:kern w:val="2"/>
                <w:sz w:val="24"/>
                <w:szCs w:val="24"/>
                <w:lang w:val="en-US" w:eastAsia="zh-CN" w:bidi="ar-SA"/>
              </w:rPr>
            </w:pPr>
            <w:r>
              <w:rPr>
                <w:rFonts w:hint="default" w:ascii="Times New Roman" w:hAnsi="Times New Roman" w:eastAsia="宋体" w:cs="Times New Roman"/>
                <w:b/>
                <w:bCs w:val="0"/>
                <w:color w:val="auto"/>
                <w:sz w:val="24"/>
                <w:szCs w:val="24"/>
              </w:rPr>
              <w:t>数量</w:t>
            </w:r>
          </w:p>
        </w:tc>
        <w:tc>
          <w:tcPr>
            <w:tcW w:w="1332" w:type="pct"/>
            <w:vAlign w:val="center"/>
          </w:tcPr>
          <w:p w14:paraId="3582E953">
            <w:pPr>
              <w:spacing w:line="240" w:lineRule="auto"/>
              <w:jc w:val="center"/>
              <w:rPr>
                <w:rFonts w:hint="default" w:ascii="Times New Roman" w:hAnsi="Times New Roman" w:eastAsia="宋体" w:cs="Times New Roman"/>
                <w:b/>
                <w:bCs w:val="0"/>
                <w:color w:val="auto"/>
                <w:sz w:val="24"/>
                <w:szCs w:val="24"/>
                <w:lang w:val="en-US" w:eastAsia="zh-CN"/>
              </w:rPr>
            </w:pPr>
            <w:r>
              <w:rPr>
                <w:rFonts w:hint="default" w:ascii="Times New Roman" w:hAnsi="Times New Roman" w:eastAsia="宋体" w:cs="Times New Roman"/>
                <w:b/>
                <w:bCs/>
                <w:color w:val="auto"/>
                <w:lang w:val="en-US"/>
              </w:rPr>
              <w:t>★</w:t>
            </w:r>
            <w:r>
              <w:rPr>
                <w:rFonts w:hint="default" w:ascii="Times New Roman" w:hAnsi="Times New Roman" w:eastAsia="宋体" w:cs="Times New Roman"/>
                <w:b/>
                <w:bCs w:val="0"/>
                <w:color w:val="auto"/>
                <w:sz w:val="24"/>
                <w:szCs w:val="24"/>
                <w:lang w:val="en-US" w:eastAsia="zh-CN"/>
              </w:rPr>
              <w:t>最高单价限价</w:t>
            </w:r>
          </w:p>
        </w:tc>
        <w:tc>
          <w:tcPr>
            <w:tcW w:w="1197" w:type="pct"/>
            <w:vAlign w:val="center"/>
          </w:tcPr>
          <w:p w14:paraId="5CC86531">
            <w:pPr>
              <w:spacing w:line="240" w:lineRule="auto"/>
              <w:jc w:val="center"/>
              <w:rPr>
                <w:rFonts w:hint="default" w:ascii="Times New Roman" w:hAnsi="Times New Roman" w:eastAsia="宋体" w:cs="Times New Roman"/>
                <w:b/>
                <w:bCs w:val="0"/>
                <w:color w:val="auto"/>
                <w:sz w:val="24"/>
                <w:szCs w:val="24"/>
              </w:rPr>
            </w:pPr>
            <w:r>
              <w:rPr>
                <w:rFonts w:hint="default" w:ascii="Times New Roman" w:hAnsi="Times New Roman" w:eastAsia="宋体" w:cs="Times New Roman"/>
                <w:b/>
                <w:bCs w:val="0"/>
                <w:color w:val="auto"/>
                <w:sz w:val="24"/>
                <w:szCs w:val="24"/>
              </w:rPr>
              <w:t>是否接受进口</w:t>
            </w:r>
            <w:r>
              <w:rPr>
                <w:rFonts w:hint="default" w:ascii="Times New Roman" w:hAnsi="Times New Roman" w:eastAsia="宋体" w:cs="Times New Roman"/>
                <w:b/>
                <w:bCs w:val="0"/>
                <w:color w:val="auto"/>
                <w:sz w:val="24"/>
                <w:szCs w:val="24"/>
                <w:lang w:val="en-US" w:eastAsia="zh-CN"/>
              </w:rPr>
              <w:t>产品</w:t>
            </w:r>
          </w:p>
        </w:tc>
      </w:tr>
      <w:tr w14:paraId="2D049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4" w:type="pct"/>
            <w:vAlign w:val="center"/>
          </w:tcPr>
          <w:p w14:paraId="7AB16E39">
            <w:pPr>
              <w:spacing w:line="240" w:lineRule="auto"/>
              <w:jc w:val="center"/>
              <w:rPr>
                <w:rFonts w:hint="default" w:ascii="Times New Roman" w:hAnsi="Times New Roman" w:eastAsia="宋体" w:cs="Times New Roman"/>
                <w:bCs/>
                <w:color w:val="auto"/>
                <w:sz w:val="24"/>
                <w:szCs w:val="24"/>
                <w:lang w:eastAsia="zh-CN"/>
              </w:rPr>
            </w:pPr>
            <w:r>
              <w:rPr>
                <w:rFonts w:hint="default" w:ascii="Times New Roman" w:hAnsi="Times New Roman" w:eastAsia="宋体" w:cs="Times New Roman"/>
                <w:bCs/>
                <w:color w:val="auto"/>
                <w:sz w:val="24"/>
                <w:szCs w:val="24"/>
                <w:lang w:val="en-US" w:eastAsia="zh-CN"/>
              </w:rPr>
              <w:t>1</w:t>
            </w:r>
          </w:p>
        </w:tc>
        <w:tc>
          <w:tcPr>
            <w:tcW w:w="1315" w:type="pct"/>
            <w:vAlign w:val="center"/>
          </w:tcPr>
          <w:p w14:paraId="37D7613B">
            <w:pPr>
              <w:spacing w:line="240" w:lineRule="auto"/>
              <w:jc w:val="center"/>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升降课桌椅</w:t>
            </w:r>
          </w:p>
        </w:tc>
        <w:tc>
          <w:tcPr>
            <w:tcW w:w="710" w:type="pct"/>
            <w:shd w:val="clear" w:color="auto" w:fill="auto"/>
            <w:vAlign w:val="center"/>
          </w:tcPr>
          <w:p w14:paraId="0CB47606">
            <w:pPr>
              <w:spacing w:line="240" w:lineRule="auto"/>
              <w:jc w:val="center"/>
              <w:rPr>
                <w:rFonts w:hint="default" w:ascii="Times New Roman" w:hAnsi="Times New Roman" w:eastAsia="宋体" w:cs="Times New Roman"/>
                <w:bCs w:val="0"/>
                <w:color w:val="auto"/>
                <w:kern w:val="2"/>
                <w:sz w:val="24"/>
                <w:szCs w:val="24"/>
                <w:lang w:val="en-US" w:eastAsia="zh-CN" w:bidi="ar-SA"/>
              </w:rPr>
            </w:pPr>
            <w:r>
              <w:rPr>
                <w:rFonts w:hint="default" w:ascii="Times New Roman" w:hAnsi="Times New Roman" w:eastAsia="宋体" w:cs="Times New Roman"/>
                <w:bCs w:val="0"/>
                <w:color w:val="auto"/>
                <w:sz w:val="24"/>
                <w:szCs w:val="24"/>
                <w:lang w:val="en-US" w:eastAsia="zh-CN"/>
              </w:rPr>
              <w:t>3195套</w:t>
            </w:r>
          </w:p>
        </w:tc>
        <w:tc>
          <w:tcPr>
            <w:tcW w:w="1332" w:type="pct"/>
            <w:vAlign w:val="center"/>
          </w:tcPr>
          <w:p w14:paraId="0A6761A5">
            <w:pPr>
              <w:spacing w:line="240" w:lineRule="auto"/>
              <w:jc w:val="center"/>
              <w:rPr>
                <w:rFonts w:hint="default" w:ascii="Times New Roman" w:hAnsi="Times New Roman" w:eastAsia="宋体" w:cs="Times New Roman"/>
                <w:color w:val="auto"/>
                <w:kern w:val="2"/>
                <w:sz w:val="24"/>
                <w:szCs w:val="24"/>
                <w:lang w:val="en-US" w:eastAsia="zh-CN"/>
              </w:rPr>
            </w:pPr>
            <w:r>
              <w:rPr>
                <w:rFonts w:hint="default" w:ascii="Times New Roman" w:hAnsi="Times New Roman" w:eastAsia="宋体" w:cs="Times New Roman"/>
                <w:b w:val="0"/>
                <w:bCs w:val="0"/>
                <w:color w:val="auto"/>
                <w:kern w:val="2"/>
                <w:sz w:val="24"/>
                <w:szCs w:val="24"/>
                <w:lang w:val="en-US" w:eastAsia="zh-CN"/>
              </w:rPr>
              <w:t>500</w:t>
            </w:r>
            <w:r>
              <w:rPr>
                <w:rFonts w:hint="default" w:ascii="Times New Roman" w:hAnsi="Times New Roman" w:eastAsia="宋体" w:cs="Times New Roman"/>
                <w:b w:val="0"/>
                <w:bCs w:val="0"/>
                <w:color w:val="auto"/>
                <w:sz w:val="24"/>
                <w:szCs w:val="24"/>
                <w:lang w:val="en-US" w:eastAsia="zh-CN"/>
              </w:rPr>
              <w:t>元/套</w:t>
            </w:r>
          </w:p>
        </w:tc>
        <w:tc>
          <w:tcPr>
            <w:tcW w:w="1197" w:type="pct"/>
            <w:vAlign w:val="center"/>
          </w:tcPr>
          <w:p w14:paraId="31BC7C42">
            <w:pPr>
              <w:spacing w:line="240" w:lineRule="auto"/>
              <w:jc w:val="center"/>
              <w:rPr>
                <w:rFonts w:hint="default" w:ascii="Times New Roman" w:hAnsi="Times New Roman" w:eastAsia="宋体" w:cs="Times New Roman"/>
                <w:color w:val="auto"/>
                <w:kern w:val="2"/>
                <w:sz w:val="24"/>
                <w:szCs w:val="24"/>
                <w:lang w:val="en-US" w:eastAsia="zh-CN"/>
              </w:rPr>
            </w:pPr>
            <w:r>
              <w:rPr>
                <w:rFonts w:hint="default" w:ascii="Times New Roman" w:hAnsi="Times New Roman" w:eastAsia="宋体" w:cs="Times New Roman"/>
                <w:color w:val="auto"/>
                <w:kern w:val="2"/>
                <w:sz w:val="24"/>
                <w:szCs w:val="24"/>
                <w:lang w:val="en-US" w:eastAsia="zh-CN"/>
              </w:rPr>
              <w:t>否</w:t>
            </w:r>
          </w:p>
        </w:tc>
      </w:tr>
    </w:tbl>
    <w:p w14:paraId="6138F266">
      <w:pPr>
        <w:numPr>
          <w:ilvl w:val="0"/>
          <w:numId w:val="0"/>
        </w:numPr>
        <w:tabs>
          <w:tab w:val="left" w:pos="360"/>
          <w:tab w:val="left" w:pos="900"/>
        </w:tabs>
        <w:snapToGrid w:val="0"/>
        <w:spacing w:line="360" w:lineRule="auto"/>
        <w:jc w:val="left"/>
        <w:outlineLvl w:val="1"/>
        <w:rPr>
          <w:rFonts w:hint="default" w:ascii="Times New Roman" w:hAnsi="Times New Roman" w:eastAsia="宋体" w:cs="Times New Roman"/>
          <w:color w:val="auto"/>
          <w:spacing w:val="-2"/>
          <w:kern w:val="2"/>
          <w:sz w:val="24"/>
          <w:szCs w:val="24"/>
          <w:lang w:val="en-US" w:eastAsia="zh-CN" w:bidi="ar-SA"/>
        </w:rPr>
      </w:pPr>
    </w:p>
    <w:p w14:paraId="2D364393">
      <w:pPr>
        <w:numPr>
          <w:ilvl w:val="0"/>
          <w:numId w:val="2"/>
        </w:numPr>
        <w:spacing w:line="360" w:lineRule="auto"/>
        <w:ind w:left="0" w:leftChars="0" w:firstLine="0" w:firstLineChars="0"/>
        <w:rPr>
          <w:rFonts w:hint="default" w:ascii="Times New Roman" w:hAnsi="Times New Roman" w:eastAsia="宋体" w:cs="Times New Roman"/>
          <w:b/>
          <w:color w:val="auto"/>
          <w:sz w:val="24"/>
          <w:lang w:val="en-US" w:eastAsia="zh-CN"/>
        </w:rPr>
      </w:pPr>
      <w:r>
        <w:rPr>
          <w:rFonts w:hint="default" w:ascii="Times New Roman" w:hAnsi="Times New Roman" w:eastAsia="宋体" w:cs="Times New Roman"/>
          <w:b/>
          <w:color w:val="auto"/>
          <w:sz w:val="24"/>
          <w:lang w:val="en-US" w:eastAsia="zh-CN"/>
        </w:rPr>
        <w:t>采购标的交付时间、地点</w:t>
      </w:r>
    </w:p>
    <w:p w14:paraId="758BA0F1">
      <w:pPr>
        <w:numPr>
          <w:ilvl w:val="0"/>
          <w:numId w:val="3"/>
        </w:numPr>
        <w:tabs>
          <w:tab w:val="left" w:pos="360"/>
          <w:tab w:val="left" w:pos="900"/>
        </w:tabs>
        <w:snapToGrid w:val="0"/>
        <w:spacing w:line="360" w:lineRule="auto"/>
        <w:ind w:firstLine="472" w:firstLineChars="200"/>
        <w:jc w:val="left"/>
        <w:outlineLvl w:val="1"/>
        <w:rPr>
          <w:rFonts w:hint="default" w:ascii="Times New Roman" w:hAnsi="Times New Roman" w:eastAsia="宋体" w:cs="Times New Roman"/>
          <w:color w:val="auto"/>
          <w:spacing w:val="-2"/>
          <w:kern w:val="2"/>
          <w:sz w:val="24"/>
          <w:szCs w:val="24"/>
          <w:lang w:val="en-US" w:eastAsia="zh-CN" w:bidi="ar-SA"/>
        </w:rPr>
      </w:pPr>
      <w:r>
        <w:rPr>
          <w:rFonts w:hint="default" w:ascii="Times New Roman" w:hAnsi="Times New Roman" w:eastAsia="宋体" w:cs="Times New Roman"/>
          <w:color w:val="auto"/>
          <w:spacing w:val="-2"/>
          <w:kern w:val="2"/>
          <w:sz w:val="24"/>
          <w:szCs w:val="24"/>
          <w:lang w:val="en-US" w:eastAsia="zh-CN" w:bidi="ar-SA"/>
        </w:rPr>
        <w:t>交付时间：</w:t>
      </w:r>
      <w:r>
        <w:rPr>
          <w:rFonts w:hint="default" w:ascii="Times New Roman" w:hAnsi="Times New Roman" w:eastAsia="宋体" w:cs="Times New Roman"/>
          <w:color w:val="auto"/>
          <w:sz w:val="24"/>
          <w:lang w:val="en-US" w:eastAsia="zh-CN"/>
        </w:rPr>
        <w:t>2026年8月25日前</w:t>
      </w:r>
      <w:r>
        <w:rPr>
          <w:rFonts w:hint="default" w:ascii="Times New Roman" w:hAnsi="Times New Roman" w:eastAsia="宋体" w:cs="Times New Roman"/>
          <w:color w:val="auto"/>
          <w:sz w:val="24"/>
        </w:rPr>
        <w:t>完成</w:t>
      </w:r>
      <w:r>
        <w:rPr>
          <w:rFonts w:hint="default" w:ascii="Times New Roman" w:hAnsi="Times New Roman" w:eastAsia="宋体" w:cs="Times New Roman"/>
          <w:color w:val="auto"/>
          <w:sz w:val="24"/>
          <w:lang w:val="en-US" w:eastAsia="zh-CN"/>
        </w:rPr>
        <w:t>备货</w:t>
      </w:r>
      <w:r>
        <w:rPr>
          <w:rFonts w:hint="default" w:ascii="Times New Roman" w:hAnsi="Times New Roman" w:eastAsia="宋体" w:cs="Times New Roman"/>
          <w:color w:val="auto"/>
          <w:sz w:val="24"/>
        </w:rPr>
        <w:t>。</w:t>
      </w:r>
      <w:r>
        <w:rPr>
          <w:rFonts w:hint="default" w:ascii="Times New Roman" w:hAnsi="Times New Roman" w:eastAsia="宋体" w:cs="Times New Roman"/>
          <w:color w:val="auto"/>
          <w:sz w:val="24"/>
          <w:lang w:val="en-US" w:eastAsia="zh-CN"/>
        </w:rPr>
        <w:t>具体时间</w:t>
      </w:r>
      <w:r>
        <w:rPr>
          <w:rFonts w:hint="default" w:ascii="Times New Roman" w:hAnsi="Times New Roman" w:eastAsia="宋体" w:cs="Times New Roman"/>
          <w:color w:val="auto"/>
          <w:sz w:val="24"/>
        </w:rPr>
        <w:t>由</w:t>
      </w:r>
      <w:r>
        <w:rPr>
          <w:rFonts w:hint="default" w:ascii="Times New Roman" w:hAnsi="Times New Roman" w:eastAsia="宋体" w:cs="Times New Roman"/>
          <w:color w:val="auto"/>
          <w:kern w:val="0"/>
          <w:sz w:val="24"/>
          <w:lang w:val="en-US" w:eastAsia="zh-CN"/>
        </w:rPr>
        <w:t>投标人</w:t>
      </w:r>
      <w:r>
        <w:rPr>
          <w:rFonts w:hint="default" w:ascii="Times New Roman" w:hAnsi="Times New Roman" w:eastAsia="宋体" w:cs="Times New Roman"/>
          <w:color w:val="auto"/>
          <w:sz w:val="24"/>
        </w:rPr>
        <w:t>分别与各</w:t>
      </w:r>
      <w:r>
        <w:rPr>
          <w:rFonts w:hint="default" w:ascii="Times New Roman" w:hAnsi="Times New Roman" w:eastAsia="宋体" w:cs="Times New Roman"/>
          <w:color w:val="auto"/>
          <w:sz w:val="24"/>
          <w:lang w:val="en-US" w:eastAsia="zh-CN"/>
        </w:rPr>
        <w:t>学校</w:t>
      </w:r>
      <w:r>
        <w:rPr>
          <w:rFonts w:hint="default" w:ascii="Times New Roman" w:hAnsi="Times New Roman" w:eastAsia="宋体" w:cs="Times New Roman"/>
          <w:color w:val="auto"/>
          <w:sz w:val="24"/>
        </w:rPr>
        <w:t xml:space="preserve">通过签订分合同确定。 </w:t>
      </w:r>
    </w:p>
    <w:p w14:paraId="40D76585">
      <w:pPr>
        <w:numPr>
          <w:ilvl w:val="0"/>
          <w:numId w:val="3"/>
        </w:numPr>
        <w:tabs>
          <w:tab w:val="left" w:pos="360"/>
          <w:tab w:val="left" w:pos="900"/>
        </w:tabs>
        <w:snapToGrid w:val="0"/>
        <w:spacing w:line="360" w:lineRule="auto"/>
        <w:ind w:firstLine="472" w:firstLineChars="200"/>
        <w:jc w:val="left"/>
        <w:outlineLvl w:val="1"/>
        <w:rPr>
          <w:rFonts w:hint="default" w:ascii="Times New Roman" w:hAnsi="Times New Roman" w:eastAsia="宋体" w:cs="Times New Roman"/>
          <w:color w:val="auto"/>
          <w:spacing w:val="-2"/>
          <w:kern w:val="2"/>
          <w:sz w:val="24"/>
          <w:szCs w:val="24"/>
          <w:lang w:val="en-US" w:eastAsia="zh-CN" w:bidi="ar-SA"/>
        </w:rPr>
      </w:pPr>
      <w:r>
        <w:rPr>
          <w:rFonts w:hint="default" w:ascii="Times New Roman" w:hAnsi="Times New Roman" w:eastAsia="宋体" w:cs="Times New Roman"/>
          <w:color w:val="auto"/>
          <w:spacing w:val="-2"/>
          <w:kern w:val="2"/>
          <w:sz w:val="24"/>
          <w:szCs w:val="24"/>
          <w:lang w:val="en-US" w:eastAsia="zh-CN" w:bidi="ar-SA"/>
        </w:rPr>
        <w:t>交付地点：</w:t>
      </w:r>
      <w:r>
        <w:rPr>
          <w:rFonts w:hint="default" w:ascii="Times New Roman" w:hAnsi="Times New Roman" w:eastAsia="宋体" w:cs="Times New Roman"/>
          <w:color w:val="auto"/>
          <w:sz w:val="24"/>
        </w:rPr>
        <w:t>各</w:t>
      </w:r>
      <w:r>
        <w:rPr>
          <w:rFonts w:hint="default" w:ascii="Times New Roman" w:hAnsi="Times New Roman" w:eastAsia="宋体" w:cs="Times New Roman"/>
          <w:color w:val="auto"/>
          <w:sz w:val="24"/>
          <w:lang w:val="en-US" w:eastAsia="zh-CN"/>
        </w:rPr>
        <w:t>学校指定地点</w:t>
      </w:r>
      <w:r>
        <w:rPr>
          <w:rFonts w:hint="default" w:ascii="Times New Roman" w:hAnsi="Times New Roman" w:eastAsia="宋体" w:cs="Times New Roman"/>
          <w:color w:val="auto"/>
          <w:sz w:val="24"/>
        </w:rPr>
        <w:t>。</w:t>
      </w:r>
    </w:p>
    <w:p w14:paraId="224CCEBE">
      <w:pPr>
        <w:numPr>
          <w:ilvl w:val="0"/>
          <w:numId w:val="0"/>
        </w:numPr>
        <w:tabs>
          <w:tab w:val="left" w:pos="360"/>
          <w:tab w:val="left" w:pos="900"/>
        </w:tabs>
        <w:snapToGrid w:val="0"/>
        <w:spacing w:line="360" w:lineRule="auto"/>
        <w:jc w:val="left"/>
        <w:outlineLvl w:val="1"/>
        <w:rPr>
          <w:rFonts w:hint="default" w:ascii="Times New Roman" w:hAnsi="Times New Roman" w:eastAsia="宋体" w:cs="Times New Roman"/>
          <w:color w:val="auto"/>
          <w:sz w:val="24"/>
        </w:rPr>
      </w:pPr>
    </w:p>
    <w:p w14:paraId="6D1FD073">
      <w:pPr>
        <w:numPr>
          <w:ilvl w:val="0"/>
          <w:numId w:val="2"/>
        </w:numPr>
        <w:spacing w:line="360" w:lineRule="auto"/>
        <w:ind w:left="0" w:leftChars="0" w:firstLine="0" w:firstLineChars="0"/>
        <w:rPr>
          <w:rFonts w:hint="default" w:ascii="Times New Roman" w:hAnsi="Times New Roman" w:eastAsia="宋体" w:cs="Times New Roman"/>
          <w:b/>
          <w:color w:val="auto"/>
          <w:sz w:val="24"/>
          <w:lang w:val="en-US" w:eastAsia="zh-CN"/>
        </w:rPr>
      </w:pPr>
      <w:r>
        <w:rPr>
          <w:rFonts w:hint="default" w:ascii="Times New Roman" w:hAnsi="Times New Roman" w:eastAsia="宋体" w:cs="Times New Roman"/>
          <w:b/>
          <w:color w:val="auto"/>
          <w:sz w:val="24"/>
          <w:lang w:val="en-US" w:eastAsia="zh-CN"/>
        </w:rPr>
        <w:t>技术参数要求</w:t>
      </w:r>
    </w:p>
    <w:tbl>
      <w:tblPr>
        <w:tblStyle w:val="3"/>
        <w:tblW w:w="10491"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448"/>
        <w:gridCol w:w="6724"/>
        <w:gridCol w:w="708"/>
        <w:gridCol w:w="851"/>
      </w:tblGrid>
      <w:tr w14:paraId="30A6F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vAlign w:val="center"/>
          </w:tcPr>
          <w:p w14:paraId="40C1FF90">
            <w:pPr>
              <w:spacing w:line="240" w:lineRule="auto"/>
              <w:jc w:val="center"/>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序号</w:t>
            </w:r>
          </w:p>
        </w:tc>
        <w:tc>
          <w:tcPr>
            <w:tcW w:w="1448" w:type="dxa"/>
            <w:vAlign w:val="center"/>
          </w:tcPr>
          <w:p w14:paraId="6D75FCC5">
            <w:pPr>
              <w:spacing w:line="240" w:lineRule="auto"/>
              <w:jc w:val="center"/>
              <w:rPr>
                <w:rFonts w:hint="default" w:ascii="Times New Roman" w:hAnsi="Times New Roman" w:eastAsia="宋体" w:cs="Times New Roman"/>
                <w:b/>
                <w:color w:val="auto"/>
                <w:sz w:val="24"/>
                <w:szCs w:val="24"/>
              </w:rPr>
            </w:pPr>
            <w:r>
              <w:rPr>
                <w:rFonts w:hint="default" w:ascii="Times New Roman" w:hAnsi="Times New Roman" w:eastAsia="宋体" w:cs="Times New Roman"/>
                <w:b/>
                <w:bCs w:val="0"/>
                <w:color w:val="auto"/>
                <w:sz w:val="24"/>
                <w:szCs w:val="24"/>
              </w:rPr>
              <w:t>标的</w:t>
            </w:r>
            <w:r>
              <w:rPr>
                <w:rFonts w:hint="default" w:ascii="Times New Roman" w:hAnsi="Times New Roman" w:eastAsia="宋体" w:cs="Times New Roman"/>
                <w:b/>
                <w:color w:val="auto"/>
                <w:sz w:val="24"/>
                <w:szCs w:val="24"/>
              </w:rPr>
              <w:t>名称</w:t>
            </w:r>
          </w:p>
        </w:tc>
        <w:tc>
          <w:tcPr>
            <w:tcW w:w="6724" w:type="dxa"/>
            <w:vAlign w:val="center"/>
          </w:tcPr>
          <w:p w14:paraId="626EFA04">
            <w:pPr>
              <w:spacing w:line="240" w:lineRule="auto"/>
              <w:jc w:val="center"/>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技术规格</w:t>
            </w:r>
          </w:p>
        </w:tc>
        <w:tc>
          <w:tcPr>
            <w:tcW w:w="708" w:type="dxa"/>
            <w:vAlign w:val="center"/>
          </w:tcPr>
          <w:p w14:paraId="567A4D62">
            <w:pPr>
              <w:spacing w:line="240" w:lineRule="auto"/>
              <w:jc w:val="center"/>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单位</w:t>
            </w:r>
          </w:p>
        </w:tc>
        <w:tc>
          <w:tcPr>
            <w:tcW w:w="851" w:type="dxa"/>
            <w:vAlign w:val="center"/>
          </w:tcPr>
          <w:p w14:paraId="2CF791F4">
            <w:pPr>
              <w:spacing w:line="240" w:lineRule="auto"/>
              <w:jc w:val="center"/>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数量</w:t>
            </w:r>
          </w:p>
        </w:tc>
      </w:tr>
      <w:tr w14:paraId="0BDE3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vAlign w:val="center"/>
          </w:tcPr>
          <w:p w14:paraId="11B603F8">
            <w:pPr>
              <w:spacing w:line="240" w:lineRule="auto"/>
              <w:jc w:val="center"/>
              <w:rPr>
                <w:rFonts w:hint="default" w:ascii="Times New Roman" w:hAnsi="Times New Roman" w:eastAsia="宋体" w:cs="Times New Roman"/>
                <w:b/>
                <w:color w:val="auto"/>
                <w:sz w:val="24"/>
                <w:szCs w:val="24"/>
              </w:rPr>
            </w:pPr>
            <w:r>
              <w:rPr>
                <w:rFonts w:hint="default" w:ascii="Times New Roman" w:hAnsi="Times New Roman" w:eastAsia="宋体" w:cs="Times New Roman"/>
                <w:b w:val="0"/>
                <w:bCs/>
                <w:color w:val="auto"/>
                <w:sz w:val="24"/>
                <w:szCs w:val="24"/>
              </w:rPr>
              <w:t>1</w:t>
            </w:r>
          </w:p>
        </w:tc>
        <w:tc>
          <w:tcPr>
            <w:tcW w:w="1448" w:type="dxa"/>
            <w:vAlign w:val="center"/>
          </w:tcPr>
          <w:p w14:paraId="668F6955">
            <w:pPr>
              <w:spacing w:line="240" w:lineRule="auto"/>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升降课桌椅</w:t>
            </w:r>
          </w:p>
        </w:tc>
        <w:tc>
          <w:tcPr>
            <w:tcW w:w="6724" w:type="dxa"/>
            <w:vAlign w:val="center"/>
          </w:tcPr>
          <w:p w14:paraId="22C10825">
            <w:pPr>
              <w:widowControl/>
              <w:numPr>
                <w:ilvl w:val="0"/>
                <w:numId w:val="0"/>
              </w:numPr>
              <w:spacing w:line="240" w:lineRule="auto"/>
              <w:ind w:right="-107" w:rightChars="-51"/>
              <w:jc w:val="left"/>
              <w:rPr>
                <w:rFonts w:hint="default" w:ascii="Times New Roman" w:hAnsi="Times New Roman" w:eastAsia="宋体" w:cs="Times New Roman"/>
                <w:b/>
                <w:bCs/>
                <w:color w:val="auto"/>
                <w:sz w:val="24"/>
                <w:szCs w:val="24"/>
                <w:lang w:eastAsia="zh-CN"/>
              </w:rPr>
            </w:pPr>
            <w:r>
              <w:rPr>
                <w:rFonts w:hint="default" w:ascii="Times New Roman" w:hAnsi="Times New Roman" w:eastAsia="宋体" w:cs="Times New Roman"/>
                <w:b/>
                <w:bCs/>
                <w:color w:val="auto"/>
                <w:sz w:val="24"/>
                <w:szCs w:val="24"/>
              </w:rPr>
              <w:t>课桌</w:t>
            </w:r>
            <w:r>
              <w:rPr>
                <w:rFonts w:hint="default" w:ascii="Times New Roman" w:hAnsi="Times New Roman" w:eastAsia="宋体" w:cs="Times New Roman"/>
                <w:b/>
                <w:bCs/>
                <w:color w:val="auto"/>
                <w:sz w:val="24"/>
                <w:szCs w:val="24"/>
                <w:lang w:val="en-US" w:eastAsia="zh-CN"/>
              </w:rPr>
              <w:t>技术规格</w:t>
            </w:r>
            <w:r>
              <w:rPr>
                <w:rFonts w:hint="default" w:ascii="Times New Roman" w:hAnsi="Times New Roman" w:eastAsia="宋体" w:cs="Times New Roman"/>
                <w:b/>
                <w:bCs/>
                <w:color w:val="auto"/>
                <w:sz w:val="24"/>
                <w:szCs w:val="24"/>
                <w:lang w:eastAsia="zh-CN"/>
              </w:rPr>
              <w:t>：</w:t>
            </w:r>
          </w:p>
          <w:p w14:paraId="7CF57303">
            <w:pPr>
              <w:widowControl/>
              <w:numPr>
                <w:ilvl w:val="1"/>
                <w:numId w:val="4"/>
              </w:numPr>
              <w:spacing w:line="240" w:lineRule="auto"/>
              <w:ind w:leftChars="0" w:right="-107" w:rightChars="-51"/>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rPr>
              <w:t>规格</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0-5号，600*400*调节高度</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790～640</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mm</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5-9号，600*400*</w:t>
            </w:r>
            <w:r>
              <w:rPr>
                <w:rFonts w:hint="default" w:ascii="Times New Roman" w:hAnsi="Times New Roman" w:eastAsia="宋体" w:cs="Times New Roman"/>
                <w:color w:val="auto"/>
                <w:kern w:val="0"/>
                <w:sz w:val="24"/>
                <w:szCs w:val="24"/>
              </w:rPr>
              <w:t>调节高度</w:t>
            </w:r>
            <w:r>
              <w:rPr>
                <w:rFonts w:hint="default" w:ascii="Times New Roman" w:hAnsi="Times New Roman" w:eastAsia="宋体" w:cs="Times New Roman"/>
                <w:color w:val="auto"/>
                <w:kern w:val="0"/>
                <w:sz w:val="24"/>
                <w:szCs w:val="24"/>
                <w:lang w:eastAsia="zh-CN"/>
              </w:rPr>
              <w:t>（</w:t>
            </w:r>
            <w:r>
              <w:rPr>
                <w:rFonts w:hint="default" w:ascii="Times New Roman" w:hAnsi="Times New Roman" w:eastAsia="宋体" w:cs="Times New Roman"/>
                <w:color w:val="auto"/>
                <w:sz w:val="24"/>
                <w:szCs w:val="24"/>
              </w:rPr>
              <w:t>640～520</w:t>
            </w:r>
            <w:r>
              <w:rPr>
                <w:rFonts w:hint="default" w:ascii="Times New Roman" w:hAnsi="Times New Roman" w:eastAsia="宋体" w:cs="Times New Roman"/>
                <w:color w:val="auto"/>
                <w:kern w:val="0"/>
                <w:sz w:val="24"/>
                <w:szCs w:val="24"/>
                <w:lang w:eastAsia="zh-CN"/>
              </w:rPr>
              <w:t>）</w:t>
            </w:r>
            <w:r>
              <w:rPr>
                <w:rFonts w:hint="default" w:ascii="Times New Roman" w:hAnsi="Times New Roman" w:eastAsia="宋体" w:cs="Times New Roman"/>
                <w:color w:val="auto"/>
                <w:sz w:val="24"/>
                <w:szCs w:val="24"/>
              </w:rPr>
              <w:t>mm</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br w:type="textWrapping"/>
            </w:r>
            <w:r>
              <w:rPr>
                <w:rFonts w:hint="default" w:ascii="Times New Roman" w:hAnsi="Times New Roman" w:eastAsia="宋体" w:cs="Times New Roman"/>
                <w:bCs/>
                <w:color w:val="auto"/>
                <w:sz w:val="24"/>
                <w:highlight w:val="none"/>
                <w:lang w:val="en-US" w:eastAsia="zh-CN"/>
              </w:rPr>
              <w:t>1.2、</w:t>
            </w:r>
            <w:r>
              <w:rPr>
                <w:rFonts w:hint="default" w:ascii="Times New Roman" w:hAnsi="Times New Roman" w:eastAsia="宋体" w:cs="Times New Roman"/>
                <w:color w:val="auto"/>
                <w:sz w:val="24"/>
                <w:szCs w:val="24"/>
              </w:rPr>
              <w:t>桌面</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规格600*400*18mm，采用E0级18mm厚，环保三聚氰胺双饰面板，桌面前口俯视圆弧处理，四角圆角，注塑封边处理，封边处无接口、缝隙，带笔槽。</w:t>
            </w:r>
            <w:r>
              <w:rPr>
                <w:rFonts w:hint="default" w:ascii="Times New Roman" w:hAnsi="Times New Roman" w:eastAsia="宋体" w:cs="Times New Roman"/>
                <w:color w:val="auto"/>
                <w:sz w:val="24"/>
                <w:szCs w:val="24"/>
              </w:rPr>
              <w:br w:type="textWrapping"/>
            </w:r>
            <w:r>
              <w:rPr>
                <w:rFonts w:hint="default" w:ascii="Times New Roman" w:hAnsi="Times New Roman" w:eastAsia="宋体" w:cs="Times New Roman"/>
                <w:bCs/>
                <w:color w:val="auto"/>
                <w:sz w:val="24"/>
                <w:highlight w:val="none"/>
                <w:lang w:val="en-US" w:eastAsia="zh-CN"/>
              </w:rPr>
              <w:t>1.3、</w:t>
            </w:r>
            <w:r>
              <w:rPr>
                <w:rFonts w:hint="default" w:ascii="Times New Roman" w:hAnsi="Times New Roman" w:eastAsia="宋体" w:cs="Times New Roman"/>
                <w:color w:val="auto"/>
                <w:sz w:val="24"/>
                <w:szCs w:val="24"/>
              </w:rPr>
              <w:t>桌架</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升降下部采用33*53*1.5mm</w:t>
            </w:r>
            <w:r>
              <w:rPr>
                <w:rFonts w:hint="default" w:ascii="Times New Roman" w:hAnsi="Times New Roman" w:eastAsia="宋体" w:cs="Times New Roman"/>
                <w:color w:val="auto"/>
                <w:sz w:val="24"/>
                <w:szCs w:val="24"/>
                <w:highlight w:val="none"/>
              </w:rPr>
              <w:t>椭圆形直缝电焊管</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上部采用25*45*1.5mm椭圆形直缝电焊管，两侧设有金属书包挂钩，桌腿</w:t>
            </w:r>
            <w:r>
              <w:rPr>
                <w:rFonts w:hint="default" w:ascii="Times New Roman" w:hAnsi="Times New Roman" w:eastAsia="宋体" w:cs="Times New Roman"/>
                <w:color w:val="auto"/>
                <w:sz w:val="24"/>
                <w:szCs w:val="24"/>
                <w:highlight w:val="none"/>
                <w:lang w:val="en-US" w:eastAsia="zh-CN"/>
              </w:rPr>
              <w:t>标有激光雕刻</w:t>
            </w:r>
            <w:r>
              <w:rPr>
                <w:rFonts w:hint="default" w:ascii="Times New Roman" w:hAnsi="Times New Roman" w:eastAsia="宋体" w:cs="Times New Roman"/>
                <w:color w:val="auto"/>
                <w:sz w:val="24"/>
                <w:szCs w:val="24"/>
                <w:highlight w:val="none"/>
              </w:rPr>
              <w:t>高度刻度标志。</w:t>
            </w:r>
            <w:r>
              <w:rPr>
                <w:rFonts w:hint="default" w:ascii="Times New Roman" w:hAnsi="Times New Roman" w:eastAsia="宋体" w:cs="Times New Roman"/>
                <w:color w:val="auto"/>
                <w:sz w:val="24"/>
                <w:szCs w:val="24"/>
                <w:highlight w:val="none"/>
              </w:rPr>
              <w:br w:type="textWrapping"/>
            </w:r>
            <w:r>
              <w:rPr>
                <w:rFonts w:hint="default" w:ascii="Times New Roman" w:hAnsi="Times New Roman" w:eastAsia="宋体" w:cs="Times New Roman"/>
                <w:bCs/>
                <w:color w:val="auto"/>
                <w:sz w:val="24"/>
                <w:highlight w:val="none"/>
                <w:lang w:val="en-US" w:eastAsia="zh-CN"/>
              </w:rPr>
              <w:t>1.4、</w:t>
            </w:r>
            <w:r>
              <w:rPr>
                <w:rFonts w:hint="default" w:ascii="Times New Roman" w:hAnsi="Times New Roman" w:eastAsia="宋体" w:cs="Times New Roman"/>
                <w:color w:val="auto"/>
                <w:sz w:val="24"/>
                <w:szCs w:val="24"/>
                <w:highlight w:val="none"/>
              </w:rPr>
              <w:t>桌斗</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采用一级0.8mm厚冷轧钢板，一次液压成型，前沿</w:t>
            </w:r>
            <w:r>
              <w:rPr>
                <w:rFonts w:hint="default" w:ascii="Times New Roman" w:hAnsi="Times New Roman" w:eastAsia="宋体" w:cs="Times New Roman"/>
                <w:color w:val="auto"/>
                <w:sz w:val="24"/>
                <w:szCs w:val="24"/>
                <w:highlight w:val="none"/>
                <w:lang w:val="en-US" w:eastAsia="zh-CN"/>
              </w:rPr>
              <w:t>卷边</w:t>
            </w:r>
            <w:r>
              <w:rPr>
                <w:rFonts w:hint="default" w:ascii="Times New Roman" w:hAnsi="Times New Roman" w:eastAsia="宋体" w:cs="Times New Roman"/>
                <w:color w:val="auto"/>
                <w:sz w:val="24"/>
                <w:szCs w:val="24"/>
                <w:highlight w:val="none"/>
              </w:rPr>
              <w:t>处理</w:t>
            </w:r>
            <w:r>
              <w:rPr>
                <w:rFonts w:hint="default" w:ascii="Times New Roman" w:hAnsi="Times New Roman" w:eastAsia="宋体" w:cs="Times New Roman"/>
                <w:color w:val="auto"/>
                <w:sz w:val="24"/>
                <w:szCs w:val="24"/>
                <w:highlight w:val="none"/>
                <w:lang w:val="en-US" w:eastAsia="zh-CN"/>
              </w:rPr>
              <w:t>并加焊φ8mm圆管加固</w:t>
            </w:r>
            <w:r>
              <w:rPr>
                <w:rFonts w:hint="default" w:ascii="Times New Roman" w:hAnsi="Times New Roman" w:eastAsia="宋体" w:cs="Times New Roman"/>
                <w:color w:val="auto"/>
                <w:sz w:val="24"/>
                <w:szCs w:val="24"/>
                <w:highlight w:val="none"/>
              </w:rPr>
              <w:t>，有效保证桌斗长期使用不变形。</w:t>
            </w:r>
            <w:r>
              <w:rPr>
                <w:rFonts w:hint="default" w:ascii="Times New Roman" w:hAnsi="Times New Roman" w:eastAsia="宋体" w:cs="Times New Roman"/>
                <w:color w:val="auto"/>
                <w:sz w:val="24"/>
                <w:szCs w:val="24"/>
                <w:highlight w:val="none"/>
              </w:rPr>
              <w:br w:type="textWrapping"/>
            </w:r>
            <w:r>
              <w:rPr>
                <w:rFonts w:hint="default" w:ascii="Times New Roman" w:hAnsi="Times New Roman" w:eastAsia="宋体" w:cs="Times New Roman"/>
                <w:bCs/>
                <w:color w:val="auto"/>
                <w:sz w:val="24"/>
                <w:highlight w:val="none"/>
                <w:lang w:val="en-US" w:eastAsia="zh-CN"/>
              </w:rPr>
              <w:t>1.5、</w:t>
            </w:r>
            <w:r>
              <w:rPr>
                <w:rFonts w:hint="default" w:ascii="Times New Roman" w:hAnsi="Times New Roman" w:eastAsia="宋体" w:cs="Times New Roman"/>
                <w:color w:val="auto"/>
                <w:sz w:val="24"/>
                <w:szCs w:val="24"/>
                <w:highlight w:val="none"/>
              </w:rPr>
              <w:t>升降机构</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升降部位采用机械升降，无极调节。</w:t>
            </w:r>
            <w:r>
              <w:rPr>
                <w:rFonts w:hint="default" w:ascii="Times New Roman" w:hAnsi="Times New Roman" w:eastAsia="宋体" w:cs="Times New Roman"/>
                <w:color w:val="auto"/>
                <w:sz w:val="24"/>
                <w:szCs w:val="24"/>
                <w:highlight w:val="none"/>
              </w:rPr>
              <w:br w:type="textWrapping"/>
            </w:r>
            <w:r>
              <w:rPr>
                <w:rFonts w:hint="default" w:ascii="Times New Roman" w:hAnsi="Times New Roman" w:eastAsia="宋体" w:cs="Times New Roman"/>
                <w:bCs/>
                <w:color w:val="auto"/>
                <w:sz w:val="24"/>
                <w:highlight w:val="none"/>
                <w:lang w:val="en-US" w:eastAsia="zh-CN"/>
              </w:rPr>
              <w:t>1.6、</w:t>
            </w:r>
            <w:r>
              <w:rPr>
                <w:rFonts w:hint="default" w:ascii="Times New Roman" w:hAnsi="Times New Roman" w:eastAsia="宋体" w:cs="Times New Roman"/>
                <w:color w:val="auto"/>
                <w:sz w:val="24"/>
                <w:szCs w:val="24"/>
                <w:highlight w:val="none"/>
              </w:rPr>
              <w:t>工艺</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经</w:t>
            </w:r>
            <w:r>
              <w:rPr>
                <w:rFonts w:hint="default" w:ascii="Times New Roman" w:hAnsi="Times New Roman" w:eastAsia="宋体" w:cs="Times New Roman"/>
                <w:color w:val="auto"/>
                <w:sz w:val="24"/>
                <w:szCs w:val="24"/>
                <w:highlight w:val="none"/>
                <w:lang w:val="en-US" w:eastAsia="zh-CN"/>
              </w:rPr>
              <w:t>激光切割</w:t>
            </w:r>
            <w:r>
              <w:rPr>
                <w:rFonts w:hint="default" w:ascii="Times New Roman" w:hAnsi="Times New Roman" w:eastAsia="宋体" w:cs="Times New Roman"/>
                <w:color w:val="auto"/>
                <w:sz w:val="24"/>
                <w:szCs w:val="24"/>
                <w:highlight w:val="none"/>
              </w:rPr>
              <w:t>下料、二氧化碳保护焊焊接工艺。</w:t>
            </w:r>
            <w:r>
              <w:rPr>
                <w:rFonts w:hint="default" w:ascii="Times New Roman" w:hAnsi="Times New Roman" w:eastAsia="宋体" w:cs="Times New Roman"/>
                <w:color w:val="auto"/>
                <w:sz w:val="24"/>
                <w:szCs w:val="24"/>
                <w:highlight w:val="none"/>
              </w:rPr>
              <w:br w:type="textWrapping"/>
            </w:r>
            <w:r>
              <w:rPr>
                <w:rFonts w:hint="default" w:ascii="Times New Roman" w:hAnsi="Times New Roman" w:eastAsia="宋体" w:cs="Times New Roman"/>
                <w:bCs/>
                <w:color w:val="auto"/>
                <w:sz w:val="24"/>
                <w:highlight w:val="none"/>
                <w:lang w:val="en-US" w:eastAsia="zh-CN"/>
              </w:rPr>
              <w:t>1.7、</w:t>
            </w:r>
            <w:r>
              <w:rPr>
                <w:rFonts w:hint="default" w:ascii="Times New Roman" w:hAnsi="Times New Roman" w:eastAsia="宋体" w:cs="Times New Roman"/>
                <w:color w:val="auto"/>
                <w:sz w:val="24"/>
                <w:szCs w:val="24"/>
                <w:highlight w:val="none"/>
              </w:rPr>
              <w:t>涂饰</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所有金属表面</w:t>
            </w:r>
            <w:r>
              <w:rPr>
                <w:rFonts w:hint="default" w:ascii="Times New Roman" w:hAnsi="Times New Roman" w:eastAsia="宋体" w:cs="Times New Roman"/>
                <w:color w:val="auto"/>
                <w:sz w:val="24"/>
                <w:szCs w:val="24"/>
                <w:highlight w:val="none"/>
                <w:lang w:val="en-US" w:eastAsia="zh-CN"/>
              </w:rPr>
              <w:t>经脱脂陶化</w:t>
            </w:r>
            <w:r>
              <w:rPr>
                <w:rFonts w:hint="default" w:ascii="Times New Roman" w:hAnsi="Times New Roman" w:eastAsia="宋体" w:cs="Times New Roman"/>
                <w:color w:val="auto"/>
                <w:sz w:val="24"/>
                <w:szCs w:val="24"/>
                <w:highlight w:val="none"/>
              </w:rPr>
              <w:t>处理后，环氧树脂静电粉沫喷涂，涂层厚度</w:t>
            </w:r>
            <w:r>
              <w:rPr>
                <w:rFonts w:hint="default" w:ascii="Times New Roman" w:hAnsi="Times New Roman" w:eastAsia="宋体"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rPr>
              <w:t xml:space="preserve">0-80um。 </w:t>
            </w:r>
          </w:p>
          <w:p w14:paraId="255E8C82">
            <w:pPr>
              <w:widowControl/>
              <w:numPr>
                <w:ilvl w:val="0"/>
                <w:numId w:val="0"/>
              </w:numPr>
              <w:spacing w:line="240" w:lineRule="auto"/>
              <w:ind w:leftChars="0" w:right="-107" w:rightChars="-51"/>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  </w:t>
            </w:r>
            <w:r>
              <w:rPr>
                <w:rFonts w:hint="default" w:ascii="Times New Roman" w:hAnsi="Times New Roman" w:eastAsia="宋体" w:cs="Times New Roman"/>
                <w:color w:val="auto"/>
                <w:sz w:val="24"/>
                <w:szCs w:val="24"/>
                <w:highlight w:val="none"/>
              </w:rPr>
              <w:br w:type="textWrapping"/>
            </w:r>
            <w:r>
              <w:rPr>
                <w:rFonts w:hint="default" w:ascii="Times New Roman" w:hAnsi="Times New Roman" w:eastAsia="宋体" w:cs="Times New Roman"/>
                <w:b/>
                <w:bCs/>
                <w:color w:val="auto"/>
                <w:sz w:val="24"/>
                <w:szCs w:val="24"/>
                <w:highlight w:val="none"/>
              </w:rPr>
              <w:t>课椅</w:t>
            </w:r>
            <w:r>
              <w:rPr>
                <w:rFonts w:hint="default" w:ascii="Times New Roman" w:hAnsi="Times New Roman" w:eastAsia="宋体" w:cs="Times New Roman"/>
                <w:b/>
                <w:bCs/>
                <w:color w:val="auto"/>
                <w:sz w:val="24"/>
                <w:szCs w:val="24"/>
                <w:highlight w:val="none"/>
                <w:lang w:val="en-US" w:eastAsia="zh-CN"/>
              </w:rPr>
              <w:t>技术规格</w:t>
            </w:r>
            <w:r>
              <w:rPr>
                <w:rFonts w:hint="default" w:ascii="Times New Roman" w:hAnsi="Times New Roman" w:eastAsia="宋体" w:cs="Times New Roman"/>
                <w:b/>
                <w:bCs/>
                <w:color w:val="auto"/>
                <w:sz w:val="24"/>
                <w:szCs w:val="24"/>
                <w:highlight w:val="none"/>
                <w:lang w:eastAsia="zh-CN"/>
              </w:rPr>
              <w:t>：</w:t>
            </w:r>
            <w:r>
              <w:rPr>
                <w:rFonts w:hint="default" w:ascii="Times New Roman" w:hAnsi="Times New Roman" w:eastAsia="宋体" w:cs="Times New Roman"/>
                <w:color w:val="auto"/>
                <w:sz w:val="24"/>
                <w:szCs w:val="24"/>
                <w:highlight w:val="none"/>
              </w:rPr>
              <w:br w:type="textWrapping"/>
            </w:r>
            <w:r>
              <w:rPr>
                <w:rFonts w:hint="default" w:ascii="Times New Roman" w:hAnsi="Times New Roman" w:eastAsia="宋体" w:cs="Times New Roman"/>
                <w:bCs/>
                <w:color w:val="auto"/>
                <w:sz w:val="24"/>
                <w:highlight w:val="none"/>
                <w:lang w:val="en-US" w:eastAsia="zh-CN"/>
              </w:rPr>
              <w:t>2.1、</w:t>
            </w:r>
            <w:r>
              <w:rPr>
                <w:rFonts w:hint="default" w:ascii="Times New Roman" w:hAnsi="Times New Roman" w:eastAsia="宋体" w:cs="Times New Roman"/>
                <w:color w:val="auto"/>
                <w:sz w:val="24"/>
                <w:szCs w:val="24"/>
                <w:highlight w:val="none"/>
              </w:rPr>
              <w:t>规格</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0-5号，390*370*</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rPr>
              <w:t>60-</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60</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mm</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5-9号，</w:t>
            </w:r>
          </w:p>
          <w:p w14:paraId="4C76787E">
            <w:pPr>
              <w:widowControl/>
              <w:numPr>
                <w:ilvl w:val="-1"/>
                <w:numId w:val="0"/>
              </w:numPr>
              <w:spacing w:line="240" w:lineRule="auto"/>
              <w:ind w:right="-107" w:rightChars="-51"/>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highlight w:val="none"/>
              </w:rPr>
              <w:t>390*370*</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36</w:t>
            </w:r>
            <w:r>
              <w:rPr>
                <w:rFonts w:hint="default" w:ascii="Times New Roman" w:hAnsi="Times New Roman" w:eastAsia="宋体" w:cs="Times New Roman"/>
                <w:color w:val="auto"/>
                <w:sz w:val="24"/>
                <w:szCs w:val="24"/>
                <w:highlight w:val="none"/>
              </w:rPr>
              <w:t>0-</w:t>
            </w:r>
            <w:r>
              <w:rPr>
                <w:rFonts w:hint="default" w:ascii="Times New Roman" w:hAnsi="Times New Roman" w:eastAsia="宋体" w:cs="Times New Roman"/>
                <w:color w:val="auto"/>
                <w:sz w:val="24"/>
                <w:szCs w:val="24"/>
                <w:highlight w:val="none"/>
                <w:lang w:val="en-US" w:eastAsia="zh-CN"/>
              </w:rPr>
              <w:t>29</w:t>
            </w:r>
            <w:r>
              <w:rPr>
                <w:rFonts w:hint="default" w:ascii="Times New Roman" w:hAnsi="Times New Roman" w:eastAsia="宋体" w:cs="Times New Roman"/>
                <w:color w:val="auto"/>
                <w:sz w:val="24"/>
                <w:szCs w:val="24"/>
                <w:highlight w:val="none"/>
              </w:rPr>
              <w:t>0</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mm</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br w:type="textWrapping"/>
            </w:r>
            <w:r>
              <w:rPr>
                <w:rFonts w:hint="default" w:ascii="Times New Roman" w:hAnsi="Times New Roman" w:eastAsia="宋体" w:cs="Times New Roman"/>
                <w:bCs/>
                <w:color w:val="auto"/>
                <w:sz w:val="24"/>
                <w:highlight w:val="none"/>
                <w:lang w:val="en-US" w:eastAsia="zh-CN"/>
              </w:rPr>
              <w:t>2.2、</w:t>
            </w:r>
            <w:r>
              <w:rPr>
                <w:rFonts w:hint="default" w:ascii="Times New Roman" w:hAnsi="Times New Roman" w:eastAsia="宋体" w:cs="Times New Roman"/>
                <w:color w:val="auto"/>
                <w:sz w:val="24"/>
                <w:szCs w:val="24"/>
              </w:rPr>
              <w:t>椅座、椅背材质</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采用E0级环保曲木胶合板，双面贴</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0.6mm厚耐火板，表面采用环保聚酯清油处理。</w:t>
            </w:r>
            <w:r>
              <w:rPr>
                <w:rFonts w:hint="default" w:ascii="Times New Roman" w:hAnsi="Times New Roman" w:eastAsia="宋体" w:cs="Times New Roman"/>
                <w:color w:val="auto"/>
                <w:sz w:val="24"/>
                <w:szCs w:val="24"/>
              </w:rPr>
              <w:br w:type="textWrapping"/>
            </w:r>
            <w:r>
              <w:rPr>
                <w:rFonts w:hint="default" w:ascii="Times New Roman" w:hAnsi="Times New Roman" w:eastAsia="宋体" w:cs="Times New Roman"/>
                <w:bCs/>
                <w:color w:val="auto"/>
                <w:sz w:val="24"/>
                <w:highlight w:val="none"/>
                <w:lang w:val="en-US" w:eastAsia="zh-CN"/>
              </w:rPr>
              <w:t>2.3、</w:t>
            </w:r>
            <w:r>
              <w:rPr>
                <w:rFonts w:hint="default" w:ascii="Times New Roman" w:hAnsi="Times New Roman" w:eastAsia="宋体" w:cs="Times New Roman"/>
                <w:color w:val="auto"/>
                <w:sz w:val="24"/>
                <w:szCs w:val="24"/>
              </w:rPr>
              <w:t>椅架</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下部采用33*53*1</w:t>
            </w:r>
            <w:r>
              <w:rPr>
                <w:rFonts w:hint="default" w:ascii="Times New Roman" w:hAnsi="Times New Roman" w:eastAsia="宋体" w:cs="Times New Roman"/>
                <w:color w:val="auto"/>
                <w:sz w:val="24"/>
                <w:szCs w:val="24"/>
                <w:highlight w:val="none"/>
              </w:rPr>
              <w:t>.5mm椭圆形直缝电焊管，上部采用25*45*1.5mm椭圆形直缝电焊管，椅腿标有</w:t>
            </w:r>
            <w:r>
              <w:rPr>
                <w:rFonts w:hint="default" w:ascii="Times New Roman" w:hAnsi="Times New Roman" w:eastAsia="宋体" w:cs="Times New Roman"/>
                <w:color w:val="auto"/>
                <w:sz w:val="24"/>
                <w:szCs w:val="24"/>
                <w:highlight w:val="none"/>
                <w:lang w:val="en-US" w:eastAsia="zh-CN"/>
              </w:rPr>
              <w:t>激光雕刻</w:t>
            </w:r>
            <w:r>
              <w:rPr>
                <w:rFonts w:hint="default" w:ascii="Times New Roman" w:hAnsi="Times New Roman" w:eastAsia="宋体" w:cs="Times New Roman"/>
                <w:color w:val="auto"/>
                <w:sz w:val="24"/>
                <w:szCs w:val="24"/>
                <w:highlight w:val="none"/>
              </w:rPr>
              <w:t>高度刻度标志。</w:t>
            </w:r>
            <w:r>
              <w:rPr>
                <w:rFonts w:hint="default" w:ascii="Times New Roman" w:hAnsi="Times New Roman" w:eastAsia="宋体" w:cs="Times New Roman"/>
                <w:color w:val="auto"/>
                <w:sz w:val="24"/>
                <w:szCs w:val="24"/>
                <w:highlight w:val="none"/>
              </w:rPr>
              <w:br w:type="textWrapping"/>
            </w:r>
            <w:r>
              <w:rPr>
                <w:rFonts w:hint="default" w:ascii="Times New Roman" w:hAnsi="Times New Roman" w:eastAsia="宋体" w:cs="Times New Roman"/>
                <w:bCs/>
                <w:color w:val="auto"/>
                <w:sz w:val="24"/>
                <w:highlight w:val="none"/>
                <w:lang w:val="en-US" w:eastAsia="zh-CN"/>
              </w:rPr>
              <w:t>2.4、</w:t>
            </w:r>
            <w:r>
              <w:rPr>
                <w:rFonts w:hint="default" w:ascii="Times New Roman" w:hAnsi="Times New Roman" w:eastAsia="宋体" w:cs="Times New Roman"/>
                <w:color w:val="auto"/>
                <w:sz w:val="24"/>
                <w:szCs w:val="24"/>
                <w:highlight w:val="none"/>
              </w:rPr>
              <w:t>升降机构</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 xml:space="preserve">升降部位采用机械升降，无极调节。                                                 </w:t>
            </w:r>
            <w:r>
              <w:rPr>
                <w:rFonts w:hint="default" w:ascii="Times New Roman" w:hAnsi="Times New Roman" w:eastAsia="宋体" w:cs="Times New Roman"/>
                <w:color w:val="auto"/>
                <w:sz w:val="24"/>
                <w:szCs w:val="24"/>
                <w:highlight w:val="none"/>
              </w:rPr>
              <w:br w:type="textWrapping"/>
            </w:r>
            <w:r>
              <w:rPr>
                <w:rFonts w:hint="default" w:ascii="Times New Roman" w:hAnsi="Times New Roman" w:eastAsia="宋体" w:cs="Times New Roman"/>
                <w:bCs/>
                <w:color w:val="auto"/>
                <w:sz w:val="24"/>
                <w:highlight w:val="none"/>
                <w:lang w:val="en-US" w:eastAsia="zh-CN"/>
              </w:rPr>
              <w:t>2.5、</w:t>
            </w:r>
            <w:r>
              <w:rPr>
                <w:rFonts w:hint="default" w:ascii="Times New Roman" w:hAnsi="Times New Roman" w:eastAsia="宋体" w:cs="Times New Roman"/>
                <w:color w:val="auto"/>
                <w:sz w:val="24"/>
                <w:szCs w:val="24"/>
                <w:highlight w:val="none"/>
              </w:rPr>
              <w:t>工艺</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经</w:t>
            </w:r>
            <w:r>
              <w:rPr>
                <w:rFonts w:hint="default" w:ascii="Times New Roman" w:hAnsi="Times New Roman" w:eastAsia="宋体" w:cs="Times New Roman"/>
                <w:color w:val="auto"/>
                <w:sz w:val="24"/>
                <w:szCs w:val="24"/>
                <w:highlight w:val="none"/>
                <w:lang w:val="en-US" w:eastAsia="zh-CN"/>
              </w:rPr>
              <w:t>激光切割</w:t>
            </w:r>
            <w:r>
              <w:rPr>
                <w:rFonts w:hint="default" w:ascii="Times New Roman" w:hAnsi="Times New Roman" w:eastAsia="宋体" w:cs="Times New Roman"/>
                <w:color w:val="auto"/>
                <w:sz w:val="24"/>
                <w:szCs w:val="24"/>
                <w:highlight w:val="none"/>
              </w:rPr>
              <w:t>下料、二氧化碳保护焊焊接工艺。</w:t>
            </w:r>
            <w:r>
              <w:rPr>
                <w:rFonts w:hint="default" w:ascii="Times New Roman" w:hAnsi="Times New Roman" w:eastAsia="宋体" w:cs="Times New Roman"/>
                <w:color w:val="auto"/>
                <w:sz w:val="24"/>
                <w:szCs w:val="24"/>
                <w:highlight w:val="none"/>
              </w:rPr>
              <w:br w:type="textWrapping"/>
            </w:r>
            <w:r>
              <w:rPr>
                <w:rFonts w:hint="default" w:ascii="Times New Roman" w:hAnsi="Times New Roman" w:eastAsia="宋体" w:cs="Times New Roman"/>
                <w:bCs/>
                <w:color w:val="auto"/>
                <w:sz w:val="24"/>
                <w:highlight w:val="none"/>
                <w:lang w:val="en-US" w:eastAsia="zh-CN"/>
              </w:rPr>
              <w:t>2.6、</w:t>
            </w:r>
            <w:r>
              <w:rPr>
                <w:rFonts w:hint="default" w:ascii="Times New Roman" w:hAnsi="Times New Roman" w:eastAsia="宋体" w:cs="Times New Roman"/>
                <w:color w:val="auto"/>
                <w:sz w:val="24"/>
                <w:szCs w:val="24"/>
                <w:highlight w:val="none"/>
              </w:rPr>
              <w:t>涂饰</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所有金属表面</w:t>
            </w:r>
            <w:r>
              <w:rPr>
                <w:rFonts w:hint="default" w:ascii="Times New Roman" w:hAnsi="Times New Roman" w:eastAsia="宋体" w:cs="Times New Roman"/>
                <w:color w:val="auto"/>
                <w:sz w:val="24"/>
                <w:szCs w:val="24"/>
                <w:highlight w:val="none"/>
                <w:lang w:val="en-US" w:eastAsia="zh-CN"/>
              </w:rPr>
              <w:t>经脱脂陶化</w:t>
            </w:r>
            <w:r>
              <w:rPr>
                <w:rFonts w:hint="default" w:ascii="Times New Roman" w:hAnsi="Times New Roman" w:eastAsia="宋体" w:cs="Times New Roman"/>
                <w:color w:val="auto"/>
                <w:sz w:val="24"/>
                <w:szCs w:val="24"/>
                <w:highlight w:val="none"/>
              </w:rPr>
              <w:t>处</w:t>
            </w:r>
            <w:r>
              <w:rPr>
                <w:rFonts w:hint="default" w:ascii="Times New Roman" w:hAnsi="Times New Roman" w:eastAsia="宋体" w:cs="Times New Roman"/>
                <w:color w:val="auto"/>
                <w:sz w:val="24"/>
                <w:szCs w:val="24"/>
              </w:rPr>
              <w:t>理后，环氧树脂静电粉沫喷涂，涂层厚度</w:t>
            </w:r>
            <w:r>
              <w:rPr>
                <w:rFonts w:hint="default" w:ascii="Times New Roman" w:hAnsi="Times New Roman" w:eastAsia="宋体" w:cs="Times New Roman"/>
                <w:color w:val="auto"/>
                <w:sz w:val="24"/>
                <w:szCs w:val="24"/>
                <w:lang w:val="en-US" w:eastAsia="zh-CN"/>
              </w:rPr>
              <w:t>7</w:t>
            </w:r>
            <w:r>
              <w:rPr>
                <w:rFonts w:hint="default" w:ascii="Times New Roman" w:hAnsi="Times New Roman" w:eastAsia="宋体" w:cs="Times New Roman"/>
                <w:color w:val="auto"/>
                <w:sz w:val="24"/>
                <w:szCs w:val="24"/>
              </w:rPr>
              <w:t>0-80um。</w:t>
            </w:r>
          </w:p>
          <w:p w14:paraId="5AA92E1A">
            <w:pPr>
              <w:widowControl/>
              <w:spacing w:after="0" w:line="240" w:lineRule="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lang w:val="en-US" w:eastAsia="zh-CN"/>
              </w:rPr>
              <w:t>2.7、</w:t>
            </w:r>
            <w:r>
              <w:rPr>
                <w:rFonts w:hint="default" w:ascii="Times New Roman" w:hAnsi="Times New Roman" w:eastAsia="宋体" w:cs="Times New Roman"/>
                <w:color w:val="auto"/>
                <w:kern w:val="0"/>
                <w:sz w:val="24"/>
                <w:szCs w:val="24"/>
              </w:rPr>
              <w:t>课桌</w:t>
            </w:r>
            <w:r>
              <w:rPr>
                <w:rFonts w:hint="default" w:ascii="Times New Roman" w:hAnsi="Times New Roman" w:eastAsia="宋体" w:cs="Times New Roman"/>
                <w:color w:val="auto"/>
                <w:kern w:val="0"/>
                <w:sz w:val="24"/>
                <w:szCs w:val="24"/>
                <w:lang w:val="en-US" w:eastAsia="zh-CN"/>
              </w:rPr>
              <w:t>椅</w:t>
            </w:r>
            <w:r>
              <w:rPr>
                <w:rFonts w:hint="default" w:ascii="Times New Roman" w:hAnsi="Times New Roman" w:eastAsia="宋体" w:cs="Times New Roman"/>
                <w:color w:val="auto"/>
                <w:kern w:val="0"/>
                <w:sz w:val="24"/>
                <w:szCs w:val="24"/>
              </w:rPr>
              <w:t>塑脚：采用ABS丙烯晴合成塑料作为制作套脚的原材料，表面光洁，无尖锐棱角，有效防止对地板的划痕和噪音的产生。</w:t>
            </w:r>
          </w:p>
          <w:p w14:paraId="28D64B3E">
            <w:pPr>
              <w:widowControl/>
              <w:spacing w:after="0" w:line="240" w:lineRule="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br w:type="textWrapping"/>
            </w:r>
            <w:r>
              <w:rPr>
                <w:rFonts w:hint="default" w:ascii="Times New Roman" w:hAnsi="Times New Roman" w:eastAsia="宋体" w:cs="Times New Roman"/>
                <w:b/>
                <w:bCs/>
                <w:color w:val="auto"/>
                <w:sz w:val="24"/>
                <w:szCs w:val="24"/>
                <w:lang w:val="en-US" w:eastAsia="zh-CN"/>
              </w:rPr>
              <w:t>配件（课桌椅升降摇把）要求：</w:t>
            </w:r>
          </w:p>
          <w:p w14:paraId="057DC45F">
            <w:pPr>
              <w:widowControl/>
              <w:spacing w:after="0" w:line="240" w:lineRule="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3.1、</w:t>
            </w:r>
            <w:r>
              <w:rPr>
                <w:rFonts w:hint="default" w:ascii="Times New Roman" w:hAnsi="Times New Roman" w:eastAsia="宋体" w:cs="Times New Roman"/>
                <w:color w:val="auto"/>
                <w:kern w:val="0"/>
                <w:sz w:val="24"/>
                <w:szCs w:val="24"/>
                <w:lang w:bidi="ar"/>
              </w:rPr>
              <w:t>每100套课桌椅</w:t>
            </w:r>
            <w:r>
              <w:rPr>
                <w:rFonts w:hint="default" w:ascii="Times New Roman" w:hAnsi="Times New Roman" w:eastAsia="宋体" w:cs="Times New Roman"/>
                <w:color w:val="auto"/>
                <w:kern w:val="0"/>
                <w:sz w:val="24"/>
                <w:szCs w:val="24"/>
                <w:lang w:val="en-US" w:eastAsia="zh-CN" w:bidi="ar"/>
              </w:rPr>
              <w:t>配有3</w:t>
            </w:r>
            <w:r>
              <w:rPr>
                <w:rFonts w:hint="default" w:ascii="Times New Roman" w:hAnsi="Times New Roman" w:eastAsia="宋体" w:cs="Times New Roman"/>
                <w:color w:val="auto"/>
                <w:kern w:val="0"/>
                <w:sz w:val="24"/>
                <w:szCs w:val="24"/>
                <w:lang w:bidi="ar"/>
              </w:rPr>
              <w:t>个手动升降专用工具</w:t>
            </w:r>
            <w:r>
              <w:rPr>
                <w:rFonts w:hint="default" w:ascii="Times New Roman" w:hAnsi="Times New Roman" w:eastAsia="宋体" w:cs="Times New Roman"/>
                <w:color w:val="auto"/>
                <w:kern w:val="0"/>
                <w:sz w:val="24"/>
                <w:szCs w:val="24"/>
                <w:lang w:eastAsia="zh-CN" w:bidi="ar"/>
              </w:rPr>
              <w:t>（</w:t>
            </w:r>
            <w:r>
              <w:rPr>
                <w:rFonts w:hint="default" w:ascii="Times New Roman" w:hAnsi="Times New Roman" w:eastAsia="宋体" w:cs="Times New Roman"/>
                <w:color w:val="auto"/>
                <w:kern w:val="0"/>
                <w:sz w:val="24"/>
                <w:szCs w:val="24"/>
                <w:lang w:val="en-US" w:eastAsia="zh-CN" w:bidi="ar"/>
              </w:rPr>
              <w:t>至少保证每个学校配备1个</w:t>
            </w:r>
            <w:r>
              <w:rPr>
                <w:rFonts w:hint="default" w:ascii="Times New Roman" w:hAnsi="Times New Roman" w:eastAsia="宋体" w:cs="Times New Roman"/>
                <w:color w:val="auto"/>
                <w:kern w:val="0"/>
                <w:sz w:val="24"/>
                <w:szCs w:val="24"/>
                <w:lang w:bidi="ar"/>
              </w:rPr>
              <w:t>手动升降专用工具</w:t>
            </w:r>
            <w:r>
              <w:rPr>
                <w:rFonts w:hint="default" w:ascii="Times New Roman" w:hAnsi="Times New Roman" w:eastAsia="宋体" w:cs="Times New Roman"/>
                <w:color w:val="auto"/>
                <w:kern w:val="0"/>
                <w:sz w:val="24"/>
                <w:szCs w:val="24"/>
                <w:lang w:eastAsia="zh-CN" w:bidi="ar"/>
              </w:rPr>
              <w:t>）。</w:t>
            </w:r>
            <w:r>
              <w:rPr>
                <w:rFonts w:hint="default" w:ascii="Times New Roman" w:hAnsi="Times New Roman" w:eastAsia="宋体" w:cs="Times New Roman"/>
                <w:color w:val="auto"/>
                <w:sz w:val="24"/>
                <w:szCs w:val="24"/>
              </w:rPr>
              <w:t xml:space="preserve"> </w:t>
            </w:r>
          </w:p>
          <w:p w14:paraId="668547BB">
            <w:pPr>
              <w:widowControl/>
              <w:spacing w:after="0" w:line="240" w:lineRule="auto"/>
              <w:rPr>
                <w:rFonts w:hint="default" w:ascii="Times New Roman" w:hAnsi="Times New Roman" w:eastAsia="宋体" w:cs="Times New Roman"/>
                <w:color w:val="auto"/>
                <w:sz w:val="24"/>
                <w:szCs w:val="24"/>
              </w:rPr>
            </w:pPr>
          </w:p>
          <w:p w14:paraId="6543EB2B">
            <w:pPr>
              <w:widowControl/>
              <w:spacing w:after="0" w:line="240" w:lineRule="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b/>
                <w:bCs/>
                <w:color w:val="auto"/>
                <w:sz w:val="24"/>
                <w:szCs w:val="24"/>
                <w:lang w:val="en-US" w:eastAsia="zh-CN"/>
              </w:rPr>
              <w:t>证明材料</w:t>
            </w:r>
            <w:r>
              <w:rPr>
                <w:rFonts w:hint="default" w:ascii="Times New Roman" w:hAnsi="Times New Roman" w:eastAsia="宋体" w:cs="Times New Roman"/>
                <w:b/>
                <w:bCs/>
                <w:color w:val="auto"/>
                <w:sz w:val="24"/>
                <w:szCs w:val="24"/>
              </w:rPr>
              <w:t xml:space="preserve"> </w:t>
            </w:r>
            <w:r>
              <w:rPr>
                <w:rFonts w:hint="default" w:ascii="Times New Roman" w:hAnsi="Times New Roman" w:eastAsia="宋体" w:cs="Times New Roman"/>
                <w:color w:val="auto"/>
                <w:sz w:val="24"/>
                <w:szCs w:val="24"/>
              </w:rPr>
              <w:t xml:space="preserve">                                                    </w:t>
            </w:r>
            <w:r>
              <w:rPr>
                <w:rFonts w:hint="default" w:ascii="Times New Roman" w:hAnsi="Times New Roman" w:eastAsia="宋体" w:cs="Times New Roman"/>
                <w:color w:val="auto"/>
                <w:sz w:val="24"/>
                <w:szCs w:val="24"/>
              </w:rPr>
              <w:br w:type="textWrapping"/>
            </w:r>
            <w:r>
              <w:rPr>
                <w:rFonts w:hint="default" w:ascii="Times New Roman" w:hAnsi="Times New Roman" w:eastAsia="宋体" w:cs="Times New Roman"/>
                <w:b w:val="0"/>
                <w:bCs w:val="0"/>
                <w:color w:val="auto"/>
                <w:sz w:val="24"/>
                <w:szCs w:val="24"/>
                <w:lang w:val="en-US"/>
              </w:rPr>
              <w:t>★</w:t>
            </w:r>
            <w:r>
              <w:rPr>
                <w:rFonts w:hint="default" w:ascii="Times New Roman" w:hAnsi="Times New Roman" w:eastAsia="宋体" w:cs="Times New Roman"/>
                <w:color w:val="auto"/>
                <w:sz w:val="24"/>
                <w:szCs w:val="24"/>
                <w:lang w:val="en-US" w:eastAsia="zh-CN"/>
              </w:rPr>
              <w:t>4.1、</w:t>
            </w:r>
            <w:r>
              <w:rPr>
                <w:rFonts w:hint="default" w:ascii="Times New Roman" w:hAnsi="Times New Roman" w:eastAsia="宋体" w:cs="Times New Roman"/>
                <w:b w:val="0"/>
                <w:bCs w:val="0"/>
                <w:color w:val="auto"/>
                <w:sz w:val="24"/>
                <w:szCs w:val="24"/>
                <w:lang w:val="en-US" w:eastAsia="zh-CN"/>
              </w:rPr>
              <w:t>投标人需承诺课桌椅生产制造执行标准符合</w:t>
            </w:r>
            <w:r>
              <w:rPr>
                <w:rFonts w:hint="default" w:ascii="Times New Roman" w:hAnsi="Times New Roman" w:eastAsia="宋体" w:cs="Times New Roman"/>
                <w:color w:val="auto"/>
                <w:sz w:val="24"/>
                <w:szCs w:val="24"/>
              </w:rPr>
              <w:t>GB 18584-2024《家具中有害物质限量》</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GB 18580-2025《室内装饰装修材料人造板及其制品中甲醛释放限量》</w:t>
            </w:r>
            <w:r>
              <w:rPr>
                <w:rFonts w:hint="default" w:ascii="Times New Roman" w:hAnsi="Times New Roman" w:eastAsia="宋体" w:cs="Times New Roman"/>
                <w:color w:val="auto"/>
                <w:sz w:val="24"/>
                <w:szCs w:val="24"/>
                <w:lang w:val="en-US" w:eastAsia="zh-CN"/>
              </w:rPr>
              <w:t>等国家强制性标准和要求</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须在投标文件中提供承诺函，格式自拟</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lang w:eastAsia="zh-CN"/>
              </w:rPr>
              <w:t>。</w:t>
            </w:r>
          </w:p>
          <w:p w14:paraId="653C69DE">
            <w:pPr>
              <w:widowControl/>
              <w:adjustRightInd w:val="0"/>
              <w:spacing w:after="0" w:line="240" w:lineRule="auto"/>
              <w:textAlignment w:val="baseline"/>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val="en-US" w:eastAsia="zh-CN"/>
              </w:rPr>
              <w:t>#4.2、</w:t>
            </w:r>
            <w:r>
              <w:rPr>
                <w:rFonts w:hint="default" w:ascii="Times New Roman" w:hAnsi="Times New Roman" w:eastAsia="宋体" w:cs="Times New Roman"/>
                <w:color w:val="auto"/>
                <w:sz w:val="24"/>
                <w:szCs w:val="24"/>
              </w:rPr>
              <w:t>提供具有CMA标识的课桌检测报告，</w:t>
            </w:r>
            <w:r>
              <w:rPr>
                <w:rFonts w:hint="default" w:ascii="Times New Roman" w:hAnsi="Times New Roman" w:eastAsia="宋体" w:cs="Times New Roman"/>
                <w:color w:val="auto"/>
                <w:sz w:val="24"/>
                <w:szCs w:val="24"/>
                <w:lang w:val="en-US" w:eastAsia="zh-CN"/>
              </w:rPr>
              <w:t>检测报告中明确</w:t>
            </w:r>
            <w:r>
              <w:rPr>
                <w:rFonts w:hint="default" w:ascii="Times New Roman" w:hAnsi="Times New Roman" w:eastAsia="宋体" w:cs="Times New Roman"/>
                <w:color w:val="auto"/>
                <w:sz w:val="24"/>
                <w:szCs w:val="24"/>
              </w:rPr>
              <w:t>检测依据包括QB/T4071-2021《课桌椅》</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GB/T3976-2014《学校课桌椅功能尺寸及技术要求》</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检测结论为符合或合格</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需提供检测报告复印件，并加盖投标人公章</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br w:type="textWrapping"/>
            </w:r>
            <w:r>
              <w:rPr>
                <w:rFonts w:hint="default" w:ascii="Times New Roman" w:hAnsi="Times New Roman" w:eastAsia="宋体" w:cs="Times New Roman"/>
                <w:color w:val="auto"/>
                <w:sz w:val="24"/>
                <w:szCs w:val="24"/>
                <w:lang w:val="en-US" w:eastAsia="zh-CN"/>
              </w:rPr>
              <w:t>#4.3、</w:t>
            </w:r>
            <w:r>
              <w:rPr>
                <w:rFonts w:hint="default" w:ascii="Times New Roman" w:hAnsi="Times New Roman" w:eastAsia="宋体" w:cs="Times New Roman"/>
                <w:color w:val="auto"/>
                <w:sz w:val="24"/>
                <w:szCs w:val="24"/>
              </w:rPr>
              <w:t>提供具有CMA标识的课椅检测报告，</w:t>
            </w:r>
            <w:r>
              <w:rPr>
                <w:rFonts w:hint="default" w:ascii="Times New Roman" w:hAnsi="Times New Roman" w:eastAsia="宋体" w:cs="Times New Roman"/>
                <w:color w:val="auto"/>
                <w:sz w:val="24"/>
                <w:szCs w:val="24"/>
                <w:lang w:val="en-US" w:eastAsia="zh-CN"/>
              </w:rPr>
              <w:t>检测报告中明确</w:t>
            </w:r>
            <w:r>
              <w:rPr>
                <w:rFonts w:hint="default" w:ascii="Times New Roman" w:hAnsi="Times New Roman" w:eastAsia="宋体" w:cs="Times New Roman"/>
                <w:color w:val="auto"/>
                <w:sz w:val="24"/>
                <w:szCs w:val="24"/>
              </w:rPr>
              <w:t>检测依据包括QB/T4071-2021《课桌椅》</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GB/T3976-2014《学校课桌椅功能尺寸及技术要求》</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检测结论为符合或合格</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需提供检测报告复印件，并加盖投标人公章</w:t>
            </w:r>
            <w:r>
              <w:rPr>
                <w:rFonts w:hint="default" w:ascii="Times New Roman" w:hAnsi="Times New Roman" w:eastAsia="宋体" w:cs="Times New Roman"/>
                <w:color w:val="auto"/>
                <w:sz w:val="24"/>
                <w:szCs w:val="24"/>
                <w:lang w:eastAsia="zh-CN"/>
              </w:rPr>
              <w:t>）。</w:t>
            </w:r>
          </w:p>
        </w:tc>
        <w:tc>
          <w:tcPr>
            <w:tcW w:w="708" w:type="dxa"/>
            <w:vAlign w:val="center"/>
          </w:tcPr>
          <w:p w14:paraId="2FC17FCD">
            <w:pPr>
              <w:spacing w:line="240" w:lineRule="auto"/>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套</w:t>
            </w:r>
          </w:p>
        </w:tc>
        <w:tc>
          <w:tcPr>
            <w:tcW w:w="851" w:type="dxa"/>
            <w:vAlign w:val="center"/>
          </w:tcPr>
          <w:p w14:paraId="2D50B28A">
            <w:pPr>
              <w:spacing w:line="240" w:lineRule="auto"/>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3195</w:t>
            </w:r>
          </w:p>
        </w:tc>
      </w:tr>
    </w:tbl>
    <w:p w14:paraId="2E1D2ACA">
      <w:pPr>
        <w:numPr>
          <w:ilvl w:val="0"/>
          <w:numId w:val="0"/>
        </w:numPr>
        <w:tabs>
          <w:tab w:val="left" w:pos="360"/>
          <w:tab w:val="left" w:pos="900"/>
        </w:tabs>
        <w:snapToGrid w:val="0"/>
        <w:spacing w:line="360" w:lineRule="auto"/>
        <w:jc w:val="left"/>
        <w:outlineLvl w:val="1"/>
        <w:rPr>
          <w:rFonts w:hint="default" w:ascii="Times New Roman" w:hAnsi="Times New Roman" w:eastAsia="宋体" w:cs="Times New Roman"/>
          <w:color w:val="auto"/>
          <w:sz w:val="24"/>
        </w:rPr>
      </w:pPr>
    </w:p>
    <w:p w14:paraId="37DF6A16">
      <w:pPr>
        <w:numPr>
          <w:ilvl w:val="0"/>
          <w:numId w:val="2"/>
        </w:numPr>
        <w:spacing w:line="360" w:lineRule="auto"/>
        <w:ind w:left="0" w:leftChars="0" w:firstLine="0" w:firstLineChars="0"/>
        <w:rPr>
          <w:rFonts w:hint="default" w:ascii="Times New Roman" w:hAnsi="Times New Roman" w:eastAsia="宋体" w:cs="Times New Roman"/>
          <w:b/>
          <w:color w:val="auto"/>
          <w:sz w:val="24"/>
          <w:lang w:val="en-US" w:eastAsia="zh-CN"/>
        </w:rPr>
      </w:pPr>
      <w:r>
        <w:rPr>
          <w:rFonts w:hint="default" w:ascii="Times New Roman" w:hAnsi="Times New Roman" w:eastAsia="宋体" w:cs="Times New Roman"/>
          <w:b/>
          <w:color w:val="auto"/>
          <w:sz w:val="24"/>
          <w:lang w:val="en-US" w:eastAsia="zh-CN"/>
        </w:rPr>
        <w:t>供货要求</w:t>
      </w:r>
    </w:p>
    <w:p w14:paraId="2987D7A6">
      <w:pPr>
        <w:numPr>
          <w:ilvl w:val="0"/>
          <w:numId w:val="0"/>
        </w:numPr>
        <w:tabs>
          <w:tab w:val="left" w:pos="360"/>
          <w:tab w:val="left" w:pos="900"/>
        </w:tabs>
        <w:snapToGrid w:val="0"/>
        <w:spacing w:line="360" w:lineRule="auto"/>
        <w:ind w:firstLine="472" w:firstLineChars="200"/>
        <w:jc w:val="left"/>
        <w:outlineLvl w:val="1"/>
        <w:rPr>
          <w:rFonts w:hint="default" w:ascii="Times New Roman" w:hAnsi="Times New Roman" w:eastAsia="宋体" w:cs="Times New Roman"/>
          <w:color w:val="auto"/>
          <w:spacing w:val="-2"/>
          <w:kern w:val="2"/>
          <w:sz w:val="24"/>
          <w:szCs w:val="24"/>
          <w:lang w:val="en-US" w:eastAsia="zh-CN" w:bidi="ar-SA"/>
        </w:rPr>
      </w:pPr>
      <w:r>
        <w:rPr>
          <w:rFonts w:hint="default" w:ascii="Times New Roman" w:hAnsi="Times New Roman" w:eastAsia="宋体" w:cs="Times New Roman"/>
          <w:color w:val="auto"/>
          <w:spacing w:val="-2"/>
          <w:kern w:val="2"/>
          <w:sz w:val="24"/>
          <w:szCs w:val="24"/>
          <w:lang w:val="en-US" w:eastAsia="zh-CN" w:bidi="ar-SA"/>
        </w:rPr>
        <w:t>1、</w:t>
      </w:r>
      <w:r>
        <w:rPr>
          <w:rFonts w:hint="default" w:ascii="Times New Roman" w:hAnsi="Times New Roman" w:eastAsia="宋体" w:cs="Times New Roman"/>
          <w:color w:val="auto"/>
          <w:kern w:val="0"/>
          <w:sz w:val="24"/>
          <w:lang w:val="en-US" w:eastAsia="zh-CN"/>
        </w:rPr>
        <w:t>投标人</w:t>
      </w:r>
      <w:r>
        <w:rPr>
          <w:rFonts w:hint="default" w:ascii="Times New Roman" w:hAnsi="Times New Roman" w:eastAsia="宋体" w:cs="Times New Roman"/>
          <w:color w:val="auto"/>
          <w:spacing w:val="-2"/>
          <w:kern w:val="2"/>
          <w:sz w:val="24"/>
          <w:szCs w:val="24"/>
          <w:lang w:val="en-US" w:eastAsia="zh-CN" w:bidi="ar-SA"/>
        </w:rPr>
        <w:t>送货需响应高效，在接到各学校通知后，2个工作日内将标的物运至各学校指定地点，并将各学校原有旧课桌椅搬运至各学校指定地点。</w:t>
      </w:r>
    </w:p>
    <w:p w14:paraId="037BFA4D">
      <w:pPr>
        <w:numPr>
          <w:ilvl w:val="0"/>
          <w:numId w:val="0"/>
        </w:numPr>
        <w:tabs>
          <w:tab w:val="left" w:pos="360"/>
          <w:tab w:val="left" w:pos="900"/>
        </w:tabs>
        <w:snapToGrid w:val="0"/>
        <w:spacing w:line="360" w:lineRule="auto"/>
        <w:ind w:firstLine="472" w:firstLineChars="200"/>
        <w:jc w:val="left"/>
        <w:outlineLvl w:val="1"/>
        <w:rPr>
          <w:rFonts w:hint="default" w:ascii="Times New Roman" w:hAnsi="Times New Roman" w:eastAsia="宋体" w:cs="Times New Roman"/>
          <w:color w:val="auto"/>
          <w:spacing w:val="-2"/>
          <w:kern w:val="2"/>
          <w:sz w:val="24"/>
          <w:szCs w:val="24"/>
          <w:lang w:val="en-US" w:eastAsia="zh-CN" w:bidi="ar-SA"/>
        </w:rPr>
      </w:pPr>
      <w:r>
        <w:rPr>
          <w:rFonts w:hint="default" w:ascii="Times New Roman" w:hAnsi="Times New Roman" w:eastAsia="宋体" w:cs="Times New Roman"/>
          <w:color w:val="auto"/>
          <w:spacing w:val="-2"/>
          <w:kern w:val="2"/>
          <w:sz w:val="24"/>
          <w:szCs w:val="24"/>
          <w:lang w:val="en-US" w:eastAsia="zh-CN" w:bidi="ar-SA"/>
        </w:rPr>
        <w:t>2、</w:t>
      </w:r>
      <w:r>
        <w:rPr>
          <w:rFonts w:hint="default" w:ascii="Times New Roman" w:hAnsi="Times New Roman" w:eastAsia="宋体" w:cs="Times New Roman"/>
          <w:color w:val="auto"/>
          <w:kern w:val="0"/>
          <w:sz w:val="24"/>
          <w:lang w:val="en-US" w:eastAsia="zh-CN"/>
        </w:rPr>
        <w:t>投标人</w:t>
      </w:r>
      <w:r>
        <w:rPr>
          <w:rFonts w:hint="default" w:ascii="Times New Roman" w:hAnsi="Times New Roman" w:eastAsia="宋体" w:cs="Times New Roman"/>
          <w:color w:val="auto"/>
          <w:spacing w:val="-2"/>
          <w:kern w:val="2"/>
          <w:sz w:val="24"/>
          <w:szCs w:val="24"/>
          <w:lang w:val="en-US" w:eastAsia="zh-CN" w:bidi="ar-SA"/>
        </w:rPr>
        <w:t>需提供全新包装的货物，运输及装卸过程应符合产品的物理特性，保证产品质量安全。如运输过程中如出现货物受损应由中标人承担。</w:t>
      </w:r>
    </w:p>
    <w:p w14:paraId="40D1FDB6">
      <w:pPr>
        <w:numPr>
          <w:ilvl w:val="0"/>
          <w:numId w:val="0"/>
        </w:numPr>
        <w:tabs>
          <w:tab w:val="left" w:pos="360"/>
          <w:tab w:val="left" w:pos="900"/>
        </w:tabs>
        <w:snapToGrid w:val="0"/>
        <w:spacing w:line="360" w:lineRule="auto"/>
        <w:ind w:firstLine="472" w:firstLineChars="200"/>
        <w:jc w:val="left"/>
        <w:outlineLvl w:val="1"/>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spacing w:val="-2"/>
          <w:kern w:val="2"/>
          <w:sz w:val="24"/>
          <w:szCs w:val="24"/>
          <w:lang w:val="en-US" w:eastAsia="zh-CN" w:bidi="ar-SA"/>
        </w:rPr>
        <w:t>3、</w:t>
      </w:r>
      <w:r>
        <w:rPr>
          <w:rFonts w:hint="default" w:ascii="Times New Roman" w:hAnsi="Times New Roman" w:eastAsia="宋体" w:cs="Times New Roman"/>
          <w:color w:val="auto"/>
          <w:kern w:val="0"/>
          <w:sz w:val="24"/>
          <w:lang w:val="en-US" w:eastAsia="zh-CN"/>
        </w:rPr>
        <w:t>投标人</w:t>
      </w:r>
      <w:r>
        <w:rPr>
          <w:rFonts w:hint="default" w:ascii="Times New Roman" w:hAnsi="Times New Roman" w:eastAsia="宋体" w:cs="Times New Roman"/>
          <w:color w:val="auto"/>
          <w:spacing w:val="-2"/>
          <w:kern w:val="2"/>
          <w:sz w:val="24"/>
          <w:szCs w:val="24"/>
          <w:lang w:val="en-US" w:eastAsia="zh-CN" w:bidi="ar-SA"/>
        </w:rPr>
        <w:t>需为本项目提供专属车辆进行供货、配送货等服务。</w:t>
      </w:r>
    </w:p>
    <w:p w14:paraId="47437D31">
      <w:pPr>
        <w:numPr>
          <w:ilvl w:val="0"/>
          <w:numId w:val="0"/>
        </w:numPr>
        <w:tabs>
          <w:tab w:val="left" w:pos="360"/>
          <w:tab w:val="left" w:pos="900"/>
        </w:tabs>
        <w:snapToGrid w:val="0"/>
        <w:spacing w:line="360" w:lineRule="auto"/>
        <w:ind w:firstLine="472" w:firstLineChars="200"/>
        <w:jc w:val="left"/>
        <w:outlineLvl w:val="1"/>
        <w:rPr>
          <w:rFonts w:hint="default" w:ascii="Times New Roman" w:hAnsi="Times New Roman" w:eastAsia="宋体" w:cs="Times New Roman"/>
          <w:color w:val="auto"/>
          <w:spacing w:val="-2"/>
          <w:kern w:val="2"/>
          <w:sz w:val="24"/>
          <w:szCs w:val="24"/>
          <w:lang w:val="en-US" w:eastAsia="zh-CN" w:bidi="ar-SA"/>
        </w:rPr>
      </w:pPr>
    </w:p>
    <w:p w14:paraId="3E1DF24E">
      <w:pPr>
        <w:numPr>
          <w:ilvl w:val="0"/>
          <w:numId w:val="2"/>
        </w:numPr>
        <w:spacing w:line="360" w:lineRule="auto"/>
        <w:ind w:left="0" w:leftChars="0" w:firstLine="0" w:firstLineChars="0"/>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lang w:val="en-US" w:eastAsia="zh-CN"/>
        </w:rPr>
        <w:t>实施要求</w:t>
      </w:r>
    </w:p>
    <w:p w14:paraId="594C076F">
      <w:pPr>
        <w:numPr>
          <w:ilvl w:val="0"/>
          <w:numId w:val="0"/>
        </w:numPr>
        <w:spacing w:line="360" w:lineRule="auto"/>
        <w:ind w:leftChars="0" w:firstLine="480" w:firstLineChars="200"/>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因本项目时间紧，任务重，投标人应在投标文件中为本项目拟定</w:t>
      </w:r>
      <w:r>
        <w:rPr>
          <w:rFonts w:hint="default" w:ascii="Times New Roman" w:hAnsi="Times New Roman" w:eastAsia="宋体" w:cs="Times New Roman"/>
          <w:color w:val="auto"/>
          <w:kern w:val="0"/>
          <w:sz w:val="24"/>
        </w:rPr>
        <w:t>合理</w:t>
      </w:r>
      <w:r>
        <w:rPr>
          <w:rFonts w:hint="default" w:ascii="Times New Roman" w:hAnsi="Times New Roman" w:eastAsia="宋体" w:cs="Times New Roman"/>
          <w:color w:val="auto"/>
          <w:kern w:val="0"/>
          <w:sz w:val="24"/>
          <w:lang w:val="en-US" w:eastAsia="zh-CN"/>
        </w:rPr>
        <w:t>的项目实施进度计划，同时还应根据带量采购项目的特点提供符合本项目的实施组织方式，以确保项目高效、高质执行。</w:t>
      </w:r>
    </w:p>
    <w:p w14:paraId="50E4BA93">
      <w:pPr>
        <w:numPr>
          <w:ilvl w:val="0"/>
          <w:numId w:val="0"/>
        </w:numPr>
        <w:spacing w:line="360" w:lineRule="auto"/>
        <w:ind w:leftChars="0" w:firstLine="480" w:firstLineChars="200"/>
        <w:rPr>
          <w:rFonts w:hint="default" w:ascii="Times New Roman" w:hAnsi="Times New Roman" w:eastAsia="宋体" w:cs="Times New Roman"/>
          <w:color w:val="auto"/>
          <w:kern w:val="0"/>
          <w:sz w:val="24"/>
          <w:lang w:val="en-US" w:eastAsia="zh-CN"/>
        </w:rPr>
      </w:pPr>
    </w:p>
    <w:p w14:paraId="6B4D61C6">
      <w:pPr>
        <w:numPr>
          <w:ilvl w:val="0"/>
          <w:numId w:val="2"/>
        </w:numPr>
        <w:spacing w:line="360" w:lineRule="auto"/>
        <w:ind w:left="0" w:leftChars="0" w:firstLine="0" w:firstLineChars="0"/>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lang w:val="en-US" w:eastAsia="zh-CN"/>
        </w:rPr>
        <w:t>售后服务</w:t>
      </w:r>
    </w:p>
    <w:p w14:paraId="0A4A182B">
      <w:pPr>
        <w:pStyle w:val="2"/>
        <w:adjustRightInd w:val="0"/>
        <w:snapToGrid w:val="0"/>
        <w:spacing w:before="0" w:line="360" w:lineRule="auto"/>
        <w:ind w:firstLine="480" w:firstLineChars="200"/>
        <w:rPr>
          <w:rFonts w:hint="default" w:ascii="Times New Roman" w:hAnsi="Times New Roman" w:eastAsia="宋体" w:cs="Times New Roman"/>
          <w:color w:val="auto"/>
          <w:spacing w:val="-2"/>
        </w:rPr>
      </w:pPr>
      <w:r>
        <w:rPr>
          <w:rFonts w:hint="default" w:ascii="Times New Roman" w:hAnsi="Times New Roman" w:eastAsia="宋体" w:cs="Times New Roman"/>
          <w:b w:val="0"/>
          <w:bCs/>
          <w:color w:val="auto"/>
          <w:sz w:val="24"/>
          <w:lang w:val="en-US" w:eastAsia="zh-CN"/>
        </w:rPr>
        <w:t>1、</w:t>
      </w:r>
      <w:r>
        <w:rPr>
          <w:rFonts w:hint="default" w:ascii="Times New Roman" w:hAnsi="Times New Roman" w:eastAsia="宋体" w:cs="Times New Roman"/>
          <w:color w:val="auto"/>
          <w:spacing w:val="-2"/>
        </w:rPr>
        <w:t>投标人所供产品需为全新未使用过，符合国家相关要求的产品，对有问题的产品，在接到</w:t>
      </w:r>
      <w:r>
        <w:rPr>
          <w:rFonts w:hint="default" w:ascii="Times New Roman" w:hAnsi="Times New Roman" w:eastAsia="宋体" w:cs="Times New Roman"/>
          <w:color w:val="auto"/>
          <w:spacing w:val="-2"/>
          <w:lang w:val="en-US" w:eastAsia="zh-CN"/>
        </w:rPr>
        <w:t>各学校</w:t>
      </w:r>
      <w:r>
        <w:rPr>
          <w:rFonts w:hint="default" w:ascii="Times New Roman" w:hAnsi="Times New Roman" w:eastAsia="宋体" w:cs="Times New Roman"/>
          <w:color w:val="auto"/>
          <w:spacing w:val="-2"/>
        </w:rPr>
        <w:t>通知后2小时内做出响应，并在24小时内解决问题。</w:t>
      </w:r>
    </w:p>
    <w:p w14:paraId="503DC993">
      <w:pPr>
        <w:pStyle w:val="2"/>
        <w:adjustRightInd w:val="0"/>
        <w:snapToGrid w:val="0"/>
        <w:spacing w:before="0" w:line="360" w:lineRule="auto"/>
        <w:ind w:firstLine="480" w:firstLineChars="200"/>
        <w:rPr>
          <w:rFonts w:hint="default" w:ascii="Times New Roman" w:hAnsi="Times New Roman" w:eastAsia="宋体" w:cs="Times New Roman"/>
          <w:color w:val="auto"/>
          <w:spacing w:val="-2"/>
        </w:rPr>
      </w:pPr>
      <w:r>
        <w:rPr>
          <w:rFonts w:hint="default" w:ascii="Times New Roman" w:hAnsi="Times New Roman" w:eastAsia="宋体" w:cs="Times New Roman"/>
          <w:color w:val="auto"/>
          <w:kern w:val="0"/>
          <w:sz w:val="24"/>
          <w:lang w:val="en-US" w:eastAsia="zh-CN"/>
        </w:rPr>
        <w:t>2、投标人</w:t>
      </w:r>
      <w:r>
        <w:rPr>
          <w:rFonts w:hint="default" w:ascii="Times New Roman" w:hAnsi="Times New Roman" w:eastAsia="宋体" w:cs="Times New Roman"/>
          <w:color w:val="auto"/>
          <w:spacing w:val="-2"/>
        </w:rPr>
        <w:t>应向</w:t>
      </w:r>
      <w:r>
        <w:rPr>
          <w:rFonts w:hint="default" w:ascii="Times New Roman" w:hAnsi="Times New Roman" w:eastAsia="宋体" w:cs="Times New Roman"/>
          <w:color w:val="auto"/>
          <w:spacing w:val="-2"/>
          <w:lang w:val="en-US" w:eastAsia="zh-CN"/>
        </w:rPr>
        <w:t>各学校</w:t>
      </w:r>
      <w:r>
        <w:rPr>
          <w:rFonts w:hint="default" w:ascii="Times New Roman" w:hAnsi="Times New Roman" w:eastAsia="宋体" w:cs="Times New Roman"/>
          <w:color w:val="auto"/>
          <w:spacing w:val="-2"/>
        </w:rPr>
        <w:t>提供</w:t>
      </w:r>
      <w:r>
        <w:rPr>
          <w:rFonts w:hint="default" w:ascii="Times New Roman" w:hAnsi="Times New Roman" w:eastAsia="宋体" w:cs="Times New Roman"/>
          <w:color w:val="auto"/>
          <w:spacing w:val="-2"/>
          <w:lang w:val="en-US" w:eastAsia="zh-CN"/>
        </w:rPr>
        <w:t>产品相关使用说明等材料</w:t>
      </w:r>
      <w:r>
        <w:rPr>
          <w:rFonts w:hint="default" w:ascii="Times New Roman" w:hAnsi="Times New Roman" w:eastAsia="宋体" w:cs="Times New Roman"/>
          <w:color w:val="auto"/>
          <w:spacing w:val="-2"/>
          <w:lang w:eastAsia="zh-CN"/>
        </w:rPr>
        <w:t>，</w:t>
      </w:r>
      <w:r>
        <w:rPr>
          <w:rFonts w:hint="default" w:ascii="Times New Roman" w:hAnsi="Times New Roman" w:eastAsia="宋体" w:cs="Times New Roman"/>
          <w:color w:val="auto"/>
          <w:spacing w:val="-2"/>
        </w:rPr>
        <w:t>以便</w:t>
      </w:r>
      <w:r>
        <w:rPr>
          <w:rFonts w:hint="default" w:ascii="Times New Roman" w:hAnsi="Times New Roman" w:eastAsia="宋体" w:cs="Times New Roman"/>
          <w:color w:val="auto"/>
          <w:spacing w:val="-2"/>
          <w:lang w:val="en-US" w:eastAsia="zh-CN"/>
        </w:rPr>
        <w:t>各学校</w:t>
      </w:r>
      <w:r>
        <w:rPr>
          <w:rFonts w:hint="default" w:ascii="Times New Roman" w:hAnsi="Times New Roman" w:eastAsia="宋体" w:cs="Times New Roman"/>
          <w:color w:val="auto"/>
          <w:spacing w:val="-2"/>
        </w:rPr>
        <w:t>能掌握操作和维护方法。</w:t>
      </w:r>
    </w:p>
    <w:p w14:paraId="570538CC">
      <w:pPr>
        <w:pStyle w:val="2"/>
        <w:adjustRightInd w:val="0"/>
        <w:snapToGrid w:val="0"/>
        <w:spacing w:before="0" w:line="360" w:lineRule="auto"/>
        <w:ind w:firstLine="472" w:firstLineChars="200"/>
        <w:rPr>
          <w:rFonts w:hint="default" w:ascii="Times New Roman" w:hAnsi="Times New Roman" w:eastAsia="宋体" w:cs="Times New Roman"/>
          <w:b w:val="0"/>
          <w:bCs/>
          <w:color w:val="auto"/>
        </w:rPr>
      </w:pPr>
      <w:r>
        <w:rPr>
          <w:rFonts w:hint="default" w:ascii="Times New Roman" w:hAnsi="Times New Roman" w:eastAsia="宋体" w:cs="Times New Roman"/>
          <w:b w:val="0"/>
          <w:bCs/>
          <w:color w:val="auto"/>
          <w:spacing w:val="-2"/>
          <w:lang w:val="en-US" w:eastAsia="zh-CN"/>
        </w:rPr>
        <w:t>3、</w:t>
      </w:r>
      <w:r>
        <w:rPr>
          <w:rFonts w:hint="default" w:ascii="Times New Roman" w:hAnsi="Times New Roman" w:eastAsia="宋体" w:cs="Times New Roman"/>
          <w:b w:val="0"/>
          <w:bCs/>
          <w:color w:val="auto"/>
          <w:spacing w:val="-2"/>
        </w:rPr>
        <w:t>投标人需对所供产品进行质量保证，质量保证期为到货验收合格后</w:t>
      </w:r>
      <w:r>
        <w:rPr>
          <w:rFonts w:hint="default" w:ascii="Times New Roman" w:hAnsi="Times New Roman" w:eastAsia="宋体" w:cs="Times New Roman"/>
          <w:b w:val="0"/>
          <w:bCs/>
          <w:color w:val="auto"/>
          <w:spacing w:val="-2"/>
          <w:lang w:val="en-US" w:eastAsia="zh-CN"/>
        </w:rPr>
        <w:t>5</w:t>
      </w:r>
      <w:r>
        <w:rPr>
          <w:rFonts w:hint="default" w:ascii="Times New Roman" w:hAnsi="Times New Roman" w:eastAsia="宋体" w:cs="Times New Roman"/>
          <w:b w:val="0"/>
          <w:bCs/>
          <w:color w:val="auto"/>
          <w:spacing w:val="-2"/>
        </w:rPr>
        <w:t>年。在质保期内，如果产</w:t>
      </w:r>
      <w:r>
        <w:rPr>
          <w:rFonts w:hint="default" w:ascii="Times New Roman" w:hAnsi="Times New Roman" w:eastAsia="宋体" w:cs="Times New Roman"/>
          <w:b w:val="0"/>
          <w:bCs/>
          <w:color w:val="auto"/>
        </w:rPr>
        <w:t>品发生</w:t>
      </w:r>
      <w:r>
        <w:rPr>
          <w:rFonts w:hint="default" w:ascii="Times New Roman" w:hAnsi="Times New Roman" w:eastAsia="宋体" w:cs="Times New Roman"/>
          <w:b w:val="0"/>
          <w:bCs/>
          <w:color w:val="auto"/>
          <w:lang w:val="en-US" w:eastAsia="zh-CN"/>
        </w:rPr>
        <w:t>非因使用者人为操作导致的</w:t>
      </w:r>
      <w:r>
        <w:rPr>
          <w:rFonts w:hint="default" w:ascii="Times New Roman" w:hAnsi="Times New Roman" w:eastAsia="宋体" w:cs="Times New Roman"/>
          <w:b w:val="0"/>
          <w:bCs/>
          <w:color w:val="auto"/>
        </w:rPr>
        <w:t>故障或缺陷，投标人</w:t>
      </w:r>
      <w:r>
        <w:rPr>
          <w:rFonts w:hint="default" w:ascii="Times New Roman" w:hAnsi="Times New Roman" w:eastAsia="宋体" w:cs="Times New Roman"/>
          <w:b w:val="0"/>
          <w:bCs/>
          <w:color w:val="auto"/>
          <w:lang w:val="en-US" w:eastAsia="zh-CN"/>
        </w:rPr>
        <w:t>应</w:t>
      </w:r>
      <w:r>
        <w:rPr>
          <w:rFonts w:hint="default" w:ascii="Times New Roman" w:hAnsi="Times New Roman" w:eastAsia="宋体" w:cs="Times New Roman"/>
          <w:b w:val="0"/>
          <w:bCs/>
          <w:color w:val="auto"/>
        </w:rPr>
        <w:t>更换</w:t>
      </w:r>
      <w:r>
        <w:rPr>
          <w:rFonts w:hint="default" w:ascii="Times New Roman" w:hAnsi="Times New Roman" w:eastAsia="宋体" w:cs="Times New Roman"/>
          <w:b w:val="0"/>
          <w:bCs/>
          <w:color w:val="auto"/>
          <w:lang w:val="en-US" w:eastAsia="zh-CN"/>
        </w:rPr>
        <w:t>为全新相同</w:t>
      </w:r>
      <w:r>
        <w:rPr>
          <w:rFonts w:hint="default" w:ascii="Times New Roman" w:hAnsi="Times New Roman" w:eastAsia="宋体" w:cs="Times New Roman"/>
          <w:b w:val="0"/>
          <w:bCs/>
          <w:color w:val="auto"/>
        </w:rPr>
        <w:t>产品</w:t>
      </w:r>
      <w:r>
        <w:rPr>
          <w:rFonts w:hint="default" w:ascii="Times New Roman" w:hAnsi="Times New Roman" w:eastAsia="宋体" w:cs="Times New Roman"/>
          <w:b w:val="0"/>
          <w:bCs/>
          <w:color w:val="auto"/>
          <w:lang w:eastAsia="zh-CN"/>
        </w:rPr>
        <w:t>，</w:t>
      </w:r>
      <w:r>
        <w:rPr>
          <w:rFonts w:hint="default" w:ascii="Times New Roman" w:hAnsi="Times New Roman" w:eastAsia="宋体" w:cs="Times New Roman"/>
          <w:b w:val="0"/>
          <w:bCs/>
          <w:color w:val="auto"/>
          <w:lang w:val="en-US" w:eastAsia="zh-CN"/>
        </w:rPr>
        <w:t>各学校无需支付额外费用</w:t>
      </w:r>
      <w:r>
        <w:rPr>
          <w:rFonts w:hint="default" w:ascii="Times New Roman" w:hAnsi="Times New Roman" w:eastAsia="宋体" w:cs="Times New Roman"/>
          <w:b w:val="0"/>
          <w:bCs/>
          <w:color w:val="auto"/>
        </w:rPr>
        <w:t>。</w:t>
      </w:r>
    </w:p>
    <w:p w14:paraId="0F908989">
      <w:pPr>
        <w:pStyle w:val="2"/>
        <w:spacing w:before="35" w:line="357" w:lineRule="auto"/>
        <w:ind w:right="254" w:firstLine="480"/>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4</w:t>
      </w:r>
      <w:r>
        <w:rPr>
          <w:rFonts w:hint="default" w:ascii="Times New Roman" w:hAnsi="Times New Roman" w:eastAsia="宋体" w:cs="Times New Roman"/>
          <w:color w:val="auto"/>
        </w:rPr>
        <w:t>、</w:t>
      </w:r>
      <w:r>
        <w:rPr>
          <w:rFonts w:hint="default" w:ascii="Times New Roman" w:hAnsi="Times New Roman" w:eastAsia="宋体" w:cs="Times New Roman"/>
          <w:color w:val="auto"/>
          <w:lang w:eastAsia="zh-CN"/>
        </w:rPr>
        <w:t>投标人</w:t>
      </w:r>
      <w:r>
        <w:rPr>
          <w:rFonts w:hint="default" w:ascii="Times New Roman" w:hAnsi="Times New Roman" w:eastAsia="宋体" w:cs="Times New Roman"/>
          <w:color w:val="auto"/>
        </w:rPr>
        <w:t>每月定期回访一次，保证产品的正常使用。</w:t>
      </w:r>
    </w:p>
    <w:p w14:paraId="401E290B">
      <w:pPr>
        <w:pStyle w:val="2"/>
        <w:spacing w:before="36" w:line="357" w:lineRule="auto"/>
        <w:ind w:right="254" w:firstLine="480"/>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5</w:t>
      </w:r>
      <w:r>
        <w:rPr>
          <w:rFonts w:hint="default" w:ascii="Times New Roman" w:hAnsi="Times New Roman" w:eastAsia="宋体" w:cs="Times New Roman"/>
          <w:color w:val="auto"/>
          <w:spacing w:val="-29"/>
        </w:rPr>
        <w:t>、</w:t>
      </w:r>
      <w:r>
        <w:rPr>
          <w:rFonts w:hint="default" w:ascii="Times New Roman" w:hAnsi="Times New Roman" w:eastAsia="宋体" w:cs="Times New Roman"/>
          <w:color w:val="auto"/>
          <w:spacing w:val="1"/>
          <w:lang w:eastAsia="zh-CN"/>
        </w:rPr>
        <w:t>投标人</w:t>
      </w:r>
      <w:r>
        <w:rPr>
          <w:rFonts w:hint="default" w:ascii="Times New Roman" w:hAnsi="Times New Roman" w:eastAsia="宋体" w:cs="Times New Roman"/>
          <w:color w:val="auto"/>
          <w:spacing w:val="1"/>
        </w:rPr>
        <w:t>应具有完善的售后服务队伍，及时响应</w:t>
      </w:r>
      <w:r>
        <w:rPr>
          <w:rFonts w:hint="default" w:ascii="Times New Roman" w:hAnsi="Times New Roman" w:eastAsia="宋体" w:cs="Times New Roman"/>
          <w:color w:val="auto"/>
        </w:rPr>
        <w:t>使用方的服务要求，提供</w:t>
      </w:r>
      <w:r>
        <w:rPr>
          <w:rFonts w:hint="default" w:ascii="Times New Roman" w:hAnsi="Times New Roman" w:eastAsia="宋体" w:cs="Times New Roman"/>
          <w:color w:val="auto"/>
          <w:lang w:val="en-US" w:eastAsia="zh-CN"/>
        </w:rPr>
        <w:t>7</w:t>
      </w:r>
      <w:r>
        <w:rPr>
          <w:rFonts w:hint="default" w:ascii="Times New Roman" w:hAnsi="Times New Roman" w:eastAsia="宋体" w:cs="Times New Roman"/>
          <w:color w:val="auto"/>
        </w:rPr>
        <w:t>×</w:t>
      </w:r>
      <w:r>
        <w:rPr>
          <w:rFonts w:hint="default" w:ascii="Times New Roman" w:hAnsi="Times New Roman" w:eastAsia="宋体" w:cs="Times New Roman"/>
          <w:color w:val="auto"/>
          <w:lang w:val="en-US" w:eastAsia="zh-CN"/>
        </w:rPr>
        <w:t>8</w:t>
      </w:r>
      <w:r>
        <w:rPr>
          <w:rFonts w:hint="default" w:ascii="Times New Roman" w:hAnsi="Times New Roman" w:eastAsia="宋体" w:cs="Times New Roman"/>
          <w:color w:val="auto"/>
        </w:rPr>
        <w:t>小时服务响应，并提供售后服务网点、电话明细。</w:t>
      </w:r>
    </w:p>
    <w:p w14:paraId="23F7D7F0">
      <w:pPr>
        <w:pStyle w:val="2"/>
        <w:adjustRightInd w:val="0"/>
        <w:snapToGrid w:val="0"/>
        <w:spacing w:before="0" w:line="360" w:lineRule="auto"/>
        <w:ind w:firstLine="480" w:firstLineChars="200"/>
        <w:rPr>
          <w:rFonts w:hint="default" w:ascii="Times New Roman" w:hAnsi="Times New Roman" w:eastAsia="宋体" w:cs="Times New Roman"/>
          <w:b w:val="0"/>
          <w:bCs/>
          <w:color w:val="auto"/>
        </w:rPr>
      </w:pPr>
    </w:p>
    <w:p w14:paraId="423A620A">
      <w:pPr>
        <w:numPr>
          <w:ilvl w:val="0"/>
          <w:numId w:val="2"/>
        </w:numPr>
        <w:spacing w:line="360" w:lineRule="auto"/>
        <w:ind w:left="0" w:leftChars="0" w:firstLine="0" w:firstLineChars="0"/>
        <w:rPr>
          <w:rFonts w:hint="default" w:ascii="Times New Roman" w:hAnsi="Times New Roman" w:eastAsia="宋体" w:cs="Times New Roman"/>
          <w:b/>
          <w:color w:val="auto"/>
          <w:sz w:val="24"/>
          <w:lang w:val="en-US" w:eastAsia="zh-CN"/>
        </w:rPr>
      </w:pPr>
      <w:r>
        <w:rPr>
          <w:rFonts w:hint="default" w:ascii="Times New Roman" w:hAnsi="Times New Roman" w:eastAsia="宋体" w:cs="Times New Roman"/>
          <w:b/>
          <w:color w:val="auto"/>
          <w:sz w:val="24"/>
          <w:lang w:val="en-US" w:eastAsia="zh-CN"/>
        </w:rPr>
        <w:t>履约验收</w:t>
      </w:r>
    </w:p>
    <w:p w14:paraId="257E6670">
      <w:pPr>
        <w:pStyle w:val="2"/>
        <w:adjustRightInd w:val="0"/>
        <w:snapToGrid w:val="0"/>
        <w:spacing w:before="0" w:line="360" w:lineRule="auto"/>
        <w:ind w:firstLine="472" w:firstLineChars="200"/>
        <w:rPr>
          <w:rFonts w:hint="default" w:ascii="Times New Roman" w:hAnsi="Times New Roman" w:eastAsia="宋体" w:cs="Times New Roman"/>
          <w:color w:val="auto"/>
          <w:kern w:val="1"/>
        </w:rPr>
      </w:pPr>
      <w:r>
        <w:rPr>
          <w:rFonts w:hint="default" w:ascii="Times New Roman" w:hAnsi="Times New Roman" w:eastAsia="宋体" w:cs="Times New Roman"/>
          <w:color w:val="auto"/>
          <w:spacing w:val="-2"/>
        </w:rPr>
        <w:t>验收标准：投标人应向</w:t>
      </w:r>
      <w:r>
        <w:rPr>
          <w:rFonts w:hint="default" w:ascii="Times New Roman" w:hAnsi="Times New Roman" w:eastAsia="宋体" w:cs="Times New Roman"/>
          <w:color w:val="auto"/>
          <w:spacing w:val="-2"/>
          <w:lang w:val="en-US" w:eastAsia="zh-CN"/>
        </w:rPr>
        <w:t>各学校</w:t>
      </w:r>
      <w:r>
        <w:rPr>
          <w:rFonts w:hint="default" w:ascii="Times New Roman" w:hAnsi="Times New Roman" w:eastAsia="宋体" w:cs="Times New Roman"/>
          <w:color w:val="auto"/>
          <w:spacing w:val="-2"/>
        </w:rPr>
        <w:t>提供详细的供货清单，由</w:t>
      </w:r>
      <w:r>
        <w:rPr>
          <w:rFonts w:hint="default" w:ascii="Times New Roman" w:hAnsi="Times New Roman" w:eastAsia="宋体" w:cs="Times New Roman"/>
          <w:color w:val="auto"/>
          <w:spacing w:val="-2"/>
          <w:lang w:val="en-US" w:eastAsia="zh-CN"/>
        </w:rPr>
        <w:t>各学校</w:t>
      </w:r>
      <w:r>
        <w:rPr>
          <w:rFonts w:hint="default" w:ascii="Times New Roman" w:hAnsi="Times New Roman" w:eastAsia="宋体" w:cs="Times New Roman"/>
          <w:color w:val="auto"/>
          <w:spacing w:val="-2"/>
        </w:rPr>
        <w:t>确认。当货物到达</w:t>
      </w:r>
      <w:r>
        <w:rPr>
          <w:rFonts w:hint="default" w:ascii="Times New Roman" w:hAnsi="Times New Roman" w:eastAsia="宋体" w:cs="Times New Roman"/>
          <w:color w:val="auto"/>
          <w:spacing w:val="-2"/>
          <w:lang w:val="en-US" w:eastAsia="zh-CN"/>
        </w:rPr>
        <w:t>各学校</w:t>
      </w:r>
      <w:r>
        <w:rPr>
          <w:rFonts w:hint="default" w:ascii="Times New Roman" w:hAnsi="Times New Roman" w:eastAsia="宋体" w:cs="Times New Roman"/>
          <w:color w:val="auto"/>
          <w:spacing w:val="-2"/>
        </w:rPr>
        <w:t>指定的</w:t>
      </w:r>
      <w:r>
        <w:rPr>
          <w:rFonts w:hint="default" w:ascii="Times New Roman" w:hAnsi="Times New Roman" w:eastAsia="宋体" w:cs="Times New Roman"/>
          <w:color w:val="auto"/>
          <w:spacing w:val="-2"/>
          <w:lang w:val="en-US" w:eastAsia="zh-CN"/>
        </w:rPr>
        <w:t>地点</w:t>
      </w:r>
      <w:r>
        <w:rPr>
          <w:rFonts w:hint="default" w:ascii="Times New Roman" w:hAnsi="Times New Roman" w:eastAsia="宋体" w:cs="Times New Roman"/>
          <w:color w:val="auto"/>
          <w:spacing w:val="-2"/>
        </w:rPr>
        <w:t>后，</w:t>
      </w:r>
      <w:r>
        <w:rPr>
          <w:rFonts w:hint="default" w:ascii="Times New Roman" w:hAnsi="Times New Roman" w:eastAsia="宋体" w:cs="Times New Roman"/>
          <w:color w:val="auto"/>
          <w:spacing w:val="-2"/>
          <w:lang w:val="en-US" w:eastAsia="zh-CN"/>
        </w:rPr>
        <w:t>各学校</w:t>
      </w:r>
      <w:r>
        <w:rPr>
          <w:rFonts w:hint="default" w:ascii="Times New Roman" w:hAnsi="Times New Roman" w:eastAsia="宋体" w:cs="Times New Roman"/>
          <w:color w:val="auto"/>
          <w:spacing w:val="-2"/>
        </w:rPr>
        <w:t>和</w:t>
      </w:r>
      <w:r>
        <w:rPr>
          <w:rFonts w:hint="default" w:ascii="Times New Roman" w:hAnsi="Times New Roman" w:eastAsia="宋体" w:cs="Times New Roman"/>
          <w:color w:val="auto"/>
          <w:spacing w:val="-2"/>
          <w:lang w:eastAsia="zh-CN"/>
        </w:rPr>
        <w:t>投标人</w:t>
      </w:r>
      <w:r>
        <w:rPr>
          <w:rFonts w:hint="default" w:ascii="Times New Roman" w:hAnsi="Times New Roman" w:eastAsia="宋体" w:cs="Times New Roman"/>
          <w:color w:val="auto"/>
          <w:spacing w:val="-2"/>
        </w:rPr>
        <w:t>依据采购产品供货清单共同对采购产品进行抽检，并对采购产品的数量、规格型号及质量进行逐项检查。投标人应严格履行</w:t>
      </w:r>
      <w:r>
        <w:rPr>
          <w:rFonts w:hint="default" w:ascii="Times New Roman" w:hAnsi="Times New Roman" w:eastAsia="宋体" w:cs="Times New Roman"/>
          <w:color w:val="auto"/>
          <w:spacing w:val="-2"/>
          <w:lang w:val="en-US" w:eastAsia="zh-CN"/>
        </w:rPr>
        <w:t>招标文件要求及</w:t>
      </w:r>
      <w:r>
        <w:rPr>
          <w:rFonts w:hint="default" w:ascii="Times New Roman" w:hAnsi="Times New Roman" w:eastAsia="宋体" w:cs="Times New Roman"/>
          <w:color w:val="auto"/>
          <w:spacing w:val="-2"/>
        </w:rPr>
        <w:t>投标文件中产品的</w:t>
      </w:r>
      <w:r>
        <w:rPr>
          <w:rFonts w:hint="default" w:ascii="Times New Roman" w:hAnsi="Times New Roman" w:eastAsia="宋体" w:cs="Times New Roman"/>
          <w:color w:val="auto"/>
          <w:spacing w:val="-2"/>
          <w:lang w:val="en-US" w:eastAsia="zh-CN"/>
        </w:rPr>
        <w:t>技术规格</w:t>
      </w:r>
      <w:r>
        <w:rPr>
          <w:rFonts w:hint="default" w:ascii="Times New Roman" w:hAnsi="Times New Roman" w:eastAsia="宋体" w:cs="Times New Roman"/>
          <w:color w:val="auto"/>
          <w:spacing w:val="-2"/>
        </w:rPr>
        <w:t>及质量，所供产品均需完全符合招标、中标要求，所有规格、内容等必须严格符合相关规定，不可擅自变更。</w:t>
      </w:r>
    </w:p>
    <w:p w14:paraId="52DBDEF9">
      <w:pPr>
        <w:tabs>
          <w:tab w:val="left" w:pos="360"/>
          <w:tab w:val="left" w:pos="900"/>
        </w:tabs>
        <w:snapToGrid w:val="0"/>
        <w:spacing w:line="360" w:lineRule="auto"/>
        <w:jc w:val="left"/>
        <w:outlineLvl w:val="1"/>
        <w:rPr>
          <w:rFonts w:hint="default" w:ascii="Times New Roman" w:hAnsi="Times New Roman" w:eastAsia="宋体" w:cs="Times New Roman"/>
          <w:b/>
          <w:color w:val="auto"/>
          <w:sz w:val="24"/>
        </w:rPr>
      </w:pPr>
    </w:p>
    <w:p w14:paraId="1CCEA5AC">
      <w:pPr>
        <w:tabs>
          <w:tab w:val="left" w:pos="360"/>
          <w:tab w:val="left" w:pos="900"/>
        </w:tabs>
        <w:snapToGrid w:val="0"/>
        <w:spacing w:line="360" w:lineRule="auto"/>
        <w:jc w:val="left"/>
        <w:outlineLvl w:val="1"/>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lang w:val="en-US" w:eastAsia="zh-CN"/>
        </w:rPr>
        <w:t>九</w:t>
      </w:r>
      <w:r>
        <w:rPr>
          <w:rFonts w:hint="default" w:ascii="Times New Roman" w:hAnsi="Times New Roman" w:eastAsia="宋体" w:cs="Times New Roman"/>
          <w:b/>
          <w:color w:val="auto"/>
          <w:sz w:val="24"/>
        </w:rPr>
        <w:t>、投标报价说明</w:t>
      </w:r>
    </w:p>
    <w:p w14:paraId="3EB67DFE">
      <w:pPr>
        <w:adjustRightInd w:val="0"/>
        <w:snapToGrid w:val="0"/>
        <w:spacing w:line="360" w:lineRule="auto"/>
        <w:ind w:firstLine="422" w:firstLineChars="20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lang w:val="en-US"/>
        </w:rPr>
        <w:t>★</w:t>
      </w:r>
      <w:r>
        <w:rPr>
          <w:rFonts w:hint="default" w:ascii="Times New Roman" w:hAnsi="Times New Roman" w:eastAsia="宋体" w:cs="Times New Roman"/>
          <w:b/>
          <w:bCs/>
          <w:color w:val="auto"/>
          <w:sz w:val="24"/>
          <w:lang w:val="en-US"/>
        </w:rPr>
        <w:t>升降课桌椅</w:t>
      </w:r>
      <w:r>
        <w:rPr>
          <w:rFonts w:hint="default" w:ascii="Times New Roman" w:hAnsi="Times New Roman" w:eastAsia="宋体" w:cs="Times New Roman"/>
          <w:b/>
          <w:bCs/>
          <w:color w:val="auto"/>
          <w:sz w:val="24"/>
          <w:lang w:val="en-US" w:eastAsia="zh-CN"/>
        </w:rPr>
        <w:t>每套单价最高限价为500元</w:t>
      </w:r>
      <w:r>
        <w:rPr>
          <w:rFonts w:hint="default" w:ascii="Times New Roman" w:hAnsi="Times New Roman" w:eastAsia="宋体" w:cs="Times New Roman"/>
          <w:b/>
          <w:bCs/>
          <w:color w:val="auto"/>
          <w:sz w:val="24"/>
        </w:rPr>
        <w:t>，</w:t>
      </w:r>
      <w:r>
        <w:rPr>
          <w:rFonts w:hint="default" w:ascii="Times New Roman" w:hAnsi="Times New Roman" w:eastAsia="宋体" w:cs="Times New Roman"/>
          <w:b/>
          <w:bCs/>
          <w:color w:val="auto"/>
          <w:sz w:val="24"/>
          <w:lang w:val="en-US" w:eastAsia="zh-CN"/>
        </w:rPr>
        <w:t>投标人的</w:t>
      </w:r>
      <w:r>
        <w:rPr>
          <w:rFonts w:hint="default" w:ascii="Times New Roman" w:hAnsi="Times New Roman" w:eastAsia="宋体" w:cs="Times New Roman"/>
          <w:b/>
          <w:bCs/>
          <w:color w:val="auto"/>
          <w:sz w:val="24"/>
        </w:rPr>
        <w:t>报价不得超过</w:t>
      </w:r>
      <w:r>
        <w:rPr>
          <w:rFonts w:hint="default" w:ascii="Times New Roman" w:hAnsi="Times New Roman" w:eastAsia="宋体" w:cs="Times New Roman"/>
          <w:b/>
          <w:bCs/>
          <w:color w:val="auto"/>
          <w:sz w:val="24"/>
          <w:lang w:val="en-US" w:eastAsia="zh-CN"/>
        </w:rPr>
        <w:t>最高单价限价</w:t>
      </w:r>
      <w:r>
        <w:rPr>
          <w:rFonts w:hint="default" w:ascii="Times New Roman" w:hAnsi="Times New Roman" w:eastAsia="宋体" w:cs="Times New Roman"/>
          <w:b/>
          <w:bCs/>
          <w:color w:val="auto"/>
          <w:sz w:val="24"/>
        </w:rPr>
        <w:t>，否则做无效投标处理。</w:t>
      </w:r>
    </w:p>
    <w:p w14:paraId="3D897FA1">
      <w:pPr>
        <w:adjustRightInd w:val="0"/>
        <w:snapToGrid w:val="0"/>
        <w:spacing w:line="360" w:lineRule="auto"/>
        <w:ind w:firstLine="480" w:firstLineChars="200"/>
        <w:rPr>
          <w:rFonts w:hint="default" w:ascii="Times New Roman" w:hAnsi="Times New Roman" w:eastAsia="宋体" w:cs="Times New Roman"/>
          <w:color w:val="auto"/>
          <w:sz w:val="24"/>
        </w:rPr>
      </w:pPr>
    </w:p>
    <w:p w14:paraId="4ECE7692">
      <w:pPr>
        <w:adjustRightInd w:val="0"/>
        <w:snapToGrid w:val="0"/>
        <w:spacing w:line="360" w:lineRule="auto"/>
        <w:ind w:firstLine="482" w:firstLineChars="200"/>
        <w:rPr>
          <w:rFonts w:hint="default" w:ascii="Times New Roman" w:hAnsi="Times New Roman" w:eastAsia="宋体" w:cs="Times New Roman"/>
          <w:b/>
          <w:bCs/>
          <w:color w:val="auto"/>
          <w:sz w:val="24"/>
          <w:lang w:val="en-US" w:eastAsia="zh-CN"/>
        </w:rPr>
      </w:pPr>
      <w:r>
        <w:rPr>
          <w:rFonts w:hint="default" w:ascii="Times New Roman" w:hAnsi="Times New Roman" w:eastAsia="宋体" w:cs="Times New Roman"/>
          <w:b/>
          <w:bCs/>
          <w:color w:val="auto"/>
          <w:sz w:val="24"/>
          <w:lang w:val="en-US" w:eastAsia="zh-CN"/>
        </w:rPr>
        <w:t>注：投标人请注意，第五章采购需求中的★标识内容均为实质性要求，如不满足，将被视为无效投标。</w:t>
      </w:r>
    </w:p>
    <w:p w14:paraId="14C185A7">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DFD79E"/>
    <w:multiLevelType w:val="singleLevel"/>
    <w:tmpl w:val="B6DFD79E"/>
    <w:lvl w:ilvl="0" w:tentative="0">
      <w:start w:val="5"/>
      <w:numFmt w:val="chineseCounting"/>
      <w:suff w:val="space"/>
      <w:lvlText w:val="第%1章"/>
      <w:lvlJc w:val="left"/>
      <w:rPr>
        <w:rFonts w:hint="eastAsia"/>
      </w:rPr>
    </w:lvl>
  </w:abstractNum>
  <w:abstractNum w:abstractNumId="1">
    <w:nsid w:val="CD50DC05"/>
    <w:multiLevelType w:val="singleLevel"/>
    <w:tmpl w:val="CD50DC05"/>
    <w:lvl w:ilvl="0" w:tentative="0">
      <w:start w:val="1"/>
      <w:numFmt w:val="decimal"/>
      <w:suff w:val="nothing"/>
      <w:lvlText w:val="%1、"/>
      <w:lvlJc w:val="left"/>
    </w:lvl>
  </w:abstractNum>
  <w:abstractNum w:abstractNumId="2">
    <w:nsid w:val="339F7F67"/>
    <w:multiLevelType w:val="multilevel"/>
    <w:tmpl w:val="339F7F67"/>
    <w:lvl w:ilvl="0" w:tentative="0">
      <w:start w:val="1"/>
      <w:numFmt w:val="decimal"/>
      <w:suff w:val="nothing"/>
      <w:lvlText w:val="%1、"/>
      <w:lvlJc w:val="left"/>
      <w:pPr>
        <w:ind w:left="0" w:leftChars="0" w:firstLine="0" w:firstLineChars="0"/>
      </w:pPr>
      <w:rPr>
        <w:rFonts w:hint="default"/>
      </w:rPr>
    </w:lvl>
    <w:lvl w:ilvl="1" w:tentative="0">
      <w:start w:val="1"/>
      <w:numFmt w:val="decimal"/>
      <w:suff w:val="nothing"/>
      <w:lvlText w:val="%1.%2、"/>
      <w:lvlJc w:val="left"/>
      <w:pPr>
        <w:ind w:left="0" w:leftChars="0" w:firstLine="0" w:firstLineChars="0"/>
      </w:pPr>
      <w:rPr>
        <w:rFonts w:hint="default"/>
      </w:rPr>
    </w:lvl>
    <w:lvl w:ilvl="2" w:tentative="0">
      <w:start w:val="1"/>
      <w:numFmt w:val="decimal"/>
      <w:suff w:val="nothing"/>
      <w:lvlText w:val="%1.%2.%3、"/>
      <w:lvlJc w:val="left"/>
      <w:pPr>
        <w:ind w:left="0" w:leftChars="0" w:firstLine="0" w:firstLineChars="0"/>
      </w:pPr>
      <w:rPr>
        <w:rFonts w:hint="default"/>
      </w:rPr>
    </w:lvl>
    <w:lvl w:ilvl="3" w:tentative="0">
      <w:start w:val="1"/>
      <w:numFmt w:val="decimal"/>
      <w:suff w:val="nothing"/>
      <w:lvlText w:val="%1.%2.%3.%4、"/>
      <w:lvlJc w:val="left"/>
      <w:pPr>
        <w:ind w:left="0" w:leftChars="0" w:firstLine="0" w:firstLineChars="0"/>
      </w:pPr>
      <w:rPr>
        <w:rFonts w:hint="default"/>
      </w:rPr>
    </w:lvl>
    <w:lvl w:ilvl="4" w:tentative="0">
      <w:start w:val="1"/>
      <w:numFmt w:val="decimal"/>
      <w:suff w:val="nothing"/>
      <w:lvlText w:val="%1.%2.%3.%4.%5、"/>
      <w:lvlJc w:val="left"/>
      <w:pPr>
        <w:ind w:left="0" w:leftChars="0" w:firstLine="0" w:firstLineChars="0"/>
      </w:pPr>
      <w:rPr>
        <w:rFonts w:hint="default"/>
      </w:rPr>
    </w:lvl>
    <w:lvl w:ilvl="5" w:tentative="0">
      <w:start w:val="1"/>
      <w:numFmt w:val="decimal"/>
      <w:suff w:val="nothing"/>
      <w:lvlText w:val="%1.%2.%3.%4.%5.%6、"/>
      <w:lvlJc w:val="left"/>
      <w:pPr>
        <w:ind w:left="0" w:leftChars="0" w:firstLine="0" w:firstLineChars="0"/>
      </w:pPr>
      <w:rPr>
        <w:rFonts w:hint="default"/>
      </w:rPr>
    </w:lvl>
    <w:lvl w:ilvl="6" w:tentative="0">
      <w:start w:val="1"/>
      <w:numFmt w:val="decimal"/>
      <w:suff w:val="nothing"/>
      <w:lvlText w:val="%1.%2.%3.%4.%5.%6.%7、"/>
      <w:lvlJc w:val="left"/>
      <w:pPr>
        <w:ind w:left="0" w:leftChars="0" w:firstLine="0" w:firstLineChars="0"/>
      </w:pPr>
      <w:rPr>
        <w:rFonts w:hint="default"/>
      </w:rPr>
    </w:lvl>
    <w:lvl w:ilvl="7" w:tentative="0">
      <w:start w:val="1"/>
      <w:numFmt w:val="decimal"/>
      <w:suff w:val="nothing"/>
      <w:lvlText w:val="%1.%2.%3.%4.%5.%6.%7.%8、"/>
      <w:lvlJc w:val="left"/>
      <w:pPr>
        <w:ind w:left="0" w:leftChars="0" w:firstLine="0" w:firstLineChars="0"/>
      </w:pPr>
      <w:rPr>
        <w:rFonts w:hint="default"/>
      </w:rPr>
    </w:lvl>
    <w:lvl w:ilvl="8" w:tentative="0">
      <w:start w:val="1"/>
      <w:numFmt w:val="decimal"/>
      <w:suff w:val="nothing"/>
      <w:lvlText w:val="%1.%2.%3.%4.%5.%6.%7.%8.%9、"/>
      <w:lvlJc w:val="left"/>
      <w:pPr>
        <w:ind w:left="0" w:leftChars="0" w:firstLine="0" w:firstLineChars="0"/>
      </w:pPr>
      <w:rPr>
        <w:rFonts w:hint="default"/>
      </w:rPr>
    </w:lvl>
  </w:abstractNum>
  <w:abstractNum w:abstractNumId="3">
    <w:nsid w:val="6F27A985"/>
    <w:multiLevelType w:val="singleLevel"/>
    <w:tmpl w:val="6F27A985"/>
    <w:lvl w:ilvl="0" w:tentative="0">
      <w:start w:val="1"/>
      <w:numFmt w:val="chineseCounting"/>
      <w:suff w:val="nothing"/>
      <w:lvlText w:val="%1、"/>
      <w:lvlJc w:val="left"/>
      <w:rPr>
        <w:rFonts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5357F7"/>
    <w:rsid w:val="1B535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tabs>
        <w:tab w:val="left" w:pos="567"/>
      </w:tabs>
      <w:spacing w:before="120" w:line="22" w:lineRule="atLeast"/>
    </w:pPr>
    <w:rPr>
      <w:rFonts w:ascii="宋体" w:hAnsi="宋体"/>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2026-07-30T02:14:00Z</dcterms:created>
  <dc:creator>萌</dc:creator>
  <cp:lastModifiedBy>萌</cp:lastModifiedBy>
  <dcterms:modified xsi:type="dcterms:W3CDTF">2026-07-30T02:15:18Z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B22B0DA15CE347499825A37FC022F7D9_11</vt:lpwstr>
  </property>
  <property fmtid="{D5CDD505-2E9C-101B-9397-08002B2CF9AE}" pid="4" name="KSOTemplateDocerSaveRecord">
    <vt:lpwstr>eyJoZGlkIjoiYTIxZDhhMjYyZjllMjI2ODMxMTdmZWU0ZDBiYTU0MzQiLCJ1c2VySWQiOiI3NjU4NzQ2ODQifQ==</vt:lpwstr>
  </property>
</Properties>
</file>