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16EEB">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00CF8667">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4AE13B68">
      <w:pPr>
        <w:pStyle w:val="29"/>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2"/>
          <w:szCs w:val="24"/>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4"/>
          <w:highlight w:val="none"/>
          <w:u w:val="none"/>
          <w:lang w:eastAsia="zh-CN"/>
        </w:rPr>
        <w:t>2026年北京市大兴区机关事务管理服务中心第一办公区物业服务项目</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2"/>
          <w:szCs w:val="24"/>
          <w:highlight w:val="none"/>
          <w:lang w:eastAsia="zh-CN"/>
        </w:rPr>
        <w:t>2026年7月31日上午9:30至2026年8月6日下午17:00</w:t>
      </w:r>
      <w:r>
        <w:rPr>
          <w:rFonts w:hint="eastAsia" w:ascii="仿宋" w:hAnsi="仿宋" w:eastAsia="仿宋" w:cs="仿宋"/>
          <w:color w:val="auto"/>
          <w:sz w:val="22"/>
          <w:szCs w:val="24"/>
          <w:highlight w:val="none"/>
        </w:rPr>
        <w:t>（北京时间），并于</w:t>
      </w:r>
      <w:r>
        <w:rPr>
          <w:rFonts w:hint="eastAsia" w:ascii="仿宋" w:hAnsi="仿宋" w:eastAsia="仿宋" w:cs="仿宋"/>
          <w:color w:val="auto"/>
          <w:sz w:val="22"/>
          <w:szCs w:val="24"/>
          <w:highlight w:val="none"/>
          <w:lang w:eastAsia="zh-CN"/>
        </w:rPr>
        <w:t>2026年8月26日上午9:30</w:t>
      </w:r>
      <w:r>
        <w:rPr>
          <w:rFonts w:hint="eastAsia" w:ascii="仿宋" w:hAnsi="仿宋" w:eastAsia="仿宋" w:cs="仿宋"/>
          <w:color w:val="auto"/>
          <w:sz w:val="22"/>
          <w:szCs w:val="24"/>
          <w:highlight w:val="none"/>
        </w:rPr>
        <w:t>（北京时间）前递交投标文件。</w:t>
      </w:r>
    </w:p>
    <w:p w14:paraId="0F2CF558">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28359002"/>
      <w:bookmarkStart w:id="1" w:name="_Toc35393790"/>
      <w:bookmarkStart w:id="2" w:name="_Toc35393621"/>
      <w:bookmarkStart w:id="3" w:name="_Toc28359079"/>
      <w:bookmarkStart w:id="4" w:name="_Hlk24379207"/>
      <w:r>
        <w:rPr>
          <w:rFonts w:hint="eastAsia" w:ascii="黑体" w:hAnsi="黑体" w:eastAsia="仿宋" w:cs="宋体"/>
          <w:b w:val="0"/>
          <w:color w:val="auto"/>
          <w:sz w:val="24"/>
          <w:szCs w:val="28"/>
        </w:rPr>
        <w:t>一、项目基本情况</w:t>
      </w:r>
      <w:bookmarkEnd w:id="0"/>
      <w:bookmarkEnd w:id="1"/>
      <w:bookmarkEnd w:id="2"/>
      <w:bookmarkEnd w:id="3"/>
    </w:p>
    <w:p w14:paraId="19BC39B6">
      <w:pPr>
        <w:pStyle w:val="29"/>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11011526210200034185-XM001</w:t>
      </w:r>
    </w:p>
    <w:p w14:paraId="019D019F">
      <w:pPr>
        <w:pStyle w:val="29"/>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8"/>
        </w:rPr>
        <w:t>项目名称：</w:t>
      </w:r>
      <w:bookmarkEnd w:id="4"/>
      <w:r>
        <w:rPr>
          <w:rFonts w:hint="eastAsia" w:ascii="仿宋" w:hAnsi="仿宋" w:eastAsia="仿宋" w:cs="仿宋"/>
          <w:color w:val="auto"/>
          <w:sz w:val="24"/>
          <w:szCs w:val="24"/>
          <w:u w:val="none"/>
          <w:lang w:eastAsia="zh-CN"/>
        </w:rPr>
        <w:t>北京市大兴区机关事务管理服务中心第一办公区物业服务项目</w:t>
      </w:r>
    </w:p>
    <w:p w14:paraId="24A3B190">
      <w:pPr>
        <w:pStyle w:val="29"/>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预算金额：</w:t>
      </w:r>
      <w:r>
        <w:rPr>
          <w:rFonts w:hint="eastAsia" w:ascii="仿宋" w:hAnsi="仿宋" w:eastAsia="仿宋" w:cs="仿宋"/>
          <w:color w:val="auto"/>
          <w:sz w:val="24"/>
          <w:szCs w:val="28"/>
          <w:lang w:val="en-US" w:eastAsia="zh-CN"/>
        </w:rPr>
        <w:t>1199.93379</w:t>
      </w:r>
      <w:r>
        <w:rPr>
          <w:rFonts w:hint="eastAsia" w:ascii="仿宋" w:hAnsi="仿宋" w:eastAsia="仿宋" w:cs="仿宋"/>
          <w:color w:val="auto"/>
          <w:sz w:val="24"/>
          <w:szCs w:val="24"/>
          <w:u w:val="none"/>
          <w:lang w:val="en-US" w:eastAsia="zh-CN"/>
        </w:rPr>
        <w:t>万元</w:t>
      </w:r>
    </w:p>
    <w:p w14:paraId="7F7ED05C">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2B4D9B2D">
      <w:pPr>
        <w:adjustRightInd w:val="0"/>
        <w:snapToGrid w:val="0"/>
        <w:spacing w:line="360" w:lineRule="auto"/>
        <w:ind w:firstLine="480" w:firstLineChars="200"/>
        <w:rPr>
          <w:rFonts w:hint="eastAsia" w:ascii="仿宋" w:hAnsi="仿宋" w:eastAsia="仿宋" w:cs="仿宋"/>
          <w:color w:val="auto"/>
          <w:sz w:val="24"/>
          <w:szCs w:val="28"/>
          <w:highlight w:val="none"/>
          <w:lang w:eastAsia="zh-CN"/>
        </w:rPr>
      </w:pPr>
      <w:r>
        <w:rPr>
          <w:rFonts w:hint="eastAsia" w:ascii="仿宋" w:hAnsi="仿宋" w:eastAsia="仿宋" w:cs="仿宋"/>
          <w:color w:val="auto"/>
          <w:sz w:val="24"/>
          <w:szCs w:val="28"/>
          <w:highlight w:val="none"/>
        </w:rPr>
        <w:t>合同履行期限：</w:t>
      </w:r>
      <w:r>
        <w:rPr>
          <w:rFonts w:hint="eastAsia" w:ascii="仿宋_GB2312" w:hAnsi="仿宋_GB2312" w:eastAsia="仿宋_GB2312" w:cs="仿宋_GB2312"/>
          <w:spacing w:val="-2"/>
          <w:kern w:val="2"/>
          <w:sz w:val="24"/>
          <w:szCs w:val="24"/>
          <w:lang w:val="en-US" w:eastAsia="zh-CN" w:bidi="ar-SA"/>
        </w:rPr>
        <w:t>2026年9月1日至2027年10月31日。</w:t>
      </w:r>
    </w:p>
    <w:p w14:paraId="2ED0E2A1">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28359080"/>
      <w:bookmarkStart w:id="6" w:name="_Toc35393791"/>
      <w:bookmarkStart w:id="7" w:name="_Toc28359003"/>
      <w:bookmarkStart w:id="8" w:name="_Toc35393622"/>
    </w:p>
    <w:p w14:paraId="717123FE">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p>
    <w:p w14:paraId="20ED58E0">
      <w:pPr>
        <w:pStyle w:val="12"/>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z w:val="24"/>
          <w:szCs w:val="24"/>
        </w:rPr>
      </w:pPr>
      <w:bookmarkStart w:id="9" w:name="_Toc35393623"/>
      <w:bookmarkStart w:id="10" w:name="_Toc35393792"/>
      <w:bookmarkStart w:id="11" w:name="_Toc28359081"/>
      <w:bookmarkStart w:id="12" w:name="_Toc28359004"/>
      <w:r>
        <w:rPr>
          <w:rFonts w:hint="eastAsia" w:ascii="仿宋_GB2312" w:hAnsi="仿宋_GB2312" w:eastAsia="仿宋_GB2312" w:cs="仿宋_GB2312"/>
          <w:spacing w:val="-2"/>
          <w:sz w:val="24"/>
          <w:szCs w:val="24"/>
        </w:rPr>
        <w:t>1.满足《中华人民共和国政府采购法》第二十二</w:t>
      </w:r>
      <w:r>
        <w:rPr>
          <w:rFonts w:hint="eastAsia" w:ascii="仿宋_GB2312" w:hAnsi="仿宋_GB2312" w:eastAsia="仿宋_GB2312" w:cs="仿宋_GB2312"/>
          <w:spacing w:val="-2"/>
          <w:sz w:val="24"/>
          <w:szCs w:val="24"/>
          <w:lang w:eastAsia="zh-CN"/>
        </w:rPr>
        <w:t>条规定；</w:t>
      </w:r>
    </w:p>
    <w:p w14:paraId="5CD2FCA0">
      <w:pPr>
        <w:pStyle w:val="12"/>
        <w:keepNext w:val="0"/>
        <w:keepLines w:val="0"/>
        <w:pageBreakBefore w:val="0"/>
        <w:wordWrap/>
        <w:overflowPunct/>
        <w:topLinePunct w:val="0"/>
        <w:autoSpaceDE w:val="0"/>
        <w:autoSpaceDN w:val="0"/>
        <w:bidi w:val="0"/>
        <w:adjustRightInd w:val="0"/>
        <w:spacing w:line="360" w:lineRule="auto"/>
        <w:ind w:left="0" w:leftChars="0" w:right="0" w:firstLine="234"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2.落实政府采购政策需满足的资格要求：</w:t>
      </w:r>
    </w:p>
    <w:p w14:paraId="43662E95">
      <w:pPr>
        <w:pStyle w:val="12"/>
        <w:keepNext w:val="0"/>
        <w:keepLines w:val="0"/>
        <w:pageBreakBefore w:val="0"/>
        <w:wordWrap/>
        <w:overflowPunct/>
        <w:topLinePunct w:val="0"/>
        <w:autoSpaceDE w:val="0"/>
        <w:autoSpaceDN w:val="0"/>
        <w:bidi w:val="0"/>
        <w:adjustRightInd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2.1  中小企业政策</w:t>
      </w:r>
    </w:p>
    <w:p w14:paraId="3CDF486B">
      <w:pPr>
        <w:pStyle w:val="12"/>
        <w:keepNext w:val="0"/>
        <w:keepLines w:val="0"/>
        <w:pageBreakBefore w:val="0"/>
        <w:wordWrap/>
        <w:overflowPunct/>
        <w:topLinePunct w:val="0"/>
        <w:autoSpaceDE w:val="0"/>
        <w:autoSpaceDN w:val="0"/>
        <w:bidi w:val="0"/>
        <w:adjustRightInd w:val="0"/>
        <w:spacing w:line="360" w:lineRule="auto"/>
        <w:ind w:left="0" w:leftChars="0" w:right="0" w:firstLine="446"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w:t>
      </w:r>
      <w:r>
        <w:rPr>
          <w:rFonts w:hint="eastAsia" w:ascii="仿宋_GB2312" w:hAnsi="仿宋_GB2312" w:eastAsia="仿宋_GB2312" w:cs="仿宋_GB2312"/>
          <w:spacing w:val="1"/>
          <w:sz w:val="24"/>
          <w:szCs w:val="24"/>
        </w:rPr>
        <w:t>本项目不专门面向中小企业预留采购份额。</w:t>
      </w:r>
    </w:p>
    <w:p w14:paraId="4E8281BE">
      <w:pPr>
        <w:spacing w:line="360" w:lineRule="auto"/>
        <w:ind w:firstLine="472" w:firstLineChars="200"/>
        <w:rPr>
          <w:rFonts w:hint="eastAsia" w:ascii="仿宋_GB2312" w:hAnsi="仿宋_GB2312" w:eastAsia="仿宋_GB2312" w:cs="仿宋_GB2312"/>
          <w:spacing w:val="-2"/>
          <w:kern w:val="2"/>
          <w:sz w:val="24"/>
          <w:szCs w:val="24"/>
          <w:lang w:val="en-US" w:eastAsia="zh-CN" w:bidi="ar-SA"/>
        </w:rPr>
      </w:pPr>
      <w:r>
        <w:rPr>
          <w:rFonts w:hint="eastAsia" w:ascii="仿宋_GB2312" w:hAnsi="仿宋_GB2312" w:eastAsia="仿宋_GB2312" w:cs="仿宋_GB2312"/>
          <w:spacing w:val="-2"/>
          <w:kern w:val="2"/>
          <w:sz w:val="24"/>
          <w:szCs w:val="24"/>
          <w:lang w:val="en-US" w:eastAsia="zh-CN" w:bidi="ar-SA"/>
        </w:rPr>
        <w:t>■本项目专门面向  ■中小 □小微企业  采购。即：提供的货物全部由符合政策要求的中小/小微企业制造、服务全部由符合政策要求的中小/小微企业承接。</w:t>
      </w:r>
    </w:p>
    <w:p w14:paraId="292FC1F7">
      <w:pPr>
        <w:pStyle w:val="12"/>
        <w:keepNext w:val="0"/>
        <w:keepLines w:val="0"/>
        <w:pageBreakBefore w:val="0"/>
        <w:wordWrap/>
        <w:overflowPunct/>
        <w:topLinePunct w:val="0"/>
        <w:autoSpaceDE w:val="0"/>
        <w:autoSpaceDN w:val="0"/>
        <w:bidi w:val="0"/>
        <w:adjustRightInd w:val="0"/>
        <w:spacing w:line="360" w:lineRule="auto"/>
        <w:ind w:left="0" w:leftChars="0" w:right="0" w:firstLine="418"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□本项目预留部分采购项目预算专门面向中小企业采购</w:t>
      </w:r>
      <w:r>
        <w:rPr>
          <w:rFonts w:hint="eastAsia" w:ascii="仿宋_GB2312" w:hAnsi="仿宋_GB2312" w:eastAsia="仿宋_GB2312" w:cs="仿宋_GB2312"/>
          <w:sz w:val="24"/>
          <w:szCs w:val="24"/>
        </w:rPr>
        <w:t>。对于预留份额，提供的货</w:t>
      </w:r>
      <w:r>
        <w:rPr>
          <w:rFonts w:hint="eastAsia" w:ascii="仿宋_GB2312" w:hAnsi="仿宋_GB2312" w:eastAsia="仿宋_GB2312" w:cs="仿宋_GB2312"/>
          <w:spacing w:val="-2"/>
          <w:sz w:val="24"/>
          <w:szCs w:val="24"/>
        </w:rPr>
        <w:t>物由符合政策要求的中小企业制造、服务由符合政策要求的中小企业承接。预留份额通</w:t>
      </w:r>
      <w:r>
        <w:rPr>
          <w:rFonts w:hint="eastAsia" w:ascii="仿宋_GB2312" w:hAnsi="仿宋_GB2312" w:eastAsia="仿宋_GB2312" w:cs="仿宋_GB2312"/>
          <w:spacing w:val="-1"/>
          <w:sz w:val="24"/>
          <w:szCs w:val="24"/>
        </w:rPr>
        <w:t>过以下措施进行：</w:t>
      </w:r>
      <w:r>
        <w:rPr>
          <w:rFonts w:hint="eastAsia" w:ascii="仿宋_GB2312" w:hAnsi="仿宋_GB2312" w:eastAsia="仿宋_GB2312" w:cs="仿宋_GB2312"/>
          <w:spacing w:val="-1"/>
          <w:sz w:val="24"/>
          <w:szCs w:val="24"/>
          <w:u w:val="single" w:color="auto"/>
        </w:rPr>
        <w:t xml:space="preserve">                  </w:t>
      </w:r>
      <w:r>
        <w:rPr>
          <w:rFonts w:hint="eastAsia" w:ascii="仿宋_GB2312" w:hAnsi="仿宋_GB2312" w:eastAsia="仿宋_GB2312" w:cs="仿宋_GB2312"/>
          <w:spacing w:val="-1"/>
          <w:sz w:val="24"/>
          <w:szCs w:val="24"/>
        </w:rPr>
        <w:t>。</w:t>
      </w:r>
    </w:p>
    <w:p w14:paraId="5E13C6C7">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pacing w:val="-1"/>
          <w:sz w:val="24"/>
          <w:szCs w:val="24"/>
          <w:u w:val="single" w:color="auto"/>
        </w:rPr>
        <w:t xml:space="preserve">   </w:t>
      </w:r>
      <w:bookmarkStart w:id="27" w:name="_GoBack"/>
      <w:bookmarkEnd w:id="27"/>
      <w:r>
        <w:rPr>
          <w:rFonts w:hint="eastAsia" w:ascii="仿宋_GB2312" w:hAnsi="仿宋_GB2312" w:eastAsia="仿宋_GB2312" w:cs="仿宋_GB2312"/>
          <w:spacing w:val="-5"/>
          <w:sz w:val="24"/>
          <w:szCs w:val="24"/>
          <w:highlight w:val="none"/>
        </w:rPr>
        <w:t>。</w:t>
      </w:r>
    </w:p>
    <w:p w14:paraId="0FBC796C">
      <w:pPr>
        <w:pStyle w:val="12"/>
        <w:keepNext w:val="0"/>
        <w:keepLines w:val="0"/>
        <w:pageBreakBefore w:val="0"/>
        <w:wordWrap/>
        <w:overflowPunct/>
        <w:topLinePunct w:val="0"/>
        <w:autoSpaceDE w:val="0"/>
        <w:autoSpaceDN w:val="0"/>
        <w:bidi w:val="0"/>
        <w:adjustRightInd w:val="0"/>
        <w:spacing w:line="360" w:lineRule="auto"/>
        <w:ind w:left="0" w:leftChars="0" w:right="0" w:firstLine="232" w:firstLineChars="100"/>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3.本项目的特定资格要求：</w:t>
      </w:r>
    </w:p>
    <w:p w14:paraId="574AD463">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4BC7E137">
      <w:pPr>
        <w:tabs>
          <w:tab w:val="left" w:pos="900"/>
          <w:tab w:val="left" w:pos="1134"/>
          <w:tab w:val="left" w:pos="1589"/>
          <w:tab w:val="left" w:pos="5521"/>
        </w:tabs>
        <w:snapToGrid w:val="0"/>
        <w:spacing w:line="360" w:lineRule="auto"/>
        <w:ind w:left="991" w:leftChars="472" w:firstLine="2"/>
        <w:rPr>
          <w:rFonts w:hint="eastAsia" w:ascii="仿宋_GB2312" w:hAnsi="仿宋_GB2312" w:eastAsia="仿宋_GB2312" w:cs="仿宋_GB2312"/>
          <w:spacing w:val="-5"/>
          <w:kern w:val="2"/>
          <w:sz w:val="24"/>
          <w:szCs w:val="24"/>
          <w:highlight w:val="none"/>
          <w:lang w:val="en-US" w:eastAsia="zh-CN" w:bidi="ar-SA"/>
        </w:rPr>
      </w:pPr>
      <w:r>
        <w:rPr>
          <w:rFonts w:hint="eastAsia" w:ascii="仿宋_GB2312" w:hAnsi="仿宋_GB2312" w:eastAsia="仿宋_GB2312" w:cs="仿宋_GB2312"/>
          <w:spacing w:val="-5"/>
          <w:kern w:val="2"/>
          <w:sz w:val="24"/>
          <w:szCs w:val="24"/>
          <w:highlight w:val="none"/>
          <w:lang w:val="en-US" w:eastAsia="zh-CN" w:bidi="ar-SA"/>
        </w:rPr>
        <w:t>■否</w:t>
      </w:r>
    </w:p>
    <w:p w14:paraId="4B4C9901">
      <w:pPr>
        <w:tabs>
          <w:tab w:val="left" w:pos="900"/>
          <w:tab w:val="left" w:pos="1134"/>
          <w:tab w:val="left" w:pos="1589"/>
          <w:tab w:val="left" w:pos="5521"/>
        </w:tabs>
        <w:snapToGrid w:val="0"/>
        <w:spacing w:line="360" w:lineRule="auto"/>
        <w:ind w:left="991" w:leftChars="472" w:firstLine="2"/>
        <w:rPr>
          <w:rFonts w:hint="eastAsia" w:ascii="仿宋_GB2312" w:hAnsi="仿宋_GB2312" w:eastAsia="仿宋_GB2312" w:cs="仿宋_GB2312"/>
          <w:spacing w:val="-5"/>
          <w:kern w:val="2"/>
          <w:sz w:val="24"/>
          <w:szCs w:val="24"/>
          <w:highlight w:val="none"/>
          <w:lang w:val="en-US" w:eastAsia="zh-CN" w:bidi="ar-SA"/>
        </w:rPr>
      </w:pPr>
      <w:r>
        <w:rPr>
          <w:rFonts w:hint="eastAsia" w:ascii="仿宋_GB2312" w:hAnsi="仿宋_GB2312" w:eastAsia="仿宋_GB2312" w:cs="仿宋_GB2312"/>
          <w:spacing w:val="-5"/>
          <w:kern w:val="2"/>
          <w:sz w:val="24"/>
          <w:szCs w:val="24"/>
          <w:highlight w:val="none"/>
          <w:lang w:val="en-US" w:eastAsia="zh-CN" w:bidi="ar-SA"/>
        </w:rPr>
        <w:t>□是，公益一类事业单位、使用事业编制且由财政拨款保障的群团组织，不得作为承接主体；</w:t>
      </w:r>
    </w:p>
    <w:p w14:paraId="64CF31C3">
      <w:pPr>
        <w:pStyle w:val="29"/>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0" w:leftChars="0" w:right="0" w:firstLine="418" w:firstLineChars="173"/>
        <w:textAlignment w:val="auto"/>
        <w:rPr>
          <w:rFonts w:hint="eastAsia" w:ascii="仿宋" w:hAnsi="仿宋" w:eastAsia="仿宋" w:cs="Times New Roman"/>
          <w:color w:val="auto"/>
          <w:sz w:val="24"/>
          <w:szCs w:val="28"/>
          <w:lang w:val="en-US" w:eastAsia="zh-CN"/>
        </w:rPr>
      </w:pPr>
      <w:r>
        <w:rPr>
          <w:rFonts w:hint="eastAsia" w:ascii="仿宋_GB2312" w:hAnsi="仿宋_GB2312" w:eastAsia="仿宋_GB2312" w:cs="仿宋_GB2312"/>
          <w:spacing w:val="1"/>
          <w:sz w:val="24"/>
          <w:szCs w:val="24"/>
        </w:rPr>
        <w:t>3.2 其他特定资格要求：</w:t>
      </w:r>
      <w:r>
        <w:rPr>
          <w:rFonts w:hint="eastAsia"/>
          <w:sz w:val="24"/>
          <w:u w:val="single"/>
          <w:lang w:val="en-US" w:eastAsia="zh-CN"/>
        </w:rPr>
        <w:t xml:space="preserve">        </w:t>
      </w:r>
      <w:r>
        <w:rPr>
          <w:sz w:val="24"/>
        </w:rPr>
        <w:t>。</w:t>
      </w:r>
    </w:p>
    <w:p w14:paraId="7752FCAB">
      <w:pPr>
        <w:pStyle w:val="4"/>
        <w:pageBreakBefore w:val="0"/>
        <w:widowControl w:val="0"/>
        <w:kinsoku/>
        <w:wordWrap/>
        <w:overflowPunct/>
        <w:topLinePunct w:val="0"/>
        <w:bidi w:val="0"/>
        <w:snapToGrid/>
        <w:spacing w:line="240" w:lineRule="auto"/>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6EC833EE">
      <w:pPr>
        <w:pStyle w:val="12"/>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color w:val="auto"/>
          <w:w w:val="95"/>
          <w:sz w:val="24"/>
          <w:szCs w:val="24"/>
          <w:highlight w:val="none"/>
          <w:lang w:val="en-US" w:eastAsia="zh-CN"/>
        </w:rPr>
        <w:t>2026年7月31日</w:t>
      </w:r>
      <w:r>
        <w:rPr>
          <w:rFonts w:hint="eastAsia" w:ascii="仿宋" w:hAnsi="仿宋" w:eastAsia="仿宋" w:cs="仿宋"/>
          <w:color w:val="auto"/>
          <w:sz w:val="24"/>
          <w:szCs w:val="28"/>
          <w:highlight w:val="none"/>
          <w:lang w:eastAsia="zh-CN"/>
        </w:rPr>
        <w:t>上午9:30</w:t>
      </w:r>
      <w:r>
        <w:rPr>
          <w:rFonts w:hint="eastAsia" w:ascii="仿宋_GB2312" w:hAnsi="仿宋_GB2312" w:eastAsia="仿宋_GB2312" w:cs="仿宋_GB2312"/>
          <w:color w:val="auto"/>
          <w:w w:val="95"/>
          <w:sz w:val="24"/>
          <w:szCs w:val="24"/>
          <w:highlight w:val="none"/>
          <w:lang w:val="en-US" w:eastAsia="zh-CN"/>
        </w:rPr>
        <w:t>至2026年8月6日下午17:00</w:t>
      </w:r>
      <w:r>
        <w:rPr>
          <w:rFonts w:hint="eastAsia" w:ascii="仿宋_GB2312" w:hAnsi="仿宋_GB2312" w:eastAsia="仿宋_GB2312" w:cs="仿宋_GB2312"/>
          <w:spacing w:val="-7"/>
          <w:w w:val="95"/>
          <w:sz w:val="24"/>
          <w:szCs w:val="24"/>
          <w:highlight w:val="none"/>
        </w:rPr>
        <w:t>（北京时</w:t>
      </w:r>
      <w:r>
        <w:rPr>
          <w:rFonts w:hint="eastAsia" w:ascii="仿宋_GB2312" w:hAnsi="仿宋_GB2312" w:eastAsia="仿宋_GB2312" w:cs="仿宋_GB2312"/>
          <w:spacing w:val="-15"/>
          <w:w w:val="95"/>
          <w:sz w:val="24"/>
          <w:szCs w:val="24"/>
          <w:highlight w:val="none"/>
        </w:rPr>
        <w:t>间，法定节假日</w:t>
      </w:r>
      <w:r>
        <w:rPr>
          <w:rFonts w:hint="eastAsia" w:ascii="仿宋_GB2312" w:hAnsi="仿宋_GB2312" w:eastAsia="仿宋_GB2312" w:cs="仿宋_GB2312"/>
          <w:spacing w:val="-15"/>
          <w:w w:val="95"/>
          <w:sz w:val="24"/>
          <w:szCs w:val="24"/>
        </w:rPr>
        <w:t>除外）。</w:t>
      </w:r>
    </w:p>
    <w:p w14:paraId="5552BE18">
      <w:pPr>
        <w:pStyle w:val="12"/>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2B6F2BCB">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45819B33">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7C3D1F31">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3" w:name="_Toc28359005"/>
      <w:bookmarkStart w:id="14" w:name="_Toc28359082"/>
      <w:bookmarkStart w:id="15" w:name="_Toc35393624"/>
      <w:bookmarkStart w:id="16" w:name="_Toc35393793"/>
      <w:r>
        <w:rPr>
          <w:rFonts w:hint="eastAsia" w:ascii="黑体" w:hAnsi="黑体" w:eastAsia="仿宋" w:cs="宋体"/>
          <w:b w:val="0"/>
          <w:color w:val="auto"/>
          <w:sz w:val="24"/>
          <w:szCs w:val="28"/>
        </w:rPr>
        <w:t>四、提交投标文件</w:t>
      </w:r>
      <w:bookmarkEnd w:id="13"/>
      <w:bookmarkEnd w:id="14"/>
      <w:r>
        <w:rPr>
          <w:rFonts w:hint="eastAsia" w:ascii="黑体" w:hAnsi="黑体" w:eastAsia="仿宋" w:cs="宋体"/>
          <w:b w:val="0"/>
          <w:color w:val="auto"/>
          <w:sz w:val="24"/>
          <w:szCs w:val="28"/>
        </w:rPr>
        <w:t>截止时间、开标时间和地点</w:t>
      </w:r>
      <w:bookmarkEnd w:id="15"/>
      <w:bookmarkEnd w:id="16"/>
    </w:p>
    <w:p w14:paraId="5AE36F59">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eastAsia="zh-CN"/>
        </w:rPr>
        <w:t>2026年8月26日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2A474297">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eastAsia="zh-CN"/>
        </w:rPr>
        <w:t>2026年8月26日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10904050">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705903A2">
      <w:pPr>
        <w:pStyle w:val="4"/>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7" w:name="_Toc28359007"/>
      <w:bookmarkStart w:id="18" w:name="_Toc28359084"/>
      <w:bookmarkStart w:id="19" w:name="_Toc35393625"/>
      <w:bookmarkStart w:id="20" w:name="_Toc35393794"/>
      <w:r>
        <w:rPr>
          <w:rFonts w:hint="eastAsia" w:ascii="仿宋" w:hAnsi="仿宋" w:eastAsia="仿宋" w:cs="Times New Roman"/>
          <w:b w:val="0"/>
          <w:bCs w:val="0"/>
          <w:color w:val="auto"/>
          <w:sz w:val="24"/>
          <w:szCs w:val="28"/>
        </w:rPr>
        <w:t>五、公告期限</w:t>
      </w:r>
      <w:bookmarkEnd w:id="17"/>
      <w:bookmarkEnd w:id="18"/>
      <w:bookmarkEnd w:id="19"/>
      <w:bookmarkEnd w:id="20"/>
    </w:p>
    <w:p w14:paraId="45C7B736">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136251DF">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1" w:name="_Toc35393626"/>
      <w:bookmarkStart w:id="22" w:name="_Toc35393795"/>
      <w:r>
        <w:rPr>
          <w:rFonts w:hint="eastAsia" w:ascii="黑体" w:hAnsi="黑体" w:eastAsia="仿宋" w:cs="宋体"/>
          <w:b w:val="0"/>
          <w:color w:val="auto"/>
          <w:sz w:val="24"/>
          <w:szCs w:val="28"/>
        </w:rPr>
        <w:t>六、其他补充事宜</w:t>
      </w:r>
      <w:bookmarkEnd w:id="21"/>
      <w:bookmarkEnd w:id="22"/>
    </w:p>
    <w:p w14:paraId="6E11FEB9">
      <w:pPr>
        <w:pStyle w:val="12"/>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4C97A1D8">
      <w:pPr>
        <w:pStyle w:val="12"/>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7719C3D1">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4FEC358F">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72A54420">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5209A19A">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0E83FDA8">
      <w:pPr>
        <w:pStyle w:val="12"/>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42587783">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369AB5D4">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308F9B8E">
      <w:pPr>
        <w:pStyle w:val="12"/>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50D2265B">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62FE9D5A">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3FC1F7B4">
      <w:pPr>
        <w:pStyle w:val="12"/>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3CB5F376">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5AAA6550">
      <w:pPr>
        <w:pStyle w:val="12"/>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36619C15">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6F9ECF35">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5D6100E8">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0944A104">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73240E4C">
      <w:pPr>
        <w:pStyle w:val="12"/>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52479D41">
      <w:pPr>
        <w:pStyle w:val="12"/>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3103FD2C">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pacing w:val="-2"/>
          <w:sz w:val="24"/>
          <w:szCs w:val="24"/>
          <w:highlight w:val="none"/>
          <w:lang w:eastAsia="zh-CN"/>
        </w:rPr>
        <w:t>2026年8月26日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w:t>
      </w:r>
      <w:r>
        <w:rPr>
          <w:rFonts w:hint="eastAsia" w:ascii="仿宋_GB2312" w:hAnsi="仿宋_GB2312" w:eastAsia="仿宋_GB2312" w:cs="仿宋_GB2312"/>
          <w:spacing w:val="-2"/>
          <w:sz w:val="24"/>
          <w:szCs w:val="24"/>
          <w:lang w:val="en-US" w:eastAsia="zh-CN"/>
        </w:rPr>
        <w:t>单位法人或授权人参加</w:t>
      </w:r>
      <w:r>
        <w:rPr>
          <w:rFonts w:hint="eastAsia" w:ascii="仿宋_GB2312" w:hAnsi="仿宋_GB2312" w:eastAsia="仿宋_GB2312" w:cs="仿宋_GB2312"/>
          <w:spacing w:val="-2"/>
          <w:sz w:val="24"/>
          <w:szCs w:val="24"/>
          <w:lang w:eastAsia="zh-CN"/>
        </w:rPr>
        <w:t>开标会（地点：北京市大兴区公共资源交易分中心三层）。届时应提供以下资料：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p w14:paraId="753DC155">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3" w:name="_Toc28359085"/>
      <w:bookmarkStart w:id="24" w:name="_Toc35393796"/>
      <w:bookmarkStart w:id="25" w:name="_Toc35393627"/>
      <w:bookmarkStart w:id="26" w:name="_Toc28359008"/>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3"/>
      <w:bookmarkEnd w:id="24"/>
      <w:bookmarkEnd w:id="25"/>
      <w:bookmarkEnd w:id="26"/>
    </w:p>
    <w:p w14:paraId="09E1C90C">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7C35055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名称：</w:t>
      </w:r>
      <w:r>
        <w:rPr>
          <w:rFonts w:hint="eastAsia" w:ascii="仿宋_GB2312" w:hAnsi="仿宋_GB2312" w:eastAsia="仿宋_GB2312" w:cs="仿宋_GB2312"/>
          <w:color w:val="auto"/>
          <w:kern w:val="2"/>
          <w:sz w:val="24"/>
          <w:szCs w:val="24"/>
          <w:lang w:val="en-US" w:eastAsia="zh-CN" w:bidi="ar-SA"/>
        </w:rPr>
        <w:t>北京市大兴区机关事务管理服务中心</w:t>
      </w:r>
    </w:p>
    <w:p w14:paraId="65110C41">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地址：</w:t>
      </w:r>
      <w:r>
        <w:rPr>
          <w:rFonts w:hint="eastAsia" w:ascii="仿宋_GB2312" w:hAnsi="仿宋_GB2312" w:eastAsia="仿宋_GB2312" w:cs="仿宋_GB2312"/>
          <w:color w:val="auto"/>
          <w:kern w:val="2"/>
          <w:sz w:val="24"/>
          <w:szCs w:val="24"/>
          <w:lang w:val="en-US" w:eastAsia="zh-CN" w:bidi="ar-SA"/>
        </w:rPr>
        <w:t>北京市大兴区兴政街15号</w:t>
      </w:r>
    </w:p>
    <w:p w14:paraId="22E20197">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联系人：史老师</w:t>
      </w:r>
    </w:p>
    <w:p w14:paraId="139D2692">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联系方式：010-61298916</w:t>
      </w:r>
    </w:p>
    <w:p w14:paraId="757CC8A0">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1D193A0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36F1B662">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34DD697C">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3AE6D52A">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p>
    <w:p w14:paraId="55CE5A7D">
      <w:pPr>
        <w:keepNext w:val="0"/>
        <w:keepLines w:val="0"/>
        <w:pageBreakBefore w:val="0"/>
        <w:widowControl w:val="0"/>
        <w:tabs>
          <w:tab w:val="left" w:pos="3174"/>
        </w:tabs>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项目联系人：王老师</w:t>
      </w:r>
      <w:r>
        <w:rPr>
          <w:rFonts w:hint="eastAsia" w:ascii="仿宋_GB2312" w:hAnsi="仿宋_GB2312" w:eastAsia="仿宋_GB2312" w:cs="仿宋_GB2312"/>
          <w:color w:val="auto"/>
          <w:kern w:val="2"/>
          <w:sz w:val="24"/>
          <w:szCs w:val="24"/>
          <w:lang w:val="en-US" w:eastAsia="zh-CN" w:bidi="ar-SA"/>
        </w:rPr>
        <w:tab/>
      </w:r>
    </w:p>
    <w:p w14:paraId="44D8C039">
      <w:pPr>
        <w:pStyle w:val="2"/>
        <w:keepNext w:val="0"/>
        <w:keepLines w:val="0"/>
        <w:pageBreakBefore w:val="0"/>
        <w:wordWrap/>
        <w:overflowPunct/>
        <w:topLinePunct w:val="0"/>
        <w:bidi w:val="0"/>
        <w:spacing w:after="0" w:line="360" w:lineRule="auto"/>
        <w:ind w:left="0" w:leftChars="0" w:right="0" w:firstLine="240" w:firstLineChars="1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电话：010-69231333转202</w:t>
      </w:r>
    </w:p>
    <w:p w14:paraId="79D28E2D">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79788253">
      <w:pPr>
        <w:widowControl/>
        <w:ind w:firstLine="4320" w:firstLineChars="1800"/>
        <w:jc w:val="left"/>
        <w:rPr>
          <w:rFonts w:ascii="仿宋" w:hAnsi="仿宋" w:eastAsia="仿宋"/>
          <w:color w:val="auto"/>
          <w:sz w:val="24"/>
          <w:szCs w:val="28"/>
        </w:rPr>
      </w:pPr>
    </w:p>
    <w:p w14:paraId="49AD2DCC">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lang w:val="en-US" w:eastAsia="zh-CN"/>
        </w:rPr>
        <w:t xml:space="preserve">  </w:t>
      </w:r>
      <w:r>
        <w:rPr>
          <w:rFonts w:hint="eastAsia" w:ascii="仿宋" w:hAnsi="仿宋" w:eastAsia="仿宋"/>
          <w:color w:val="auto"/>
          <w:sz w:val="24"/>
          <w:szCs w:val="28"/>
        </w:rPr>
        <w:t>北京市大兴区政府采购中心</w:t>
      </w:r>
    </w:p>
    <w:p w14:paraId="779DF423">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 xml:space="preserve"> 202</w:t>
      </w:r>
      <w:r>
        <w:rPr>
          <w:rFonts w:hint="eastAsia" w:ascii="仿宋" w:hAnsi="仿宋" w:eastAsia="仿宋"/>
          <w:color w:val="auto"/>
          <w:sz w:val="24"/>
          <w:szCs w:val="28"/>
          <w:highlight w:val="none"/>
          <w:lang w:val="en-US" w:eastAsia="zh-CN"/>
        </w:rPr>
        <w:t>6年7月30日</w:t>
      </w:r>
    </w:p>
    <w:p w14:paraId="43FDE0C5">
      <w:pPr>
        <w:widowControl/>
        <w:jc w:val="left"/>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br w:type="page"/>
      </w:r>
    </w:p>
    <w:p w14:paraId="294755C9">
      <w:pPr>
        <w:widowControl/>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附件：</w:t>
      </w:r>
    </w:p>
    <w:p w14:paraId="2F7CD411">
      <w:pPr>
        <w:jc w:val="center"/>
        <w:rPr>
          <w:rFonts w:hint="eastAsia" w:ascii="黑体" w:hAnsi="宋体" w:eastAsia="黑体" w:cs="宋体"/>
          <w:kern w:val="0"/>
          <w:sz w:val="36"/>
          <w:szCs w:val="36"/>
        </w:rPr>
      </w:pPr>
      <w:r>
        <w:rPr>
          <w:rFonts w:hint="eastAsia" w:ascii="黑体" w:hAnsi="宋体" w:eastAsia="黑体" w:cs="宋体"/>
          <w:kern w:val="0"/>
          <w:sz w:val="36"/>
          <w:szCs w:val="36"/>
        </w:rPr>
        <w:t>采购需求</w:t>
      </w:r>
    </w:p>
    <w:p w14:paraId="4DAAB331">
      <w:pPr>
        <w:pageBreakBefore w:val="0"/>
        <w:numPr>
          <w:ilvl w:val="0"/>
          <w:numId w:val="0"/>
        </w:numPr>
        <w:kinsoku/>
        <w:wordWrap/>
        <w:overflowPunct/>
        <w:topLinePunct w:val="0"/>
        <w:bidi w:val="0"/>
        <w:adjustRightInd w:val="0"/>
        <w:snapToGrid w:val="0"/>
        <w:spacing w:before="156" w:beforeLines="50" w:after="156" w:afterLines="50" w:line="560" w:lineRule="exact"/>
        <w:ind w:leftChars="0"/>
        <w:outlineLvl w:val="0"/>
        <w:rPr>
          <w:rFonts w:hint="eastAsia" w:ascii="黑体" w:hAnsi="黑体" w:eastAsia="黑体" w:cs="黑体"/>
          <w:sz w:val="30"/>
          <w:szCs w:val="30"/>
        </w:rPr>
      </w:pPr>
      <w:r>
        <w:rPr>
          <w:rFonts w:hint="eastAsia" w:ascii="黑体" w:hAnsi="黑体" w:eastAsia="黑体" w:cs="黑体"/>
          <w:b/>
          <w:sz w:val="30"/>
          <w:szCs w:val="30"/>
          <w:lang w:val="en-US" w:eastAsia="zh-CN"/>
        </w:rPr>
        <w:t>一、</w:t>
      </w:r>
      <w:r>
        <w:rPr>
          <w:rFonts w:hint="eastAsia" w:ascii="黑体" w:hAnsi="黑体" w:eastAsia="黑体" w:cs="黑体"/>
          <w:b/>
          <w:sz w:val="30"/>
          <w:szCs w:val="30"/>
        </w:rPr>
        <w:t>采购清单</w:t>
      </w:r>
      <w:r>
        <w:rPr>
          <w:rFonts w:hint="eastAsia" w:ascii="黑体" w:hAnsi="黑体" w:eastAsia="黑体" w:cs="黑体"/>
          <w:sz w:val="30"/>
          <w:szCs w:val="30"/>
        </w:rPr>
        <w:t>（本项目服务期为</w:t>
      </w:r>
      <w:r>
        <w:rPr>
          <w:rFonts w:hint="eastAsia" w:ascii="黑体" w:hAnsi="黑体" w:eastAsia="黑体" w:cs="黑体"/>
          <w:sz w:val="30"/>
          <w:szCs w:val="30"/>
          <w:lang w:val="en-US" w:eastAsia="zh-CN"/>
        </w:rPr>
        <w:t>十四个月</w:t>
      </w:r>
      <w:r>
        <w:rPr>
          <w:rFonts w:hint="eastAsia" w:ascii="黑体" w:hAnsi="黑体" w:eastAsia="黑体" w:cs="黑体"/>
          <w:sz w:val="30"/>
          <w:szCs w:val="30"/>
        </w:rPr>
        <w:t>，预算金额</w:t>
      </w:r>
      <w:r>
        <w:rPr>
          <w:rFonts w:hint="eastAsia" w:ascii="黑体" w:hAnsi="黑体" w:eastAsia="黑体" w:cs="黑体"/>
          <w:sz w:val="30"/>
          <w:szCs w:val="30"/>
          <w:lang w:val="en-US" w:eastAsia="zh-CN"/>
        </w:rPr>
        <w:t>1199.3379万</w:t>
      </w:r>
      <w:r>
        <w:rPr>
          <w:rFonts w:hint="eastAsia" w:ascii="黑体" w:hAnsi="黑体" w:eastAsia="黑体" w:cs="黑体"/>
          <w:sz w:val="30"/>
          <w:szCs w:val="30"/>
          <w:lang w:eastAsia="zh-CN"/>
        </w:rPr>
        <w:t>元</w:t>
      </w:r>
      <w:r>
        <w:rPr>
          <w:rFonts w:hint="eastAsia" w:ascii="黑体" w:hAnsi="黑体" w:eastAsia="黑体" w:cs="黑体"/>
          <w:sz w:val="30"/>
          <w:szCs w:val="30"/>
        </w:rPr>
        <w:t>）</w:t>
      </w:r>
    </w:p>
    <w:tbl>
      <w:tblPr>
        <w:tblStyle w:val="23"/>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2485"/>
        <w:gridCol w:w="2005"/>
        <w:gridCol w:w="1967"/>
        <w:gridCol w:w="1601"/>
      </w:tblGrid>
      <w:tr w14:paraId="6EF1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842" w:type="dxa"/>
            <w:vAlign w:val="center"/>
          </w:tcPr>
          <w:p w14:paraId="413B2967">
            <w:pPr>
              <w:jc w:val="center"/>
              <w:rPr>
                <w:b/>
                <w:sz w:val="24"/>
              </w:rPr>
            </w:pPr>
            <w:r>
              <w:rPr>
                <w:rFonts w:hint="eastAsia"/>
                <w:b/>
                <w:sz w:val="24"/>
              </w:rPr>
              <w:t>序号</w:t>
            </w:r>
          </w:p>
        </w:tc>
        <w:tc>
          <w:tcPr>
            <w:tcW w:w="2485" w:type="dxa"/>
            <w:vAlign w:val="center"/>
          </w:tcPr>
          <w:p w14:paraId="0021D1FD">
            <w:pPr>
              <w:jc w:val="center"/>
              <w:rPr>
                <w:b/>
                <w:sz w:val="24"/>
              </w:rPr>
            </w:pPr>
            <w:r>
              <w:rPr>
                <w:rFonts w:hint="eastAsia"/>
                <w:b/>
                <w:sz w:val="24"/>
              </w:rPr>
              <w:t>服务名称</w:t>
            </w:r>
          </w:p>
        </w:tc>
        <w:tc>
          <w:tcPr>
            <w:tcW w:w="2005" w:type="dxa"/>
            <w:vAlign w:val="center"/>
          </w:tcPr>
          <w:p w14:paraId="47271FF5">
            <w:pPr>
              <w:jc w:val="center"/>
              <w:rPr>
                <w:b/>
                <w:sz w:val="24"/>
              </w:rPr>
            </w:pPr>
            <w:r>
              <w:rPr>
                <w:rFonts w:hint="eastAsia"/>
                <w:b/>
                <w:sz w:val="24"/>
              </w:rPr>
              <w:t>数量</w:t>
            </w:r>
          </w:p>
        </w:tc>
        <w:tc>
          <w:tcPr>
            <w:tcW w:w="1967" w:type="dxa"/>
            <w:vAlign w:val="center"/>
          </w:tcPr>
          <w:p w14:paraId="3A326F8C">
            <w:pPr>
              <w:jc w:val="center"/>
              <w:rPr>
                <w:b/>
                <w:sz w:val="24"/>
              </w:rPr>
            </w:pPr>
            <w:r>
              <w:rPr>
                <w:rFonts w:hint="eastAsia"/>
                <w:b/>
                <w:sz w:val="24"/>
              </w:rPr>
              <w:t>单位</w:t>
            </w:r>
          </w:p>
        </w:tc>
        <w:tc>
          <w:tcPr>
            <w:tcW w:w="1601" w:type="dxa"/>
            <w:vAlign w:val="center"/>
          </w:tcPr>
          <w:p w14:paraId="3777AAD9">
            <w:pPr>
              <w:jc w:val="center"/>
              <w:rPr>
                <w:b/>
                <w:sz w:val="24"/>
              </w:rPr>
            </w:pPr>
            <w:r>
              <w:rPr>
                <w:rFonts w:hint="eastAsia"/>
                <w:b/>
                <w:sz w:val="24"/>
              </w:rPr>
              <w:t>备注</w:t>
            </w:r>
          </w:p>
        </w:tc>
      </w:tr>
      <w:tr w14:paraId="5E5A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842" w:type="dxa"/>
            <w:shd w:val="clear" w:color="auto" w:fill="auto"/>
            <w:vAlign w:val="center"/>
          </w:tcPr>
          <w:p w14:paraId="14307B4C">
            <w:pPr>
              <w:jc w:val="center"/>
              <w:rPr>
                <w:rFonts w:hint="eastAsia" w:asciiTheme="minorHAnsi" w:hAnsiTheme="minorHAnsi" w:eastAsiaTheme="minorEastAsia" w:cstheme="minorBidi"/>
                <w:kern w:val="2"/>
                <w:sz w:val="24"/>
                <w:szCs w:val="24"/>
                <w:lang w:val="en-US" w:eastAsia="zh-CN" w:bidi="ar-SA"/>
              </w:rPr>
            </w:pPr>
            <w:r>
              <w:rPr>
                <w:rFonts w:hint="eastAsia"/>
                <w:sz w:val="24"/>
                <w:lang w:val="en-US" w:eastAsia="zh-CN"/>
              </w:rPr>
              <w:t>1</w:t>
            </w:r>
          </w:p>
        </w:tc>
        <w:tc>
          <w:tcPr>
            <w:tcW w:w="2485" w:type="dxa"/>
            <w:shd w:val="clear" w:color="auto" w:fill="auto"/>
            <w:vAlign w:val="center"/>
          </w:tcPr>
          <w:p w14:paraId="6046DFF5">
            <w:pPr>
              <w:autoSpaceDE w:val="0"/>
              <w:autoSpaceDN w:val="0"/>
              <w:adjustRightInd w:val="0"/>
              <w:spacing w:line="360" w:lineRule="auto"/>
              <w:jc w:val="center"/>
              <w:rPr>
                <w:rFonts w:hint="eastAsia" w:ascii="宋体" w:hAnsi="宋体" w:eastAsiaTheme="minorEastAsia" w:cstheme="minorBidi"/>
                <w:kern w:val="2"/>
                <w:sz w:val="24"/>
                <w:szCs w:val="24"/>
                <w:lang w:val="en-US" w:eastAsia="zh-CN" w:bidi="ar-SA"/>
              </w:rPr>
            </w:pPr>
            <w:r>
              <w:rPr>
                <w:rFonts w:hint="eastAsia" w:ascii="宋体" w:hAnsi="宋体"/>
                <w:sz w:val="24"/>
              </w:rPr>
              <w:t>房屋日常养护维修</w:t>
            </w:r>
          </w:p>
        </w:tc>
        <w:tc>
          <w:tcPr>
            <w:tcW w:w="2005" w:type="dxa"/>
            <w:shd w:val="clear" w:color="auto" w:fill="auto"/>
            <w:vAlign w:val="center"/>
          </w:tcPr>
          <w:p w14:paraId="0D35CEBB">
            <w:pPr>
              <w:autoSpaceDE w:val="0"/>
              <w:autoSpaceDN w:val="0"/>
              <w:adjustRightInd w:val="0"/>
              <w:spacing w:line="360" w:lineRule="auto"/>
              <w:jc w:val="center"/>
              <w:rPr>
                <w:rFonts w:hint="default" w:ascii="宋体" w:hAnsi="宋体" w:eastAsiaTheme="minorEastAsia" w:cstheme="minorBidi"/>
                <w:kern w:val="2"/>
                <w:sz w:val="24"/>
                <w:szCs w:val="24"/>
                <w:lang w:val="en-US" w:eastAsia="zh-CN" w:bidi="ar-SA"/>
              </w:rPr>
            </w:pPr>
            <w:r>
              <w:rPr>
                <w:rFonts w:hint="eastAsia" w:ascii="宋体" w:hAnsi="宋体" w:cs="Times New Roman" w:eastAsiaTheme="minorEastAsia"/>
                <w:sz w:val="24"/>
                <w:lang w:val="en-US" w:eastAsia="zh-CN"/>
              </w:rPr>
              <w:t xml:space="preserve"> 37077.89 </w:t>
            </w:r>
          </w:p>
        </w:tc>
        <w:tc>
          <w:tcPr>
            <w:tcW w:w="1967" w:type="dxa"/>
            <w:shd w:val="clear" w:color="auto" w:fill="auto"/>
            <w:vAlign w:val="center"/>
          </w:tcPr>
          <w:p w14:paraId="30B60CCC">
            <w:pPr>
              <w:autoSpaceDE w:val="0"/>
              <w:autoSpaceDN w:val="0"/>
              <w:adjustRightInd w:val="0"/>
              <w:spacing w:line="360" w:lineRule="auto"/>
              <w:jc w:val="center"/>
              <w:rPr>
                <w:rFonts w:ascii="宋体" w:hAnsi="宋体" w:eastAsiaTheme="minorEastAsia" w:cstheme="minorBidi"/>
                <w:kern w:val="2"/>
                <w:sz w:val="24"/>
                <w:szCs w:val="24"/>
                <w:lang w:val="en-US" w:eastAsia="zh-CN" w:bidi="ar-SA"/>
              </w:rPr>
            </w:pPr>
            <w:r>
              <w:rPr>
                <w:rFonts w:hint="eastAsia" w:ascii="宋体" w:hAnsi="宋体" w:cs="Times New Roman" w:eastAsiaTheme="minorEastAsia"/>
                <w:sz w:val="24"/>
                <w:lang w:val="en-US" w:eastAsia="zh-CN"/>
              </w:rPr>
              <w:t>平方米</w:t>
            </w:r>
          </w:p>
        </w:tc>
        <w:tc>
          <w:tcPr>
            <w:tcW w:w="1601" w:type="dxa"/>
            <w:shd w:val="clear" w:color="auto" w:fill="auto"/>
            <w:vAlign w:val="center"/>
          </w:tcPr>
          <w:p w14:paraId="384E6957">
            <w:pPr>
              <w:autoSpaceDE w:val="0"/>
              <w:autoSpaceDN w:val="0"/>
              <w:adjustRightInd w:val="0"/>
              <w:spacing w:line="360" w:lineRule="auto"/>
              <w:jc w:val="center"/>
              <w:rPr>
                <w:rFonts w:hint="eastAsia" w:ascii="宋体" w:hAnsi="宋体" w:eastAsiaTheme="minorEastAsia" w:cstheme="minorBidi"/>
                <w:kern w:val="2"/>
                <w:sz w:val="24"/>
                <w:szCs w:val="24"/>
                <w:lang w:val="en-US" w:eastAsia="zh-CN" w:bidi="ar-SA"/>
              </w:rPr>
            </w:pPr>
          </w:p>
          <w:p w14:paraId="47F3F500">
            <w:pPr>
              <w:pStyle w:val="16"/>
              <w:ind w:left="840" w:leftChars="400"/>
              <w:rPr>
                <w:rFonts w:hint="eastAsia" w:asciiTheme="minorHAnsi" w:hAnsiTheme="minorHAnsi" w:eastAsiaTheme="minorEastAsia" w:cstheme="minorBidi"/>
                <w:kern w:val="2"/>
                <w:sz w:val="24"/>
                <w:szCs w:val="24"/>
                <w:lang w:val="en-US" w:eastAsia="zh-CN" w:bidi="ar-SA"/>
              </w:rPr>
            </w:pPr>
          </w:p>
        </w:tc>
      </w:tr>
      <w:tr w14:paraId="4839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842" w:type="dxa"/>
            <w:shd w:val="clear" w:color="auto" w:fill="auto"/>
            <w:vAlign w:val="center"/>
          </w:tcPr>
          <w:p w14:paraId="3B5B135E">
            <w:pPr>
              <w:jc w:val="center"/>
              <w:rPr>
                <w:rFonts w:hint="eastAsia" w:asciiTheme="minorHAnsi" w:hAnsiTheme="minorHAnsi" w:eastAsiaTheme="minorEastAsia" w:cstheme="minorBidi"/>
                <w:kern w:val="2"/>
                <w:sz w:val="24"/>
                <w:szCs w:val="24"/>
                <w:lang w:val="en-US" w:eastAsia="zh-CN" w:bidi="ar-SA"/>
              </w:rPr>
            </w:pPr>
            <w:r>
              <w:rPr>
                <w:rFonts w:hint="eastAsia" w:cstheme="minorBidi"/>
                <w:kern w:val="2"/>
                <w:sz w:val="24"/>
                <w:szCs w:val="24"/>
                <w:lang w:val="en-US" w:eastAsia="zh-CN" w:bidi="ar-SA"/>
              </w:rPr>
              <w:t>2</w:t>
            </w:r>
          </w:p>
        </w:tc>
        <w:tc>
          <w:tcPr>
            <w:tcW w:w="2485" w:type="dxa"/>
            <w:shd w:val="clear" w:color="auto" w:fill="auto"/>
            <w:vAlign w:val="center"/>
          </w:tcPr>
          <w:p w14:paraId="487FF9E7">
            <w:pPr>
              <w:jc w:val="center"/>
              <w:rPr>
                <w:rFonts w:hint="eastAsia" w:cstheme="minorBidi"/>
                <w:kern w:val="2"/>
                <w:sz w:val="24"/>
                <w:szCs w:val="24"/>
                <w:lang w:val="en-US" w:eastAsia="zh-CN" w:bidi="ar-SA"/>
              </w:rPr>
            </w:pPr>
            <w:r>
              <w:rPr>
                <w:rFonts w:hint="eastAsia" w:cstheme="minorBidi"/>
                <w:kern w:val="2"/>
                <w:sz w:val="24"/>
                <w:szCs w:val="24"/>
                <w:lang w:val="en-US" w:eastAsia="zh-CN" w:bidi="ar-SA"/>
              </w:rPr>
              <w:t>给排水设备运行</w:t>
            </w:r>
          </w:p>
          <w:p w14:paraId="2AB65427">
            <w:pPr>
              <w:jc w:val="center"/>
              <w:rPr>
                <w:rFonts w:hint="eastAsia" w:ascii="宋体" w:hAnsi="宋体" w:eastAsiaTheme="minorEastAsia" w:cstheme="minorBidi"/>
                <w:kern w:val="2"/>
                <w:sz w:val="24"/>
                <w:szCs w:val="24"/>
                <w:lang w:val="en-US" w:eastAsia="zh-CN" w:bidi="ar-SA"/>
              </w:rPr>
            </w:pPr>
            <w:r>
              <w:rPr>
                <w:rFonts w:hint="eastAsia" w:cstheme="minorBidi"/>
                <w:kern w:val="2"/>
                <w:sz w:val="24"/>
                <w:szCs w:val="24"/>
                <w:lang w:val="en-US" w:eastAsia="zh-CN" w:bidi="ar-SA"/>
              </w:rPr>
              <w:t>日常检查</w:t>
            </w:r>
          </w:p>
        </w:tc>
        <w:tc>
          <w:tcPr>
            <w:tcW w:w="2005" w:type="dxa"/>
            <w:shd w:val="clear" w:color="auto" w:fill="auto"/>
            <w:vAlign w:val="center"/>
          </w:tcPr>
          <w:p w14:paraId="1921C62D">
            <w:pPr>
              <w:autoSpaceDE w:val="0"/>
              <w:autoSpaceDN w:val="0"/>
              <w:adjustRightInd w:val="0"/>
              <w:spacing w:line="360" w:lineRule="auto"/>
              <w:jc w:val="center"/>
              <w:rPr>
                <w:rFonts w:hint="default" w:ascii="宋体" w:hAnsi="宋体" w:cs="Times New Roman" w:eastAsiaTheme="minorEastAsia"/>
                <w:sz w:val="24"/>
                <w:lang w:val="en-US" w:eastAsia="zh-CN"/>
              </w:rPr>
            </w:pPr>
            <w:r>
              <w:rPr>
                <w:rFonts w:hint="eastAsia" w:ascii="宋体" w:hAnsi="宋体" w:cstheme="minorBidi"/>
                <w:kern w:val="2"/>
                <w:sz w:val="24"/>
                <w:szCs w:val="24"/>
                <w:lang w:val="en-US" w:eastAsia="zh-CN" w:bidi="ar-SA"/>
              </w:rPr>
              <w:t>1</w:t>
            </w:r>
          </w:p>
        </w:tc>
        <w:tc>
          <w:tcPr>
            <w:tcW w:w="1967" w:type="dxa"/>
            <w:shd w:val="clear" w:color="auto" w:fill="auto"/>
            <w:vAlign w:val="center"/>
          </w:tcPr>
          <w:p w14:paraId="57F3D77E">
            <w:pPr>
              <w:autoSpaceDE w:val="0"/>
              <w:autoSpaceDN w:val="0"/>
              <w:adjustRightInd w:val="0"/>
              <w:spacing w:line="360" w:lineRule="auto"/>
              <w:jc w:val="center"/>
              <w:rPr>
                <w:rFonts w:hint="eastAsia" w:ascii="宋体" w:hAnsi="宋体" w:cs="Times New Roman" w:eastAsiaTheme="minorEastAsia"/>
                <w:sz w:val="24"/>
                <w:lang w:val="en-US" w:eastAsia="zh-CN"/>
              </w:rPr>
            </w:pPr>
            <w:r>
              <w:rPr>
                <w:rFonts w:hint="eastAsia" w:ascii="宋体" w:hAnsi="宋体" w:cstheme="minorBidi"/>
                <w:kern w:val="2"/>
                <w:sz w:val="24"/>
                <w:szCs w:val="24"/>
                <w:lang w:val="en-US" w:eastAsia="zh-CN" w:bidi="ar-SA"/>
              </w:rPr>
              <w:t>套</w:t>
            </w:r>
          </w:p>
        </w:tc>
        <w:tc>
          <w:tcPr>
            <w:tcW w:w="1601" w:type="dxa"/>
            <w:shd w:val="clear" w:color="auto" w:fill="auto"/>
            <w:vAlign w:val="center"/>
          </w:tcPr>
          <w:p w14:paraId="0AF2DF55">
            <w:pPr>
              <w:autoSpaceDE w:val="0"/>
              <w:autoSpaceDN w:val="0"/>
              <w:adjustRightInd w:val="0"/>
              <w:spacing w:line="360" w:lineRule="auto"/>
              <w:jc w:val="center"/>
              <w:rPr>
                <w:rFonts w:hint="eastAsia"/>
                <w:lang w:val="en-US" w:eastAsia="zh-CN"/>
              </w:rPr>
            </w:pPr>
          </w:p>
        </w:tc>
      </w:tr>
      <w:tr w14:paraId="6A17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842" w:type="dxa"/>
            <w:shd w:val="clear" w:color="auto" w:fill="auto"/>
            <w:vAlign w:val="center"/>
          </w:tcPr>
          <w:p w14:paraId="56989B69">
            <w:pPr>
              <w:jc w:val="center"/>
              <w:rPr>
                <w:rFonts w:hint="eastAsia" w:asciiTheme="minorHAnsi" w:hAnsiTheme="minorHAnsi" w:eastAsiaTheme="minorEastAsia" w:cstheme="minorBidi"/>
                <w:kern w:val="2"/>
                <w:sz w:val="24"/>
                <w:szCs w:val="24"/>
                <w:lang w:val="en-US" w:eastAsia="zh-CN" w:bidi="ar-SA"/>
              </w:rPr>
            </w:pPr>
            <w:r>
              <w:rPr>
                <w:rFonts w:hint="eastAsia"/>
                <w:sz w:val="24"/>
                <w:lang w:val="en-US" w:eastAsia="zh-CN"/>
              </w:rPr>
              <w:t>3</w:t>
            </w:r>
          </w:p>
        </w:tc>
        <w:tc>
          <w:tcPr>
            <w:tcW w:w="2485" w:type="dxa"/>
            <w:shd w:val="clear" w:color="auto" w:fill="auto"/>
            <w:vAlign w:val="center"/>
          </w:tcPr>
          <w:p w14:paraId="5A6FB03E">
            <w:pPr>
              <w:jc w:val="center"/>
              <w:rPr>
                <w:rFonts w:hint="eastAsia" w:cstheme="minorBidi"/>
                <w:kern w:val="2"/>
                <w:sz w:val="24"/>
                <w:szCs w:val="24"/>
                <w:lang w:val="en-US" w:eastAsia="zh-CN" w:bidi="ar-SA"/>
              </w:rPr>
            </w:pPr>
            <w:r>
              <w:rPr>
                <w:rFonts w:hint="eastAsia" w:cstheme="minorBidi"/>
                <w:kern w:val="2"/>
                <w:sz w:val="24"/>
                <w:szCs w:val="24"/>
                <w:lang w:val="en-US" w:eastAsia="zh-CN" w:bidi="ar-SA"/>
              </w:rPr>
              <w:t>供电系统运行</w:t>
            </w:r>
          </w:p>
          <w:p w14:paraId="54F5BA39">
            <w:pPr>
              <w:jc w:val="center"/>
              <w:rPr>
                <w:rFonts w:hint="eastAsia" w:ascii="宋体" w:hAnsi="宋体" w:eastAsiaTheme="minorEastAsia" w:cstheme="minorBidi"/>
                <w:kern w:val="2"/>
                <w:sz w:val="24"/>
                <w:szCs w:val="24"/>
                <w:lang w:val="en-US" w:eastAsia="zh-CN" w:bidi="ar-SA"/>
              </w:rPr>
            </w:pPr>
            <w:r>
              <w:rPr>
                <w:rFonts w:hint="eastAsia" w:cstheme="minorBidi"/>
                <w:kern w:val="2"/>
                <w:sz w:val="24"/>
                <w:szCs w:val="24"/>
                <w:lang w:val="en-US" w:eastAsia="zh-CN" w:bidi="ar-SA"/>
              </w:rPr>
              <w:t>日常检查</w:t>
            </w:r>
          </w:p>
        </w:tc>
        <w:tc>
          <w:tcPr>
            <w:tcW w:w="2005" w:type="dxa"/>
            <w:shd w:val="clear" w:color="auto" w:fill="auto"/>
            <w:vAlign w:val="center"/>
          </w:tcPr>
          <w:p w14:paraId="5C01D8E5">
            <w:pPr>
              <w:autoSpaceDE w:val="0"/>
              <w:autoSpaceDN w:val="0"/>
              <w:adjustRightInd w:val="0"/>
              <w:spacing w:line="360" w:lineRule="auto"/>
              <w:jc w:val="center"/>
              <w:rPr>
                <w:rFonts w:hint="default" w:ascii="宋体" w:hAnsi="宋体" w:cs="Times New Roman" w:eastAsiaTheme="minorEastAsia"/>
                <w:sz w:val="24"/>
                <w:lang w:val="en-US" w:eastAsia="zh-CN"/>
              </w:rPr>
            </w:pPr>
            <w:r>
              <w:rPr>
                <w:rFonts w:hint="eastAsia" w:ascii="宋体" w:hAnsi="宋体" w:cstheme="minorBidi"/>
                <w:kern w:val="2"/>
                <w:sz w:val="24"/>
                <w:szCs w:val="24"/>
                <w:lang w:val="en-US" w:eastAsia="zh-CN" w:bidi="ar-SA"/>
              </w:rPr>
              <w:t>1</w:t>
            </w:r>
          </w:p>
        </w:tc>
        <w:tc>
          <w:tcPr>
            <w:tcW w:w="1967" w:type="dxa"/>
            <w:shd w:val="clear" w:color="auto" w:fill="auto"/>
            <w:vAlign w:val="center"/>
          </w:tcPr>
          <w:p w14:paraId="7E00A0B7">
            <w:pPr>
              <w:autoSpaceDE w:val="0"/>
              <w:autoSpaceDN w:val="0"/>
              <w:adjustRightInd w:val="0"/>
              <w:spacing w:line="360" w:lineRule="auto"/>
              <w:jc w:val="center"/>
              <w:rPr>
                <w:rFonts w:hint="eastAsia" w:ascii="宋体" w:hAnsi="宋体" w:cs="Times New Roman" w:eastAsiaTheme="minorEastAsia"/>
                <w:sz w:val="24"/>
                <w:lang w:val="en-US" w:eastAsia="zh-CN"/>
              </w:rPr>
            </w:pPr>
            <w:r>
              <w:rPr>
                <w:rFonts w:hint="eastAsia" w:ascii="宋体" w:hAnsi="宋体" w:cstheme="minorBidi"/>
                <w:kern w:val="2"/>
                <w:sz w:val="24"/>
                <w:szCs w:val="24"/>
                <w:lang w:val="en-US" w:eastAsia="zh-CN" w:bidi="ar-SA"/>
              </w:rPr>
              <w:t>组</w:t>
            </w:r>
          </w:p>
        </w:tc>
        <w:tc>
          <w:tcPr>
            <w:tcW w:w="1601" w:type="dxa"/>
            <w:shd w:val="clear" w:color="auto" w:fill="auto"/>
            <w:vAlign w:val="center"/>
          </w:tcPr>
          <w:p w14:paraId="39C3D00F">
            <w:pPr>
              <w:autoSpaceDE w:val="0"/>
              <w:autoSpaceDN w:val="0"/>
              <w:adjustRightInd w:val="0"/>
              <w:spacing w:line="360" w:lineRule="auto"/>
              <w:jc w:val="center"/>
              <w:rPr>
                <w:rFonts w:asciiTheme="minorHAnsi" w:hAnsiTheme="minorHAnsi" w:eastAsiaTheme="minorEastAsia" w:cstheme="minorBidi"/>
                <w:kern w:val="2"/>
                <w:sz w:val="24"/>
                <w:szCs w:val="24"/>
                <w:lang w:val="en-US" w:eastAsia="zh-CN" w:bidi="ar-SA"/>
              </w:rPr>
            </w:pPr>
          </w:p>
        </w:tc>
      </w:tr>
      <w:tr w14:paraId="5997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842" w:type="dxa"/>
            <w:vAlign w:val="center"/>
          </w:tcPr>
          <w:p w14:paraId="57E2BEAA">
            <w:pPr>
              <w:jc w:val="center"/>
              <w:rPr>
                <w:rFonts w:hint="eastAsia" w:cstheme="minorBidi"/>
                <w:kern w:val="2"/>
                <w:sz w:val="24"/>
                <w:szCs w:val="24"/>
                <w:lang w:val="en-US" w:eastAsia="zh-CN" w:bidi="ar-SA"/>
              </w:rPr>
            </w:pPr>
          </w:p>
          <w:p w14:paraId="57A3F232">
            <w:pPr>
              <w:jc w:val="center"/>
              <w:rPr>
                <w:rFonts w:hint="default"/>
                <w:sz w:val="24"/>
                <w:lang w:val="en-US" w:eastAsia="zh-CN"/>
              </w:rPr>
            </w:pPr>
            <w:r>
              <w:rPr>
                <w:rFonts w:hint="eastAsia" w:cstheme="minorBidi"/>
                <w:kern w:val="2"/>
                <w:sz w:val="24"/>
                <w:szCs w:val="24"/>
                <w:lang w:val="en-US" w:eastAsia="zh-CN" w:bidi="ar-SA"/>
              </w:rPr>
              <w:t>4</w:t>
            </w:r>
          </w:p>
        </w:tc>
        <w:tc>
          <w:tcPr>
            <w:tcW w:w="2485" w:type="dxa"/>
            <w:vAlign w:val="center"/>
          </w:tcPr>
          <w:p w14:paraId="21545FC6">
            <w:pPr>
              <w:jc w:val="center"/>
              <w:rPr>
                <w:rFonts w:hint="default" w:ascii="宋体" w:hAnsi="宋体" w:eastAsiaTheme="minorEastAsia"/>
                <w:sz w:val="24"/>
                <w:lang w:val="en-US" w:eastAsia="zh-CN"/>
              </w:rPr>
            </w:pPr>
            <w:r>
              <w:rPr>
                <w:rFonts w:hint="eastAsia" w:cstheme="minorBidi"/>
                <w:kern w:val="2"/>
                <w:sz w:val="24"/>
                <w:szCs w:val="24"/>
                <w:lang w:val="en-US" w:eastAsia="zh-CN" w:bidi="ar-SA"/>
              </w:rPr>
              <w:t>电梯运行维保</w:t>
            </w:r>
          </w:p>
        </w:tc>
        <w:tc>
          <w:tcPr>
            <w:tcW w:w="2005" w:type="dxa"/>
            <w:vAlign w:val="center"/>
          </w:tcPr>
          <w:p w14:paraId="3AF7F94B">
            <w:pPr>
              <w:autoSpaceDE w:val="0"/>
              <w:autoSpaceDN w:val="0"/>
              <w:adjustRightInd w:val="0"/>
              <w:spacing w:line="360" w:lineRule="auto"/>
              <w:jc w:val="center"/>
              <w:rPr>
                <w:rFonts w:hint="eastAsia" w:ascii="宋体" w:hAnsi="宋体" w:cs="Times New Roman" w:eastAsiaTheme="minorEastAsia"/>
                <w:sz w:val="24"/>
                <w:lang w:val="en-US" w:eastAsia="zh-CN"/>
              </w:rPr>
            </w:pPr>
            <w:r>
              <w:rPr>
                <w:rFonts w:hint="eastAsia" w:ascii="宋体" w:hAnsi="宋体" w:eastAsiaTheme="minorEastAsia" w:cstheme="minorBidi"/>
                <w:kern w:val="2"/>
                <w:sz w:val="24"/>
                <w:szCs w:val="24"/>
                <w:lang w:val="en-US" w:eastAsia="zh-CN" w:bidi="ar-SA"/>
              </w:rPr>
              <w:t>11</w:t>
            </w:r>
          </w:p>
        </w:tc>
        <w:tc>
          <w:tcPr>
            <w:tcW w:w="1967" w:type="dxa"/>
            <w:vAlign w:val="center"/>
          </w:tcPr>
          <w:p w14:paraId="7B6E210C">
            <w:pPr>
              <w:autoSpaceDE w:val="0"/>
              <w:autoSpaceDN w:val="0"/>
              <w:adjustRightInd w:val="0"/>
              <w:spacing w:line="360" w:lineRule="auto"/>
              <w:jc w:val="center"/>
              <w:rPr>
                <w:rFonts w:hint="eastAsia" w:ascii="宋体" w:hAnsi="宋体" w:cs="Times New Roman" w:eastAsiaTheme="minorEastAsia"/>
                <w:sz w:val="24"/>
                <w:lang w:val="en-US" w:eastAsia="zh-CN"/>
              </w:rPr>
            </w:pPr>
            <w:r>
              <w:rPr>
                <w:rFonts w:hint="eastAsia" w:ascii="宋体" w:hAnsi="宋体" w:cstheme="minorBidi"/>
                <w:kern w:val="2"/>
                <w:sz w:val="24"/>
                <w:szCs w:val="24"/>
                <w:lang w:val="en-US" w:eastAsia="zh-CN" w:bidi="ar-SA"/>
              </w:rPr>
              <w:t>台</w:t>
            </w:r>
          </w:p>
        </w:tc>
        <w:tc>
          <w:tcPr>
            <w:tcW w:w="1601" w:type="dxa"/>
            <w:vAlign w:val="center"/>
          </w:tcPr>
          <w:p w14:paraId="03379A8B">
            <w:pPr>
              <w:autoSpaceDE w:val="0"/>
              <w:autoSpaceDN w:val="0"/>
              <w:adjustRightInd w:val="0"/>
              <w:spacing w:line="360" w:lineRule="auto"/>
              <w:jc w:val="center"/>
              <w:rPr>
                <w:rFonts w:hint="default" w:ascii="宋体" w:hAnsi="宋体" w:eastAsiaTheme="minorEastAsia"/>
                <w:sz w:val="24"/>
                <w:lang w:val="en-US" w:eastAsia="zh-CN"/>
              </w:rPr>
            </w:pPr>
          </w:p>
        </w:tc>
      </w:tr>
      <w:tr w14:paraId="7F79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842" w:type="dxa"/>
            <w:shd w:val="clear" w:color="auto" w:fill="auto"/>
            <w:vAlign w:val="center"/>
          </w:tcPr>
          <w:p w14:paraId="6B509504">
            <w:pPr>
              <w:jc w:val="center"/>
              <w:rPr>
                <w:rFonts w:hint="default" w:cstheme="minorBidi"/>
                <w:kern w:val="2"/>
                <w:sz w:val="24"/>
                <w:szCs w:val="24"/>
                <w:lang w:val="en-US" w:eastAsia="zh-CN" w:bidi="ar-SA"/>
              </w:rPr>
            </w:pPr>
            <w:r>
              <w:rPr>
                <w:rFonts w:hint="eastAsia" w:cstheme="minorBidi"/>
                <w:kern w:val="2"/>
                <w:sz w:val="24"/>
                <w:szCs w:val="24"/>
                <w:lang w:val="en-US" w:eastAsia="zh-CN" w:bidi="ar-SA"/>
              </w:rPr>
              <w:t>5</w:t>
            </w:r>
          </w:p>
        </w:tc>
        <w:tc>
          <w:tcPr>
            <w:tcW w:w="2485" w:type="dxa"/>
            <w:shd w:val="clear" w:color="auto" w:fill="auto"/>
            <w:vAlign w:val="center"/>
          </w:tcPr>
          <w:p w14:paraId="3DD3716D">
            <w:pPr>
              <w:jc w:val="center"/>
              <w:rPr>
                <w:rFonts w:hint="default" w:cstheme="minorBidi"/>
                <w:kern w:val="2"/>
                <w:sz w:val="24"/>
                <w:szCs w:val="24"/>
                <w:lang w:val="en-US" w:eastAsia="zh-CN" w:bidi="ar-SA"/>
              </w:rPr>
            </w:pPr>
            <w:r>
              <w:rPr>
                <w:rFonts w:hint="eastAsia" w:cstheme="minorBidi"/>
                <w:kern w:val="2"/>
                <w:sz w:val="24"/>
                <w:szCs w:val="24"/>
                <w:lang w:val="en-US" w:eastAsia="zh-CN" w:bidi="ar-SA"/>
              </w:rPr>
              <w:t>中央空调运行维保</w:t>
            </w:r>
          </w:p>
        </w:tc>
        <w:tc>
          <w:tcPr>
            <w:tcW w:w="2005" w:type="dxa"/>
            <w:shd w:val="clear" w:color="auto" w:fill="auto"/>
            <w:vAlign w:val="center"/>
          </w:tcPr>
          <w:p w14:paraId="53C17AF9">
            <w:pPr>
              <w:autoSpaceDE w:val="0"/>
              <w:autoSpaceDN w:val="0"/>
              <w:adjustRightInd w:val="0"/>
              <w:spacing w:line="360" w:lineRule="auto"/>
              <w:jc w:val="center"/>
              <w:rPr>
                <w:rFonts w:hint="default"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5</w:t>
            </w:r>
          </w:p>
        </w:tc>
        <w:tc>
          <w:tcPr>
            <w:tcW w:w="1967" w:type="dxa"/>
            <w:shd w:val="clear" w:color="auto" w:fill="auto"/>
            <w:vAlign w:val="center"/>
          </w:tcPr>
          <w:p w14:paraId="301F230D">
            <w:pPr>
              <w:autoSpaceDE w:val="0"/>
              <w:autoSpaceDN w:val="0"/>
              <w:adjustRightInd w:val="0"/>
              <w:spacing w:line="360" w:lineRule="auto"/>
              <w:jc w:val="center"/>
              <w:rPr>
                <w:rFonts w:hint="default" w:ascii="宋体" w:hAnsi="宋体" w:eastAsiaTheme="minorEastAsia" w:cstheme="minorBidi"/>
                <w:kern w:val="2"/>
                <w:sz w:val="24"/>
                <w:szCs w:val="24"/>
                <w:lang w:val="en-US" w:eastAsia="zh-CN" w:bidi="ar-SA"/>
              </w:rPr>
            </w:pPr>
            <w:r>
              <w:rPr>
                <w:rFonts w:hint="eastAsia" w:ascii="宋体" w:hAnsi="宋体" w:cstheme="minorBidi"/>
                <w:kern w:val="2"/>
                <w:sz w:val="24"/>
                <w:szCs w:val="24"/>
                <w:lang w:val="en-US" w:eastAsia="zh-CN" w:bidi="ar-SA"/>
              </w:rPr>
              <w:t>台</w:t>
            </w:r>
          </w:p>
        </w:tc>
        <w:tc>
          <w:tcPr>
            <w:tcW w:w="1601" w:type="dxa"/>
            <w:shd w:val="clear" w:color="auto" w:fill="auto"/>
            <w:vAlign w:val="center"/>
          </w:tcPr>
          <w:p w14:paraId="47F7E33B">
            <w:pPr>
              <w:jc w:val="center"/>
              <w:rPr>
                <w:rFonts w:hint="eastAsia" w:ascii="宋体" w:hAnsi="宋体" w:eastAsiaTheme="minorEastAsia" w:cstheme="minorBidi"/>
                <w:kern w:val="2"/>
                <w:sz w:val="24"/>
                <w:szCs w:val="24"/>
                <w:lang w:val="en-US" w:eastAsia="zh-CN" w:bidi="ar-SA"/>
              </w:rPr>
            </w:pPr>
          </w:p>
        </w:tc>
      </w:tr>
      <w:tr w14:paraId="1EF1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842" w:type="dxa"/>
            <w:vAlign w:val="center"/>
          </w:tcPr>
          <w:p w14:paraId="08137E33">
            <w:pPr>
              <w:jc w:val="center"/>
              <w:rPr>
                <w:rFonts w:hint="default" w:cstheme="minorBidi"/>
                <w:kern w:val="2"/>
                <w:sz w:val="24"/>
                <w:szCs w:val="24"/>
                <w:lang w:val="en-US" w:eastAsia="zh-CN" w:bidi="ar-SA"/>
              </w:rPr>
            </w:pPr>
            <w:r>
              <w:rPr>
                <w:rFonts w:hint="eastAsia" w:cstheme="minorBidi"/>
                <w:kern w:val="2"/>
                <w:sz w:val="24"/>
                <w:szCs w:val="24"/>
                <w:lang w:val="en-US" w:eastAsia="zh-CN" w:bidi="ar-SA"/>
              </w:rPr>
              <w:t>6</w:t>
            </w:r>
          </w:p>
        </w:tc>
        <w:tc>
          <w:tcPr>
            <w:tcW w:w="2485" w:type="dxa"/>
            <w:shd w:val="clear" w:color="auto" w:fill="auto"/>
            <w:vAlign w:val="center"/>
          </w:tcPr>
          <w:p w14:paraId="6D19DA7E">
            <w:pPr>
              <w:jc w:val="center"/>
              <w:rPr>
                <w:rFonts w:hint="eastAsia" w:cstheme="minorBidi"/>
                <w:kern w:val="2"/>
                <w:sz w:val="24"/>
                <w:szCs w:val="24"/>
                <w:lang w:val="en-US" w:eastAsia="zh-CN" w:bidi="ar-SA"/>
              </w:rPr>
            </w:pPr>
            <w:r>
              <w:rPr>
                <w:rFonts w:hint="eastAsia" w:cstheme="minorBidi"/>
                <w:kern w:val="2"/>
                <w:sz w:val="24"/>
                <w:szCs w:val="24"/>
                <w:lang w:val="en-US" w:eastAsia="zh-CN" w:bidi="ar-SA"/>
              </w:rPr>
              <w:t>消防系统运行维保</w:t>
            </w:r>
          </w:p>
        </w:tc>
        <w:tc>
          <w:tcPr>
            <w:tcW w:w="2005" w:type="dxa"/>
            <w:vAlign w:val="center"/>
          </w:tcPr>
          <w:p w14:paraId="695EA08B">
            <w:pPr>
              <w:autoSpaceDE w:val="0"/>
              <w:autoSpaceDN w:val="0"/>
              <w:adjustRightInd w:val="0"/>
              <w:spacing w:line="360" w:lineRule="auto"/>
              <w:jc w:val="center"/>
              <w:rPr>
                <w:rFonts w:hint="default"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1</w:t>
            </w:r>
          </w:p>
        </w:tc>
        <w:tc>
          <w:tcPr>
            <w:tcW w:w="1967" w:type="dxa"/>
            <w:vAlign w:val="center"/>
          </w:tcPr>
          <w:p w14:paraId="6AFE0CE1">
            <w:pPr>
              <w:autoSpaceDE w:val="0"/>
              <w:autoSpaceDN w:val="0"/>
              <w:adjustRightInd w:val="0"/>
              <w:spacing w:line="360" w:lineRule="auto"/>
              <w:jc w:val="center"/>
              <w:rPr>
                <w:rFonts w:hint="default" w:ascii="宋体" w:hAnsi="宋体" w:eastAsiaTheme="minorEastAsia" w:cstheme="minorBidi"/>
                <w:kern w:val="2"/>
                <w:sz w:val="24"/>
                <w:szCs w:val="24"/>
                <w:lang w:val="en-US" w:eastAsia="zh-CN" w:bidi="ar-SA"/>
              </w:rPr>
            </w:pPr>
            <w:r>
              <w:rPr>
                <w:rFonts w:hint="eastAsia" w:ascii="宋体" w:hAnsi="宋体" w:cstheme="minorBidi"/>
                <w:kern w:val="2"/>
                <w:sz w:val="24"/>
                <w:szCs w:val="24"/>
                <w:lang w:val="en-US" w:eastAsia="zh-CN" w:bidi="ar-SA"/>
              </w:rPr>
              <w:t>套</w:t>
            </w:r>
          </w:p>
        </w:tc>
        <w:tc>
          <w:tcPr>
            <w:tcW w:w="1601" w:type="dxa"/>
            <w:vAlign w:val="center"/>
          </w:tcPr>
          <w:p w14:paraId="5B001FF8">
            <w:pPr>
              <w:jc w:val="center"/>
              <w:rPr>
                <w:rFonts w:hint="eastAsia" w:ascii="宋体" w:hAnsi="宋体" w:eastAsiaTheme="minorEastAsia" w:cstheme="minorBidi"/>
                <w:kern w:val="2"/>
                <w:sz w:val="24"/>
                <w:szCs w:val="24"/>
                <w:lang w:val="en-US" w:eastAsia="zh-CN" w:bidi="ar-SA"/>
              </w:rPr>
            </w:pPr>
          </w:p>
        </w:tc>
      </w:tr>
      <w:tr w14:paraId="6999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842" w:type="dxa"/>
            <w:vAlign w:val="center"/>
          </w:tcPr>
          <w:p w14:paraId="55E6A0E8">
            <w:pPr>
              <w:jc w:val="center"/>
              <w:rPr>
                <w:rFonts w:hint="default" w:cstheme="minorBidi"/>
                <w:kern w:val="2"/>
                <w:sz w:val="24"/>
                <w:szCs w:val="24"/>
                <w:lang w:val="en-US" w:eastAsia="zh-CN" w:bidi="ar-SA"/>
              </w:rPr>
            </w:pPr>
            <w:r>
              <w:rPr>
                <w:rFonts w:hint="eastAsia"/>
                <w:sz w:val="24"/>
                <w:lang w:val="en-US" w:eastAsia="zh-CN"/>
              </w:rPr>
              <w:t>7</w:t>
            </w:r>
          </w:p>
        </w:tc>
        <w:tc>
          <w:tcPr>
            <w:tcW w:w="2485" w:type="dxa"/>
            <w:shd w:val="clear" w:color="auto" w:fill="auto"/>
            <w:vAlign w:val="center"/>
          </w:tcPr>
          <w:p w14:paraId="4C6687B3">
            <w:pPr>
              <w:autoSpaceDE w:val="0"/>
              <w:autoSpaceDN w:val="0"/>
              <w:adjustRightInd w:val="0"/>
              <w:spacing w:line="360" w:lineRule="auto"/>
              <w:jc w:val="center"/>
              <w:rPr>
                <w:rFonts w:hint="default" w:cstheme="minorBidi"/>
                <w:kern w:val="2"/>
                <w:sz w:val="24"/>
                <w:szCs w:val="24"/>
                <w:lang w:val="en-US" w:eastAsia="zh-CN" w:bidi="ar-SA"/>
              </w:rPr>
            </w:pPr>
            <w:r>
              <w:rPr>
                <w:rFonts w:hint="eastAsia" w:cstheme="minorBidi"/>
                <w:kern w:val="2"/>
                <w:sz w:val="24"/>
                <w:szCs w:val="24"/>
                <w:lang w:val="en-US" w:eastAsia="zh-CN" w:bidi="ar-SA"/>
              </w:rPr>
              <w:t>避雷检测</w:t>
            </w:r>
          </w:p>
        </w:tc>
        <w:tc>
          <w:tcPr>
            <w:tcW w:w="2005" w:type="dxa"/>
            <w:vAlign w:val="center"/>
          </w:tcPr>
          <w:p w14:paraId="4AD33949">
            <w:pPr>
              <w:autoSpaceDE w:val="0"/>
              <w:autoSpaceDN w:val="0"/>
              <w:adjustRightInd w:val="0"/>
              <w:spacing w:line="360" w:lineRule="auto"/>
              <w:jc w:val="center"/>
              <w:rPr>
                <w:rFonts w:hint="default"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1</w:t>
            </w:r>
          </w:p>
        </w:tc>
        <w:tc>
          <w:tcPr>
            <w:tcW w:w="1967" w:type="dxa"/>
            <w:vAlign w:val="center"/>
          </w:tcPr>
          <w:p w14:paraId="2C1F11B7">
            <w:pPr>
              <w:autoSpaceDE w:val="0"/>
              <w:autoSpaceDN w:val="0"/>
              <w:adjustRightInd w:val="0"/>
              <w:spacing w:line="360" w:lineRule="auto"/>
              <w:jc w:val="center"/>
              <w:rPr>
                <w:rFonts w:hint="default"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年/次</w:t>
            </w:r>
          </w:p>
        </w:tc>
        <w:tc>
          <w:tcPr>
            <w:tcW w:w="1601" w:type="dxa"/>
            <w:vAlign w:val="center"/>
          </w:tcPr>
          <w:p w14:paraId="12D115B2">
            <w:pPr>
              <w:jc w:val="center"/>
              <w:rPr>
                <w:rFonts w:hint="default" w:ascii="宋体" w:hAnsi="宋体" w:eastAsiaTheme="minorEastAsia" w:cstheme="minorBidi"/>
                <w:kern w:val="2"/>
                <w:sz w:val="24"/>
                <w:szCs w:val="24"/>
                <w:lang w:val="en-US" w:eastAsia="zh-CN" w:bidi="ar-SA"/>
              </w:rPr>
            </w:pPr>
            <w:r>
              <w:rPr>
                <w:rFonts w:hint="eastAsia" w:ascii="宋体" w:hAnsi="宋体" w:eastAsiaTheme="minorEastAsia" w:cstheme="minorBidi"/>
                <w:kern w:val="2"/>
                <w:sz w:val="24"/>
                <w:szCs w:val="24"/>
                <w:lang w:val="en-US" w:eastAsia="zh-CN" w:bidi="ar-SA"/>
              </w:rPr>
              <w:t>96个点位</w:t>
            </w:r>
          </w:p>
        </w:tc>
      </w:tr>
      <w:tr w14:paraId="76E0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842" w:type="dxa"/>
            <w:vAlign w:val="center"/>
          </w:tcPr>
          <w:p w14:paraId="1560F59F">
            <w:pPr>
              <w:jc w:val="center"/>
              <w:rPr>
                <w:rFonts w:hint="default" w:cstheme="minorBidi"/>
                <w:kern w:val="2"/>
                <w:sz w:val="24"/>
                <w:szCs w:val="24"/>
                <w:lang w:val="en-US" w:eastAsia="zh-CN" w:bidi="ar-SA"/>
              </w:rPr>
            </w:pPr>
            <w:r>
              <w:rPr>
                <w:rFonts w:hint="eastAsia"/>
                <w:sz w:val="24"/>
                <w:lang w:val="en-US" w:eastAsia="zh-CN"/>
              </w:rPr>
              <w:t>8</w:t>
            </w:r>
          </w:p>
        </w:tc>
        <w:tc>
          <w:tcPr>
            <w:tcW w:w="2485" w:type="dxa"/>
            <w:shd w:val="clear" w:color="auto" w:fill="auto"/>
            <w:vAlign w:val="center"/>
          </w:tcPr>
          <w:p w14:paraId="7F25D7C1">
            <w:pPr>
              <w:autoSpaceDE w:val="0"/>
              <w:autoSpaceDN w:val="0"/>
              <w:adjustRightInd w:val="0"/>
              <w:spacing w:line="360" w:lineRule="auto"/>
              <w:jc w:val="center"/>
              <w:rPr>
                <w:rFonts w:hint="default" w:cstheme="minorBidi"/>
                <w:kern w:val="2"/>
                <w:sz w:val="24"/>
                <w:szCs w:val="24"/>
                <w:lang w:val="en-US" w:eastAsia="zh-CN" w:bidi="ar-SA"/>
              </w:rPr>
            </w:pPr>
            <w:r>
              <w:rPr>
                <w:rFonts w:hint="eastAsia" w:ascii="宋体" w:hAnsi="宋体"/>
                <w:sz w:val="24"/>
                <w:lang w:val="en-US" w:eastAsia="zh-CN"/>
              </w:rPr>
              <w:t>停车场服务</w:t>
            </w:r>
          </w:p>
        </w:tc>
        <w:tc>
          <w:tcPr>
            <w:tcW w:w="2005" w:type="dxa"/>
            <w:vAlign w:val="center"/>
          </w:tcPr>
          <w:p w14:paraId="5367E68A">
            <w:pPr>
              <w:autoSpaceDE w:val="0"/>
              <w:autoSpaceDN w:val="0"/>
              <w:adjustRightInd w:val="0"/>
              <w:spacing w:line="360" w:lineRule="auto"/>
              <w:jc w:val="center"/>
              <w:rPr>
                <w:rFonts w:hint="default" w:ascii="宋体" w:hAnsi="宋体" w:eastAsiaTheme="minorEastAsia" w:cstheme="minorBidi"/>
                <w:kern w:val="2"/>
                <w:sz w:val="24"/>
                <w:szCs w:val="24"/>
                <w:lang w:val="en-US" w:eastAsia="zh-CN" w:bidi="ar-SA"/>
              </w:rPr>
            </w:pPr>
            <w:r>
              <w:rPr>
                <w:rFonts w:hint="eastAsia" w:ascii="宋体" w:hAnsi="宋体" w:cs="Times New Roman" w:eastAsiaTheme="minorEastAsia"/>
                <w:sz w:val="24"/>
                <w:lang w:val="en-US" w:eastAsia="zh-CN"/>
              </w:rPr>
              <w:t>21397.7</w:t>
            </w:r>
          </w:p>
        </w:tc>
        <w:tc>
          <w:tcPr>
            <w:tcW w:w="1967" w:type="dxa"/>
            <w:vAlign w:val="center"/>
          </w:tcPr>
          <w:p w14:paraId="2D97D49B">
            <w:pPr>
              <w:autoSpaceDE w:val="0"/>
              <w:autoSpaceDN w:val="0"/>
              <w:adjustRightInd w:val="0"/>
              <w:spacing w:line="360" w:lineRule="auto"/>
              <w:jc w:val="center"/>
              <w:rPr>
                <w:rFonts w:hint="default" w:ascii="宋体" w:hAnsi="宋体" w:cstheme="minorBidi"/>
                <w:kern w:val="2"/>
                <w:sz w:val="24"/>
                <w:szCs w:val="24"/>
                <w:lang w:val="en-US" w:eastAsia="zh-CN" w:bidi="ar-SA"/>
              </w:rPr>
            </w:pPr>
            <w:r>
              <w:rPr>
                <w:rFonts w:hint="eastAsia" w:ascii="宋体" w:hAnsi="宋体" w:cs="Times New Roman" w:eastAsiaTheme="minorEastAsia"/>
                <w:sz w:val="24"/>
                <w:lang w:val="en-US" w:eastAsia="zh-CN"/>
              </w:rPr>
              <w:t>平方米</w:t>
            </w:r>
          </w:p>
        </w:tc>
        <w:tc>
          <w:tcPr>
            <w:tcW w:w="1601" w:type="dxa"/>
            <w:vAlign w:val="center"/>
          </w:tcPr>
          <w:p w14:paraId="05AB98F0">
            <w:pPr>
              <w:autoSpaceDE w:val="0"/>
              <w:autoSpaceDN w:val="0"/>
              <w:adjustRightInd w:val="0"/>
              <w:spacing w:line="360" w:lineRule="auto"/>
              <w:jc w:val="center"/>
              <w:rPr>
                <w:rFonts w:hint="eastAsia" w:ascii="宋体" w:hAnsi="宋体" w:eastAsiaTheme="minorEastAsia" w:cstheme="minorBidi"/>
                <w:kern w:val="2"/>
                <w:sz w:val="24"/>
                <w:szCs w:val="24"/>
                <w:lang w:val="en-US" w:eastAsia="zh-CN" w:bidi="ar-SA"/>
              </w:rPr>
            </w:pPr>
          </w:p>
        </w:tc>
      </w:tr>
      <w:tr w14:paraId="7311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842" w:type="dxa"/>
            <w:vAlign w:val="center"/>
          </w:tcPr>
          <w:p w14:paraId="21FB86EF">
            <w:pPr>
              <w:jc w:val="center"/>
              <w:rPr>
                <w:rFonts w:hint="default" w:cstheme="minorBidi"/>
                <w:kern w:val="2"/>
                <w:sz w:val="24"/>
                <w:szCs w:val="24"/>
                <w:lang w:val="en-US" w:eastAsia="zh-CN" w:bidi="ar-SA"/>
              </w:rPr>
            </w:pPr>
            <w:r>
              <w:rPr>
                <w:rFonts w:hint="eastAsia"/>
                <w:sz w:val="24"/>
                <w:lang w:val="en-US" w:eastAsia="zh-CN"/>
              </w:rPr>
              <w:t>9</w:t>
            </w:r>
          </w:p>
        </w:tc>
        <w:tc>
          <w:tcPr>
            <w:tcW w:w="2485" w:type="dxa"/>
            <w:shd w:val="clear" w:color="auto" w:fill="auto"/>
            <w:vAlign w:val="center"/>
          </w:tcPr>
          <w:p w14:paraId="60D8D7C6">
            <w:pPr>
              <w:autoSpaceDE w:val="0"/>
              <w:autoSpaceDN w:val="0"/>
              <w:adjustRightInd w:val="0"/>
              <w:spacing w:line="360" w:lineRule="auto"/>
              <w:jc w:val="center"/>
              <w:rPr>
                <w:rFonts w:hint="default" w:cstheme="minorBidi"/>
                <w:kern w:val="2"/>
                <w:sz w:val="24"/>
                <w:szCs w:val="24"/>
                <w:lang w:val="en-US" w:eastAsia="zh-CN" w:bidi="ar-SA"/>
              </w:rPr>
            </w:pPr>
            <w:r>
              <w:rPr>
                <w:rFonts w:ascii="宋体" w:hAnsi="宋体"/>
                <w:sz w:val="24"/>
              </w:rPr>
              <w:t>会议服务</w:t>
            </w:r>
          </w:p>
        </w:tc>
        <w:tc>
          <w:tcPr>
            <w:tcW w:w="2005" w:type="dxa"/>
            <w:vAlign w:val="center"/>
          </w:tcPr>
          <w:p w14:paraId="654ABF2D">
            <w:pPr>
              <w:autoSpaceDE w:val="0"/>
              <w:autoSpaceDN w:val="0"/>
              <w:adjustRightInd w:val="0"/>
              <w:spacing w:line="360" w:lineRule="auto"/>
              <w:jc w:val="center"/>
              <w:rPr>
                <w:rFonts w:hint="default" w:ascii="宋体" w:hAnsi="宋体" w:eastAsiaTheme="minorEastAsia" w:cstheme="minorBidi"/>
                <w:kern w:val="2"/>
                <w:sz w:val="24"/>
                <w:szCs w:val="24"/>
                <w:lang w:val="en-US" w:eastAsia="zh-CN" w:bidi="ar-SA"/>
              </w:rPr>
            </w:pPr>
            <w:r>
              <w:rPr>
                <w:rFonts w:hint="eastAsia" w:ascii="宋体" w:hAnsi="宋体" w:eastAsiaTheme="minorEastAsia"/>
                <w:sz w:val="24"/>
                <w:lang w:val="en-US" w:eastAsia="zh-CN"/>
              </w:rPr>
              <w:t>11273.5</w:t>
            </w:r>
          </w:p>
        </w:tc>
        <w:tc>
          <w:tcPr>
            <w:tcW w:w="1967" w:type="dxa"/>
            <w:vAlign w:val="center"/>
          </w:tcPr>
          <w:p w14:paraId="697965BB">
            <w:pPr>
              <w:autoSpaceDE w:val="0"/>
              <w:autoSpaceDN w:val="0"/>
              <w:adjustRightInd w:val="0"/>
              <w:spacing w:line="360" w:lineRule="auto"/>
              <w:jc w:val="center"/>
              <w:rPr>
                <w:rFonts w:hint="default" w:ascii="宋体" w:hAnsi="宋体" w:cstheme="minorBidi"/>
                <w:kern w:val="2"/>
                <w:sz w:val="24"/>
                <w:szCs w:val="24"/>
                <w:lang w:val="en-US" w:eastAsia="zh-CN" w:bidi="ar-SA"/>
              </w:rPr>
            </w:pPr>
            <w:r>
              <w:rPr>
                <w:rFonts w:hint="eastAsia" w:ascii="宋体" w:hAnsi="宋体"/>
                <w:sz w:val="24"/>
              </w:rPr>
              <w:t>平方米</w:t>
            </w:r>
          </w:p>
        </w:tc>
        <w:tc>
          <w:tcPr>
            <w:tcW w:w="1601" w:type="dxa"/>
            <w:vAlign w:val="center"/>
          </w:tcPr>
          <w:p w14:paraId="78D35686">
            <w:pPr>
              <w:jc w:val="center"/>
              <w:rPr>
                <w:rFonts w:hint="eastAsia" w:ascii="宋体" w:hAnsi="宋体" w:eastAsiaTheme="minorEastAsia" w:cstheme="minorBidi"/>
                <w:kern w:val="2"/>
                <w:sz w:val="24"/>
                <w:szCs w:val="24"/>
                <w:lang w:val="en-US" w:eastAsia="zh-CN" w:bidi="ar-SA"/>
              </w:rPr>
            </w:pPr>
            <w:r>
              <w:rPr>
                <w:rFonts w:hint="eastAsia"/>
                <w:sz w:val="24"/>
                <w:lang w:val="en-US" w:eastAsia="zh-CN"/>
              </w:rPr>
              <w:t>43</w:t>
            </w:r>
            <w:r>
              <w:rPr>
                <w:rFonts w:hint="eastAsia"/>
                <w:sz w:val="24"/>
              </w:rPr>
              <w:t>个会议室</w:t>
            </w:r>
          </w:p>
        </w:tc>
      </w:tr>
      <w:tr w14:paraId="2F41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842" w:type="dxa"/>
            <w:shd w:val="clear" w:color="auto" w:fill="auto"/>
            <w:vAlign w:val="center"/>
          </w:tcPr>
          <w:p w14:paraId="55DB549E">
            <w:pPr>
              <w:jc w:val="center"/>
              <w:rPr>
                <w:rFonts w:hint="default" w:asciiTheme="minorHAnsi" w:hAnsiTheme="minorHAnsi" w:eastAsiaTheme="minorEastAsia" w:cstheme="minorBidi"/>
                <w:kern w:val="2"/>
                <w:sz w:val="24"/>
                <w:szCs w:val="24"/>
                <w:lang w:val="en-US" w:eastAsia="zh-CN" w:bidi="ar-SA"/>
              </w:rPr>
            </w:pPr>
            <w:r>
              <w:rPr>
                <w:rFonts w:hint="eastAsia"/>
                <w:sz w:val="24"/>
                <w:lang w:val="en-US" w:eastAsia="zh-CN"/>
              </w:rPr>
              <w:t>10</w:t>
            </w:r>
          </w:p>
        </w:tc>
        <w:tc>
          <w:tcPr>
            <w:tcW w:w="2485" w:type="dxa"/>
            <w:shd w:val="clear" w:color="auto" w:fill="auto"/>
            <w:vAlign w:val="center"/>
          </w:tcPr>
          <w:p w14:paraId="45A34D6D">
            <w:pPr>
              <w:autoSpaceDE w:val="0"/>
              <w:autoSpaceDN w:val="0"/>
              <w:adjustRightInd w:val="0"/>
              <w:spacing w:line="360" w:lineRule="auto"/>
              <w:jc w:val="center"/>
              <w:rPr>
                <w:rFonts w:hint="eastAsia" w:ascii="宋体" w:hAnsi="宋体" w:eastAsiaTheme="minorEastAsia" w:cstheme="minorBidi"/>
                <w:kern w:val="2"/>
                <w:sz w:val="24"/>
                <w:szCs w:val="24"/>
                <w:lang w:val="en-US" w:eastAsia="zh-CN" w:bidi="ar-SA"/>
              </w:rPr>
            </w:pPr>
            <w:r>
              <w:rPr>
                <w:rFonts w:ascii="宋体" w:hAnsi="宋体"/>
                <w:sz w:val="24"/>
              </w:rPr>
              <w:t>保洁服务</w:t>
            </w:r>
          </w:p>
        </w:tc>
        <w:tc>
          <w:tcPr>
            <w:tcW w:w="2005" w:type="dxa"/>
            <w:shd w:val="clear" w:color="auto" w:fill="auto"/>
            <w:vAlign w:val="center"/>
          </w:tcPr>
          <w:p w14:paraId="36C2D71A">
            <w:pPr>
              <w:autoSpaceDE w:val="0"/>
              <w:autoSpaceDN w:val="0"/>
              <w:adjustRightInd w:val="0"/>
              <w:spacing w:line="360" w:lineRule="auto"/>
              <w:jc w:val="center"/>
              <w:rPr>
                <w:rFonts w:hint="eastAsia" w:ascii="宋体" w:hAnsi="宋体" w:eastAsiaTheme="minorEastAsia" w:cstheme="minorBidi"/>
                <w:kern w:val="2"/>
                <w:sz w:val="24"/>
                <w:szCs w:val="24"/>
                <w:lang w:val="en-US" w:eastAsia="zh-CN" w:bidi="ar-SA"/>
              </w:rPr>
            </w:pPr>
            <w:r>
              <w:rPr>
                <w:rFonts w:hint="eastAsia" w:ascii="宋体" w:hAnsi="宋体" w:cs="Times New Roman" w:eastAsiaTheme="minorEastAsia"/>
                <w:sz w:val="24"/>
                <w:lang w:val="en-US" w:eastAsia="zh-CN"/>
              </w:rPr>
              <w:t xml:space="preserve"> 37077.89 </w:t>
            </w:r>
          </w:p>
        </w:tc>
        <w:tc>
          <w:tcPr>
            <w:tcW w:w="1967" w:type="dxa"/>
            <w:shd w:val="clear" w:color="auto" w:fill="auto"/>
            <w:vAlign w:val="center"/>
          </w:tcPr>
          <w:p w14:paraId="43673D98">
            <w:pPr>
              <w:autoSpaceDE w:val="0"/>
              <w:autoSpaceDN w:val="0"/>
              <w:adjustRightInd w:val="0"/>
              <w:spacing w:line="360" w:lineRule="auto"/>
              <w:jc w:val="center"/>
              <w:rPr>
                <w:rFonts w:hint="eastAsia" w:ascii="宋体" w:hAnsi="宋体" w:eastAsiaTheme="minorEastAsia" w:cstheme="minorBidi"/>
                <w:kern w:val="2"/>
                <w:sz w:val="24"/>
                <w:szCs w:val="24"/>
                <w:lang w:val="en-US" w:eastAsia="zh-CN" w:bidi="ar-SA"/>
              </w:rPr>
            </w:pPr>
            <w:r>
              <w:rPr>
                <w:rFonts w:hint="eastAsia" w:ascii="宋体" w:hAnsi="宋体"/>
                <w:sz w:val="24"/>
              </w:rPr>
              <w:t>平方米</w:t>
            </w:r>
          </w:p>
        </w:tc>
        <w:tc>
          <w:tcPr>
            <w:tcW w:w="1601" w:type="dxa"/>
            <w:shd w:val="clear" w:color="auto" w:fill="auto"/>
            <w:vAlign w:val="center"/>
          </w:tcPr>
          <w:p w14:paraId="7B30DDBF">
            <w:pPr>
              <w:jc w:val="center"/>
              <w:rPr>
                <w:rFonts w:hint="eastAsia" w:asciiTheme="minorHAnsi" w:hAnsiTheme="minorHAnsi" w:eastAsiaTheme="minorEastAsia" w:cstheme="minorBidi"/>
                <w:kern w:val="2"/>
                <w:sz w:val="24"/>
                <w:szCs w:val="24"/>
                <w:lang w:val="en-US" w:eastAsia="zh-CN" w:bidi="ar-SA"/>
              </w:rPr>
            </w:pPr>
          </w:p>
        </w:tc>
      </w:tr>
    </w:tbl>
    <w:p w14:paraId="42CBB94E">
      <w:pPr>
        <w:keepNext w:val="0"/>
        <w:keepLines w:val="0"/>
        <w:pageBreakBefore w:val="0"/>
        <w:widowControl w:val="0"/>
        <w:kinsoku/>
        <w:wordWrap w:val="0"/>
        <w:overflowPunct/>
        <w:topLinePunct w:val="0"/>
        <w:autoSpaceDE/>
        <w:autoSpaceDN/>
        <w:bidi w:val="0"/>
        <w:adjustRightInd/>
        <w:snapToGrid/>
        <w:jc w:val="left"/>
        <w:textAlignment w:val="auto"/>
        <w:rPr>
          <w:rFonts w:hint="default" w:ascii="宋体" w:hAnsi="宋体" w:eastAsia="宋体" w:cs="宋体"/>
          <w:sz w:val="28"/>
          <w:szCs w:val="28"/>
          <w:u w:val="single"/>
          <w:lang w:val="en-US" w:eastAsia="zh-CN"/>
        </w:rPr>
      </w:pPr>
    </w:p>
    <w:p w14:paraId="3FA0A570">
      <w:pPr>
        <w:pageBreakBefore w:val="0"/>
        <w:numPr>
          <w:ilvl w:val="0"/>
          <w:numId w:val="0"/>
        </w:numPr>
        <w:kinsoku/>
        <w:wordWrap/>
        <w:overflowPunct/>
        <w:topLinePunct w:val="0"/>
        <w:bidi w:val="0"/>
        <w:spacing w:before="156" w:beforeLines="50" w:after="156" w:afterLines="50" w:line="560" w:lineRule="exact"/>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项目预算金额</w:t>
      </w:r>
      <w:r>
        <w:rPr>
          <w:rFonts w:hint="eastAsia" w:ascii="仿宋_GB2312" w:hAnsi="仿宋_GB2312" w:eastAsia="仿宋_GB2312" w:cs="仿宋_GB2312"/>
          <w:sz w:val="30"/>
          <w:szCs w:val="30"/>
          <w:lang w:val="en-US" w:eastAsia="zh-CN"/>
        </w:rPr>
        <w:t>：1199.3379万</w:t>
      </w:r>
      <w:r>
        <w:rPr>
          <w:rFonts w:hint="eastAsia" w:ascii="仿宋_GB2312" w:hAnsi="仿宋_GB2312" w:eastAsia="仿宋_GB2312" w:cs="仿宋_GB2312"/>
          <w:sz w:val="30"/>
          <w:szCs w:val="30"/>
          <w:lang w:eastAsia="zh-CN"/>
        </w:rPr>
        <w:t>元</w:t>
      </w:r>
    </w:p>
    <w:p w14:paraId="7217204C">
      <w:pPr>
        <w:pageBreakBefore w:val="0"/>
        <w:numPr>
          <w:ilvl w:val="0"/>
          <w:numId w:val="0"/>
        </w:numPr>
        <w:kinsoku/>
        <w:wordWrap/>
        <w:overflowPunct/>
        <w:topLinePunct w:val="0"/>
        <w:bidi w:val="0"/>
        <w:spacing w:before="156" w:beforeLines="50" w:after="156" w:afterLines="50" w:line="560" w:lineRule="exact"/>
        <w:ind w:firstLine="600" w:firstLineChars="200"/>
        <w:rPr>
          <w:rFonts w:hint="default" w:ascii="宋体" w:hAnsi="宋体" w:eastAsia="宋体" w:cs="Times New Roman"/>
          <w:sz w:val="30"/>
          <w:szCs w:val="30"/>
          <w:lang w:val="en-US"/>
        </w:rPr>
      </w:pPr>
      <w:r>
        <w:rPr>
          <w:rFonts w:hint="eastAsia" w:ascii="仿宋_GB2312" w:hAnsi="仿宋_GB2312" w:eastAsia="仿宋_GB2312" w:cs="仿宋_GB2312"/>
          <w:sz w:val="30"/>
          <w:szCs w:val="30"/>
          <w:lang w:eastAsia="zh-CN"/>
        </w:rPr>
        <w:t>合同履行期限：</w:t>
      </w:r>
      <w:r>
        <w:rPr>
          <w:rFonts w:hint="eastAsia" w:ascii="仿宋_GB2312" w:hAnsi="仿宋_GB2312" w:eastAsia="仿宋_GB2312" w:cs="仿宋_GB2312"/>
          <w:sz w:val="30"/>
          <w:szCs w:val="30"/>
          <w:lang w:val="en-US" w:eastAsia="zh-CN"/>
        </w:rPr>
        <w:t>2026年9月1日至2027年10月31日。</w:t>
      </w:r>
    </w:p>
    <w:p w14:paraId="17474130">
      <w:pPr>
        <w:pageBreakBefore w:val="0"/>
        <w:kinsoku/>
        <w:wordWrap/>
        <w:overflowPunct/>
        <w:topLinePunct w:val="0"/>
        <w:bidi w:val="0"/>
        <w:adjustRightInd w:val="0"/>
        <w:snapToGrid w:val="0"/>
        <w:spacing w:before="156" w:beforeLines="50" w:after="156" w:afterLines="50" w:line="560" w:lineRule="exact"/>
        <w:rPr>
          <w:rFonts w:hint="eastAsia" w:ascii="黑体" w:hAnsi="黑体" w:eastAsia="黑体" w:cs="黑体"/>
          <w:b/>
          <w:sz w:val="30"/>
          <w:szCs w:val="30"/>
          <w:lang w:eastAsia="zh-CN"/>
        </w:rPr>
      </w:pPr>
      <w:r>
        <w:rPr>
          <w:rFonts w:hint="eastAsia" w:ascii="黑体" w:hAnsi="黑体" w:eastAsia="黑体" w:cs="黑体"/>
          <w:b/>
          <w:sz w:val="30"/>
          <w:szCs w:val="30"/>
        </w:rPr>
        <w:t>二、项目</w:t>
      </w:r>
      <w:r>
        <w:rPr>
          <w:rFonts w:hint="eastAsia" w:ascii="黑体" w:hAnsi="黑体" w:eastAsia="黑体" w:cs="黑体"/>
          <w:b/>
          <w:sz w:val="30"/>
          <w:szCs w:val="30"/>
          <w:lang w:val="en-US" w:eastAsia="zh-CN"/>
        </w:rPr>
        <w:t>概况</w:t>
      </w:r>
    </w:p>
    <w:p w14:paraId="151D7322">
      <w:pPr>
        <w:spacing w:line="640" w:lineRule="exact"/>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项目名称：大兴区机关事务管理服务中心第一办公区</w:t>
      </w:r>
    </w:p>
    <w:p w14:paraId="429650E4">
      <w:pPr>
        <w:spacing w:line="640" w:lineRule="exact"/>
        <w:ind w:firstLine="2249" w:firstLineChars="703"/>
        <w:rPr>
          <w:rFonts w:hint="eastAsia" w:ascii="仿宋_GB2312" w:hAnsi="仿宋_GB2312" w:eastAsia="仿宋_GB2312" w:cs="仿宋_GB2312"/>
          <w:b/>
          <w:sz w:val="32"/>
          <w:szCs w:val="32"/>
        </w:rPr>
      </w:pPr>
      <w:r>
        <w:rPr>
          <w:rFonts w:hint="eastAsia" w:ascii="仿宋_GB2312" w:hAnsi="仿宋_GB2312" w:eastAsia="仿宋_GB2312" w:cs="仿宋_GB2312"/>
          <w:bCs/>
          <w:sz w:val="32"/>
          <w:szCs w:val="32"/>
        </w:rPr>
        <w:t>物业服务项目</w:t>
      </w:r>
    </w:p>
    <w:p w14:paraId="7A48F9CC">
      <w:pPr>
        <w:spacing w:line="6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地    址：北京市大兴区兴政街15号</w:t>
      </w:r>
    </w:p>
    <w:p w14:paraId="52DAD3FE">
      <w:pPr>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管理单位：北京市大兴区机关事务管理服务中心</w:t>
      </w:r>
    </w:p>
    <w:p w14:paraId="6CC3134E">
      <w:pPr>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项目基本情况：大兴第一办公区建筑面积: 37077.89 平方米。其中：1号楼、2号楼、4号楼面积: 18174.59平方米；租赁</w:t>
      </w:r>
      <w:r>
        <w:rPr>
          <w:rFonts w:hint="eastAsia" w:ascii="仿宋_GB2312" w:hAnsi="仿宋_GB2312" w:eastAsia="仿宋_GB2312" w:cs="仿宋_GB2312"/>
          <w:sz w:val="32"/>
          <w:szCs w:val="32"/>
          <w:lang w:eastAsia="zh-CN"/>
        </w:rPr>
        <w:t>北京市大兴区兴政街15号</w:t>
      </w:r>
      <w:r>
        <w:rPr>
          <w:rFonts w:hint="eastAsia" w:ascii="仿宋_GB2312" w:hAnsi="仿宋_GB2312" w:eastAsia="仿宋_GB2312" w:cs="仿宋_GB2312"/>
          <w:sz w:val="32"/>
          <w:szCs w:val="32"/>
        </w:rPr>
        <w:t>院面积18903.3平方米。入驻11家单位，办公人员约600余人，设有</w:t>
      </w:r>
      <w:r>
        <w:rPr>
          <w:rFonts w:hint="eastAsia" w:ascii="仿宋_GB2312" w:hAnsi="仿宋_GB2312" w:eastAsia="仿宋_GB2312" w:cs="仿宋_GB2312"/>
          <w:sz w:val="32"/>
          <w:szCs w:val="32"/>
          <w:lang w:val="en-US" w:eastAsia="zh-CN"/>
        </w:rPr>
        <w:t>职工食堂1处，医务室1个，</w:t>
      </w:r>
      <w:r>
        <w:rPr>
          <w:rFonts w:hint="eastAsia" w:ascii="仿宋_GB2312" w:hAnsi="仿宋_GB2312" w:eastAsia="仿宋_GB2312" w:cs="仿宋_GB2312"/>
          <w:sz w:val="32"/>
          <w:szCs w:val="32"/>
        </w:rPr>
        <w:t>理发室1个。</w:t>
      </w:r>
    </w:p>
    <w:p w14:paraId="6F0D8BB8">
      <w:pPr>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办公区情况简介</w:t>
      </w:r>
    </w:p>
    <w:p w14:paraId="4D7C5C96">
      <w:pPr>
        <w:numPr>
          <w:ilvl w:val="0"/>
          <w:numId w:val="0"/>
        </w:numPr>
        <w:spacing w:line="640" w:lineRule="exact"/>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大楼内设备及有关情况如下：</w:t>
      </w:r>
    </w:p>
    <w:p w14:paraId="63DEB174">
      <w:pPr>
        <w:spacing w:line="640" w:lineRule="exact"/>
        <w:ind w:firstLine="640" w:firstLineChars="200"/>
        <w:rPr>
          <w:rFonts w:hint="eastAsia"/>
        </w:rPr>
      </w:pPr>
      <w:r>
        <w:rPr>
          <w:rFonts w:hint="eastAsia" w:ascii="仿宋_GB2312" w:hAnsi="仿宋_GB2312" w:eastAsia="仿宋_GB2312" w:cs="仿宋_GB2312"/>
          <w:sz w:val="32"/>
          <w:szCs w:val="32"/>
        </w:rPr>
        <w:t xml:space="preserve">1号楼配备电梯2部，3号楼配备电梯8部，4号楼配备电梯1部，会议室43个。生活供水、低压配电、中央空调、消防、监控、程控电话、电子巡更、门禁、停车场管理、人脸识别用餐系统各1套，保安全天24小时保证办公区安保工作。为区消防安全管理重点单位。 </w:t>
      </w:r>
    </w:p>
    <w:p w14:paraId="538CF5B2">
      <w:pPr>
        <w:spacing w:line="64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办公区主要设备情况：</w:t>
      </w:r>
    </w:p>
    <w:p w14:paraId="12ED6CC8">
      <w:pPr>
        <w:spacing w:line="640" w:lineRule="exact"/>
        <w:ind w:firstLine="640" w:firstLineChars="200"/>
        <w:rPr>
          <w:rFonts w:hint="eastAsia" w:ascii="仿宋_GB2312" w:hAnsi="仿宋_GB2312" w:eastAsia="仿宋_GB2312" w:cs="仿宋_GB2312"/>
          <w:bCs/>
          <w:sz w:val="32"/>
          <w:szCs w:val="32"/>
        </w:rPr>
      </w:pPr>
    </w:p>
    <w:tbl>
      <w:tblPr>
        <w:tblStyle w:val="23"/>
        <w:tblW w:w="9240" w:type="dxa"/>
        <w:tblInd w:w="0" w:type="dxa"/>
        <w:tblLayout w:type="fixed"/>
        <w:tblCellMar>
          <w:top w:w="15" w:type="dxa"/>
          <w:left w:w="15" w:type="dxa"/>
          <w:bottom w:w="15" w:type="dxa"/>
          <w:right w:w="15" w:type="dxa"/>
        </w:tblCellMar>
      </w:tblPr>
      <w:tblGrid>
        <w:gridCol w:w="1189"/>
        <w:gridCol w:w="3421"/>
        <w:gridCol w:w="1594"/>
        <w:gridCol w:w="2006"/>
        <w:gridCol w:w="1030"/>
      </w:tblGrid>
      <w:tr w14:paraId="4BF04677">
        <w:tblPrEx>
          <w:tblCellMar>
            <w:top w:w="15" w:type="dxa"/>
            <w:left w:w="15" w:type="dxa"/>
            <w:bottom w:w="15" w:type="dxa"/>
            <w:right w:w="15" w:type="dxa"/>
          </w:tblCellMar>
        </w:tblPrEx>
        <w:trPr>
          <w:trHeight w:val="767" w:hRule="atLeast"/>
        </w:trPr>
        <w:tc>
          <w:tcPr>
            <w:tcW w:w="9240" w:type="dxa"/>
            <w:gridSpan w:val="5"/>
            <w:tcBorders>
              <w:top w:val="single" w:color="000000" w:sz="4" w:space="0"/>
              <w:left w:val="single" w:color="000000" w:sz="4" w:space="0"/>
              <w:bottom w:val="single" w:color="000000" w:sz="4" w:space="0"/>
              <w:right w:val="single" w:color="000000" w:sz="4" w:space="0"/>
            </w:tcBorders>
            <w:noWrap w:val="0"/>
            <w:vAlign w:val="center"/>
          </w:tcPr>
          <w:p w14:paraId="5531BB14">
            <w:pPr>
              <w:widowControl/>
              <w:jc w:val="center"/>
              <w:textAlignment w:val="center"/>
              <w:rPr>
                <w:rFonts w:hint="eastAsia" w:ascii="黑体" w:hAnsi="黑体" w:eastAsia="黑体" w:cs="黑体"/>
                <w:bCs/>
                <w:sz w:val="40"/>
                <w:szCs w:val="40"/>
              </w:rPr>
            </w:pPr>
            <w:r>
              <w:rPr>
                <w:rFonts w:hint="eastAsia" w:ascii="黑体" w:hAnsi="黑体" w:eastAsia="黑体" w:cs="黑体"/>
                <w:bCs/>
                <w:kern w:val="0"/>
                <w:sz w:val="40"/>
                <w:szCs w:val="40"/>
              </w:rPr>
              <w:t>办公区主要设备清单</w:t>
            </w:r>
          </w:p>
        </w:tc>
      </w:tr>
      <w:tr w14:paraId="4701A3D9">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1212317D">
            <w:pPr>
              <w:widowControl/>
              <w:jc w:val="center"/>
              <w:textAlignment w:val="center"/>
              <w:rPr>
                <w:rFonts w:hint="eastAsia" w:ascii="黑体" w:hAnsi="黑体" w:eastAsia="黑体" w:cs="黑体"/>
                <w:bCs/>
                <w:sz w:val="32"/>
                <w:szCs w:val="32"/>
              </w:rPr>
            </w:pPr>
            <w:r>
              <w:rPr>
                <w:rFonts w:hint="eastAsia" w:ascii="黑体" w:hAnsi="黑体" w:eastAsia="黑体" w:cs="黑体"/>
                <w:bCs/>
                <w:kern w:val="0"/>
                <w:sz w:val="32"/>
                <w:szCs w:val="32"/>
              </w:rPr>
              <w:t>序号</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4C7AA8FC">
            <w:pPr>
              <w:widowControl/>
              <w:jc w:val="center"/>
              <w:textAlignment w:val="center"/>
              <w:rPr>
                <w:rFonts w:hint="eastAsia" w:ascii="黑体" w:hAnsi="黑体" w:eastAsia="黑体" w:cs="黑体"/>
                <w:bCs/>
                <w:sz w:val="32"/>
                <w:szCs w:val="32"/>
              </w:rPr>
            </w:pPr>
            <w:r>
              <w:rPr>
                <w:rFonts w:hint="eastAsia" w:ascii="黑体" w:hAnsi="黑体" w:eastAsia="黑体" w:cs="黑体"/>
                <w:bCs/>
                <w:kern w:val="0"/>
                <w:sz w:val="32"/>
                <w:szCs w:val="32"/>
              </w:rPr>
              <w:t>设备名称</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562553DF">
            <w:pPr>
              <w:widowControl/>
              <w:jc w:val="center"/>
              <w:textAlignment w:val="center"/>
              <w:rPr>
                <w:rFonts w:hint="eastAsia" w:ascii="黑体" w:hAnsi="黑体" w:eastAsia="黑体" w:cs="黑体"/>
                <w:bCs/>
                <w:sz w:val="32"/>
                <w:szCs w:val="32"/>
              </w:rPr>
            </w:pPr>
            <w:r>
              <w:rPr>
                <w:rFonts w:hint="eastAsia" w:ascii="黑体" w:hAnsi="黑体" w:eastAsia="黑体" w:cs="黑体"/>
                <w:bCs/>
                <w:kern w:val="0"/>
                <w:sz w:val="32"/>
                <w:szCs w:val="32"/>
              </w:rPr>
              <w:t>品牌</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4A68B8CE">
            <w:pPr>
              <w:widowControl/>
              <w:jc w:val="center"/>
              <w:textAlignment w:val="center"/>
              <w:rPr>
                <w:rFonts w:hint="eastAsia" w:ascii="黑体" w:hAnsi="黑体" w:eastAsia="黑体" w:cs="黑体"/>
                <w:bCs/>
                <w:sz w:val="32"/>
                <w:szCs w:val="32"/>
              </w:rPr>
            </w:pPr>
            <w:r>
              <w:rPr>
                <w:rFonts w:hint="eastAsia" w:ascii="黑体" w:hAnsi="黑体" w:eastAsia="黑体" w:cs="黑体"/>
                <w:bCs/>
                <w:kern w:val="0"/>
                <w:sz w:val="32"/>
                <w:szCs w:val="32"/>
              </w:rPr>
              <w:t>设备型号</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2110699F">
            <w:pPr>
              <w:widowControl/>
              <w:jc w:val="center"/>
              <w:textAlignment w:val="center"/>
              <w:rPr>
                <w:rFonts w:hint="eastAsia" w:ascii="黑体" w:hAnsi="黑体" w:eastAsia="黑体" w:cs="黑体"/>
                <w:bCs/>
                <w:sz w:val="32"/>
                <w:szCs w:val="32"/>
              </w:rPr>
            </w:pPr>
            <w:r>
              <w:rPr>
                <w:rFonts w:hint="eastAsia" w:ascii="黑体" w:hAnsi="黑体" w:eastAsia="黑体" w:cs="黑体"/>
                <w:bCs/>
                <w:kern w:val="0"/>
                <w:sz w:val="32"/>
                <w:szCs w:val="32"/>
              </w:rPr>
              <w:t>数量</w:t>
            </w:r>
          </w:p>
        </w:tc>
      </w:tr>
      <w:tr w14:paraId="1A6E6592">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1D4048B1">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41AF416F">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空调机组</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2B707449">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华龙</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6288E2AE">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LSF-80Z</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206B3254">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5</w:t>
            </w:r>
          </w:p>
        </w:tc>
      </w:tr>
      <w:tr w14:paraId="0F7DBA47">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699F5493">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4FFCCD15">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空调</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62083BAC">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天加</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08B47051">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54FW1</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1BEDB6E8">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w:t>
            </w:r>
          </w:p>
        </w:tc>
      </w:tr>
      <w:tr w14:paraId="786037E5">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510AF092">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559046DA">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精密空调内机</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4C94E3C9">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海尔</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582EB8C2">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11B610FF">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0670BA5D">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6F6E5C0D">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7A1B97A6">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精密空调外机</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6F03D102">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海尔</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5AFA4EDA">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JHFH-402W</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26935610">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299269B8">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4A052F78">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5</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33AD8C4D">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多联机</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18DBC7DF">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大金</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6DB7F61F">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RUXYQ22BA</w:t>
            </w:r>
          </w:p>
          <w:p w14:paraId="4BA4B404">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RUXYQ18BA</w:t>
            </w:r>
          </w:p>
          <w:p w14:paraId="796CADAD">
            <w:pPr>
              <w:widowControl/>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RSQ500BBY</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3A528F6F">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r w14:paraId="59648718">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75D0FEC3">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1B446128">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多联机外机</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64AAE963">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海尔</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3804F61C">
            <w:pPr>
              <w:widowControl/>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JHFH-40LW</w:t>
            </w:r>
          </w:p>
          <w:p w14:paraId="3CB85ED4">
            <w:pPr>
              <w:widowControl/>
              <w:jc w:val="center"/>
              <w:textAlignment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28"/>
                <w:szCs w:val="28"/>
              </w:rPr>
              <w:t>33HR21(N)</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0A5E485B">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w:t>
            </w:r>
          </w:p>
        </w:tc>
      </w:tr>
      <w:tr w14:paraId="4EE069B7">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2A3DAEA9">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074F45CE">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多联机内机</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5F99960C">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海尔</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1EF0234C">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RFUTA56MXE</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4161A5C9">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52</w:t>
            </w:r>
          </w:p>
        </w:tc>
      </w:tr>
      <w:tr w14:paraId="36406B86">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1CAD14A2">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8</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23BB6783">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开水器</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647DEBC1">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圣洁禹润</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1B56AF1A">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无</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7BA6C8FC">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20</w:t>
            </w:r>
          </w:p>
        </w:tc>
      </w:tr>
      <w:tr w14:paraId="72CA3A35">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08FEC667">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38A0C1E0">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开水器</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7254034A">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威可利</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5089F1EE">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WR-90L</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561DE33D">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r>
      <w:tr w14:paraId="3E16A6D1">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461723B1">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2E0951C7">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开水器</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6A91A61E">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威可利</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278E3B7B">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WR-60L</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29E99FC6">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r>
      <w:tr w14:paraId="075D7204">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1A2C5382">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11</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0A9EFAA3">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无负压供水设备</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43A2295A">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三利</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207D7C37">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SLBW12-46-2-P</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45F5912E">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w:t>
            </w:r>
          </w:p>
        </w:tc>
      </w:tr>
      <w:tr w14:paraId="40EE3397">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76F03666">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12</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74486B26">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安防巡更系统</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07C0E007">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兰德华</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3386B925">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L900-EF</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15EE1B73">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5</w:t>
            </w:r>
          </w:p>
        </w:tc>
      </w:tr>
      <w:tr w14:paraId="35690724">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5A6FF979">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13</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41CA06C8">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电梯</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13AA9A57">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蒂升</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58BC08AD">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TE-HP61</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3E286CF5">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0969A643">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4F34E0D5">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14</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0ED722BF">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电梯</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45E3F9C5">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迅达</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5EB65392">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SCHINDLER 6000</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4FEE7EAD">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r>
      <w:tr w14:paraId="3E330C05">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6DABE338">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49B75C62">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电梯</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098C8EAA">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迅达</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1D73ED68">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SCHINDLER 3000</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34DB3176">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r>
      <w:tr w14:paraId="650B1502">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45AF4D04">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16</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6D3799CE">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低压抽出式成套开关设备</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2D7C0D32">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无</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1F6741C1">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GCK</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0A1DE09A">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5</w:t>
            </w:r>
          </w:p>
        </w:tc>
      </w:tr>
      <w:tr w14:paraId="5077630F">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229C5C7B">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17</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314198FC">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消防电气控制柜</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6F420EB6">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无</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60F4EDC9">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YJ-XFXJ-18.5</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0A782275">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w:t>
            </w:r>
          </w:p>
        </w:tc>
      </w:tr>
      <w:tr w14:paraId="1C810C37">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36457195">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18</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157EE1D4">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电气火灾监控探测器</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1EC48B73">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华烨信通</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018D2DFA">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无</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1263B9CD">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15</w:t>
            </w:r>
          </w:p>
        </w:tc>
      </w:tr>
      <w:tr w14:paraId="648D1BC7">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3386963D">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19</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386D5CA8">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消防喷淋电气控制柜</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528E261E">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无</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3D94E0E2">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XL-21</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72E26008">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1</w:t>
            </w:r>
          </w:p>
        </w:tc>
      </w:tr>
      <w:tr w14:paraId="04B254D7">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3C490DF8">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20</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55766065">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风机盘管</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3C0BEE4B">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约克</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6ACEF277">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2E49EB91">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474</w:t>
            </w:r>
          </w:p>
        </w:tc>
      </w:tr>
      <w:tr w14:paraId="74CA7A04">
        <w:tblPrEx>
          <w:tblCellMar>
            <w:top w:w="15" w:type="dxa"/>
            <w:left w:w="15" w:type="dxa"/>
            <w:bottom w:w="15" w:type="dxa"/>
            <w:right w:w="15" w:type="dxa"/>
          </w:tblCellMar>
        </w:tblPrEx>
        <w:trPr>
          <w:trHeight w:val="701"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54FB771E">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21</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206BEEEA">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风机盘管</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20B2E0C7">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海尔</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5D615859">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FP-6.8LM</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2AFDD380">
            <w:pPr>
              <w:widowControl/>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324</w:t>
            </w:r>
          </w:p>
        </w:tc>
      </w:tr>
      <w:tr w14:paraId="7BF6A5AD">
        <w:tblPrEx>
          <w:tblCellMar>
            <w:top w:w="15" w:type="dxa"/>
            <w:left w:w="15" w:type="dxa"/>
            <w:bottom w:w="15" w:type="dxa"/>
            <w:right w:w="15" w:type="dxa"/>
          </w:tblCellMar>
        </w:tblPrEx>
        <w:trPr>
          <w:trHeight w:val="722"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61982EFD">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22</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417DC65E">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风机盘管</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49C809C8">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大金</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45F1970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6F2AB728">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41</w:t>
            </w:r>
          </w:p>
        </w:tc>
      </w:tr>
      <w:tr w14:paraId="5F54EA54">
        <w:tblPrEx>
          <w:tblCellMar>
            <w:top w:w="15" w:type="dxa"/>
            <w:left w:w="15" w:type="dxa"/>
            <w:bottom w:w="15" w:type="dxa"/>
            <w:right w:w="15" w:type="dxa"/>
          </w:tblCellMar>
        </w:tblPrEx>
        <w:trPr>
          <w:trHeight w:val="722"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346ECE0A">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23</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47B65CAC">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风机</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53AB6F2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新安特</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66ADB799">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XDGF-28E</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1BCD8288">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72</w:t>
            </w:r>
          </w:p>
        </w:tc>
      </w:tr>
      <w:tr w14:paraId="0FBEA923">
        <w:tblPrEx>
          <w:tblCellMar>
            <w:top w:w="15" w:type="dxa"/>
            <w:left w:w="15" w:type="dxa"/>
            <w:bottom w:w="15" w:type="dxa"/>
            <w:right w:w="15" w:type="dxa"/>
          </w:tblCellMar>
        </w:tblPrEx>
        <w:trPr>
          <w:trHeight w:val="722"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11237212">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24</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4C5F995E">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诱导风机</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1F1CB24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6CE200F5">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1922B9F9">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65</w:t>
            </w:r>
          </w:p>
        </w:tc>
      </w:tr>
      <w:tr w14:paraId="208899FD">
        <w:tblPrEx>
          <w:tblCellMar>
            <w:top w:w="15" w:type="dxa"/>
            <w:left w:w="15" w:type="dxa"/>
            <w:bottom w:w="15" w:type="dxa"/>
            <w:right w:w="15" w:type="dxa"/>
          </w:tblCellMar>
        </w:tblPrEx>
        <w:trPr>
          <w:trHeight w:val="722"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7DE2BEEA">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25</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5DBB4B0E">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灭火器</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0D5512F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冰潮</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409BB60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干粉</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5078C81B">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1015</w:t>
            </w:r>
          </w:p>
        </w:tc>
      </w:tr>
      <w:tr w14:paraId="5D305A03">
        <w:tblPrEx>
          <w:tblCellMar>
            <w:top w:w="15" w:type="dxa"/>
            <w:left w:w="15" w:type="dxa"/>
            <w:bottom w:w="15" w:type="dxa"/>
            <w:right w:w="15" w:type="dxa"/>
          </w:tblCellMar>
        </w:tblPrEx>
        <w:trPr>
          <w:trHeight w:val="722"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2D0B2743">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26</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1693A3C6">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灭火器</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7D34B09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北京博龙</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5E434B9A">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二氧化碳</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04FB3472">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37</w:t>
            </w:r>
          </w:p>
        </w:tc>
      </w:tr>
      <w:tr w14:paraId="2A567136">
        <w:tblPrEx>
          <w:tblCellMar>
            <w:top w:w="15" w:type="dxa"/>
            <w:left w:w="15" w:type="dxa"/>
            <w:bottom w:w="15" w:type="dxa"/>
            <w:right w:w="15" w:type="dxa"/>
          </w:tblCellMar>
        </w:tblPrEx>
        <w:trPr>
          <w:trHeight w:val="722"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38DE4001">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27</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64BA68A8">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电热风幕</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1B001CBC">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南洋有为</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5FB86E9C">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1C9B5719">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14</w:t>
            </w:r>
          </w:p>
        </w:tc>
      </w:tr>
      <w:tr w14:paraId="78FD0461">
        <w:tblPrEx>
          <w:tblCellMar>
            <w:top w:w="15" w:type="dxa"/>
            <w:left w:w="15" w:type="dxa"/>
            <w:bottom w:w="15" w:type="dxa"/>
            <w:right w:w="15" w:type="dxa"/>
          </w:tblCellMar>
        </w:tblPrEx>
        <w:trPr>
          <w:trHeight w:val="722" w:hRule="atLeast"/>
        </w:trPr>
        <w:tc>
          <w:tcPr>
            <w:tcW w:w="1189" w:type="dxa"/>
            <w:tcBorders>
              <w:top w:val="single" w:color="000000" w:sz="4" w:space="0"/>
              <w:left w:val="single" w:color="000000" w:sz="4" w:space="0"/>
              <w:bottom w:val="single" w:color="000000" w:sz="4" w:space="0"/>
              <w:right w:val="single" w:color="000000" w:sz="4" w:space="0"/>
            </w:tcBorders>
            <w:noWrap w:val="0"/>
            <w:vAlign w:val="center"/>
          </w:tcPr>
          <w:p w14:paraId="162A9634">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28</w:t>
            </w:r>
          </w:p>
        </w:tc>
        <w:tc>
          <w:tcPr>
            <w:tcW w:w="3421" w:type="dxa"/>
            <w:tcBorders>
              <w:top w:val="single" w:color="000000" w:sz="4" w:space="0"/>
              <w:left w:val="single" w:color="000000" w:sz="4" w:space="0"/>
              <w:bottom w:val="single" w:color="000000" w:sz="4" w:space="0"/>
              <w:right w:val="single" w:color="000000" w:sz="4" w:space="0"/>
            </w:tcBorders>
            <w:noWrap w:val="0"/>
            <w:vAlign w:val="center"/>
          </w:tcPr>
          <w:p w14:paraId="11AC8DA6">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污水泵</w:t>
            </w:r>
          </w:p>
        </w:tc>
        <w:tc>
          <w:tcPr>
            <w:tcW w:w="1594" w:type="dxa"/>
            <w:tcBorders>
              <w:top w:val="single" w:color="000000" w:sz="4" w:space="0"/>
              <w:left w:val="single" w:color="000000" w:sz="4" w:space="0"/>
              <w:bottom w:val="single" w:color="000000" w:sz="4" w:space="0"/>
              <w:right w:val="single" w:color="000000" w:sz="4" w:space="0"/>
            </w:tcBorders>
            <w:noWrap w:val="0"/>
            <w:vAlign w:val="center"/>
          </w:tcPr>
          <w:p w14:paraId="0325BDC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人民</w:t>
            </w:r>
          </w:p>
        </w:tc>
        <w:tc>
          <w:tcPr>
            <w:tcW w:w="2006" w:type="dxa"/>
            <w:tcBorders>
              <w:top w:val="single" w:color="000000" w:sz="4" w:space="0"/>
              <w:left w:val="single" w:color="000000" w:sz="4" w:space="0"/>
              <w:bottom w:val="single" w:color="000000" w:sz="4" w:space="0"/>
              <w:right w:val="single" w:color="000000" w:sz="4" w:space="0"/>
            </w:tcBorders>
            <w:noWrap w:val="0"/>
            <w:vAlign w:val="center"/>
          </w:tcPr>
          <w:p w14:paraId="005BAD58">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4266342F">
            <w:pPr>
              <w:widowControl/>
              <w:jc w:val="center"/>
              <w:textAlignment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58</w:t>
            </w:r>
          </w:p>
        </w:tc>
      </w:tr>
    </w:tbl>
    <w:p w14:paraId="4A1E36D8">
      <w:p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3.消防设备情况</w:t>
      </w:r>
    </w:p>
    <w:p w14:paraId="5E1BA999">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消防供水系统</w:t>
      </w:r>
    </w:p>
    <w:p w14:paraId="30B01ED5">
      <w:pPr>
        <w:numPr>
          <w:ilvl w:val="0"/>
          <w:numId w:val="3"/>
        </w:numPr>
        <w:spacing w:line="240" w:lineRule="auto"/>
        <w:ind w:left="845" w:leftChars="0" w:hanging="425"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消防给水</w:t>
      </w:r>
    </w:p>
    <w:p w14:paraId="4E5515EF">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水源：由办公楼1号楼北侧引入两条DN150消防给水管，接至本楼，供办公楼1号楼、2号楼、4号楼消防用水。</w:t>
      </w:r>
    </w:p>
    <w:p w14:paraId="7E083B1F">
      <w:p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消防用水量：室外消火栓系统：市政供水；室内消火栓系统：20L/S；火灾延续时间为3h；自动喷水系统；20L/S。火灾延续时间为3h；</w:t>
      </w:r>
    </w:p>
    <w:p w14:paraId="02E46A7A">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消防贮水池及屋顶消防水箱：本办公区无消防水池及消防水箱，办公楼1号楼、2号楼、4号楼的消防用水由1号楼北侧市政供水连接至1号楼地下消防泵供给。</w:t>
      </w:r>
    </w:p>
    <w:p w14:paraId="14A89967">
      <w:pPr>
        <w:numPr>
          <w:ilvl w:val="0"/>
          <w:numId w:val="3"/>
        </w:numPr>
        <w:spacing w:line="240" w:lineRule="auto"/>
        <w:ind w:left="845" w:leftChars="0" w:hanging="425"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消火栓灭火系统：</w:t>
      </w:r>
    </w:p>
    <w:p w14:paraId="1A078CBB">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系统分区：本办公区的室内消火栓不分高低区。</w:t>
      </w:r>
    </w:p>
    <w:p w14:paraId="4DE81066">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系统形式：室内消火栓由市政供水、消火栓泵组组成。</w:t>
      </w:r>
    </w:p>
    <w:p w14:paraId="5BABDC9D">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系统设置：消防水泵房设于办公楼1号楼地下，系统设有2台消火栓泵。为一用一备。消火栓系统的稳压，由设在办公楼1号楼地下的消防泵房内的稳压装置保持管网压力，稳压装置包括稳压泵二台，一用一备。气压罐一台。</w:t>
      </w:r>
    </w:p>
    <w:p w14:paraId="7CA67947">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消火栓及消火栓箱：办公楼1号楼、4号楼室内消火栓均为单出口栓，消火栓栓口为65mm，枪口为19mm,麻质衬胶水龙带长25mm。消火栓规格为800×650×240。内设有消火栓按钮一个，按钮通过消防主机联动启动消火栓泵。消火栓栓口距地1.1m，水枪充实水柱不小于10m。且保证二股水柱同时到达室内任何部位。</w:t>
      </w:r>
    </w:p>
    <w:p w14:paraId="64C96C1D">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管网：消火栓管网均为环状，在1号楼北侧设有1套室外水泵接合器。</w:t>
      </w:r>
    </w:p>
    <w:p w14:paraId="25EBB7AB">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（3）自动喷水灭火系统：</w:t>
      </w:r>
    </w:p>
    <w:p w14:paraId="63DC987F">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系统分区：自动喷水灭火系统不分区。</w:t>
      </w:r>
    </w:p>
    <w:p w14:paraId="6EDA1742">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系统形式：自动喷淋灭火系统由市政供水、喷淋泵组组成，系统为湿式系统，楼内为中危险一级。</w:t>
      </w:r>
    </w:p>
    <w:p w14:paraId="0BD2078F">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系统设置：消防水泵设于办公楼1号楼地下消防泵房，系统设有2台喷淋泵，一备一用，喷淋系统的稳压，由设在办公楼1号楼地下消防泵房内的稳压装置保持管网压力，稳压装置包括稳压泵二台，一用一备。气压罐一台。</w:t>
      </w:r>
    </w:p>
    <w:p w14:paraId="5B67B5A2">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报警阀装置：本办公区设有1套报警阀，为湿式报警阀。湿式系统工作原理：主机接到压力开关动作信号后，启动喷淋泵向管网输水。</w:t>
      </w:r>
    </w:p>
    <w:p w14:paraId="536E1350">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喷洒头：办公楼1号楼、4号楼除卫生间外均设喷洒头，喷头动作68℃。</w:t>
      </w:r>
    </w:p>
    <w:p w14:paraId="7321D9F2">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管网：喷淋管报警阀前为环状管网，喷淋支管为枝状管网，本系统设有1个室外水泵接合器。</w:t>
      </w:r>
    </w:p>
    <w:p w14:paraId="25DE7D48">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灭火器配置：灭火器配置场所为中危险级。火灾种类为A和B类，A类火灾配置场所灭火器的配置基准5A，B类火灾配置场所灭火器的配置基准4B。灭火器置于每层的灭火器箱内。</w:t>
      </w:r>
    </w:p>
    <w:p w14:paraId="1288603A">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消防报警系统：</w:t>
      </w:r>
    </w:p>
    <w:p w14:paraId="55D9335A">
      <w:pPr>
        <w:numPr>
          <w:ilvl w:val="0"/>
          <w:numId w:val="4"/>
        </w:numPr>
        <w:spacing w:line="240" w:lineRule="auto"/>
        <w:ind w:left="42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本办公区设有火灾自动报警系统、保护对象为一级，</w:t>
      </w:r>
    </w:p>
    <w:p w14:paraId="1ECF79EB">
      <w:pPr>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采用集中报警控制。</w:t>
      </w:r>
    </w:p>
    <w:p w14:paraId="3DE08026">
      <w:pPr>
        <w:numPr>
          <w:ilvl w:val="0"/>
          <w:numId w:val="4"/>
        </w:numPr>
        <w:spacing w:line="240" w:lineRule="auto"/>
        <w:ind w:left="42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在办公楼1号楼的首层设有消防值班室（24小时有人</w:t>
      </w:r>
    </w:p>
    <w:p w14:paraId="2B9FD381">
      <w:pPr>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值守），内设火灾自动报警系统主机，自动报警系统由报警主机、感烟探测器、监视模块、控制模块、手动报警按扭、消火栓按扭、打印记录设备、消防广播控制设备组成。办公楼1号楼、4号楼各楼层设有手动报警按扭。消防泵、喷淋泵等消防设备，均可由消防控制室在火灾时实现联动控制。在配电室、公共走廊、电梯前厅及办公、库房等设有智能型感烟探测器。</w:t>
      </w:r>
    </w:p>
    <w:p w14:paraId="2D135E52">
      <w:pPr>
        <w:numPr>
          <w:ilvl w:val="0"/>
          <w:numId w:val="4"/>
        </w:numPr>
        <w:spacing w:line="240" w:lineRule="auto"/>
        <w:ind w:left="42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火灾报警控制器采用模块化设计，可根据需求选配相</w:t>
      </w:r>
    </w:p>
    <w:p w14:paraId="59912F8D">
      <w:pPr>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应模块；控制器为二总线闭合回路，回路线采用非屏蔽双绞线。集中报警控制柜内有火灾报警控制器（显示屏为全中文）、火灾多线控制盘、CRT图形显示器等。</w:t>
      </w:r>
    </w:p>
    <w:p w14:paraId="3E5B97C6">
      <w:pPr>
        <w:numPr>
          <w:ilvl w:val="0"/>
          <w:numId w:val="0"/>
        </w:numPr>
        <w:spacing w:line="240" w:lineRule="auto"/>
        <w:ind w:left="420" w:left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主要功能有：</w:t>
      </w:r>
    </w:p>
    <w:p w14:paraId="15D5C572">
      <w:pPr>
        <w:numPr>
          <w:ilvl w:val="0"/>
          <w:numId w:val="5"/>
        </w:numPr>
        <w:spacing w:line="240" w:lineRule="auto"/>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火灾自动报警设备的动作显示，系统巡检及故障显示系统运行记录。</w:t>
      </w:r>
    </w:p>
    <w:p w14:paraId="266F049D">
      <w:pPr>
        <w:numPr>
          <w:ilvl w:val="0"/>
          <w:numId w:val="5"/>
        </w:numPr>
        <w:spacing w:line="240" w:lineRule="auto"/>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各水流指示器的状态显示。</w:t>
      </w:r>
    </w:p>
    <w:p w14:paraId="448F81FE">
      <w:pPr>
        <w:numPr>
          <w:ilvl w:val="0"/>
          <w:numId w:val="5"/>
        </w:numPr>
        <w:spacing w:line="240" w:lineRule="auto"/>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非消防电源的切换。</w:t>
      </w:r>
    </w:p>
    <w:p w14:paraId="67A788A6">
      <w:pPr>
        <w:numPr>
          <w:ilvl w:val="0"/>
          <w:numId w:val="5"/>
        </w:numPr>
        <w:spacing w:line="240" w:lineRule="auto"/>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消防水泵的直接/手动启动控制及状态显示。</w:t>
      </w:r>
    </w:p>
    <w:p w14:paraId="294182F9">
      <w:pPr>
        <w:numPr>
          <w:ilvl w:val="0"/>
          <w:numId w:val="0"/>
        </w:numPr>
        <w:spacing w:line="240" w:lineRule="auto"/>
        <w:ind w:left="420" w:left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(4)办公楼1号楼消火栓箱内设有消火栓专用按扭，使其</w:t>
      </w:r>
    </w:p>
    <w:p w14:paraId="085FEA5E">
      <w:pPr>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报警后通过报警主机联动启动消防泵。消防控制室亦可通过直拉线直接控制消防泵的启停。并显示其工作、故障状态。</w:t>
      </w:r>
    </w:p>
    <w:p w14:paraId="6FAE19EB">
      <w:pPr>
        <w:numPr>
          <w:ilvl w:val="0"/>
          <w:numId w:val="0"/>
        </w:numPr>
        <w:spacing w:line="240" w:lineRule="auto"/>
        <w:ind w:left="845" w:leftChars="0" w:hanging="425" w:firstLineChars="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5</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建筑内水喷淋系统设有湿式报警阀、水流指示器及信</w:t>
      </w:r>
    </w:p>
    <w:p w14:paraId="650FE15D">
      <w:pPr>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号阀，消防控制室可监测信号阀、水流指示器、报警阀工作状态。消防控制室可通过直拉线直接控制喷淋泵的启停。并显示其工作、故障状态。</w:t>
      </w:r>
    </w:p>
    <w:p w14:paraId="01BC6144">
      <w:pPr>
        <w:numPr>
          <w:ilvl w:val="0"/>
          <w:numId w:val="0"/>
        </w:numPr>
        <w:spacing w:line="240" w:lineRule="auto"/>
        <w:ind w:left="420" w:leftChars="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6</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火灾确认后，消防控制室控制1号楼电梯全部停于</w:t>
      </w:r>
    </w:p>
    <w:p w14:paraId="2587E997">
      <w:pPr>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首层，接收反馈信号；并可切断有关部分的非消防电源。</w:t>
      </w:r>
    </w:p>
    <w:p w14:paraId="391F7300">
      <w:pPr>
        <w:numPr>
          <w:ilvl w:val="0"/>
          <w:numId w:val="0"/>
        </w:numPr>
        <w:spacing w:line="240" w:lineRule="auto"/>
        <w:ind w:left="845" w:leftChars="0" w:hanging="425" w:firstLineChars="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7</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办公楼1号楼疏散走道、电梯厅设有火灾事故广播及</w:t>
      </w:r>
    </w:p>
    <w:p w14:paraId="50AF4C77">
      <w:pPr>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声光警报装置，扬声器实配功率为3W。消防控制室可根据火灾发生情况，分别控制各楼层火灾事故广播及声光警报装置的开启。</w:t>
      </w:r>
    </w:p>
    <w:p w14:paraId="51456527">
      <w:pPr>
        <w:numPr>
          <w:ilvl w:val="0"/>
          <w:numId w:val="0"/>
        </w:numPr>
        <w:spacing w:line="240" w:lineRule="auto"/>
        <w:ind w:left="420" w:leftChars="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8</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在手动报警按扭处设有电话插孔。消防控制室设有</w:t>
      </w:r>
    </w:p>
    <w:p w14:paraId="7AFFC0C0">
      <w:pPr>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专线电话。</w:t>
      </w:r>
    </w:p>
    <w:p w14:paraId="11D85CDA">
      <w:pPr>
        <w:numPr>
          <w:ilvl w:val="0"/>
          <w:numId w:val="0"/>
        </w:numPr>
        <w:spacing w:line="240" w:lineRule="auto"/>
        <w:ind w:firstLine="420" w:firstLineChars="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9</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消防供电线路均选用阻燃塑铜线，采用专用的供电</w:t>
      </w:r>
    </w:p>
    <w:p w14:paraId="3880A2E1">
      <w:pPr>
        <w:numPr>
          <w:ilvl w:val="0"/>
          <w:numId w:val="0"/>
        </w:num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回路，在经防火处理的金属桥架内敷设或穿金属保护管暗敷；消防报警线、联动控制线、火警通讯均选用阻燃型导线，干线穿经防火处理的金属线槽（内加隔板）吊顶内、板下、竖井内敷设，支线穿金属管保护管暗敷设于板内、墙内、保护层厚度不小于30mm。明敷设电线管均刷防火涂料。</w:t>
      </w:r>
    </w:p>
    <w:p w14:paraId="7F994776">
      <w:pPr>
        <w:numPr>
          <w:ilvl w:val="0"/>
          <w:numId w:val="0"/>
        </w:numPr>
        <w:spacing w:line="240" w:lineRule="auto"/>
        <w:ind w:left="845" w:leftChars="0" w:hanging="425" w:firstLineChars="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10</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3号楼消防维保及消电检服务由原维保单位维保(免保期)。</w:t>
      </w:r>
    </w:p>
    <w:p w14:paraId="7300FB00">
      <w:pPr>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（二）岗位配置及相关情况说明：</w:t>
      </w:r>
    </w:p>
    <w:p w14:paraId="4C9FF3BB">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1、人员配备：</w:t>
      </w:r>
    </w:p>
    <w:tbl>
      <w:tblPr>
        <w:tblStyle w:val="23"/>
        <w:tblpPr w:leftFromText="180" w:rightFromText="180" w:vertAnchor="page" w:horzAnchor="page" w:tblpX="1644" w:tblpY="3948"/>
        <w:tblOverlap w:val="never"/>
        <w:tblW w:w="84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42"/>
        <w:gridCol w:w="3731"/>
        <w:gridCol w:w="3545"/>
      </w:tblGrid>
      <w:tr w14:paraId="6D43F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3" w:hRule="atLeast"/>
        </w:trPr>
        <w:tc>
          <w:tcPr>
            <w:tcW w:w="1142" w:type="dxa"/>
            <w:tcBorders>
              <w:top w:val="single" w:color="auto" w:sz="4" w:space="0"/>
              <w:left w:val="single" w:color="auto" w:sz="4" w:space="0"/>
              <w:bottom w:val="single" w:color="auto" w:sz="4" w:space="0"/>
              <w:right w:val="single" w:color="auto" w:sz="4" w:space="0"/>
            </w:tcBorders>
            <w:noWrap w:val="0"/>
            <w:vAlign w:val="center"/>
          </w:tcPr>
          <w:p w14:paraId="501FCB9C">
            <w:pPr>
              <w:keepNext w:val="0"/>
              <w:keepLines w:val="0"/>
              <w:widowControl/>
              <w:suppressLineNumbers w:val="0"/>
              <w:spacing w:line="240" w:lineRule="auto"/>
              <w:jc w:val="center"/>
              <w:textAlignment w:val="center"/>
              <w:rPr>
                <w:rFonts w:hint="eastAsia" w:ascii="黑体" w:hAnsi="黑体" w:eastAsia="黑体" w:cs="黑体"/>
                <w:b w:val="0"/>
                <w:bCs/>
                <w:i w:val="0"/>
                <w:color w:val="000000"/>
                <w:kern w:val="0"/>
                <w:sz w:val="32"/>
                <w:szCs w:val="32"/>
                <w:u w:val="none"/>
                <w:lang w:val="en-US" w:eastAsia="zh-CN" w:bidi="ar-SA"/>
              </w:rPr>
            </w:pPr>
            <w:r>
              <w:rPr>
                <w:rFonts w:hint="eastAsia" w:ascii="黑体" w:hAnsi="黑体" w:eastAsia="黑体" w:cs="黑体"/>
                <w:b w:val="0"/>
                <w:bCs/>
                <w:i w:val="0"/>
                <w:color w:val="000000"/>
                <w:kern w:val="0"/>
                <w:sz w:val="32"/>
                <w:szCs w:val="32"/>
                <w:u w:val="none"/>
                <w:lang w:val="en-US" w:eastAsia="zh-CN" w:bidi="ar-SA"/>
              </w:rPr>
              <w:t>序号</w:t>
            </w:r>
          </w:p>
        </w:tc>
        <w:tc>
          <w:tcPr>
            <w:tcW w:w="3731" w:type="dxa"/>
            <w:tcBorders>
              <w:top w:val="single" w:color="auto" w:sz="4" w:space="0"/>
              <w:left w:val="single" w:color="auto" w:sz="4" w:space="0"/>
              <w:bottom w:val="single" w:color="auto" w:sz="4" w:space="0"/>
              <w:right w:val="single" w:color="auto" w:sz="4" w:space="0"/>
            </w:tcBorders>
            <w:noWrap w:val="0"/>
            <w:vAlign w:val="center"/>
          </w:tcPr>
          <w:p w14:paraId="215553C3">
            <w:pPr>
              <w:keepNext w:val="0"/>
              <w:keepLines w:val="0"/>
              <w:widowControl/>
              <w:suppressLineNumbers w:val="0"/>
              <w:spacing w:line="240" w:lineRule="auto"/>
              <w:jc w:val="center"/>
              <w:textAlignment w:val="center"/>
              <w:rPr>
                <w:rFonts w:hint="eastAsia" w:ascii="黑体" w:hAnsi="黑体" w:eastAsia="黑体" w:cs="黑体"/>
                <w:b w:val="0"/>
                <w:bCs/>
                <w:i w:val="0"/>
                <w:color w:val="000000"/>
                <w:kern w:val="0"/>
                <w:sz w:val="32"/>
                <w:szCs w:val="32"/>
                <w:u w:val="none"/>
                <w:lang w:val="en-US" w:eastAsia="zh-CN" w:bidi="ar-SA"/>
              </w:rPr>
            </w:pPr>
            <w:r>
              <w:rPr>
                <w:rFonts w:hint="eastAsia" w:ascii="黑体" w:hAnsi="黑体" w:eastAsia="黑体" w:cs="黑体"/>
                <w:b w:val="0"/>
                <w:bCs/>
                <w:i w:val="0"/>
                <w:color w:val="000000"/>
                <w:kern w:val="0"/>
                <w:sz w:val="32"/>
                <w:szCs w:val="32"/>
                <w:u w:val="none"/>
                <w:lang w:val="en-US" w:eastAsia="zh-CN" w:bidi="ar-SA"/>
              </w:rPr>
              <w:t>岗位</w:t>
            </w:r>
          </w:p>
        </w:tc>
        <w:tc>
          <w:tcPr>
            <w:tcW w:w="3545" w:type="dxa"/>
            <w:tcBorders>
              <w:top w:val="single" w:color="auto" w:sz="4" w:space="0"/>
              <w:left w:val="single" w:color="auto" w:sz="4" w:space="0"/>
              <w:bottom w:val="single" w:color="auto" w:sz="4" w:space="0"/>
              <w:right w:val="single" w:color="auto" w:sz="4" w:space="0"/>
            </w:tcBorders>
            <w:noWrap w:val="0"/>
            <w:vAlign w:val="center"/>
          </w:tcPr>
          <w:p w14:paraId="127613A4">
            <w:pPr>
              <w:keepNext w:val="0"/>
              <w:keepLines w:val="0"/>
              <w:widowControl/>
              <w:suppressLineNumbers w:val="0"/>
              <w:spacing w:line="240" w:lineRule="auto"/>
              <w:jc w:val="center"/>
              <w:textAlignment w:val="center"/>
              <w:rPr>
                <w:rFonts w:hint="eastAsia" w:ascii="黑体" w:hAnsi="黑体" w:eastAsia="黑体" w:cs="黑体"/>
                <w:b w:val="0"/>
                <w:bCs/>
                <w:i w:val="0"/>
                <w:color w:val="000000"/>
                <w:kern w:val="0"/>
                <w:sz w:val="32"/>
                <w:szCs w:val="32"/>
                <w:u w:val="none"/>
                <w:lang w:val="en-US" w:eastAsia="zh-CN" w:bidi="ar-SA"/>
              </w:rPr>
            </w:pPr>
            <w:r>
              <w:rPr>
                <w:rFonts w:hint="eastAsia" w:ascii="黑体" w:hAnsi="黑体" w:eastAsia="黑体" w:cs="黑体"/>
                <w:b w:val="0"/>
                <w:bCs/>
                <w:i w:val="0"/>
                <w:color w:val="000000"/>
                <w:kern w:val="0"/>
                <w:sz w:val="32"/>
                <w:szCs w:val="32"/>
                <w:u w:val="none"/>
                <w:lang w:val="en-US" w:eastAsia="zh-CN" w:bidi="ar-SA"/>
              </w:rPr>
              <w:t>岗位数</w:t>
            </w:r>
          </w:p>
        </w:tc>
      </w:tr>
      <w:tr w14:paraId="05E92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3" w:hRule="atLeast"/>
        </w:trPr>
        <w:tc>
          <w:tcPr>
            <w:tcW w:w="1142" w:type="dxa"/>
            <w:tcBorders>
              <w:top w:val="single" w:color="auto" w:sz="4" w:space="0"/>
              <w:left w:val="single" w:color="auto" w:sz="4" w:space="0"/>
              <w:bottom w:val="single" w:color="auto" w:sz="4" w:space="0"/>
              <w:right w:val="single" w:color="auto" w:sz="4" w:space="0"/>
            </w:tcBorders>
            <w:noWrap w:val="0"/>
            <w:vAlign w:val="center"/>
          </w:tcPr>
          <w:p w14:paraId="73C1FF6A">
            <w:pPr>
              <w:keepNext w:val="0"/>
              <w:keepLines w:val="0"/>
              <w:widowControl/>
              <w:suppressLineNumbers w:val="0"/>
              <w:spacing w:line="240" w:lineRule="auto"/>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1</w:t>
            </w:r>
          </w:p>
        </w:tc>
        <w:tc>
          <w:tcPr>
            <w:tcW w:w="3731" w:type="dxa"/>
            <w:tcBorders>
              <w:top w:val="single" w:color="auto" w:sz="4" w:space="0"/>
              <w:left w:val="single" w:color="auto" w:sz="4" w:space="0"/>
              <w:bottom w:val="single" w:color="auto" w:sz="4" w:space="0"/>
              <w:right w:val="single" w:color="auto" w:sz="4" w:space="0"/>
            </w:tcBorders>
            <w:noWrap w:val="0"/>
            <w:vAlign w:val="center"/>
          </w:tcPr>
          <w:p w14:paraId="254C3917">
            <w:pPr>
              <w:keepNext w:val="0"/>
              <w:keepLines w:val="0"/>
              <w:widowControl/>
              <w:suppressLineNumbers w:val="0"/>
              <w:spacing w:line="240" w:lineRule="auto"/>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sz w:val="32"/>
                <w:szCs w:val="32"/>
                <w:u w:val="none"/>
                <w:lang w:val="en-US" w:eastAsia="zh-CN"/>
              </w:rPr>
              <w:t>行政</w:t>
            </w:r>
          </w:p>
        </w:tc>
        <w:tc>
          <w:tcPr>
            <w:tcW w:w="3545" w:type="dxa"/>
            <w:tcBorders>
              <w:top w:val="single" w:color="auto" w:sz="4" w:space="0"/>
              <w:left w:val="single" w:color="auto" w:sz="4" w:space="0"/>
              <w:bottom w:val="single" w:color="auto" w:sz="4" w:space="0"/>
              <w:right w:val="single" w:color="auto" w:sz="4" w:space="0"/>
            </w:tcBorders>
            <w:noWrap w:val="0"/>
            <w:vAlign w:val="center"/>
          </w:tcPr>
          <w:p w14:paraId="52951F4D">
            <w:pPr>
              <w:keepNext w:val="0"/>
              <w:keepLines w:val="0"/>
              <w:widowControl/>
              <w:suppressLineNumbers w:val="0"/>
              <w:spacing w:line="240" w:lineRule="auto"/>
              <w:jc w:val="center"/>
              <w:textAlignment w:val="center"/>
              <w:rPr>
                <w:rFonts w:hint="default" w:ascii="仿宋_GB2312" w:hAnsi="仿宋_GB2312" w:eastAsia="仿宋_GB2312" w:cs="仿宋_GB2312"/>
                <w:b w:val="0"/>
                <w:bCs/>
                <w:i w:val="0"/>
                <w:color w:val="000000"/>
                <w:sz w:val="32"/>
                <w:szCs w:val="32"/>
                <w:u w:val="none"/>
                <w:lang w:val="en-US" w:eastAsia="zh-CN"/>
              </w:rPr>
            </w:pPr>
            <w:r>
              <w:rPr>
                <w:rFonts w:hint="eastAsia" w:ascii="仿宋_GB2312" w:hAnsi="仿宋_GB2312" w:eastAsia="仿宋_GB2312" w:cs="仿宋_GB2312"/>
                <w:b w:val="0"/>
                <w:bCs/>
                <w:i w:val="0"/>
                <w:color w:val="000000"/>
                <w:sz w:val="32"/>
                <w:szCs w:val="32"/>
                <w:u w:val="none"/>
                <w:lang w:val="en-US" w:eastAsia="zh-CN"/>
              </w:rPr>
              <w:t>6</w:t>
            </w:r>
          </w:p>
        </w:tc>
      </w:tr>
      <w:tr w14:paraId="17FCC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3" w:hRule="atLeast"/>
        </w:trPr>
        <w:tc>
          <w:tcPr>
            <w:tcW w:w="1142" w:type="dxa"/>
            <w:tcBorders>
              <w:top w:val="single" w:color="auto" w:sz="4" w:space="0"/>
              <w:left w:val="single" w:color="auto" w:sz="4" w:space="0"/>
              <w:bottom w:val="single" w:color="auto" w:sz="4" w:space="0"/>
              <w:right w:val="single" w:color="auto" w:sz="4" w:space="0"/>
            </w:tcBorders>
            <w:noWrap w:val="0"/>
            <w:vAlign w:val="center"/>
          </w:tcPr>
          <w:p w14:paraId="09C54CE9">
            <w:pPr>
              <w:keepNext w:val="0"/>
              <w:keepLines w:val="0"/>
              <w:widowControl/>
              <w:suppressLineNumbers w:val="0"/>
              <w:spacing w:line="240" w:lineRule="auto"/>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2</w:t>
            </w:r>
          </w:p>
        </w:tc>
        <w:tc>
          <w:tcPr>
            <w:tcW w:w="3731" w:type="dxa"/>
            <w:tcBorders>
              <w:top w:val="single" w:color="auto" w:sz="4" w:space="0"/>
              <w:left w:val="single" w:color="auto" w:sz="4" w:space="0"/>
              <w:bottom w:val="single" w:color="auto" w:sz="4" w:space="0"/>
              <w:right w:val="single" w:color="auto" w:sz="4" w:space="0"/>
            </w:tcBorders>
            <w:noWrap w:val="0"/>
            <w:vAlign w:val="center"/>
          </w:tcPr>
          <w:p w14:paraId="28622553">
            <w:pPr>
              <w:keepNext w:val="0"/>
              <w:keepLines w:val="0"/>
              <w:widowControl/>
              <w:suppressLineNumbers w:val="0"/>
              <w:spacing w:line="240" w:lineRule="auto"/>
              <w:jc w:val="center"/>
              <w:textAlignment w:val="center"/>
              <w:rPr>
                <w:rFonts w:hint="eastAsia" w:ascii="仿宋_GB2312" w:hAnsi="仿宋_GB2312" w:eastAsia="仿宋_GB2312" w:cs="仿宋_GB2312"/>
                <w:b w:val="0"/>
                <w:bCs/>
                <w:i w:val="0"/>
                <w:color w:val="000000"/>
                <w:sz w:val="32"/>
                <w:szCs w:val="32"/>
                <w:u w:val="none"/>
                <w:lang w:val="en-US" w:eastAsia="zh-CN"/>
              </w:rPr>
            </w:pPr>
            <w:r>
              <w:rPr>
                <w:rFonts w:hint="eastAsia" w:ascii="仿宋_GB2312" w:hAnsi="仿宋_GB2312" w:eastAsia="仿宋_GB2312" w:cs="仿宋_GB2312"/>
                <w:b w:val="0"/>
                <w:bCs/>
                <w:i w:val="0"/>
                <w:color w:val="000000"/>
                <w:sz w:val="32"/>
                <w:szCs w:val="32"/>
                <w:u w:val="none"/>
                <w:lang w:val="en-US" w:eastAsia="zh-CN"/>
              </w:rPr>
              <w:t>会服</w:t>
            </w:r>
          </w:p>
        </w:tc>
        <w:tc>
          <w:tcPr>
            <w:tcW w:w="3545" w:type="dxa"/>
            <w:tcBorders>
              <w:top w:val="single" w:color="auto" w:sz="4" w:space="0"/>
              <w:left w:val="single" w:color="auto" w:sz="4" w:space="0"/>
              <w:bottom w:val="single" w:color="auto" w:sz="4" w:space="0"/>
              <w:right w:val="single" w:color="auto" w:sz="4" w:space="0"/>
            </w:tcBorders>
            <w:noWrap w:val="0"/>
            <w:vAlign w:val="center"/>
          </w:tcPr>
          <w:p w14:paraId="2B26E453">
            <w:pPr>
              <w:keepNext w:val="0"/>
              <w:keepLines w:val="0"/>
              <w:widowControl/>
              <w:suppressLineNumbers w:val="0"/>
              <w:spacing w:line="240" w:lineRule="auto"/>
              <w:jc w:val="center"/>
              <w:textAlignment w:val="center"/>
              <w:rPr>
                <w:rFonts w:hint="default" w:ascii="仿宋_GB2312" w:hAnsi="仿宋_GB2312" w:eastAsia="仿宋_GB2312" w:cs="仿宋_GB2312"/>
                <w:b w:val="0"/>
                <w:bCs/>
                <w:i w:val="0"/>
                <w:color w:val="000000"/>
                <w:sz w:val="32"/>
                <w:szCs w:val="32"/>
                <w:u w:val="none"/>
                <w:lang w:val="en-US"/>
              </w:rPr>
            </w:pPr>
            <w:r>
              <w:rPr>
                <w:rFonts w:hint="eastAsia" w:ascii="仿宋_GB2312" w:hAnsi="仿宋_GB2312" w:eastAsia="仿宋_GB2312" w:cs="仿宋_GB2312"/>
                <w:b w:val="0"/>
                <w:bCs/>
                <w:i w:val="0"/>
                <w:color w:val="000000"/>
                <w:kern w:val="0"/>
                <w:sz w:val="32"/>
                <w:szCs w:val="32"/>
                <w:u w:val="none"/>
                <w:lang w:val="en-US" w:eastAsia="zh-CN" w:bidi="ar"/>
              </w:rPr>
              <w:t>29</w:t>
            </w:r>
          </w:p>
        </w:tc>
      </w:tr>
      <w:tr w14:paraId="5D36F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3" w:hRule="atLeast"/>
        </w:trPr>
        <w:tc>
          <w:tcPr>
            <w:tcW w:w="1142" w:type="dxa"/>
            <w:tcBorders>
              <w:top w:val="single" w:color="auto" w:sz="4" w:space="0"/>
              <w:left w:val="single" w:color="auto" w:sz="4" w:space="0"/>
              <w:bottom w:val="single" w:color="auto" w:sz="4" w:space="0"/>
              <w:right w:val="single" w:color="auto" w:sz="4" w:space="0"/>
            </w:tcBorders>
            <w:noWrap w:val="0"/>
            <w:vAlign w:val="center"/>
          </w:tcPr>
          <w:p w14:paraId="54F4F696">
            <w:pPr>
              <w:keepNext w:val="0"/>
              <w:keepLines w:val="0"/>
              <w:widowControl/>
              <w:suppressLineNumbers w:val="0"/>
              <w:spacing w:line="240" w:lineRule="auto"/>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3</w:t>
            </w:r>
          </w:p>
        </w:tc>
        <w:tc>
          <w:tcPr>
            <w:tcW w:w="37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5EB3CD">
            <w:pPr>
              <w:keepNext w:val="0"/>
              <w:keepLines w:val="0"/>
              <w:widowControl/>
              <w:suppressLineNumbers w:val="0"/>
              <w:spacing w:line="240" w:lineRule="auto"/>
              <w:jc w:val="center"/>
              <w:textAlignment w:val="center"/>
              <w:rPr>
                <w:rFonts w:hint="default" w:ascii="仿宋_GB2312" w:hAnsi="仿宋_GB2312" w:eastAsia="仿宋_GB2312" w:cs="仿宋_GB2312"/>
                <w:b w:val="0"/>
                <w:bCs/>
                <w:i w:val="0"/>
                <w:color w:val="000000"/>
                <w:kern w:val="2"/>
                <w:sz w:val="32"/>
                <w:szCs w:val="32"/>
                <w:u w:val="none"/>
                <w:lang w:val="en-US" w:eastAsia="zh-CN" w:bidi="ar-SA"/>
              </w:rPr>
            </w:pPr>
            <w:r>
              <w:rPr>
                <w:rFonts w:hint="eastAsia" w:ascii="仿宋_GB2312" w:hAnsi="仿宋_GB2312" w:eastAsia="仿宋_GB2312" w:cs="仿宋_GB2312"/>
                <w:b w:val="0"/>
                <w:bCs/>
                <w:i w:val="0"/>
                <w:color w:val="000000"/>
                <w:kern w:val="0"/>
                <w:sz w:val="32"/>
                <w:szCs w:val="32"/>
                <w:u w:val="none"/>
                <w:lang w:val="en-US" w:eastAsia="zh-CN" w:bidi="ar"/>
              </w:rPr>
              <w:t>工程</w:t>
            </w:r>
          </w:p>
        </w:tc>
        <w:tc>
          <w:tcPr>
            <w:tcW w:w="35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2F56DD">
            <w:pPr>
              <w:keepNext w:val="0"/>
              <w:keepLines w:val="0"/>
              <w:widowControl/>
              <w:suppressLineNumbers w:val="0"/>
              <w:spacing w:line="240" w:lineRule="auto"/>
              <w:jc w:val="center"/>
              <w:textAlignment w:val="center"/>
              <w:rPr>
                <w:rFonts w:hint="default" w:ascii="仿宋_GB2312" w:hAnsi="仿宋_GB2312" w:eastAsia="仿宋_GB2312" w:cs="仿宋_GB2312"/>
                <w:b w:val="0"/>
                <w:bCs/>
                <w:i w:val="0"/>
                <w:color w:val="000000"/>
                <w:kern w:val="2"/>
                <w:sz w:val="32"/>
                <w:szCs w:val="32"/>
                <w:u w:val="none"/>
                <w:lang w:val="en-US" w:eastAsia="zh-CN" w:bidi="ar-SA"/>
              </w:rPr>
            </w:pPr>
            <w:r>
              <w:rPr>
                <w:rFonts w:hint="eastAsia" w:ascii="仿宋_GB2312" w:hAnsi="仿宋_GB2312" w:eastAsia="仿宋_GB2312" w:cs="仿宋_GB2312"/>
                <w:b w:val="0"/>
                <w:bCs/>
                <w:i w:val="0"/>
                <w:color w:val="000000"/>
                <w:sz w:val="32"/>
                <w:szCs w:val="32"/>
                <w:u w:val="none"/>
                <w:lang w:val="en-US" w:eastAsia="zh-CN"/>
              </w:rPr>
              <w:t>7</w:t>
            </w:r>
          </w:p>
        </w:tc>
      </w:tr>
      <w:tr w14:paraId="38405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3" w:hRule="atLeast"/>
        </w:trPr>
        <w:tc>
          <w:tcPr>
            <w:tcW w:w="1142" w:type="dxa"/>
            <w:tcBorders>
              <w:top w:val="single" w:color="auto" w:sz="4" w:space="0"/>
              <w:left w:val="single" w:color="auto" w:sz="4" w:space="0"/>
              <w:bottom w:val="single" w:color="auto" w:sz="4" w:space="0"/>
              <w:right w:val="single" w:color="auto" w:sz="4" w:space="0"/>
            </w:tcBorders>
            <w:noWrap w:val="0"/>
            <w:vAlign w:val="center"/>
          </w:tcPr>
          <w:p w14:paraId="2B1CD998">
            <w:pPr>
              <w:keepNext w:val="0"/>
              <w:keepLines w:val="0"/>
              <w:widowControl/>
              <w:suppressLineNumbers w:val="0"/>
              <w:spacing w:line="240" w:lineRule="auto"/>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4</w:t>
            </w:r>
          </w:p>
        </w:tc>
        <w:tc>
          <w:tcPr>
            <w:tcW w:w="3731" w:type="dxa"/>
            <w:tcBorders>
              <w:top w:val="single" w:color="auto" w:sz="4" w:space="0"/>
              <w:left w:val="single" w:color="auto" w:sz="4" w:space="0"/>
              <w:bottom w:val="single" w:color="auto" w:sz="4" w:space="0"/>
              <w:right w:val="single" w:color="auto" w:sz="4" w:space="0"/>
            </w:tcBorders>
            <w:noWrap w:val="0"/>
            <w:vAlign w:val="center"/>
          </w:tcPr>
          <w:p w14:paraId="775FEBAC">
            <w:pPr>
              <w:keepNext w:val="0"/>
              <w:keepLines w:val="0"/>
              <w:widowControl/>
              <w:suppressLineNumbers w:val="0"/>
              <w:spacing w:line="240" w:lineRule="auto"/>
              <w:jc w:val="center"/>
              <w:textAlignment w:val="center"/>
              <w:rPr>
                <w:rFonts w:hint="eastAsia" w:ascii="仿宋_GB2312" w:hAnsi="仿宋_GB2312" w:eastAsia="仿宋_GB2312" w:cs="仿宋_GB2312"/>
                <w:b w:val="0"/>
                <w:bCs/>
                <w:i w:val="0"/>
                <w:color w:val="000000"/>
                <w:sz w:val="32"/>
                <w:szCs w:val="32"/>
                <w:u w:val="none"/>
              </w:rPr>
            </w:pPr>
            <w:r>
              <w:rPr>
                <w:rFonts w:hint="eastAsia" w:ascii="仿宋_GB2312" w:hAnsi="仿宋_GB2312" w:eastAsia="仿宋_GB2312" w:cs="仿宋_GB2312"/>
                <w:b w:val="0"/>
                <w:bCs/>
                <w:i w:val="0"/>
                <w:color w:val="000000"/>
                <w:kern w:val="0"/>
                <w:sz w:val="32"/>
                <w:szCs w:val="32"/>
                <w:u w:val="none"/>
                <w:lang w:val="en-US" w:eastAsia="zh-CN" w:bidi="ar"/>
              </w:rPr>
              <w:t>保洁</w:t>
            </w:r>
          </w:p>
        </w:tc>
        <w:tc>
          <w:tcPr>
            <w:tcW w:w="3545" w:type="dxa"/>
            <w:tcBorders>
              <w:top w:val="single" w:color="auto" w:sz="4" w:space="0"/>
              <w:left w:val="single" w:color="auto" w:sz="4" w:space="0"/>
              <w:bottom w:val="single" w:color="auto" w:sz="4" w:space="0"/>
              <w:right w:val="single" w:color="auto" w:sz="4" w:space="0"/>
            </w:tcBorders>
            <w:noWrap w:val="0"/>
            <w:vAlign w:val="center"/>
          </w:tcPr>
          <w:p w14:paraId="6246E81D">
            <w:pPr>
              <w:keepNext w:val="0"/>
              <w:keepLines w:val="0"/>
              <w:widowControl/>
              <w:suppressLineNumbers w:val="0"/>
              <w:spacing w:line="240" w:lineRule="auto"/>
              <w:jc w:val="center"/>
              <w:textAlignment w:val="center"/>
              <w:rPr>
                <w:rFonts w:hint="default" w:ascii="仿宋_GB2312" w:hAnsi="仿宋_GB2312" w:eastAsia="仿宋_GB2312" w:cs="仿宋_GB2312"/>
                <w:b w:val="0"/>
                <w:bCs/>
                <w:i w:val="0"/>
                <w:color w:val="000000"/>
                <w:sz w:val="32"/>
                <w:szCs w:val="32"/>
                <w:u w:val="none"/>
                <w:lang w:val="en-US" w:eastAsia="zh-CN"/>
              </w:rPr>
            </w:pPr>
            <w:r>
              <w:rPr>
                <w:rFonts w:hint="eastAsia" w:ascii="仿宋_GB2312" w:hAnsi="仿宋_GB2312" w:eastAsia="仿宋_GB2312" w:cs="仿宋_GB2312"/>
                <w:b w:val="0"/>
                <w:bCs/>
                <w:i w:val="0"/>
                <w:color w:val="000000"/>
                <w:sz w:val="32"/>
                <w:szCs w:val="32"/>
                <w:u w:val="none"/>
                <w:lang w:val="en-US" w:eastAsia="zh-CN"/>
              </w:rPr>
              <w:t>33</w:t>
            </w:r>
          </w:p>
        </w:tc>
      </w:tr>
      <w:tr w14:paraId="5B7F3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3" w:hRule="atLeast"/>
        </w:trPr>
        <w:tc>
          <w:tcPr>
            <w:tcW w:w="1142" w:type="dxa"/>
            <w:tcBorders>
              <w:top w:val="single" w:color="auto" w:sz="4" w:space="0"/>
              <w:left w:val="single" w:color="auto" w:sz="4" w:space="0"/>
              <w:bottom w:val="single" w:color="auto" w:sz="4" w:space="0"/>
              <w:right w:val="single" w:color="auto" w:sz="4" w:space="0"/>
            </w:tcBorders>
            <w:noWrap w:val="0"/>
            <w:vAlign w:val="center"/>
          </w:tcPr>
          <w:p w14:paraId="5F335E9E">
            <w:pPr>
              <w:keepNext w:val="0"/>
              <w:keepLines w:val="0"/>
              <w:widowControl/>
              <w:suppressLineNumbers w:val="0"/>
              <w:spacing w:line="240" w:lineRule="auto"/>
              <w:jc w:val="center"/>
              <w:textAlignment w:val="center"/>
              <w:rPr>
                <w:rFonts w:hint="default" w:ascii="仿宋_GB2312" w:hAnsi="仿宋_GB2312" w:eastAsia="仿宋_GB2312" w:cs="仿宋_GB2312"/>
                <w:b w:val="0"/>
                <w:bCs/>
                <w:i w:val="0"/>
                <w:color w:val="auto"/>
                <w:kern w:val="0"/>
                <w:sz w:val="32"/>
                <w:szCs w:val="32"/>
                <w:u w:val="none"/>
                <w:lang w:val="en-US" w:eastAsia="zh-CN" w:bidi="ar"/>
              </w:rPr>
            </w:pPr>
            <w:r>
              <w:rPr>
                <w:rFonts w:hint="eastAsia" w:ascii="仿宋_GB2312" w:hAnsi="仿宋_GB2312" w:eastAsia="仿宋_GB2312" w:cs="仿宋_GB2312"/>
                <w:b w:val="0"/>
                <w:bCs/>
                <w:i w:val="0"/>
                <w:color w:val="auto"/>
                <w:kern w:val="0"/>
                <w:sz w:val="32"/>
                <w:szCs w:val="32"/>
                <w:u w:val="none"/>
                <w:lang w:val="en-US" w:eastAsia="zh-CN" w:bidi="ar"/>
              </w:rPr>
              <w:t>5</w:t>
            </w:r>
          </w:p>
        </w:tc>
        <w:tc>
          <w:tcPr>
            <w:tcW w:w="3731" w:type="dxa"/>
            <w:tcBorders>
              <w:top w:val="single" w:color="auto" w:sz="4" w:space="0"/>
              <w:left w:val="single" w:color="auto" w:sz="4" w:space="0"/>
              <w:bottom w:val="single" w:color="auto" w:sz="4" w:space="0"/>
              <w:right w:val="single" w:color="auto" w:sz="4" w:space="0"/>
            </w:tcBorders>
            <w:noWrap w:val="0"/>
            <w:vAlign w:val="center"/>
          </w:tcPr>
          <w:p w14:paraId="76A46900">
            <w:pPr>
              <w:keepNext w:val="0"/>
              <w:keepLines w:val="0"/>
              <w:widowControl/>
              <w:suppressLineNumbers w:val="0"/>
              <w:spacing w:line="240" w:lineRule="auto"/>
              <w:jc w:val="center"/>
              <w:textAlignment w:val="center"/>
              <w:rPr>
                <w:rFonts w:hint="default" w:ascii="仿宋_GB2312" w:hAnsi="仿宋_GB2312" w:eastAsia="仿宋_GB2312" w:cs="仿宋_GB2312"/>
                <w:b w:val="0"/>
                <w:bCs/>
                <w:i w:val="0"/>
                <w:color w:val="auto"/>
                <w:kern w:val="0"/>
                <w:sz w:val="32"/>
                <w:szCs w:val="32"/>
                <w:u w:val="none"/>
                <w:lang w:val="en-US" w:eastAsia="zh-CN" w:bidi="ar"/>
              </w:rPr>
            </w:pPr>
            <w:r>
              <w:rPr>
                <w:rFonts w:hint="eastAsia" w:ascii="仿宋_GB2312" w:hAnsi="仿宋_GB2312" w:eastAsia="仿宋_GB2312" w:cs="仿宋_GB2312"/>
                <w:b w:val="0"/>
                <w:bCs/>
                <w:i w:val="0"/>
                <w:color w:val="auto"/>
                <w:kern w:val="0"/>
                <w:sz w:val="32"/>
                <w:szCs w:val="32"/>
                <w:u w:val="none"/>
                <w:lang w:val="en-US" w:eastAsia="zh-CN" w:bidi="ar"/>
              </w:rPr>
              <w:t>停车场管理员</w:t>
            </w:r>
          </w:p>
        </w:tc>
        <w:tc>
          <w:tcPr>
            <w:tcW w:w="3545" w:type="dxa"/>
            <w:tcBorders>
              <w:top w:val="single" w:color="auto" w:sz="4" w:space="0"/>
              <w:left w:val="single" w:color="auto" w:sz="4" w:space="0"/>
              <w:bottom w:val="single" w:color="auto" w:sz="4" w:space="0"/>
              <w:right w:val="single" w:color="auto" w:sz="4" w:space="0"/>
            </w:tcBorders>
            <w:noWrap w:val="0"/>
            <w:vAlign w:val="center"/>
          </w:tcPr>
          <w:p w14:paraId="5288301A">
            <w:pPr>
              <w:keepNext w:val="0"/>
              <w:keepLines w:val="0"/>
              <w:widowControl/>
              <w:suppressLineNumbers w:val="0"/>
              <w:spacing w:line="240" w:lineRule="auto"/>
              <w:jc w:val="center"/>
              <w:textAlignment w:val="center"/>
              <w:rPr>
                <w:rFonts w:hint="default" w:ascii="仿宋_GB2312" w:hAnsi="仿宋_GB2312" w:eastAsia="仿宋_GB2312" w:cs="仿宋_GB2312"/>
                <w:b w:val="0"/>
                <w:bCs/>
                <w:i w:val="0"/>
                <w:color w:val="auto"/>
                <w:sz w:val="32"/>
                <w:szCs w:val="32"/>
                <w:u w:val="none"/>
                <w:lang w:val="en-US" w:eastAsia="zh-CN"/>
              </w:rPr>
            </w:pPr>
            <w:r>
              <w:rPr>
                <w:rFonts w:hint="eastAsia" w:ascii="仿宋_GB2312" w:hAnsi="仿宋_GB2312" w:eastAsia="仿宋_GB2312" w:cs="仿宋_GB2312"/>
                <w:b w:val="0"/>
                <w:bCs/>
                <w:i w:val="0"/>
                <w:color w:val="auto"/>
                <w:sz w:val="32"/>
                <w:szCs w:val="32"/>
                <w:u w:val="none"/>
                <w:lang w:val="en-US" w:eastAsia="zh-CN"/>
              </w:rPr>
              <w:t>2</w:t>
            </w:r>
          </w:p>
        </w:tc>
      </w:tr>
      <w:tr w14:paraId="788D4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3" w:hRule="atLeast"/>
        </w:trPr>
        <w:tc>
          <w:tcPr>
            <w:tcW w:w="11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0F7A87">
            <w:pPr>
              <w:keepNext w:val="0"/>
              <w:keepLines w:val="0"/>
              <w:widowControl/>
              <w:suppressLineNumbers w:val="0"/>
              <w:spacing w:line="240" w:lineRule="auto"/>
              <w:jc w:val="center"/>
              <w:textAlignment w:val="center"/>
              <w:rPr>
                <w:rFonts w:hint="eastAsia" w:ascii="仿宋_GB2312" w:hAnsi="仿宋_GB2312" w:eastAsia="仿宋_GB2312" w:cs="仿宋_GB2312"/>
                <w:b w:val="0"/>
                <w:bCs/>
                <w:i w:val="0"/>
                <w:color w:val="000000"/>
                <w:kern w:val="0"/>
                <w:sz w:val="32"/>
                <w:szCs w:val="32"/>
                <w:u w:val="none"/>
                <w:lang w:val="en-US" w:eastAsia="zh-CN" w:bidi="ar"/>
              </w:rPr>
            </w:pPr>
            <w:r>
              <w:rPr>
                <w:rFonts w:hint="eastAsia" w:ascii="仿宋_GB2312" w:hAnsi="仿宋_GB2312" w:eastAsia="仿宋_GB2312" w:cs="仿宋_GB2312"/>
                <w:b w:val="0"/>
                <w:bCs/>
                <w:i w:val="0"/>
                <w:color w:val="000000"/>
                <w:kern w:val="0"/>
                <w:sz w:val="32"/>
                <w:szCs w:val="32"/>
                <w:u w:val="none"/>
                <w:lang w:val="en-US" w:eastAsia="zh-CN" w:bidi="ar"/>
              </w:rPr>
              <w:t>6</w:t>
            </w:r>
          </w:p>
        </w:tc>
        <w:tc>
          <w:tcPr>
            <w:tcW w:w="37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6B5661">
            <w:pPr>
              <w:keepNext w:val="0"/>
              <w:keepLines w:val="0"/>
              <w:widowControl/>
              <w:suppressLineNumbers w:val="0"/>
              <w:spacing w:line="240" w:lineRule="auto"/>
              <w:jc w:val="center"/>
              <w:textAlignment w:val="center"/>
              <w:rPr>
                <w:rFonts w:hint="eastAsia" w:ascii="仿宋_GB2312" w:hAnsi="仿宋_GB2312" w:eastAsia="仿宋_GB2312" w:cs="仿宋_GB2312"/>
                <w:b w:val="0"/>
                <w:bCs/>
                <w:i w:val="0"/>
                <w:color w:val="000000"/>
                <w:kern w:val="0"/>
                <w:sz w:val="32"/>
                <w:szCs w:val="32"/>
                <w:u w:val="none"/>
                <w:lang w:val="en-US" w:eastAsia="zh-CN" w:bidi="ar"/>
              </w:rPr>
            </w:pPr>
            <w:r>
              <w:rPr>
                <w:rFonts w:hint="eastAsia" w:ascii="仿宋_GB2312" w:hAnsi="仿宋_GB2312" w:eastAsia="仿宋_GB2312" w:cs="仿宋_GB2312"/>
                <w:b w:val="0"/>
                <w:bCs/>
                <w:i w:val="0"/>
                <w:color w:val="000000"/>
                <w:kern w:val="0"/>
                <w:sz w:val="32"/>
                <w:szCs w:val="32"/>
                <w:u w:val="none"/>
                <w:lang w:val="en-US" w:eastAsia="zh-CN" w:bidi="ar"/>
              </w:rPr>
              <w:t>合计</w:t>
            </w:r>
          </w:p>
        </w:tc>
        <w:tc>
          <w:tcPr>
            <w:tcW w:w="35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67B9B1">
            <w:pPr>
              <w:keepNext w:val="0"/>
              <w:keepLines w:val="0"/>
              <w:widowControl/>
              <w:suppressLineNumbers w:val="0"/>
              <w:spacing w:line="240" w:lineRule="auto"/>
              <w:jc w:val="center"/>
              <w:textAlignment w:val="center"/>
              <w:rPr>
                <w:rFonts w:hint="eastAsia" w:ascii="仿宋_GB2312" w:hAnsi="仿宋_GB2312" w:eastAsia="仿宋_GB2312" w:cs="仿宋_GB2312"/>
                <w:b w:val="0"/>
                <w:bCs/>
                <w:i w:val="0"/>
                <w:color w:val="000000"/>
                <w:kern w:val="2"/>
                <w:sz w:val="32"/>
                <w:szCs w:val="32"/>
                <w:u w:val="none"/>
                <w:lang w:val="en-US" w:eastAsia="zh-CN" w:bidi="ar-SA"/>
              </w:rPr>
            </w:pPr>
            <w:r>
              <w:rPr>
                <w:rFonts w:hint="eastAsia" w:ascii="仿宋_GB2312" w:hAnsi="仿宋_GB2312" w:eastAsia="仿宋_GB2312" w:cs="仿宋_GB2312"/>
                <w:b w:val="0"/>
                <w:bCs/>
                <w:i w:val="0"/>
                <w:color w:val="000000"/>
                <w:sz w:val="32"/>
                <w:szCs w:val="32"/>
                <w:u w:val="none"/>
                <w:lang w:val="en-US" w:eastAsia="zh-CN"/>
              </w:rPr>
              <w:t>77</w:t>
            </w:r>
          </w:p>
        </w:tc>
      </w:tr>
    </w:tbl>
    <w:p w14:paraId="2CC61E4F">
      <w:pPr>
        <w:spacing w:line="240" w:lineRule="auto"/>
        <w:ind w:firstLine="42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2、人员要求</w:t>
      </w:r>
    </w:p>
    <w:p w14:paraId="48602458">
      <w:p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负责人：年龄在40岁以下，应具备大学专科或以上文化程度，具备物业管理方面相关证书，电梯日常巡检、维保对接、应急处置全流程规范，能够对工程班组作业开展监督、验收、隐患排查管理；具备3年以上同岗位管理经验，无失信记录、无重大安全管理责任事故、无违法犯罪记录，身体健康，能够全职驻场履职，不得兼任其他物业服务项目负责人。</w:t>
      </w:r>
    </w:p>
    <w:p w14:paraId="4C2DB6F9">
      <w:pPr>
        <w:spacing w:line="240"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政：年龄在50岁以下，应具备大学专科或以上文化程度，熟练掌握办公系统操作，拥有行政相关工作经验，严守保密纪律，作风端正；至少配置1名人员持有有效物业管理员职业资格/技能等级证书，投标人落实定岗分工制度，保障行政服务全天候稳定供给，人员统一规范管理，接受甲方日常考核与动态管理，身体健康证且无犯罪记录。</w:t>
      </w:r>
    </w:p>
    <w:p w14:paraId="7A6D947A">
      <w:p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会服岗：年龄在40岁及以下，应具备高中或以上文化程度，品行良好、普通话标准，严守保密管理制度，具备政务会务服务经验优先，身体健康证且无犯罪记录。</w:t>
      </w:r>
    </w:p>
    <w:p w14:paraId="5A07BC3A">
      <w:p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工程岗：年龄在55岁以下，持有工程维修类相关证书，具有3年以上同类项目工程维修经验，熟悉水电、暖通、消防等设施设备的基本原理与维护流程，身体健康且无犯罪记录。</w:t>
      </w:r>
    </w:p>
    <w:p w14:paraId="41018FC0">
      <w:p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保洁岗：年龄在60岁以下，具有1年以上同类项目保洁经验，仪表端庄，身体健康证且无犯罪记录。</w:t>
      </w:r>
    </w:p>
    <w:p w14:paraId="7188E497">
      <w:pPr>
        <w:spacing w:line="240"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停车场管理员：年龄在60岁以下，初中及以上学历，品行端正、身体健康且无犯罪记录。</w:t>
      </w:r>
    </w:p>
    <w:p w14:paraId="76083F78">
      <w:pPr>
        <w:spacing w:line="240" w:lineRule="auto"/>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、技术参数要求、服务要求</w:t>
      </w:r>
    </w:p>
    <w:p w14:paraId="57BA8CB4">
      <w:pPr>
        <w:spacing w:line="24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（一）房屋日常养护维修</w:t>
      </w:r>
    </w:p>
    <w:p w14:paraId="14551BD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房屋日常养护维修是指为保持办公楼（区）办公室、会议室、接待室、公共区域、卫生间、地下车库、走廊、屋面、外墙立面、广场等的原有完好等级和正常使用，进行日常养护和及时修复小损小坏等房屋维护管理工作。</w:t>
      </w:r>
    </w:p>
    <w:p w14:paraId="7004BC1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4393F48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1．确保办公楼（区）房屋的完好等级和正常使用；</w:t>
      </w:r>
    </w:p>
    <w:p w14:paraId="7C8D4034">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2．要爱护办公楼内的设施，未经批准，不得对办公楼结构、设施等进行改动；</w:t>
      </w:r>
    </w:p>
    <w:p w14:paraId="00665E2D">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3．及时完成各项零星小损小坏维修任务，合格率100%，一般维修任务不得超过24小时。</w:t>
      </w:r>
    </w:p>
    <w:p w14:paraId="0E66ABEC">
      <w:pPr>
        <w:spacing w:line="240" w:lineRule="auto"/>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（二）给排水设备运行维护</w:t>
      </w:r>
    </w:p>
    <w:p w14:paraId="70D5C02F">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给排水设备运行维护是指为保证办公楼（区）给排水设备、上下水管线、阀门等的正常运行使用所进行的日常维护、维修及室外管道系统的维护、抄表计量、疏通。</w:t>
      </w:r>
    </w:p>
    <w:p w14:paraId="727553F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06DF88DF">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1．加强值班，坚守岗位，密切注视给排水系统运行情况；</w:t>
      </w:r>
    </w:p>
    <w:p w14:paraId="7B22790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对办公楼（区）室内给排水系统的设备、设施，如水泵、给水装置、水处理设备、消火栓、管道、管件、阀门、水嘴、卫生洁具、排水管、透气管、水封设备、室外排水管及其附属构筑物等正常运行使用进行日常维护、维修；</w:t>
      </w:r>
    </w:p>
    <w:p w14:paraId="52A0F04F">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t>．加强巡视检查，及时对给排水系统各种设备出现的故障进行维修；</w:t>
      </w:r>
    </w:p>
    <w:p w14:paraId="53E75CE9">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．对给排水管道进行日常维护、清除污垢；</w:t>
      </w:r>
    </w:p>
    <w:p w14:paraId="2DCB2581">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．加强巡视检查，对救火用的输水设备出现故障时立即进行抢修，同时禁止使用消防水喉做其他用途。</w:t>
      </w:r>
    </w:p>
    <w:p w14:paraId="7705BAE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294253E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1．加强日常检查巡视，保证给排水系统正常运行使用；</w:t>
      </w:r>
    </w:p>
    <w:p w14:paraId="6EC284F9">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2．建立正常供水管理制度，保证水质符合国家标准；</w:t>
      </w:r>
    </w:p>
    <w:p w14:paraId="38F0552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3．加强巡视检查，防止跑、冒、滴、漏，保证设备设施完好；</w:t>
      </w:r>
    </w:p>
    <w:p w14:paraId="36B169A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4．保持室内外排水系统通畅；</w:t>
      </w:r>
    </w:p>
    <w:p w14:paraId="05A41DAF">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5．设备出现故障时，维修人员应在10分钟内到达现场，维修合格率达到100%，一般性故障排除不过夜；</w:t>
      </w:r>
    </w:p>
    <w:p w14:paraId="2D21FD0F">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6．作好节约用水工作；</w:t>
      </w:r>
    </w:p>
    <w:p w14:paraId="2F91FE15">
      <w:pPr>
        <w:spacing w:line="240" w:lineRule="auto"/>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（三）供电系统运行管理</w:t>
      </w:r>
    </w:p>
    <w:p w14:paraId="0D973D5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供电设备管理是指为保证办公楼（区）供电系统正常运行，对电器设备、电线电缆、电气照明装置等设备进行日常管理和维修。</w:t>
      </w:r>
    </w:p>
    <w:p w14:paraId="0EA0F3C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522EC4B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1．对办公楼（区）供电系统电器设备、电线电缆、电气照明装置等设备正常运行使用进行日常管理和维修；</w:t>
      </w:r>
    </w:p>
    <w:p w14:paraId="44CF291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2．建立各项设备档案；</w:t>
      </w:r>
    </w:p>
    <w:p w14:paraId="138FFD1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3．建立、落实配送电运行制度、电气维修制度和配电室管理制度、24小时运行值班制度等；</w:t>
      </w:r>
    </w:p>
    <w:p w14:paraId="6BF969E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4．及时排除故障，保证供电设施完好；</w:t>
      </w:r>
    </w:p>
    <w:p w14:paraId="19120C2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5．购置后备部件，以防急用；</w:t>
      </w:r>
    </w:p>
    <w:p w14:paraId="58E1CFFC">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．做好夜景照明、节日灯系统的运行管理；</w:t>
      </w:r>
    </w:p>
    <w:p w14:paraId="46D0A27E">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rPr>
        <w:t>．建立节电措施。</w:t>
      </w:r>
    </w:p>
    <w:p w14:paraId="4E32FEE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5D773BC8">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1．统筹规划，做到合理、节约用电；</w:t>
      </w:r>
    </w:p>
    <w:p w14:paraId="536EF2F9">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2．供电运行和维修人员必须持证上岗；</w:t>
      </w:r>
    </w:p>
    <w:p w14:paraId="32096AD8">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t>．加强日常管理、检修，公共使用的照明、指示灯具线路、开关要保证完好；</w:t>
      </w:r>
    </w:p>
    <w:p w14:paraId="45E58E56">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．设备出现故障时，维修人员应在10分钟内到达现场，设备维修合格率达到100%，一般性维修不过夜；</w:t>
      </w:r>
    </w:p>
    <w:p w14:paraId="1DBB84F3">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．严格执行用电安全规范，确保用电安全；</w:t>
      </w:r>
    </w:p>
    <w:p w14:paraId="053CF561">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．保证避雷设施完好、有效、安全；</w:t>
      </w:r>
    </w:p>
    <w:p w14:paraId="3AF149D9">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rPr>
        <w:t>．保证夜景照明、节日灯、应急灯系统正常运行，并按时关启。</w:t>
      </w:r>
    </w:p>
    <w:p w14:paraId="31DC7F94">
      <w:pPr>
        <w:spacing w:line="240" w:lineRule="auto"/>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（四）电梯运行维修</w:t>
      </w:r>
    </w:p>
    <w:p w14:paraId="0800427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电梯运行维修是指为保证办公楼（区）电梯设备正常使用所进行的日常运行管理、维修养护。</w:t>
      </w:r>
    </w:p>
    <w:p w14:paraId="3E3A774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7807F8E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1．建立电梯、设备管理、安全管理制度，加强电梯运行管理；</w:t>
      </w:r>
    </w:p>
    <w:p w14:paraId="707DD084">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2．严格执行国家有关特种设备管理规定和安全规程，确保设备运行安全；</w:t>
      </w:r>
    </w:p>
    <w:p w14:paraId="7504F7E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3．定期对机房设备、井道系统、轿厢设备进行日常养护维修和小修；</w:t>
      </w:r>
    </w:p>
    <w:p w14:paraId="47B9A9D4">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4．经常对电梯设备等进行巡视检查，定期保养；</w:t>
      </w:r>
    </w:p>
    <w:p w14:paraId="2DC74F1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2F65E4E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1．确保电梯按规定时间安全运行；</w:t>
      </w:r>
    </w:p>
    <w:p w14:paraId="1A0BDCA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2．安全设施齐全有效，电梯内求救警铃及电话保持正常工作状态；</w:t>
      </w:r>
    </w:p>
    <w:p w14:paraId="668FF18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3．通风、照明及其它附属设施完好；</w:t>
      </w:r>
    </w:p>
    <w:p w14:paraId="7F2BA67D">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4．电梯准用证、年检合格证、维修保养合同完备；</w:t>
      </w:r>
    </w:p>
    <w:p w14:paraId="6715D24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5．轿厢、井道及机房保持清洁；</w:t>
      </w:r>
    </w:p>
    <w:p w14:paraId="3B2C20F4">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6．因故障停梯，接到报修后电梯安全员（持证上岗）应在10分钟内到达现场，维保人员应在30分钟内到达现场，并及时排除故障。</w:t>
      </w:r>
    </w:p>
    <w:p w14:paraId="43401366">
      <w:pPr>
        <w:spacing w:line="240" w:lineRule="auto"/>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（五）空调系统运行维护</w:t>
      </w:r>
    </w:p>
    <w:p w14:paraId="1A02A1E4">
      <w:pPr>
        <w:spacing w:line="240" w:lineRule="auto"/>
        <w:ind w:firstLine="640" w:firstLineChars="200"/>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color w:val="auto"/>
          <w:sz w:val="32"/>
          <w:szCs w:val="32"/>
        </w:rPr>
        <w:t>指为保证办公楼（区）集中空调系统及分体空调正常运行所进行的日常管理及检修。其中中央空调系统的运行管理包括：空调系统机组、节能系统。</w:t>
      </w:r>
    </w:p>
    <w:p w14:paraId="5766891F">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6B3FE61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1．对办公楼（区）空调系统机组、节能系统设备正常运行使用进行日常巡视检查及管理；</w:t>
      </w:r>
    </w:p>
    <w:p w14:paraId="4D452DA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2．软化水系统、风机盘管、循环泵、管道、各种阀类、采气装置膨胀水箱和各类风口、安全阀、压力表、设备正常使用进行日常使用管理、检修；</w:t>
      </w:r>
    </w:p>
    <w:p w14:paraId="1A61058D">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3．建立各项设备档案；</w:t>
      </w:r>
    </w:p>
    <w:p w14:paraId="42481DE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4．建立、落实空调运行、值班制度等；</w:t>
      </w:r>
    </w:p>
    <w:p w14:paraId="503883D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5．及时排除故障，保证空调设施完好和正常使用；</w:t>
      </w:r>
    </w:p>
    <w:p w14:paraId="3DFDB77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6．购置后备部件，以防急用；</w:t>
      </w:r>
    </w:p>
    <w:p w14:paraId="6388F73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7．按时开、关空调设备；</w:t>
      </w:r>
    </w:p>
    <w:p w14:paraId="71BDAA8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7114619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1．建立空调运行管理制度和安全操作规程；</w:t>
      </w:r>
    </w:p>
    <w:p w14:paraId="01FC13F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2．保证空调系统安全运行和正常使用；</w:t>
      </w:r>
    </w:p>
    <w:p w14:paraId="0EF20744">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3．运行中无滴漏水现象；</w:t>
      </w:r>
    </w:p>
    <w:p w14:paraId="1E4D64B2">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．定期检修空调设备，保证空调设备、设施处于良好状态；</w:t>
      </w:r>
    </w:p>
    <w:p w14:paraId="609C75DE">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．空调系统出现运行故障后，维修人员应在10分钟内到达现场维修，并做好记录，维修合格率100%。</w:t>
      </w:r>
    </w:p>
    <w:p w14:paraId="6ADBD899">
      <w:pPr>
        <w:spacing w:line="24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（六）电热水器管理</w:t>
      </w:r>
    </w:p>
    <w:p w14:paraId="342517AD">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电热水器管理是指为保证办公楼（区）开水供应，对电热水器的日常管理。</w:t>
      </w:r>
    </w:p>
    <w:p w14:paraId="1B010CD4">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72C5B90D">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1．每日擦拭电热水器外表，保持洁净、光亮，无污迹；</w:t>
      </w:r>
    </w:p>
    <w:p w14:paraId="64B9C91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2．按时提供开水供应，并及时加水，随时保证供应；</w:t>
      </w:r>
    </w:p>
    <w:p w14:paraId="7870440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3．电热水器出现故障、水质不达标时，立即与维保单位联系解决；</w:t>
      </w:r>
    </w:p>
    <w:p w14:paraId="6BE3CA5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4．每日按规定开启、关闭电热水器开关、阀门和电源。</w:t>
      </w:r>
    </w:p>
    <w:p w14:paraId="11881C2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148799B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1．电热水器保持洁净、光亮，无污迹；</w:t>
      </w:r>
    </w:p>
    <w:p w14:paraId="4399A61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2．保证按规定时间安全供应开水；</w:t>
      </w:r>
    </w:p>
    <w:p w14:paraId="4C5F647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3．监督维保厂家及时维修排除故障，无贻误；</w:t>
      </w:r>
    </w:p>
    <w:p w14:paraId="4897561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4．监督维保厂家按期更换滤芯，水质达标；</w:t>
      </w:r>
    </w:p>
    <w:p w14:paraId="5771909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5．严格执行操作规程，按规范启动、关闭，不发生安全方面的问题。</w:t>
      </w:r>
    </w:p>
    <w:p w14:paraId="02C00836">
      <w:pPr>
        <w:spacing w:line="24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（七）卫生保洁</w:t>
      </w:r>
    </w:p>
    <w:p w14:paraId="6F90D17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卫生保洁是指为保持机关办公楼公共区域、地下车库、庭院等环境清洁而进行的日常清扫工作（以下工作内容所需工具及耗材由中标供应商提供）。</w:t>
      </w:r>
    </w:p>
    <w:p w14:paraId="34FA878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1、公共区域卫生保洁</w:t>
      </w:r>
    </w:p>
    <w:p w14:paraId="3CF4B2CF">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公共区域包括：办公楼大厅、大门、楼道、楼梯及上述部位内所有设施用品及饰物。</w:t>
      </w:r>
    </w:p>
    <w:p w14:paraId="789F540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098169A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（1）清理大楼内的所有垃圾，对垃圾进行分类回收；</w:t>
      </w:r>
    </w:p>
    <w:p w14:paraId="3A501E1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（2）收集及清理所有垃圾箱、花槽内的垃圾；</w:t>
      </w:r>
    </w:p>
    <w:p w14:paraId="5F43D9E8">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（3）清洁所有窗户及指示牌；</w:t>
      </w:r>
    </w:p>
    <w:p w14:paraId="5509924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（4）清洁所有花盆及植物；</w:t>
      </w:r>
    </w:p>
    <w:p w14:paraId="366421B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（5）清洁所有出口大门及门牌；</w:t>
      </w:r>
    </w:p>
    <w:p w14:paraId="735D08B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（6）清除所有手印及污渍，包括楼梯墙壁；</w:t>
      </w:r>
    </w:p>
    <w:p w14:paraId="67F8C1A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（7）清洁所有扶手，栏杆及玻璃表面；</w:t>
      </w:r>
    </w:p>
    <w:p w14:paraId="359E723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（8）清扫所有通风窗口；</w:t>
      </w:r>
    </w:p>
    <w:p w14:paraId="03808534">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（9）清扫空调风口百叶及照明灯片；</w:t>
      </w:r>
    </w:p>
    <w:p w14:paraId="31DCE2D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（10）拖擦地、台表面；</w:t>
      </w:r>
    </w:p>
    <w:p w14:paraId="522E742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（11）清洁所有楼梯、走廊；</w:t>
      </w:r>
    </w:p>
    <w:p w14:paraId="156F1B7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（12）清洁所有灯饰；</w:t>
      </w:r>
    </w:p>
    <w:p w14:paraId="680A158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（13）扫净及洗刷大厅出入口地台及台阶；</w:t>
      </w:r>
    </w:p>
    <w:p w14:paraId="4BAEE60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（14）保持入口大厅内墙壁表面、所有玻璃门窗及设施干净整洁；</w:t>
      </w:r>
    </w:p>
    <w:p w14:paraId="52145D1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（15）清扫大厅天花板尘埃；</w:t>
      </w:r>
    </w:p>
    <w:p w14:paraId="1F3682E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（16）定期投放喷洒鼠、蟑螂、蚊虫药，费用由中标供应商承担。</w:t>
      </w:r>
    </w:p>
    <w:p w14:paraId="7C7EE66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7405A90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（1）地面光亮无水迹、污迹、无杂物；</w:t>
      </w:r>
    </w:p>
    <w:p w14:paraId="521C4B5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（2）楼梯、走廊、指示牌、门牌、通风窗口、地角线、墙壁、柱子、顶板无尘、无污物；</w:t>
      </w:r>
    </w:p>
    <w:p w14:paraId="505BCB5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（3）垃圾筒内垃圾当天清理，并摆放整齐，外观干净；</w:t>
      </w:r>
    </w:p>
    <w:p w14:paraId="55FFA76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（4）花盆外观干净，花叶无尘土，花盆内无杂物；</w:t>
      </w:r>
    </w:p>
    <w:p w14:paraId="7A04D30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（5）门窗玻璃无污迹、水迹、裂痕，有明显安全标志；</w:t>
      </w:r>
    </w:p>
    <w:p w14:paraId="624B3F04">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（6）厅堂无蚊虫；</w:t>
      </w:r>
    </w:p>
    <w:p w14:paraId="332135B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（7）灯饰和其它饰物无尘土、破损；</w:t>
      </w:r>
    </w:p>
    <w:p w14:paraId="52909DE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（8）大厅出入口地台、梯级、墙壁表面、所有玻璃门窗及设施无尘土，大理石墙面光亮、无污迹、水迹；</w:t>
      </w:r>
    </w:p>
    <w:p w14:paraId="00CE091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（9）大厅天花板无尘埃；</w:t>
      </w:r>
    </w:p>
    <w:p w14:paraId="37E9929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（10）无鼠害、无蚊蝇、无蟑螂。</w:t>
      </w:r>
    </w:p>
    <w:p w14:paraId="67FF513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2、卫生间保洁</w:t>
      </w:r>
    </w:p>
    <w:p w14:paraId="47DF6FE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01CCB48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（1）清洁所有门窗、天花板；</w:t>
      </w:r>
    </w:p>
    <w:p w14:paraId="04706ED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（2）擦、冲及洗净所有洗手间设备；</w:t>
      </w:r>
    </w:p>
    <w:p w14:paraId="71A7DD2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（3）擦净所有洗手间镜面；</w:t>
      </w:r>
    </w:p>
    <w:p w14:paraId="096DF93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（4）擦净地台表面；</w:t>
      </w:r>
    </w:p>
    <w:p w14:paraId="27297F18">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（5）天花板及照明设备表面除尘；</w:t>
      </w:r>
    </w:p>
    <w:p w14:paraId="76CFFA4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（6）抹净抽气扇；</w:t>
      </w:r>
    </w:p>
    <w:p w14:paraId="6930FFC8">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（7）随时补充厕纸、擦手纸、洗手液、清洁液等，费用由中标供应商负责；</w:t>
      </w:r>
    </w:p>
    <w:p w14:paraId="6D744F6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（8）清理卫生桶脏物；</w:t>
      </w:r>
    </w:p>
    <w:p w14:paraId="036A6B4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（9）清洁卫生洁具。</w:t>
      </w:r>
    </w:p>
    <w:p w14:paraId="7C5B1B24">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7B9E269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（1）门、窗、天花板、墙壁、隔板无尘、无污迹、无杂物；</w:t>
      </w:r>
    </w:p>
    <w:p w14:paraId="4C4DED3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（2）玻璃、镜面明亮无水迹；</w:t>
      </w:r>
    </w:p>
    <w:p w14:paraId="6FE922C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（3）地面墙角无尘、无污迹、无杂物、无蛛网、无水迹；</w:t>
      </w:r>
    </w:p>
    <w:p w14:paraId="62F7059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（4）面池、龙头、弯管无污迹、无杂物，电镀件明亮；</w:t>
      </w:r>
    </w:p>
    <w:p w14:paraId="05CCD28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（5）便池无尘、无污迹、无杂物，小便池内香球不少于1/2个球，及时更换；</w:t>
      </w:r>
    </w:p>
    <w:p w14:paraId="2BA75A6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（6）桶内垃圾不超1/2即清理；</w:t>
      </w:r>
    </w:p>
    <w:p w14:paraId="7F9890B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（7）设备（灯、开关、暖气、通风口、门锁）无尘、无污迹；</w:t>
      </w:r>
    </w:p>
    <w:p w14:paraId="11170C79">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（8）空气清新、无异味；</w:t>
      </w:r>
    </w:p>
    <w:p w14:paraId="7275C6C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（9）墩布间及垃圾回收间干净、整洁、无杂物，物品码放整齐、不囤积。</w:t>
      </w:r>
    </w:p>
    <w:p w14:paraId="77F1A53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3、会议室保洁</w:t>
      </w:r>
    </w:p>
    <w:p w14:paraId="2395737F">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（1）保持室内的窗 、窗台、窗框干净、整洁；</w:t>
      </w:r>
    </w:p>
    <w:p w14:paraId="407A819D">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（2）保持室内墙面、天花板整洁、完好，无污渍、浮灰、蜘蛛网；</w:t>
      </w:r>
    </w:p>
    <w:p w14:paraId="05E5B88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（3）保持地面、地毯的整洁、完好，无垃圾、污渍，地毯清洁费由中标供应商负责；</w:t>
      </w:r>
    </w:p>
    <w:p w14:paraId="1FFFFA2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（4）保持室内各种家具放置整齐，光洁、无灰尘；</w:t>
      </w:r>
    </w:p>
    <w:p w14:paraId="33343EA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（5）保持室内灯具清洁、完好；</w:t>
      </w:r>
    </w:p>
    <w:p w14:paraId="103D1A8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（6）保持室内各种艺术装饰挂件挂放端正，清洁无损；</w:t>
      </w:r>
    </w:p>
    <w:p w14:paraId="22DEA77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（7）定时喷洒空气清新剂，保持室内的空气清新。</w:t>
      </w:r>
    </w:p>
    <w:p w14:paraId="57599FD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4、电梯间保洁</w:t>
      </w:r>
    </w:p>
    <w:p w14:paraId="0761CE8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3D2EF44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（1）扫净及清擦电梯门表面；</w:t>
      </w:r>
    </w:p>
    <w:p w14:paraId="0616EDD9">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（2）擦净电梯内壁、门及指示；</w:t>
      </w:r>
    </w:p>
    <w:p w14:paraId="5D01C16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（3）电梯天花板表面除尘；</w:t>
      </w:r>
    </w:p>
    <w:p w14:paraId="303E62E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（4）电梯门缝吸尘；</w:t>
      </w:r>
    </w:p>
    <w:p w14:paraId="4457768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（5）擦净电梯通风吸照明；</w:t>
      </w:r>
    </w:p>
    <w:p w14:paraId="68B819B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（6）电梯表面涂上保护膜；</w:t>
      </w:r>
    </w:p>
    <w:p w14:paraId="6CCE111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（7）电梯槽底清理垃圾；</w:t>
      </w:r>
    </w:p>
    <w:p w14:paraId="38771BD9">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（8）擦净电梯大堂、走廊表面。</w:t>
      </w:r>
    </w:p>
    <w:p w14:paraId="47E4A30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5335F1B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（1）电梯门表面、轿厢内壁、指示牌无尘土、印迹，表面光亮；</w:t>
      </w:r>
    </w:p>
    <w:p w14:paraId="40C393B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（2）电梯天花板、门缝无尘土；</w:t>
      </w:r>
    </w:p>
    <w:p w14:paraId="4674525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（3）井道、槽底清洁，无杂物；</w:t>
      </w:r>
    </w:p>
    <w:p w14:paraId="1D28E33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（4）电梯大堂、走廊表面干净、明亮。</w:t>
      </w:r>
    </w:p>
    <w:p w14:paraId="1F1F437D">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5、外场保洁</w:t>
      </w:r>
    </w:p>
    <w:p w14:paraId="0D361F4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外场保洁主要包括庭院、大门前、室外停车场、通道等的卫生管理工作。</w:t>
      </w:r>
    </w:p>
    <w:p w14:paraId="028CF86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5A8C909D">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（1）全楼垃圾清运；</w:t>
      </w:r>
    </w:p>
    <w:p w14:paraId="27DD9D3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（2）庭院地面清洁；</w:t>
      </w:r>
    </w:p>
    <w:p w14:paraId="71C2E0A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（3）冬季清扫积雪。</w:t>
      </w:r>
    </w:p>
    <w:p w14:paraId="608F32F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3BAF38A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（1）庭院地面清洁无废弃物；</w:t>
      </w:r>
    </w:p>
    <w:p w14:paraId="7DFC7C8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（2）保洁重点是烟头、废纸、杂物等，随时捡拾入桶；</w:t>
      </w:r>
    </w:p>
    <w:p w14:paraId="3F031F1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（3）垃圾清运及时，无蚊蝇滋生；</w:t>
      </w:r>
    </w:p>
    <w:p w14:paraId="3C7977F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（4）扫雪及时，地面无积雪，符合市扫雪办要求。</w:t>
      </w:r>
    </w:p>
    <w:p w14:paraId="4A0B9EB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6、外窗保洁</w:t>
      </w:r>
    </w:p>
    <w:p w14:paraId="5062929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外窗保洁是指办公楼、建筑物的外窗卫生管理。</w:t>
      </w:r>
    </w:p>
    <w:p w14:paraId="102146E8">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086A79B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（1）外窗定期清洗。</w:t>
      </w:r>
    </w:p>
    <w:p w14:paraId="145947F9">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7205CBF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（1）外窗清洗后，清洁透明，清洁时，室内不进水；</w:t>
      </w:r>
    </w:p>
    <w:p w14:paraId="5899728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（2）外窗清洗每年</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次，并在投标文件中报出方案。</w:t>
      </w:r>
    </w:p>
    <w:p w14:paraId="3DBAE309">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7、石材清洗养护</w:t>
      </w:r>
    </w:p>
    <w:p w14:paraId="7284DC4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1840176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（1）1号楼大厅及台阶，3号楼南北大厅；</w:t>
      </w:r>
    </w:p>
    <w:p w14:paraId="4B559E59">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27540798">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（1）石材表面干净透亮、无浮尘、无脚印、无水渍、无残留污渍、无杂物碎屑；</w:t>
      </w:r>
    </w:p>
    <w:p w14:paraId="048CAE0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（2）石材缝隙、边角凹槽无污渍、无油渍、无黑垢、无残留污垢。</w:t>
      </w:r>
    </w:p>
    <w:p w14:paraId="66E5067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8、车库卫生保洁</w:t>
      </w:r>
    </w:p>
    <w:p w14:paraId="1D083CA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54C50C08">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（1）定期清除地下车库内的灰尘、纸屑等垃圾；</w:t>
      </w:r>
    </w:p>
    <w:p w14:paraId="4D2E0AC8">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（2）将墙面以及所有箱柜、管道和器具上的灰尘掸掉；</w:t>
      </w:r>
    </w:p>
    <w:p w14:paraId="4CFE84C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（3）及时清除地下室进出口处的垃圾，以避免下水道堵塞；</w:t>
      </w:r>
    </w:p>
    <w:p w14:paraId="383CB6B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（4）经常查看车库内的卫生清洁情况，严禁在地下车库堆放物品及垃圾；</w:t>
      </w:r>
    </w:p>
    <w:p w14:paraId="3D3119A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（5）经常用拖布拖去灰尘，保持场地清洁。</w:t>
      </w:r>
    </w:p>
    <w:p w14:paraId="6C60B0E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784AD5A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（1）保持地下车库道路畅通，无堆积垃圾及物品；</w:t>
      </w:r>
    </w:p>
    <w:p w14:paraId="2B0B986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（2）保持地面无灰尘、无垃圾；</w:t>
      </w:r>
    </w:p>
    <w:p w14:paraId="6BF39FA9">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（3）保持地下车库空气流通，无异味。</w:t>
      </w:r>
    </w:p>
    <w:p w14:paraId="1847E496">
      <w:pPr>
        <w:spacing w:line="240" w:lineRule="auto"/>
        <w:ind w:firstLine="643" w:firstLineChars="2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（八）会议服务</w:t>
      </w:r>
    </w:p>
    <w:p w14:paraId="6B39220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会议服务是指为机关在办公楼（区）举办地各类会议、活动提供的会议接待、保洁服务。</w:t>
      </w:r>
    </w:p>
    <w:p w14:paraId="6F200A2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7AAB73D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1．会前按要求安排会场；</w:t>
      </w:r>
    </w:p>
    <w:p w14:paraId="43BC2848">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2．会前按要求摆放桌、椅、台布、台裙、音像设备、茶杯、纸、笔、热水、咖啡；</w:t>
      </w:r>
    </w:p>
    <w:p w14:paraId="6DBD27A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3．会后整理会场，相关设备、用品回库；</w:t>
      </w:r>
    </w:p>
    <w:p w14:paraId="2D20CF6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4．保持会议室经常性的卫生、器具完好；</w:t>
      </w:r>
    </w:p>
    <w:p w14:paraId="6492AF9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5．按规范做好杯具、毛巾的洗消工作；会议室公用杯具由专门洗消间设专人负责清洗、消毒；</w:t>
      </w:r>
    </w:p>
    <w:p w14:paraId="20C876F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6．窗帘、杯垫、地毯等定期清洗；</w:t>
      </w:r>
    </w:p>
    <w:p w14:paraId="77A2026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7．一般性会议提供：上水等普通服务；特殊会议提供礼仪服务。</w:t>
      </w:r>
    </w:p>
    <w:p w14:paraId="3F56D09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 会议室随时补充擦手纸、文具用品、防疫用品等，费用由中标供应商负责。</w:t>
      </w:r>
    </w:p>
    <w:p w14:paraId="2A05247B">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7133940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1．会场布置符合主办者要求；</w:t>
      </w:r>
    </w:p>
    <w:p w14:paraId="10E5BE3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2．会场布置整洁、大方、颜色协调，摆台合理，符合标准；</w:t>
      </w:r>
    </w:p>
    <w:p w14:paraId="75B7A4C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3．茶杯洗消标准要符合卫生防疫规范要求；</w:t>
      </w:r>
    </w:p>
    <w:p w14:paraId="70B71A0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4．保持室内整洁，保证设备正常运行使用；</w:t>
      </w:r>
    </w:p>
    <w:p w14:paraId="6425562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5．窗帘、杯垫地毯等洁净；</w:t>
      </w:r>
    </w:p>
    <w:p w14:paraId="3F1773F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6．具备会议接待的礼仪知识，服饰得体大方，礼貌热情，形象好，气质佳。</w:t>
      </w:r>
    </w:p>
    <w:p w14:paraId="3176A5CB">
      <w:pPr>
        <w:spacing w:line="24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（九）对客服务</w:t>
      </w:r>
    </w:p>
    <w:p w14:paraId="3B78CA9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建立值班制度，设立服务电话，接受内部机构和职工对物业管理服务的报修、求助、建议、问询、质疑、投诉等各类信息的收集和反馈，并及时处理。</w:t>
      </w:r>
    </w:p>
    <w:p w14:paraId="2FC37D19">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19C9925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1．做好办公楼接报修、投诉、求助、建议等各类信息的收集和反馈工作</w:t>
      </w:r>
    </w:p>
    <w:p w14:paraId="377D11A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2．负责办公楼物业服务内外衔接与协调工作，统筹安排和处理各类反馈问题，并及时做好相关记录。</w:t>
      </w:r>
    </w:p>
    <w:p w14:paraId="6B2454F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628746D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1．加强物业工作人员自身素质建设，注重仪容仪表；</w:t>
      </w:r>
    </w:p>
    <w:p w14:paraId="273E8CD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2．接待每日来电人员，解答其询问和诉求；</w:t>
      </w:r>
    </w:p>
    <w:p w14:paraId="79DC32E0">
      <w:pPr>
        <w:spacing w:line="240" w:lineRule="auto"/>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3．收集报修信息，及时处理，并随时反馈处理进度。</w:t>
      </w:r>
    </w:p>
    <w:p w14:paraId="48440B2B">
      <w:pPr>
        <w:spacing w:line="24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(十) 办公楼消防监控、闭路监控室、门禁监控系统、弱电系统运行管理，故障报告及维修监督</w:t>
      </w:r>
    </w:p>
    <w:p w14:paraId="0CC2A569">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消防监控室、办公楼弱电系统包括:消防报警系统、喷淋系统、监控系统、门禁系统、车辆管理系统、电话系统、信息网络系统、巡更系统。</w:t>
      </w:r>
    </w:p>
    <w:p w14:paraId="49C267D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内容：</w:t>
      </w:r>
    </w:p>
    <w:p w14:paraId="4CE7B7B4">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1．制定停电、强电磁干扰、系统故障无法排除等非正常状态的应急措施；</w:t>
      </w:r>
    </w:p>
    <w:p w14:paraId="4771B6B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2．系统运行故障及时报告，并监督运维单位维修工作；</w:t>
      </w:r>
    </w:p>
    <w:p w14:paraId="4E3C170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3．定期对各系统进行检查，保证正常运行；</w:t>
      </w:r>
    </w:p>
    <w:p w14:paraId="484E721F">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4．搞好设备机房的卫生清洁；</w:t>
      </w:r>
    </w:p>
    <w:p w14:paraId="3EA7958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5．搞好设备机房的安全、防火工作；</w:t>
      </w:r>
    </w:p>
    <w:p w14:paraId="31FF4E7D">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标准：</w:t>
      </w:r>
    </w:p>
    <w:p w14:paraId="26252D30">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．保证消防自动报警设备，监控设备灵敏可靠；</w:t>
      </w:r>
    </w:p>
    <w:p w14:paraId="4B75FE44">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．一般性故障立即排除，合格率100%。暂时不能处理的采取应急措施，应急措施得当有效；</w:t>
      </w:r>
    </w:p>
    <w:p w14:paraId="5206F64B">
      <w:pPr>
        <w:spacing w:line="240" w:lineRule="auto"/>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t>．设备机房整洁；</w:t>
      </w:r>
    </w:p>
    <w:p w14:paraId="22B098CB">
      <w:pPr>
        <w:spacing w:line="240" w:lineRule="auto"/>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4．保证设备机房的安全。</w:t>
      </w:r>
    </w:p>
    <w:p w14:paraId="17108172">
      <w:pPr>
        <w:spacing w:line="240" w:lineRule="auto"/>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（十一）紧急响应</w:t>
      </w:r>
    </w:p>
    <w:p w14:paraId="42D4CCC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紧急响应机制</w:t>
      </w:r>
    </w:p>
    <w:p w14:paraId="2EDE3E8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投标人应建立一套完善的紧急响应机制，该机制应包括但不限于以下内容：</w:t>
      </w:r>
    </w:p>
    <w:p w14:paraId="0660BFBE">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（1）组织架构与职责分工：明确紧急响应的负责人、各相关部门及岗位的职责，确保在紧急情况下能够迅速形成合力，共同应对。</w:t>
      </w:r>
    </w:p>
    <w:p w14:paraId="0BCCA217">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（2）通讯与信息报告：建立紧急通讯渠道，确保在紧急情况下能够迅速传递信息。同时，制定信息报告制度，明确紧急信息的报告流程、内容和时限，以便及时向上级部门或相关单位报告。</w:t>
      </w:r>
    </w:p>
    <w:p w14:paraId="0D99A74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（3）应急资源储备：储备必要的应急物资，确保在紧急情况下能够迅速投入使用，满足应急处置的需要。</w:t>
      </w:r>
    </w:p>
    <w:p w14:paraId="2D4291C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应急预案</w:t>
      </w:r>
    </w:p>
    <w:p w14:paraId="3F6AD4B1">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投标人应针对可能发生的突发事件，制定详细的应急预案。这些预案应包括但不限于以下内容：</w:t>
      </w:r>
    </w:p>
    <w:p w14:paraId="266979AF">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（1）应急响应流程：明确突发事件发生后，从发现、报告、处置到总结的全过程。</w:t>
      </w:r>
    </w:p>
    <w:p w14:paraId="31D626AC">
      <w:pPr>
        <w:spacing w:line="240" w:lineRule="auto"/>
        <w:ind w:firstLine="640" w:firstLineChars="200"/>
        <w:rPr>
          <w:rFonts w:hint="eastAsia"/>
        </w:rPr>
      </w:pPr>
      <w:r>
        <w:rPr>
          <w:rFonts w:hint="eastAsia" w:ascii="仿宋_GB2312" w:hAnsi="仿宋_GB2312" w:eastAsia="仿宋_GB2312" w:cs="仿宋_GB2312"/>
          <w:color w:val="auto"/>
          <w:sz w:val="32"/>
          <w:szCs w:val="32"/>
        </w:rPr>
        <w:t>（2）应急处置措施：针对不同类型的突发事件，制定具体的应急处置措施，确保在紧急情况下能够迅速、有效地应对。</w:t>
      </w:r>
    </w:p>
    <w:p w14:paraId="00D9E256">
      <w:pPr>
        <w:pageBreakBefore w:val="0"/>
        <w:widowControl/>
        <w:tabs>
          <w:tab w:val="left" w:pos="142"/>
          <w:tab w:val="left" w:pos="993"/>
        </w:tabs>
        <w:kinsoku/>
        <w:wordWrap/>
        <w:overflowPunct/>
        <w:topLinePunct w:val="0"/>
        <w:bidi w:val="0"/>
        <w:spacing w:before="156" w:beforeLines="50" w:after="156" w:afterLines="50" w:line="240" w:lineRule="auto"/>
        <w:ind w:firstLine="640" w:firstLineChars="200"/>
        <w:jc w:val="left"/>
        <w:rPr>
          <w:rFonts w:hint="eastAsia" w:ascii="黑体" w:hAnsi="黑体" w:eastAsia="黑体" w:cs="黑体"/>
          <w:b w:val="0"/>
          <w:bCs w:val="0"/>
          <w:color w:val="auto"/>
          <w:kern w:val="0"/>
          <w:sz w:val="32"/>
          <w:szCs w:val="32"/>
        </w:rPr>
      </w:pPr>
      <w:r>
        <w:rPr>
          <w:rFonts w:hint="eastAsia" w:ascii="黑体" w:hAnsi="黑体" w:eastAsia="黑体" w:cs="黑体"/>
          <w:color w:val="auto"/>
          <w:sz w:val="32"/>
          <w:szCs w:val="32"/>
          <w:lang w:val="en-US" w:eastAsia="zh-CN"/>
        </w:rPr>
        <w:t>四、</w:t>
      </w:r>
      <w:r>
        <w:rPr>
          <w:rFonts w:hint="eastAsia" w:ascii="黑体" w:hAnsi="黑体" w:eastAsia="黑体" w:cs="黑体"/>
          <w:b w:val="0"/>
          <w:bCs w:val="0"/>
          <w:color w:val="auto"/>
          <w:kern w:val="0"/>
          <w:sz w:val="32"/>
          <w:szCs w:val="32"/>
          <w:lang w:val="en-US" w:eastAsia="zh-CN"/>
        </w:rPr>
        <w:t>培训要求</w:t>
      </w:r>
    </w:p>
    <w:p w14:paraId="2C955295">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统一会议服务标准、提升保障质量，对会服人员素养、流程、纪律开展的常态化培训管理工作。</w:t>
      </w:r>
    </w:p>
    <w:p w14:paraId="15EB9183">
      <w:pPr>
        <w:spacing w:line="240" w:lineRule="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内容：</w:t>
      </w:r>
    </w:p>
    <w:p w14:paraId="125CDA14">
      <w:pPr>
        <w:spacing w:line="240" w:lineRule="auto"/>
        <w:ind w:firstLine="42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 开展职业素养培训，强化服务、责任、保密意识。</w:t>
      </w:r>
    </w:p>
    <w:p w14:paraId="0270EB47">
      <w:pPr>
        <w:spacing w:line="240" w:lineRule="auto"/>
        <w:ind w:firstLine="42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 开展会务全流程培训，熟练掌握会前、会中、会后各项工作。</w:t>
      </w:r>
    </w:p>
    <w:p w14:paraId="41C8513A">
      <w:pPr>
        <w:spacing w:line="240" w:lineRule="auto"/>
        <w:ind w:firstLine="42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 开展服务礼仪培训，统一仪容、举止、接待规范。</w:t>
      </w:r>
    </w:p>
    <w:p w14:paraId="22C4A2D3">
      <w:pPr>
        <w:spacing w:line="240" w:lineRule="auto"/>
        <w:ind w:firstLine="42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 开展应急处置培训，掌握会场常见突发问题处理流程。</w:t>
      </w:r>
    </w:p>
    <w:p w14:paraId="473AC212">
      <w:pPr>
        <w:spacing w:line="240" w:lineRule="auto"/>
        <w:ind w:firstLine="42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 开展纪律考核培训，落实岗前培训、定期复训及上岗考核。</w:t>
      </w:r>
    </w:p>
    <w:p w14:paraId="72DAD9DE">
      <w:pPr>
        <w:spacing w:line="240" w:lineRule="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标准：</w:t>
      </w:r>
    </w:p>
    <w:p w14:paraId="76A69FFE">
      <w:pPr>
        <w:spacing w:line="240" w:lineRule="auto"/>
        <w:ind w:firstLine="42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 服务态度端正、工作严谨负责，无消极怠工现象。</w:t>
      </w:r>
    </w:p>
    <w:p w14:paraId="0B555E6F">
      <w:pPr>
        <w:spacing w:line="240" w:lineRule="auto"/>
        <w:ind w:firstLine="42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 熟练掌握会务流程，各环节衔接顺畅，无工作疏漏。</w:t>
      </w:r>
    </w:p>
    <w:p w14:paraId="03CCF457">
      <w:pPr>
        <w:spacing w:line="240" w:lineRule="auto"/>
        <w:ind w:firstLine="42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 服务礼仪规范、言行得体，会务形象专业统一。</w:t>
      </w:r>
    </w:p>
    <w:p w14:paraId="4E860344">
      <w:pPr>
        <w:spacing w:line="240" w:lineRule="auto"/>
        <w:ind w:firstLine="42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 突发问题响应及时、处置规范，保障会议正常开展。</w:t>
      </w:r>
    </w:p>
    <w:p w14:paraId="25E2BFC3">
      <w:pPr>
        <w:spacing w:line="240" w:lineRule="auto"/>
        <w:ind w:firstLine="42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 全员培训考核合格上岗，无违规违纪、岗位失职情况。</w:t>
      </w:r>
    </w:p>
    <w:p w14:paraId="582ECE4D">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640" w:firstLineChars="200"/>
        <w:jc w:val="left"/>
        <w:textAlignment w:val="baseline"/>
        <w:outlineLvl w:val="9"/>
        <w:rPr>
          <w:rFonts w:hint="eastAsia" w:ascii="仿宋_GB2312" w:hAnsi="仿宋_GB2312" w:eastAsia="仿宋_GB2312" w:cs="仿宋_GB2312"/>
          <w:b w:val="0"/>
          <w:bCs w:val="0"/>
          <w:color w:val="FF0000"/>
          <w:sz w:val="32"/>
          <w:szCs w:val="32"/>
          <w:lang w:eastAsia="zh-CN"/>
        </w:rPr>
      </w:pPr>
      <w:r>
        <w:rPr>
          <w:rFonts w:hint="eastAsia" w:ascii="黑体" w:hAnsi="黑体" w:eastAsia="黑体" w:cs="黑体"/>
          <w:b w:val="0"/>
          <w:bCs w:val="0"/>
          <w:kern w:val="2"/>
          <w:sz w:val="32"/>
          <w:szCs w:val="32"/>
          <w:lang w:val="en-US" w:eastAsia="zh-CN" w:bidi="ar-SA"/>
        </w:rPr>
        <w:t>五、</w:t>
      </w:r>
      <w:r>
        <w:rPr>
          <w:rFonts w:hint="eastAsia" w:ascii="黑体" w:hAnsi="黑体" w:eastAsia="黑体" w:cs="黑体"/>
          <w:b w:val="0"/>
          <w:bCs w:val="0"/>
          <w:color w:val="auto"/>
          <w:sz w:val="32"/>
          <w:szCs w:val="32"/>
          <w:lang w:eastAsia="zh-CN"/>
        </w:rPr>
        <w:t>交货时间及地点</w:t>
      </w:r>
    </w:p>
    <w:p w14:paraId="4FE68685">
      <w:pPr>
        <w:keepNext w:val="0"/>
        <w:keepLines w:val="0"/>
        <w:pageBreakBefore w:val="0"/>
        <w:widowControl w:val="0"/>
        <w:kinsoku/>
        <w:wordWrap/>
        <w:overflowPunct/>
        <w:topLinePunct w:val="0"/>
        <w:autoSpaceDE/>
        <w:autoSpaceDN/>
        <w:bidi w:val="0"/>
        <w:spacing w:line="240" w:lineRule="auto"/>
        <w:ind w:right="0" w:rightChars="0"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交货时间:中标通知书下发后一周内。地点：大兴区兴政街15号。</w:t>
      </w:r>
    </w:p>
    <w:p w14:paraId="0684B0A6">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640" w:firstLineChars="200"/>
        <w:jc w:val="left"/>
        <w:textAlignment w:val="baseline"/>
        <w:outlineLvl w:val="9"/>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六、验收服务要求</w:t>
      </w:r>
    </w:p>
    <w:p w14:paraId="2B6E8423">
      <w:pPr>
        <w:keepNext w:val="0"/>
        <w:keepLines w:val="0"/>
        <w:pageBreakBefore w:val="0"/>
        <w:widowControl w:val="0"/>
        <w:numPr>
          <w:ilvl w:val="0"/>
          <w:numId w:val="6"/>
        </w:numPr>
        <w:kinsoku/>
        <w:wordWrap/>
        <w:overflowPunct/>
        <w:topLinePunct w:val="0"/>
        <w:autoSpaceDE/>
        <w:autoSpaceDN/>
        <w:bidi w:val="0"/>
        <w:adjustRightInd w:val="0"/>
        <w:spacing w:line="240" w:lineRule="auto"/>
        <w:ind w:left="0" w:leftChars="0" w:right="0" w:rightChars="0" w:firstLine="420" w:firstLineChars="0"/>
        <w:jc w:val="left"/>
        <w:textAlignment w:val="baseline"/>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保洁服务验收</w:t>
      </w:r>
    </w:p>
    <w:p w14:paraId="37AC8565">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1.台账资料：保洁排班、消杀记录、从业人员健康证、保密协议等相关资料一并移交存档。 </w:t>
      </w:r>
    </w:p>
    <w:p w14:paraId="5A2DEC64">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共区域：大堂、走廊、电梯洁净无污渍积尘，石材定期养护；雨天铺设防滑垫并放置警示标识，保洁作业避开办公时段。功能房间：卫生间无积水、水垢、异味，耗材实时补齐；垃圾日产日清，垃圾桶装载量不超三分之二。外围环境：院区道路整洁无杂物，管网按周期清掏并有记录；外墙高空清洗提供安全方案与验收资料，使用环保清洁药剂。</w:t>
      </w:r>
    </w:p>
    <w:p w14:paraId="49EF4206">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3.管理要求：保洁器具规范摆放，全员完成保密培训，作业行为不得影响院内正常办公秩序。 </w:t>
      </w:r>
    </w:p>
    <w:p w14:paraId="11326A61">
      <w:pPr>
        <w:keepNext w:val="0"/>
        <w:keepLines w:val="0"/>
        <w:pageBreakBefore w:val="0"/>
        <w:widowControl w:val="0"/>
        <w:numPr>
          <w:ilvl w:val="0"/>
          <w:numId w:val="6"/>
        </w:numPr>
        <w:kinsoku/>
        <w:wordWrap/>
        <w:overflowPunct/>
        <w:topLinePunct w:val="0"/>
        <w:autoSpaceDE/>
        <w:autoSpaceDN/>
        <w:bidi w:val="0"/>
        <w:adjustRightInd w:val="0"/>
        <w:spacing w:line="240" w:lineRule="auto"/>
        <w:ind w:left="0" w:leftChars="0" w:right="0" w:rightChars="0" w:firstLine="420" w:firstLineChars="0"/>
        <w:jc w:val="left"/>
        <w:textAlignment w:val="baseline"/>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工程维修服务验收</w:t>
      </w:r>
    </w:p>
    <w:p w14:paraId="45C139C5">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1.档案资料：全套设备合格证书、年检资料、维保台账；电工、消防操作员等特种人员证件真实有效。 </w:t>
      </w:r>
    </w:p>
    <w:p w14:paraId="7923F23E">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2.设施本体：建筑墙体、屋面无渗漏破损；给排水管路无渗漏、排水通畅；配电、防雷系统运行稳定；空调通风系统运行正常；消防系统整体联动检测合格；电梯、门禁、监控系统运行正常。 </w:t>
      </w:r>
    </w:p>
    <w:p w14:paraId="7B237C35">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3.报修处置：普通报修1小时处置完成；停水、漏水、断电、消防隐患等突发事件15分钟到场抢修，所有维修工需在物业报修板块报修，记录维修状态并闭环归档。 </w:t>
      </w:r>
    </w:p>
    <w:p w14:paraId="7420FD50">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4.现场管理：</w:t>
      </w:r>
      <w:r>
        <w:rPr>
          <w:rFonts w:hint="eastAsia" w:ascii="仿宋_GB2312" w:hAnsi="仿宋_GB2312" w:eastAsia="仿宋_GB2312" w:cs="仿宋_GB2312"/>
          <w:color w:val="auto"/>
          <w:sz w:val="32"/>
          <w:szCs w:val="32"/>
          <w:highlight w:val="none"/>
          <w:lang w:val="en-US" w:eastAsia="zh-CN"/>
        </w:rPr>
        <w:t>工程部24小时值班</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 xml:space="preserve">备品备件库存充足；进入涉密区域施工须甲方人员现场陪同，禁止独自作业施工。 </w:t>
      </w:r>
    </w:p>
    <w:p w14:paraId="41DAFF32">
      <w:pPr>
        <w:keepNext w:val="0"/>
        <w:keepLines w:val="0"/>
        <w:pageBreakBefore w:val="0"/>
        <w:widowControl w:val="0"/>
        <w:numPr>
          <w:ilvl w:val="0"/>
          <w:numId w:val="6"/>
        </w:numPr>
        <w:kinsoku/>
        <w:wordWrap/>
        <w:overflowPunct/>
        <w:topLinePunct w:val="0"/>
        <w:autoSpaceDE/>
        <w:autoSpaceDN/>
        <w:bidi w:val="0"/>
        <w:adjustRightInd w:val="0"/>
        <w:spacing w:line="240" w:lineRule="auto"/>
        <w:ind w:left="0" w:leftChars="0" w:right="0" w:rightChars="0" w:firstLine="420" w:firstLineChars="0"/>
        <w:jc w:val="left"/>
        <w:textAlignment w:val="baseline"/>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会议服务验收 </w:t>
      </w:r>
    </w:p>
    <w:p w14:paraId="7A45EED2">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1.人员管理：会务人员着装统一、仪容礼仪规范，留存礼仪、保密、应急培训档案，具备重大会议保障应急预案。 </w:t>
      </w:r>
    </w:p>
    <w:p w14:paraId="66EB0DD3">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2.物资设备：消毒杯具、咖啡耗材、应急物资储备充足。 </w:t>
      </w:r>
    </w:p>
    <w:p w14:paraId="489803C5">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3.会前筹备：按需求布置会场、重要会议提前一小时完成布置、消杀全部工作。</w:t>
      </w:r>
    </w:p>
    <w:p w14:paraId="142E1968">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 会场值守：静默巡回添水，减少会场走动，严格保守会议涉密内容。</w:t>
      </w:r>
    </w:p>
    <w:p w14:paraId="7BF93021">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420" w:firstLineChars="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5.会后处理：会议结束30分钟内完成清扫、桌椅归位、设备断电；涉密纸质废弃物移交甲方销毁。 </w:t>
      </w:r>
    </w:p>
    <w:p w14:paraId="1198492E">
      <w:pPr>
        <w:keepNext w:val="0"/>
        <w:keepLines w:val="0"/>
        <w:pageBreakBefore w:val="0"/>
        <w:widowControl w:val="0"/>
        <w:numPr>
          <w:ilvl w:val="0"/>
          <w:numId w:val="6"/>
        </w:numPr>
        <w:kinsoku/>
        <w:wordWrap/>
        <w:overflowPunct/>
        <w:topLinePunct w:val="0"/>
        <w:autoSpaceDE/>
        <w:autoSpaceDN/>
        <w:bidi w:val="0"/>
        <w:adjustRightInd w:val="0"/>
        <w:spacing w:line="240" w:lineRule="auto"/>
        <w:ind w:left="0" w:leftChars="0" w:right="0" w:rightChars="0" w:firstLine="420" w:firstLineChars="0"/>
        <w:jc w:val="left"/>
        <w:textAlignment w:val="baseline"/>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管理指标承诺</w:t>
      </w:r>
    </w:p>
    <w:p w14:paraId="3C896E5A">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1．办公大楼及配套设备设施完好率      99%</w:t>
      </w:r>
    </w:p>
    <w:p w14:paraId="6E1EB9A2">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2．办公楼零修、急修及时率            100%</w:t>
      </w:r>
    </w:p>
    <w:p w14:paraId="6CD42096">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3．维修工程质量合格率/返修率         98%/2%</w:t>
      </w:r>
    </w:p>
    <w:p w14:paraId="469A822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4．办公楼、庭院清洁保洁率            99%</w:t>
      </w:r>
    </w:p>
    <w:p w14:paraId="066FE2F4">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5．投诉处理率                        100%</w:t>
      </w:r>
    </w:p>
    <w:p w14:paraId="39B01C7C">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6．办公人员、外来人员对物业管理满意率   95%</w:t>
      </w:r>
    </w:p>
    <w:p w14:paraId="619AFBE3">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7．消防设备设施完好率               100%</w:t>
      </w:r>
    </w:p>
    <w:p w14:paraId="1A6B78F0">
      <w:pPr>
        <w:spacing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8．楼宇设施的档案资料完好齐全率     100％</w:t>
      </w:r>
    </w:p>
    <w:p w14:paraId="17B5F406">
      <w:pPr>
        <w:keepNext w:val="0"/>
        <w:keepLines w:val="0"/>
        <w:pageBreakBefore w:val="0"/>
        <w:widowControl w:val="0"/>
        <w:numPr>
          <w:ilvl w:val="0"/>
          <w:numId w:val="0"/>
        </w:numPr>
        <w:kinsoku/>
        <w:wordWrap/>
        <w:overflowPunct/>
        <w:topLinePunct w:val="0"/>
        <w:autoSpaceDE/>
        <w:autoSpaceDN/>
        <w:bidi w:val="0"/>
        <w:adjustRightInd w:val="0"/>
        <w:spacing w:line="240" w:lineRule="auto"/>
        <w:ind w:leftChars="0" w:right="0" w:rightChars="0" w:firstLine="640" w:firstLineChars="200"/>
        <w:jc w:val="left"/>
        <w:textAlignment w:val="baseline"/>
        <w:outlineLvl w:val="9"/>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七、付款方式</w:t>
      </w:r>
    </w:p>
    <w:p w14:paraId="43C63671">
      <w:pPr>
        <w:keepNext w:val="0"/>
        <w:keepLines w:val="0"/>
        <w:pageBreakBefore w:val="0"/>
        <w:widowControl w:val="0"/>
        <w:numPr>
          <w:ilvl w:val="0"/>
          <w:numId w:val="0"/>
        </w:numPr>
        <w:kinsoku/>
        <w:wordWrap/>
        <w:overflowPunct/>
        <w:topLinePunct w:val="0"/>
        <w:autoSpaceDE/>
        <w:autoSpaceDN/>
        <w:bidi w:val="0"/>
        <w:adjustRightInd w:val="0"/>
        <w:spacing w:line="240" w:lineRule="auto"/>
        <w:ind w:right="0" w:rightChars="0" w:firstLine="640" w:firstLineChars="200"/>
        <w:jc w:val="left"/>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本项目物业服务费用按季度结算，每三个月为一个结算周期。乙方按约定完成当期物业服务工作、提交合法有效票据并经甲方考核验收合格后，甲方支付对应周期物业服务费。</w:t>
      </w:r>
    </w:p>
    <w:p w14:paraId="2B69E93F">
      <w:pPr>
        <w:pageBreakBefore w:val="0"/>
        <w:widowControl/>
        <w:tabs>
          <w:tab w:val="left" w:pos="709"/>
        </w:tabs>
        <w:kinsoku/>
        <w:wordWrap/>
        <w:overflowPunct/>
        <w:topLinePunct w:val="0"/>
        <w:bidi w:val="0"/>
        <w:spacing w:before="156" w:beforeLines="50" w:after="156" w:afterLines="50" w:line="560" w:lineRule="exact"/>
        <w:jc w:val="left"/>
        <w:rPr>
          <w:rFonts w:hint="eastAsia" w:ascii="黑体" w:hAnsi="黑体" w:eastAsia="黑体" w:cs="黑体"/>
          <w:b/>
          <w:bCs/>
          <w:kern w:val="0"/>
          <w:sz w:val="30"/>
          <w:szCs w:val="30"/>
          <w:lang w:val="zh-CN"/>
        </w:rPr>
      </w:pPr>
      <w:r>
        <w:rPr>
          <w:rFonts w:hint="eastAsia" w:ascii="宋体" w:hAnsi="宋体" w:eastAsia="宋体" w:cs="宋体"/>
          <w:b/>
          <w:bCs/>
          <w:kern w:val="0"/>
          <w:sz w:val="30"/>
          <w:szCs w:val="30"/>
          <w:lang w:val="zh-CN"/>
        </w:rPr>
        <w:t>八、</w:t>
      </w:r>
      <w:r>
        <w:rPr>
          <w:rFonts w:hint="eastAsia" w:ascii="黑体" w:hAnsi="黑体" w:eastAsia="黑体" w:cs="黑体"/>
          <w:b/>
          <w:bCs/>
          <w:kern w:val="0"/>
          <w:sz w:val="30"/>
          <w:szCs w:val="30"/>
          <w:lang w:val="zh-CN"/>
        </w:rPr>
        <w:t>其他相关要求</w:t>
      </w:r>
    </w:p>
    <w:p w14:paraId="0D0A625C">
      <w:pPr>
        <w:pageBreakBefore w:val="0"/>
        <w:kinsoku/>
        <w:wordWrap/>
        <w:overflowPunct/>
        <w:topLinePunct w:val="0"/>
        <w:bidi w:val="0"/>
        <w:adjustRightInd w:val="0"/>
        <w:snapToGrid w:val="0"/>
        <w:spacing w:before="156" w:beforeLines="50" w:after="156" w:afterLines="50"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本项目专门面向中小/小微企业。即提供的货物全部由符合政策要求的中小/小微企业制造、服务全部由符合政策要求的中小/小微企业承接。</w:t>
      </w:r>
    </w:p>
    <w:p w14:paraId="6CC874A2">
      <w:pPr>
        <w:ind w:left="239" w:leftChars="114" w:firstLine="476" w:firstLineChars="200"/>
        <w:rPr>
          <w:rFonts w:hint="eastAsia" w:ascii="仿宋_GB2312" w:hAnsi="仿宋_GB2312" w:eastAsia="仿宋_GB2312" w:cs="仿宋_GB2312"/>
          <w:color w:val="auto"/>
          <w:spacing w:val="-1"/>
          <w:sz w:val="24"/>
          <w:szCs w:val="24"/>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0315E">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D856B3"/>
    <w:multiLevelType w:val="singleLevel"/>
    <w:tmpl w:val="88D856B3"/>
    <w:lvl w:ilvl="0" w:tentative="0">
      <w:start w:val="1"/>
      <w:numFmt w:val="chineseCounting"/>
      <w:suff w:val="nothing"/>
      <w:lvlText w:val="（%1）"/>
      <w:lvlJc w:val="left"/>
      <w:pPr>
        <w:ind w:left="0" w:firstLine="420"/>
      </w:pPr>
      <w:rPr>
        <w:rFonts w:hint="eastAsia"/>
      </w:rPr>
    </w:lvl>
  </w:abstractNum>
  <w:abstractNum w:abstractNumId="1">
    <w:nsid w:val="9A07775D"/>
    <w:multiLevelType w:val="singleLevel"/>
    <w:tmpl w:val="9A07775D"/>
    <w:lvl w:ilvl="0" w:tentative="0">
      <w:start w:val="1"/>
      <w:numFmt w:val="decimal"/>
      <w:suff w:val="nothing"/>
      <w:lvlText w:val="(%1)"/>
      <w:lvlJc w:val="left"/>
      <w:pPr>
        <w:ind w:left="420" w:leftChars="0" w:firstLine="0" w:firstLineChars="0"/>
      </w:pPr>
      <w:rPr>
        <w:rFonts w:hint="default"/>
      </w:rPr>
    </w:lvl>
  </w:abstractNum>
  <w:abstractNum w:abstractNumId="2">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0E836860"/>
    <w:multiLevelType w:val="singleLevel"/>
    <w:tmpl w:val="0E836860"/>
    <w:lvl w:ilvl="0" w:tentative="0">
      <w:start w:val="1"/>
      <w:numFmt w:val="decimalEnclosedCircleChinese"/>
      <w:suff w:val="nothing"/>
      <w:lvlText w:val="%1　"/>
      <w:lvlJc w:val="left"/>
      <w:pPr>
        <w:ind w:left="0" w:firstLine="400"/>
      </w:pPr>
      <w:rPr>
        <w:rFonts w:hint="eastAsia"/>
      </w:rPr>
    </w:lvl>
  </w:abstractNum>
  <w:abstractNum w:abstractNumId="4">
    <w:nsid w:val="6C7B0377"/>
    <w:multiLevelType w:val="multilevel"/>
    <w:tmpl w:val="6C7B0377"/>
    <w:lvl w:ilvl="0" w:tentative="0">
      <w:start w:val="1"/>
      <w:numFmt w:val="decimal"/>
      <w:pStyle w:val="53"/>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8330D1"/>
    <w:multiLevelType w:val="singleLevel"/>
    <w:tmpl w:val="708330D1"/>
    <w:lvl w:ilvl="0" w:tentative="0">
      <w:start w:val="1"/>
      <w:numFmt w:val="decimal"/>
      <w:suff w:val="nothing"/>
      <w:lvlText w:val="(%1)"/>
      <w:lvlJc w:val="left"/>
      <w:pPr>
        <w:ind w:left="425" w:hanging="425"/>
      </w:pPr>
      <w:rPr>
        <w:rFont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20D2BD6"/>
    <w:rsid w:val="027C3F58"/>
    <w:rsid w:val="03441120"/>
    <w:rsid w:val="039339D6"/>
    <w:rsid w:val="03AF15E8"/>
    <w:rsid w:val="041400C8"/>
    <w:rsid w:val="051B1C90"/>
    <w:rsid w:val="05525D17"/>
    <w:rsid w:val="056221F7"/>
    <w:rsid w:val="05DA19E4"/>
    <w:rsid w:val="06482785"/>
    <w:rsid w:val="064E5119"/>
    <w:rsid w:val="0650308A"/>
    <w:rsid w:val="0685119E"/>
    <w:rsid w:val="068837E7"/>
    <w:rsid w:val="070E75C2"/>
    <w:rsid w:val="072C6DB4"/>
    <w:rsid w:val="07680C20"/>
    <w:rsid w:val="07701404"/>
    <w:rsid w:val="079B1DF6"/>
    <w:rsid w:val="086D0162"/>
    <w:rsid w:val="0895489E"/>
    <w:rsid w:val="08AD23E7"/>
    <w:rsid w:val="09182FE0"/>
    <w:rsid w:val="098F6BCE"/>
    <w:rsid w:val="09CD5B27"/>
    <w:rsid w:val="0B0F3788"/>
    <w:rsid w:val="0B4167BD"/>
    <w:rsid w:val="0B4F3888"/>
    <w:rsid w:val="0B653A5D"/>
    <w:rsid w:val="0BA53CE9"/>
    <w:rsid w:val="0BA9681B"/>
    <w:rsid w:val="0BE0082A"/>
    <w:rsid w:val="0C477AF1"/>
    <w:rsid w:val="0CA47AC9"/>
    <w:rsid w:val="0CB02B61"/>
    <w:rsid w:val="0CD5078C"/>
    <w:rsid w:val="0D82785A"/>
    <w:rsid w:val="0DEA5A80"/>
    <w:rsid w:val="0DF706C0"/>
    <w:rsid w:val="0E5D7E71"/>
    <w:rsid w:val="0EAA255A"/>
    <w:rsid w:val="0EBA2346"/>
    <w:rsid w:val="0ECA6A31"/>
    <w:rsid w:val="0EF14404"/>
    <w:rsid w:val="0FE21939"/>
    <w:rsid w:val="10685515"/>
    <w:rsid w:val="10B574E7"/>
    <w:rsid w:val="11C750BC"/>
    <w:rsid w:val="11D20765"/>
    <w:rsid w:val="11D279F6"/>
    <w:rsid w:val="11DD1597"/>
    <w:rsid w:val="127E5268"/>
    <w:rsid w:val="13397399"/>
    <w:rsid w:val="13C86069"/>
    <w:rsid w:val="13CB7656"/>
    <w:rsid w:val="14E54849"/>
    <w:rsid w:val="152D09DB"/>
    <w:rsid w:val="15EF0AA4"/>
    <w:rsid w:val="160F159D"/>
    <w:rsid w:val="162B0FD3"/>
    <w:rsid w:val="16773DCA"/>
    <w:rsid w:val="16D26A99"/>
    <w:rsid w:val="170908A0"/>
    <w:rsid w:val="188E6EF0"/>
    <w:rsid w:val="19743C90"/>
    <w:rsid w:val="19DE19EF"/>
    <w:rsid w:val="19F16090"/>
    <w:rsid w:val="1A073E3A"/>
    <w:rsid w:val="1B4B3D0B"/>
    <w:rsid w:val="1BF03704"/>
    <w:rsid w:val="1CBD279E"/>
    <w:rsid w:val="1CC93180"/>
    <w:rsid w:val="1CD22645"/>
    <w:rsid w:val="1CD53A47"/>
    <w:rsid w:val="1D1075D0"/>
    <w:rsid w:val="1D8B5D8C"/>
    <w:rsid w:val="1E6827FE"/>
    <w:rsid w:val="1F791EFD"/>
    <w:rsid w:val="1F87370A"/>
    <w:rsid w:val="1FDE5624"/>
    <w:rsid w:val="201B3873"/>
    <w:rsid w:val="20215D46"/>
    <w:rsid w:val="20631369"/>
    <w:rsid w:val="20E0409A"/>
    <w:rsid w:val="20F269E1"/>
    <w:rsid w:val="212B17DB"/>
    <w:rsid w:val="21D87F0D"/>
    <w:rsid w:val="22615AB1"/>
    <w:rsid w:val="22D9594A"/>
    <w:rsid w:val="23336466"/>
    <w:rsid w:val="24076518"/>
    <w:rsid w:val="24123A8F"/>
    <w:rsid w:val="241E7699"/>
    <w:rsid w:val="245B6575"/>
    <w:rsid w:val="24925787"/>
    <w:rsid w:val="24B631AC"/>
    <w:rsid w:val="2567730C"/>
    <w:rsid w:val="256E15A5"/>
    <w:rsid w:val="2584247E"/>
    <w:rsid w:val="25DE44F0"/>
    <w:rsid w:val="261B3398"/>
    <w:rsid w:val="26244339"/>
    <w:rsid w:val="26653D3B"/>
    <w:rsid w:val="27035062"/>
    <w:rsid w:val="275B7BE4"/>
    <w:rsid w:val="27625DC5"/>
    <w:rsid w:val="277C3713"/>
    <w:rsid w:val="27AB44D6"/>
    <w:rsid w:val="280332F2"/>
    <w:rsid w:val="28335AC5"/>
    <w:rsid w:val="283D3F26"/>
    <w:rsid w:val="28BC340C"/>
    <w:rsid w:val="29283E39"/>
    <w:rsid w:val="2973086F"/>
    <w:rsid w:val="2ABA0257"/>
    <w:rsid w:val="2AFD0BD7"/>
    <w:rsid w:val="2B1F711E"/>
    <w:rsid w:val="2B297554"/>
    <w:rsid w:val="2B722EEE"/>
    <w:rsid w:val="2BA30E48"/>
    <w:rsid w:val="2CD023DF"/>
    <w:rsid w:val="2CDA5DA7"/>
    <w:rsid w:val="2CE64834"/>
    <w:rsid w:val="2D045C82"/>
    <w:rsid w:val="2D0642AC"/>
    <w:rsid w:val="2D2D753E"/>
    <w:rsid w:val="2D393A11"/>
    <w:rsid w:val="2D446130"/>
    <w:rsid w:val="2D9B4590"/>
    <w:rsid w:val="2E0E5D43"/>
    <w:rsid w:val="2E5346AA"/>
    <w:rsid w:val="2E6953E5"/>
    <w:rsid w:val="2E6F23E5"/>
    <w:rsid w:val="2EA02EE6"/>
    <w:rsid w:val="2FA627D6"/>
    <w:rsid w:val="2FB22D11"/>
    <w:rsid w:val="2FE02902"/>
    <w:rsid w:val="2FFA78E6"/>
    <w:rsid w:val="300A7E69"/>
    <w:rsid w:val="301377D6"/>
    <w:rsid w:val="306727B0"/>
    <w:rsid w:val="309F47CD"/>
    <w:rsid w:val="31472883"/>
    <w:rsid w:val="31AA255E"/>
    <w:rsid w:val="31E41CE9"/>
    <w:rsid w:val="328913F9"/>
    <w:rsid w:val="33077BF7"/>
    <w:rsid w:val="334E6E9B"/>
    <w:rsid w:val="33E740EE"/>
    <w:rsid w:val="33FA40FA"/>
    <w:rsid w:val="340737ED"/>
    <w:rsid w:val="3492329A"/>
    <w:rsid w:val="35255689"/>
    <w:rsid w:val="361B3C28"/>
    <w:rsid w:val="368E2AE7"/>
    <w:rsid w:val="36E13CC0"/>
    <w:rsid w:val="37492AD5"/>
    <w:rsid w:val="375E7DD2"/>
    <w:rsid w:val="378546E4"/>
    <w:rsid w:val="38C40AE7"/>
    <w:rsid w:val="3943417B"/>
    <w:rsid w:val="394A7995"/>
    <w:rsid w:val="39A94DE8"/>
    <w:rsid w:val="3BA45DC3"/>
    <w:rsid w:val="3CE06E98"/>
    <w:rsid w:val="3CEA1EDD"/>
    <w:rsid w:val="3DD661D1"/>
    <w:rsid w:val="3E6475E2"/>
    <w:rsid w:val="3E8C1689"/>
    <w:rsid w:val="3EBC0120"/>
    <w:rsid w:val="3EEC19A5"/>
    <w:rsid w:val="3EF82024"/>
    <w:rsid w:val="3F1F3324"/>
    <w:rsid w:val="3F3C0F93"/>
    <w:rsid w:val="3F4C7572"/>
    <w:rsid w:val="3F5E60B7"/>
    <w:rsid w:val="3F6D7CAD"/>
    <w:rsid w:val="3FCD0370"/>
    <w:rsid w:val="3FF379A5"/>
    <w:rsid w:val="40131301"/>
    <w:rsid w:val="404B6F42"/>
    <w:rsid w:val="407F55D5"/>
    <w:rsid w:val="408D1D98"/>
    <w:rsid w:val="40FF1BB1"/>
    <w:rsid w:val="415D69D9"/>
    <w:rsid w:val="418C21A2"/>
    <w:rsid w:val="41C36CF4"/>
    <w:rsid w:val="41C836BA"/>
    <w:rsid w:val="41D63B2C"/>
    <w:rsid w:val="41E462E6"/>
    <w:rsid w:val="42280F83"/>
    <w:rsid w:val="42407E9D"/>
    <w:rsid w:val="42F06B1A"/>
    <w:rsid w:val="4306320C"/>
    <w:rsid w:val="43081F14"/>
    <w:rsid w:val="43581D9C"/>
    <w:rsid w:val="439A4851"/>
    <w:rsid w:val="44330ECF"/>
    <w:rsid w:val="444430ED"/>
    <w:rsid w:val="44A21D28"/>
    <w:rsid w:val="44B073AF"/>
    <w:rsid w:val="45896108"/>
    <w:rsid w:val="45921FC5"/>
    <w:rsid w:val="46467A3E"/>
    <w:rsid w:val="464A3E0F"/>
    <w:rsid w:val="468528C4"/>
    <w:rsid w:val="46943F6D"/>
    <w:rsid w:val="46C547BD"/>
    <w:rsid w:val="476D2F68"/>
    <w:rsid w:val="48134247"/>
    <w:rsid w:val="48777ABF"/>
    <w:rsid w:val="48EA0B18"/>
    <w:rsid w:val="49244297"/>
    <w:rsid w:val="49881965"/>
    <w:rsid w:val="49D308C7"/>
    <w:rsid w:val="4A4B3519"/>
    <w:rsid w:val="4A9B7AA6"/>
    <w:rsid w:val="4AC05AFC"/>
    <w:rsid w:val="4B326353"/>
    <w:rsid w:val="4B351B2A"/>
    <w:rsid w:val="4B3B13DF"/>
    <w:rsid w:val="4B4B1CB3"/>
    <w:rsid w:val="4BB55F65"/>
    <w:rsid w:val="4C225AFC"/>
    <w:rsid w:val="4C2363A0"/>
    <w:rsid w:val="4C8420F1"/>
    <w:rsid w:val="4CAA3CF8"/>
    <w:rsid w:val="4CD01E5B"/>
    <w:rsid w:val="4D3032B0"/>
    <w:rsid w:val="4E195D5D"/>
    <w:rsid w:val="4E573739"/>
    <w:rsid w:val="4E902622"/>
    <w:rsid w:val="4EF010C9"/>
    <w:rsid w:val="4F4C72E9"/>
    <w:rsid w:val="4F884057"/>
    <w:rsid w:val="4F9161A6"/>
    <w:rsid w:val="4FDC17AC"/>
    <w:rsid w:val="501E4192"/>
    <w:rsid w:val="50751F1F"/>
    <w:rsid w:val="508A2CFE"/>
    <w:rsid w:val="50CF1E29"/>
    <w:rsid w:val="50DA5C62"/>
    <w:rsid w:val="512B54B7"/>
    <w:rsid w:val="51717EBA"/>
    <w:rsid w:val="519C47D9"/>
    <w:rsid w:val="522E0597"/>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71F2F19"/>
    <w:rsid w:val="574D64C3"/>
    <w:rsid w:val="57767EDB"/>
    <w:rsid w:val="57785CF4"/>
    <w:rsid w:val="57AB43E4"/>
    <w:rsid w:val="57E6319F"/>
    <w:rsid w:val="5807303D"/>
    <w:rsid w:val="583F3A73"/>
    <w:rsid w:val="58681980"/>
    <w:rsid w:val="58E6430A"/>
    <w:rsid w:val="5A0172F4"/>
    <w:rsid w:val="5A4F58A1"/>
    <w:rsid w:val="5A8B33BB"/>
    <w:rsid w:val="5B1B0B32"/>
    <w:rsid w:val="5B535721"/>
    <w:rsid w:val="5BE44B85"/>
    <w:rsid w:val="5C0B0C27"/>
    <w:rsid w:val="5C962627"/>
    <w:rsid w:val="5CCC159B"/>
    <w:rsid w:val="5CE40276"/>
    <w:rsid w:val="5D1C1E4E"/>
    <w:rsid w:val="5DA14CA4"/>
    <w:rsid w:val="5E425869"/>
    <w:rsid w:val="5F4E0F2F"/>
    <w:rsid w:val="5F731192"/>
    <w:rsid w:val="5F733786"/>
    <w:rsid w:val="5F7A21CF"/>
    <w:rsid w:val="5F9E76ED"/>
    <w:rsid w:val="5FB04BA6"/>
    <w:rsid w:val="60536729"/>
    <w:rsid w:val="607443BF"/>
    <w:rsid w:val="60896BF0"/>
    <w:rsid w:val="609B4386"/>
    <w:rsid w:val="60A16D82"/>
    <w:rsid w:val="60BC5109"/>
    <w:rsid w:val="60FA4AE1"/>
    <w:rsid w:val="61651844"/>
    <w:rsid w:val="61692A70"/>
    <w:rsid w:val="61DA03FA"/>
    <w:rsid w:val="62803F7E"/>
    <w:rsid w:val="637A12C2"/>
    <w:rsid w:val="638B5088"/>
    <w:rsid w:val="63BE2DBB"/>
    <w:rsid w:val="64071D13"/>
    <w:rsid w:val="641B0B81"/>
    <w:rsid w:val="64946DB5"/>
    <w:rsid w:val="650A20B4"/>
    <w:rsid w:val="651628F0"/>
    <w:rsid w:val="65170CFC"/>
    <w:rsid w:val="661720C2"/>
    <w:rsid w:val="66AC00A0"/>
    <w:rsid w:val="66DC0AFB"/>
    <w:rsid w:val="67133EC7"/>
    <w:rsid w:val="682364E1"/>
    <w:rsid w:val="685B6B8D"/>
    <w:rsid w:val="68677CD0"/>
    <w:rsid w:val="68757FAC"/>
    <w:rsid w:val="68795962"/>
    <w:rsid w:val="6879712C"/>
    <w:rsid w:val="689F623C"/>
    <w:rsid w:val="68A30AF4"/>
    <w:rsid w:val="68AA736A"/>
    <w:rsid w:val="691A2C75"/>
    <w:rsid w:val="692A3D9F"/>
    <w:rsid w:val="69C434A7"/>
    <w:rsid w:val="69CF70F6"/>
    <w:rsid w:val="69E05224"/>
    <w:rsid w:val="6A2A4A17"/>
    <w:rsid w:val="6AA64EED"/>
    <w:rsid w:val="6AEF2AFE"/>
    <w:rsid w:val="6B2F3761"/>
    <w:rsid w:val="6BBB38D5"/>
    <w:rsid w:val="6C713CF1"/>
    <w:rsid w:val="6C837C4E"/>
    <w:rsid w:val="6C8742D0"/>
    <w:rsid w:val="6CC55C96"/>
    <w:rsid w:val="6D5307FC"/>
    <w:rsid w:val="6D7E320D"/>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24A396F"/>
    <w:rsid w:val="733B519B"/>
    <w:rsid w:val="73A86934"/>
    <w:rsid w:val="740F4EB7"/>
    <w:rsid w:val="74FE1E74"/>
    <w:rsid w:val="7503583D"/>
    <w:rsid w:val="758962F1"/>
    <w:rsid w:val="75D367BA"/>
    <w:rsid w:val="75FD5828"/>
    <w:rsid w:val="765D2221"/>
    <w:rsid w:val="767C6572"/>
    <w:rsid w:val="76A35268"/>
    <w:rsid w:val="76AB1D30"/>
    <w:rsid w:val="76DB438D"/>
    <w:rsid w:val="774F1FC4"/>
    <w:rsid w:val="77562C09"/>
    <w:rsid w:val="77AA120A"/>
    <w:rsid w:val="78737DCF"/>
    <w:rsid w:val="795D4AF4"/>
    <w:rsid w:val="79DB30F4"/>
    <w:rsid w:val="79E2287D"/>
    <w:rsid w:val="7A6B13CB"/>
    <w:rsid w:val="7AE3014E"/>
    <w:rsid w:val="7B074074"/>
    <w:rsid w:val="7B0A5F5C"/>
    <w:rsid w:val="7B2C6241"/>
    <w:rsid w:val="7B3E63F6"/>
    <w:rsid w:val="7BB045DE"/>
    <w:rsid w:val="7C706161"/>
    <w:rsid w:val="7C713077"/>
    <w:rsid w:val="7C851B86"/>
    <w:rsid w:val="7CA50E42"/>
    <w:rsid w:val="7CF656F4"/>
    <w:rsid w:val="7D2F0C4D"/>
    <w:rsid w:val="7DBD2FDC"/>
    <w:rsid w:val="7DEA01B9"/>
    <w:rsid w:val="7E1A0ECD"/>
    <w:rsid w:val="7E5F2152"/>
    <w:rsid w:val="7E7B7D2C"/>
    <w:rsid w:val="7EAE3DFC"/>
    <w:rsid w:val="7EB37EC2"/>
    <w:rsid w:val="7EDD28A0"/>
    <w:rsid w:val="7F2F001D"/>
    <w:rsid w:val="7F767DA0"/>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6"/>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7">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Chars="200"/>
    </w:pPr>
    <w:rPr>
      <w:rFonts w:ascii="宋体" w:hAnsi="宋体"/>
      <w:sz w:val="21"/>
      <w:szCs w:val="20"/>
    </w:rPr>
  </w:style>
  <w:style w:type="paragraph" w:customStyle="1" w:styleId="6">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8">
    <w:name w:val="Normal Indent"/>
    <w:basedOn w:val="1"/>
    <w:unhideWhenUsed/>
    <w:qFormat/>
    <w:uiPriority w:val="0"/>
    <w:pPr>
      <w:ind w:firstLine="420" w:firstLineChars="200"/>
    </w:pPr>
  </w:style>
  <w:style w:type="paragraph" w:styleId="9">
    <w:name w:val="Document Map"/>
    <w:basedOn w:val="1"/>
    <w:unhideWhenUsed/>
    <w:qFormat/>
    <w:uiPriority w:val="99"/>
    <w:rPr>
      <w:rFonts w:ascii="Microsoft YaHei UI" w:eastAsia="Microsoft YaHei UI"/>
      <w:sz w:val="18"/>
      <w:szCs w:val="18"/>
    </w:rPr>
  </w:style>
  <w:style w:type="paragraph" w:styleId="10">
    <w:name w:val="toa heading"/>
    <w:basedOn w:val="1"/>
    <w:next w:val="1"/>
    <w:qFormat/>
    <w:uiPriority w:val="0"/>
    <w:pPr>
      <w:spacing w:before="120"/>
    </w:pPr>
    <w:rPr>
      <w:rFonts w:ascii="Arial" w:hAnsi="Arial"/>
      <w:sz w:val="24"/>
    </w:rPr>
  </w:style>
  <w:style w:type="paragraph" w:styleId="11">
    <w:name w:val="annotation text"/>
    <w:basedOn w:val="1"/>
    <w:unhideWhenUsed/>
    <w:qFormat/>
    <w:uiPriority w:val="99"/>
    <w:pPr>
      <w:jc w:val="left"/>
    </w:pPr>
  </w:style>
  <w:style w:type="paragraph" w:styleId="12">
    <w:name w:val="Body Text"/>
    <w:basedOn w:val="1"/>
    <w:next w:val="13"/>
    <w:unhideWhenUsed/>
    <w:qFormat/>
    <w:uiPriority w:val="99"/>
    <w:pPr>
      <w:spacing w:after="120"/>
    </w:pPr>
  </w:style>
  <w:style w:type="paragraph" w:customStyle="1" w:styleId="13">
    <w:name w:val="目录 11"/>
    <w:next w:val="1"/>
    <w:qFormat/>
    <w:uiPriority w:val="0"/>
    <w:pPr>
      <w:wordWrap w:val="0"/>
      <w:jc w:val="both"/>
    </w:pPr>
    <w:rPr>
      <w:rFonts w:ascii="Calibri" w:hAnsi="Calibri" w:eastAsia="宋体" w:cs="Calibri"/>
      <w:sz w:val="21"/>
      <w:szCs w:val="22"/>
      <w:lang w:val="en-US" w:eastAsia="zh-CN" w:bidi="ar-SA"/>
    </w:rPr>
  </w:style>
  <w:style w:type="paragraph" w:styleId="14">
    <w:name w:val="List 2"/>
    <w:basedOn w:val="1"/>
    <w:qFormat/>
    <w:uiPriority w:val="0"/>
    <w:pPr>
      <w:ind w:left="100" w:leftChars="200" w:hanging="200" w:hangingChars="200"/>
    </w:pPr>
  </w:style>
  <w:style w:type="paragraph" w:styleId="15">
    <w:name w:val="Block Text"/>
    <w:basedOn w:val="1"/>
    <w:qFormat/>
    <w:uiPriority w:val="99"/>
    <w:pPr>
      <w:spacing w:after="120"/>
      <w:ind w:left="1440" w:leftChars="700" w:right="1440" w:rightChars="700"/>
    </w:pPr>
  </w:style>
  <w:style w:type="paragraph" w:styleId="16">
    <w:name w:val="toc 3"/>
    <w:basedOn w:val="1"/>
    <w:next w:val="1"/>
    <w:qFormat/>
    <w:uiPriority w:val="0"/>
    <w:pPr>
      <w:widowControl/>
      <w:ind w:left="840" w:leftChars="400"/>
      <w:jc w:val="left"/>
    </w:pPr>
    <w:rPr>
      <w:rFonts w:ascii="Times New Roman" w:hAnsi="Times New Roman" w:eastAsia="宋体" w:cs="Times New Roman"/>
      <w:szCs w:val="24"/>
    </w:rPr>
  </w:style>
  <w:style w:type="paragraph" w:styleId="17">
    <w:name w:val="Plain Text"/>
    <w:basedOn w:val="1"/>
    <w:next w:val="1"/>
    <w:link w:val="33"/>
    <w:qFormat/>
    <w:uiPriority w:val="0"/>
    <w:rPr>
      <w:rFonts w:ascii="宋体" w:hAnsi="Courier New" w:eastAsia="等线" w:cs="黑体"/>
      <w:szCs w:val="22"/>
    </w:rPr>
  </w:style>
  <w:style w:type="paragraph" w:styleId="18">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19">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1">
    <w:name w:val="index 1"/>
    <w:basedOn w:val="1"/>
    <w:next w:val="1"/>
    <w:unhideWhenUsed/>
    <w:qFormat/>
    <w:uiPriority w:val="99"/>
    <w:pPr>
      <w:framePr w:wrap="around" w:vAnchor="margin" w:hAnchor="text" w:y="1"/>
    </w:pPr>
    <w:rPr>
      <w:b/>
    </w:rPr>
  </w:style>
  <w:style w:type="paragraph" w:styleId="22">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table" w:styleId="24">
    <w:name w:val="Table Grid"/>
    <w:basedOn w:val="2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Hyperlink"/>
    <w:basedOn w:val="25"/>
    <w:unhideWhenUsed/>
    <w:qFormat/>
    <w:uiPriority w:val="99"/>
    <w:rPr>
      <w:color w:val="0563C1"/>
      <w:u w:val="single"/>
    </w:rPr>
  </w:style>
  <w:style w:type="paragraph" w:customStyle="1" w:styleId="28">
    <w:name w:val="List Paragraph"/>
    <w:basedOn w:val="1"/>
    <w:qFormat/>
    <w:uiPriority w:val="34"/>
    <w:pPr>
      <w:ind w:firstLine="420" w:firstLineChars="200"/>
    </w:pPr>
  </w:style>
  <w:style w:type="paragraph" w:customStyle="1" w:styleId="29">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0">
    <w:name w:val="标题 1 字符"/>
    <w:basedOn w:val="25"/>
    <w:link w:val="3"/>
    <w:qFormat/>
    <w:uiPriority w:val="9"/>
    <w:rPr>
      <w:rFonts w:ascii="Times New Roman" w:hAnsi="Times New Roman" w:eastAsia="宋体" w:cs="Times New Roman"/>
      <w:b/>
      <w:bCs/>
      <w:kern w:val="44"/>
      <w:sz w:val="44"/>
      <w:szCs w:val="44"/>
    </w:rPr>
  </w:style>
  <w:style w:type="character" w:customStyle="1" w:styleId="31">
    <w:name w:val="标题 2 字符"/>
    <w:basedOn w:val="25"/>
    <w:link w:val="4"/>
    <w:qFormat/>
    <w:uiPriority w:val="0"/>
    <w:rPr>
      <w:rFonts w:ascii="Arial" w:hAnsi="Arial" w:eastAsia="黑体" w:cs="Arial"/>
      <w:b/>
      <w:bCs/>
      <w:sz w:val="32"/>
      <w:szCs w:val="32"/>
    </w:rPr>
  </w:style>
  <w:style w:type="character" w:customStyle="1" w:styleId="32">
    <w:name w:val="纯文本 字符"/>
    <w:basedOn w:val="25"/>
    <w:semiHidden/>
    <w:qFormat/>
    <w:uiPriority w:val="99"/>
    <w:rPr>
      <w:rFonts w:ascii="等线" w:hAnsi="Courier New" w:cs="Courier New"/>
      <w:szCs w:val="21"/>
    </w:rPr>
  </w:style>
  <w:style w:type="character" w:customStyle="1" w:styleId="33">
    <w:name w:val="纯文本 字符1"/>
    <w:basedOn w:val="25"/>
    <w:link w:val="17"/>
    <w:qFormat/>
    <w:uiPriority w:val="0"/>
    <w:rPr>
      <w:rFonts w:ascii="宋体" w:hAnsi="Courier New"/>
    </w:rPr>
  </w:style>
  <w:style w:type="character" w:customStyle="1" w:styleId="34">
    <w:name w:val="font112"/>
    <w:qFormat/>
    <w:uiPriority w:val="0"/>
    <w:rPr>
      <w:rFonts w:hint="eastAsia" w:ascii="宋体" w:hAnsi="宋体" w:eastAsia="宋体" w:cs="宋体"/>
      <w:b/>
      <w:color w:val="000000"/>
      <w:sz w:val="22"/>
      <w:szCs w:val="22"/>
      <w:u w:val="none"/>
    </w:rPr>
  </w:style>
  <w:style w:type="character" w:customStyle="1" w:styleId="35">
    <w:name w:val="font121"/>
    <w:qFormat/>
    <w:uiPriority w:val="0"/>
    <w:rPr>
      <w:rFonts w:hint="eastAsia" w:ascii="宋体" w:hAnsi="宋体" w:eastAsia="宋体" w:cs="宋体"/>
      <w:color w:val="000000"/>
      <w:sz w:val="24"/>
      <w:szCs w:val="24"/>
      <w:u w:val="none"/>
    </w:rPr>
  </w:style>
  <w:style w:type="paragraph" w:customStyle="1" w:styleId="36">
    <w:name w:val="列出段落1"/>
    <w:basedOn w:val="1"/>
    <w:qFormat/>
    <w:uiPriority w:val="34"/>
    <w:pPr>
      <w:widowControl/>
      <w:ind w:firstLine="420" w:firstLineChars="200"/>
      <w:jc w:val="left"/>
    </w:pPr>
    <w:rPr>
      <w:rFonts w:eastAsia="宋体"/>
      <w:kern w:val="0"/>
      <w:sz w:val="22"/>
      <w:szCs w:val="22"/>
    </w:rPr>
  </w:style>
  <w:style w:type="paragraph" w:customStyle="1" w:styleId="37">
    <w:name w:val="章标题"/>
    <w:basedOn w:val="3"/>
    <w:qFormat/>
    <w:uiPriority w:val="99"/>
    <w:pPr>
      <w:keepNext/>
      <w:keepLines/>
      <w:spacing w:before="340" w:after="330" w:line="578" w:lineRule="auto"/>
      <w:jc w:val="center"/>
    </w:pPr>
    <w:rPr>
      <w:rFonts w:ascii="Times New Roman" w:hAnsi="Times New Roman" w:cs="Times New Roman"/>
      <w:kern w:val="44"/>
    </w:rPr>
  </w:style>
  <w:style w:type="paragraph" w:customStyle="1" w:styleId="38">
    <w:name w:val="标题1"/>
    <w:basedOn w:val="22"/>
    <w:qFormat/>
    <w:uiPriority w:val="0"/>
    <w:pPr>
      <w:spacing w:after="240"/>
    </w:pPr>
    <w:rPr>
      <w:rFonts w:ascii="Arial" w:hAnsi="Arial" w:cs="Times New Roman"/>
      <w:bCs w:val="0"/>
      <w:spacing w:val="2"/>
      <w:sz w:val="24"/>
      <w:szCs w:val="20"/>
      <w:lang w:val="zh-CN"/>
    </w:rPr>
  </w:style>
  <w:style w:type="character" w:customStyle="1" w:styleId="39">
    <w:name w:val="标题 1 Char Char Char Char"/>
    <w:qFormat/>
    <w:uiPriority w:val="0"/>
    <w:rPr>
      <w:rFonts w:eastAsia="宋体"/>
      <w:b/>
      <w:bCs/>
      <w:kern w:val="44"/>
      <w:sz w:val="44"/>
      <w:szCs w:val="44"/>
      <w:lang w:val="en-US" w:eastAsia="zh-CN" w:bidi="ar-SA"/>
    </w:rPr>
  </w:style>
  <w:style w:type="paragraph" w:customStyle="1" w:styleId="40">
    <w:name w:val="A2"/>
    <w:basedOn w:val="4"/>
    <w:qFormat/>
    <w:uiPriority w:val="0"/>
    <w:pPr>
      <w:numPr>
        <w:ilvl w:val="0"/>
        <w:numId w:val="0"/>
      </w:numPr>
      <w:adjustRightInd/>
      <w:spacing w:line="360" w:lineRule="auto"/>
      <w:ind w:left="28"/>
      <w:jc w:val="both"/>
      <w:textAlignment w:val="auto"/>
    </w:pPr>
    <w:rPr>
      <w:kern w:val="2"/>
      <w:sz w:val="28"/>
      <w:lang w:val="zh-CN"/>
    </w:rPr>
  </w:style>
  <w:style w:type="paragraph" w:customStyle="1" w:styleId="41">
    <w:name w:val="列表段落1"/>
    <w:basedOn w:val="1"/>
    <w:qFormat/>
    <w:uiPriority w:val="99"/>
    <w:pPr>
      <w:ind w:firstLine="420" w:firstLineChars="200"/>
    </w:pPr>
  </w:style>
  <w:style w:type="character" w:customStyle="1" w:styleId="42">
    <w:name w:val="font11"/>
    <w:basedOn w:val="25"/>
    <w:qFormat/>
    <w:uiPriority w:val="0"/>
    <w:rPr>
      <w:rFonts w:hint="eastAsia" w:ascii="宋体" w:hAnsi="宋体" w:eastAsia="宋体" w:cs="宋体"/>
      <w:color w:val="FF0000"/>
      <w:sz w:val="20"/>
      <w:szCs w:val="20"/>
      <w:u w:val="none"/>
    </w:rPr>
  </w:style>
  <w:style w:type="character" w:customStyle="1" w:styleId="43">
    <w:name w:val="font21"/>
    <w:basedOn w:val="25"/>
    <w:qFormat/>
    <w:uiPriority w:val="0"/>
    <w:rPr>
      <w:rFonts w:hint="eastAsia" w:ascii="宋体" w:hAnsi="宋体" w:eastAsia="宋体" w:cs="宋体"/>
      <w:color w:val="000000"/>
      <w:sz w:val="20"/>
      <w:szCs w:val="20"/>
      <w:u w:val="none"/>
    </w:rPr>
  </w:style>
  <w:style w:type="paragraph" w:customStyle="1" w:styleId="44">
    <w:name w:val="~S1实施方案正文"/>
    <w:basedOn w:val="1"/>
    <w:qFormat/>
    <w:uiPriority w:val="99"/>
    <w:pPr>
      <w:spacing w:line="360" w:lineRule="auto"/>
      <w:ind w:firstLine="200" w:firstLineChars="200"/>
      <w:jc w:val="left"/>
    </w:pPr>
    <w:rPr>
      <w:rFonts w:ascii="仿宋" w:eastAsia="仿宋"/>
      <w:sz w:val="30"/>
    </w:rPr>
  </w:style>
  <w:style w:type="paragraph" w:customStyle="1" w:styleId="45">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46">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47">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48">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49">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0">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1">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2">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3">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4">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55">
    <w:name w:val="网格型1"/>
    <w:basedOn w:val="2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6">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57">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58">
    <w:name w:val="标书正文1"/>
    <w:basedOn w:val="1"/>
    <w:qFormat/>
    <w:uiPriority w:val="0"/>
    <w:pPr>
      <w:spacing w:line="520" w:lineRule="exact"/>
      <w:ind w:firstLine="640" w:firstLineChars="200"/>
    </w:pPr>
  </w:style>
  <w:style w:type="table" w:customStyle="1" w:styleId="59">
    <w:name w:val="Table Normal"/>
    <w:qFormat/>
    <w:uiPriority w:val="0"/>
    <w:tblPr>
      <w:tblCellMar>
        <w:top w:w="0" w:type="dxa"/>
        <w:left w:w="0" w:type="dxa"/>
        <w:bottom w:w="0" w:type="dxa"/>
        <w:right w:w="0" w:type="dxa"/>
      </w:tblCellMar>
    </w:tblPr>
  </w:style>
  <w:style w:type="paragraph" w:customStyle="1" w:styleId="60">
    <w:name w:val="4 级标题"/>
    <w:basedOn w:val="7"/>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1">
    <w:name w:val="列出段落2"/>
    <w:basedOn w:val="1"/>
    <w:qFormat/>
    <w:uiPriority w:val="99"/>
    <w:pPr>
      <w:ind w:firstLine="420" w:firstLineChars="200"/>
    </w:pPr>
    <w:rPr>
      <w:rFonts w:ascii="Calibri" w:hAnsi="Calibri"/>
      <w:szCs w:val="22"/>
    </w:rPr>
  </w:style>
  <w:style w:type="paragraph" w:customStyle="1" w:styleId="62">
    <w:name w:val="Table Text"/>
    <w:basedOn w:val="1"/>
    <w:semiHidden/>
    <w:qFormat/>
    <w:uiPriority w:val="0"/>
    <w:rPr>
      <w:rFonts w:ascii="Arial" w:hAnsi="Arial" w:eastAsia="Arial" w:cs="Arial"/>
      <w:sz w:val="21"/>
      <w:szCs w:val="21"/>
      <w:lang w:val="en-US" w:eastAsia="en-US" w:bidi="ar-SA"/>
    </w:rPr>
  </w:style>
  <w:style w:type="paragraph" w:customStyle="1" w:styleId="63">
    <w:name w:val="列表段落11"/>
    <w:basedOn w:val="1"/>
    <w:qFormat/>
    <w:uiPriority w:val="34"/>
    <w:pPr>
      <w:ind w:firstLine="420" w:firstLineChars="200"/>
    </w:pPr>
    <w:rPr>
      <w:rFonts w:ascii="Calibri" w:hAnsi="Calibri" w:cs="黑体"/>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32</Pages>
  <Words>567</Words>
  <Characters>644</Characters>
  <Lines>235</Lines>
  <Paragraphs>66</Paragraphs>
  <TotalTime>0</TotalTime>
  <ScaleCrop>false</ScaleCrop>
  <LinksUpToDate>false</LinksUpToDate>
  <CharactersWithSpaces>683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洛上忘川</cp:lastModifiedBy>
  <dcterms:modified xsi:type="dcterms:W3CDTF">2026-07-30T00:33:52Z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5BA4057880A64D059B7CBA94E9A1F9D7_13</vt:lpwstr>
  </property>
  <property fmtid="{D5CDD505-2E9C-101B-9397-08002B2CF9AE}" pid="4" name="KSOTemplateDocerSaveRecord">
    <vt:lpwstr>eyJoZGlkIjoiYzhkM2YyZTY0MjRkOGZhZjI0MTA3MGNiNGFlMWFiYmEiLCJ1c2VySWQiOiI4MDQyNTMyMjMifQ==</vt:lpwstr>
  </property>
</Properties>
</file>