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D57AC">
      <w:pPr>
        <w:spacing w:line="360" w:lineRule="auto"/>
        <w:jc w:val="center"/>
        <w:outlineLvl w:val="0"/>
        <w:rPr>
          <w:b/>
          <w:sz w:val="36"/>
          <w:szCs w:val="36"/>
        </w:rPr>
      </w:pPr>
      <w:bookmarkStart w:id="0" w:name="_Toc99301424"/>
      <w:r>
        <w:rPr>
          <w:b/>
          <w:sz w:val="36"/>
          <w:szCs w:val="36"/>
        </w:rPr>
        <w:t>第五章   采购需求</w:t>
      </w:r>
      <w:bookmarkEnd w:id="0"/>
    </w:p>
    <w:p w14:paraId="37D1B7B2">
      <w:pPr>
        <w:pStyle w:val="12"/>
        <w:tabs>
          <w:tab w:val="left" w:pos="0"/>
          <w:tab w:val="clear" w:pos="840"/>
        </w:tabs>
        <w:spacing w:before="120" w:after="120"/>
        <w:ind w:firstLine="0"/>
        <w:jc w:val="left"/>
        <w:rPr>
          <w:rFonts w:hint="eastAsia"/>
          <w:b/>
          <w:color w:val="000000" w:themeColor="text1"/>
          <w:sz w:val="24"/>
          <w:szCs w:val="24"/>
          <w:highlight w:val="none"/>
          <w:lang w:val="en-US" w:eastAsia="zh-CN"/>
          <w14:textFill>
            <w14:solidFill>
              <w14:schemeClr w14:val="tx1"/>
            </w14:solidFill>
          </w14:textFill>
        </w:rPr>
      </w:pPr>
      <w:r>
        <w:rPr>
          <w:rFonts w:hint="eastAsia"/>
          <w:b/>
          <w:color w:val="000000" w:themeColor="text1"/>
          <w:sz w:val="24"/>
          <w:szCs w:val="24"/>
          <w:highlight w:val="none"/>
          <w:lang w:val="en-US" w:eastAsia="zh-CN"/>
          <w14:textFill>
            <w14:solidFill>
              <w14:schemeClr w14:val="tx1"/>
            </w14:solidFill>
          </w14:textFill>
        </w:rPr>
        <w:t>一、项目概况</w:t>
      </w:r>
    </w:p>
    <w:p w14:paraId="7151176E">
      <w:pPr>
        <w:numPr>
          <w:ilvl w:val="0"/>
          <w:numId w:val="0"/>
        </w:numPr>
        <w:tabs>
          <w:tab w:val="left" w:pos="540"/>
        </w:tabs>
        <w:adjustRightInd w:val="0"/>
        <w:snapToGrid w:val="0"/>
        <w:spacing w:before="62" w:beforeLines="20" w:after="62" w:afterLines="20" w:line="400" w:lineRule="atLeast"/>
        <w:ind w:left="0" w:leftChars="0" w:firstLine="420" w:firstLineChars="175"/>
        <w:rPr>
          <w:rFonts w:hint="default"/>
          <w:color w:val="000000" w:themeColor="text1"/>
          <w:sz w:val="24"/>
          <w:highlight w:val="none"/>
          <w:lang w:val="en-US" w:eastAsia="zh-CN"/>
          <w14:textFill>
            <w14:solidFill>
              <w14:schemeClr w14:val="tx1"/>
            </w14:solidFill>
          </w14:textFill>
        </w:rPr>
      </w:pPr>
      <w:r>
        <w:rPr>
          <w:color w:val="000000" w:themeColor="text1"/>
          <w:sz w:val="24"/>
          <w:highlight w:val="none"/>
          <w:lang w:val="en-US" w:eastAsia="zh-CN"/>
          <w14:textFill>
            <w14:solidFill>
              <w14:schemeClr w14:val="tx1"/>
            </w14:solidFill>
          </w14:textFill>
        </w:rPr>
        <w:t>为本单位在职干部职工提供</w:t>
      </w:r>
      <w:r>
        <w:rPr>
          <w:b/>
          <w:bCs/>
          <w:color w:val="000000" w:themeColor="text1"/>
          <w:sz w:val="24"/>
          <w:highlight w:val="none"/>
          <w:lang w:val="en-US" w:eastAsia="zh-CN"/>
          <w14:textFill>
            <w14:solidFill>
              <w14:schemeClr w14:val="tx1"/>
            </w14:solidFill>
          </w14:textFill>
        </w:rPr>
        <w:t>三年期健康体检服务</w:t>
      </w:r>
      <w:r>
        <w:rPr>
          <w:color w:val="000000" w:themeColor="text1"/>
          <w:sz w:val="24"/>
          <w:highlight w:val="none"/>
          <w:lang w:val="en-US" w:eastAsia="zh-CN"/>
          <w14:textFill>
            <w14:solidFill>
              <w14:schemeClr w14:val="tx1"/>
            </w14:solidFill>
          </w14:textFill>
        </w:rPr>
        <w:t>，服务期2026年—2028年，每年 1 次。每年集中体检时间</w:t>
      </w:r>
      <w:r>
        <w:rPr>
          <w:rFonts w:hint="eastAsia"/>
          <w:color w:val="000000" w:themeColor="text1"/>
          <w:sz w:val="24"/>
          <w:highlight w:val="none"/>
          <w:lang w:val="en-US" w:eastAsia="zh-CN"/>
          <w14:textFill>
            <w14:solidFill>
              <w14:schemeClr w14:val="tx1"/>
            </w14:solidFill>
          </w14:textFill>
        </w:rPr>
        <w:t>预计</w:t>
      </w:r>
      <w:r>
        <w:rPr>
          <w:color w:val="000000" w:themeColor="text1"/>
          <w:sz w:val="24"/>
          <w:highlight w:val="none"/>
          <w:lang w:val="en-US" w:eastAsia="zh-CN"/>
          <w14:textFill>
            <w14:solidFill>
              <w14:schemeClr w14:val="tx1"/>
            </w14:solidFill>
          </w14:textFill>
        </w:rPr>
        <w:t>为</w:t>
      </w:r>
      <w:r>
        <w:rPr>
          <w:b/>
          <w:bCs/>
          <w:color w:val="000000" w:themeColor="text1"/>
          <w:sz w:val="24"/>
          <w:highlight w:val="none"/>
          <w:lang w:val="en-US" w:eastAsia="zh-CN"/>
          <w14:textFill>
            <w14:solidFill>
              <w14:schemeClr w14:val="tx1"/>
            </w14:solidFill>
          </w14:textFill>
        </w:rPr>
        <w:t>8月1日至9月30日</w:t>
      </w:r>
      <w:r>
        <w:rPr>
          <w:color w:val="000000" w:themeColor="text1"/>
          <w:sz w:val="24"/>
          <w:highlight w:val="none"/>
          <w:lang w:val="en-US" w:eastAsia="zh-CN"/>
          <w14:textFill>
            <w14:solidFill>
              <w14:schemeClr w14:val="tx1"/>
            </w14:solidFill>
          </w14:textFill>
        </w:rPr>
        <w:t>（具体以采购人提前 15日通知为准）。</w:t>
      </w:r>
      <w:r>
        <w:rPr>
          <w:rFonts w:hint="eastAsia"/>
          <w:color w:val="000000" w:themeColor="text1"/>
          <w:sz w:val="24"/>
          <w:highlight w:val="none"/>
          <w:lang w:val="en-US" w:eastAsia="zh-CN"/>
          <w14:textFill>
            <w14:solidFill>
              <w14:schemeClr w14:val="tx1"/>
            </w14:solidFill>
          </w14:textFill>
        </w:rPr>
        <w:t>预计每年参加体检在职人员约910人，三年参加体检人数约为2730人。体检总费用不超过873.6万元</w:t>
      </w:r>
      <w:r>
        <w:rPr>
          <w:color w:val="000000" w:themeColor="text1"/>
          <w:sz w:val="24"/>
          <w:highlight w:val="none"/>
          <w:lang w:val="en-US"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按实际参检人数结算。</w:t>
      </w:r>
    </w:p>
    <w:p w14:paraId="21553AB1">
      <w:pPr>
        <w:pStyle w:val="12"/>
        <w:tabs>
          <w:tab w:val="left" w:pos="0"/>
          <w:tab w:val="clear" w:pos="840"/>
        </w:tabs>
        <w:spacing w:before="120" w:after="120"/>
        <w:ind w:firstLine="0"/>
        <w:jc w:val="left"/>
        <w:rPr>
          <w:rFonts w:hint="eastAsia"/>
          <w:b/>
          <w:color w:val="000000" w:themeColor="text1"/>
          <w:sz w:val="24"/>
          <w:szCs w:val="24"/>
          <w:highlight w:val="none"/>
          <w:lang w:val="en-US" w:eastAsia="zh-CN"/>
          <w14:textFill>
            <w14:solidFill>
              <w14:schemeClr w14:val="tx1"/>
            </w14:solidFill>
          </w14:textFill>
        </w:rPr>
      </w:pPr>
      <w:r>
        <w:rPr>
          <w:rFonts w:hint="eastAsia"/>
          <w:b/>
          <w:color w:val="000000" w:themeColor="text1"/>
          <w:sz w:val="24"/>
          <w:szCs w:val="24"/>
          <w:highlight w:val="none"/>
          <w:lang w:val="en-US" w:eastAsia="zh-CN"/>
          <w14:textFill>
            <w14:solidFill>
              <w14:schemeClr w14:val="tx1"/>
            </w14:solidFill>
          </w14:textFill>
        </w:rPr>
        <w:t>二、体检服务要求</w:t>
      </w:r>
    </w:p>
    <w:p w14:paraId="61CA8965">
      <w:pPr>
        <w:numPr>
          <w:ilvl w:val="0"/>
          <w:numId w:val="2"/>
        </w:numPr>
        <w:tabs>
          <w:tab w:val="left" w:pos="540"/>
        </w:tabs>
        <w:adjustRightInd w:val="0"/>
        <w:snapToGrid w:val="0"/>
        <w:spacing w:before="62" w:beforeLines="20" w:after="62" w:afterLines="20" w:line="400" w:lineRule="atLeast"/>
        <w:ind w:left="425" w:leftChars="0" w:hanging="425" w:firstLineChars="0"/>
        <w:rPr>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服务地点：</w:t>
      </w:r>
      <w:r>
        <w:rPr>
          <w:color w:val="000000" w:themeColor="text1"/>
          <w:sz w:val="24"/>
          <w:highlight w:val="none"/>
          <w14:textFill>
            <w14:solidFill>
              <w14:schemeClr w14:val="tx1"/>
            </w14:solidFill>
          </w14:textFill>
        </w:rPr>
        <w:t>在</w:t>
      </w:r>
      <w:r>
        <w:rPr>
          <w:rFonts w:hint="eastAsia"/>
          <w:color w:val="000000" w:themeColor="text1"/>
          <w:sz w:val="24"/>
          <w:highlight w:val="none"/>
          <w:lang w:eastAsia="zh-CN"/>
          <w14:textFill>
            <w14:solidFill>
              <w14:schemeClr w14:val="tx1"/>
            </w14:solidFill>
          </w14:textFill>
        </w:rPr>
        <w:t>供应商</w:t>
      </w:r>
      <w:r>
        <w:rPr>
          <w:color w:val="000000" w:themeColor="text1"/>
          <w:sz w:val="24"/>
          <w:highlight w:val="none"/>
          <w14:textFill>
            <w14:solidFill>
              <w14:schemeClr w14:val="tx1"/>
            </w14:solidFill>
          </w14:textFill>
        </w:rPr>
        <w:t>合法、长期稳定运营的体检场所内提供服务。</w:t>
      </w:r>
    </w:p>
    <w:p w14:paraId="4CCE803A">
      <w:pPr>
        <w:numPr>
          <w:ilvl w:val="0"/>
          <w:numId w:val="2"/>
        </w:numPr>
        <w:tabs>
          <w:tab w:val="left" w:pos="540"/>
        </w:tabs>
        <w:adjustRightInd w:val="0"/>
        <w:snapToGrid w:val="0"/>
        <w:spacing w:before="62" w:beforeLines="20" w:after="62" w:afterLines="20" w:line="400" w:lineRule="atLeast"/>
        <w:ind w:left="425" w:leftChars="0" w:hanging="425" w:firstLineChars="0"/>
        <w:rPr>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专属团检服务：</w:t>
      </w:r>
      <w:r>
        <w:rPr>
          <w:rFonts w:hint="eastAsia"/>
          <w:b w:val="0"/>
          <w:bCs w:val="0"/>
          <w:color w:val="000000" w:themeColor="text1"/>
          <w:sz w:val="24"/>
          <w:highlight w:val="none"/>
          <w:lang w:eastAsia="zh-CN"/>
          <w14:textFill>
            <w14:solidFill>
              <w14:schemeClr w14:val="tx1"/>
            </w14:solidFill>
          </w14:textFill>
        </w:rPr>
        <w:t>供应商</w:t>
      </w:r>
      <w:r>
        <w:rPr>
          <w:b w:val="0"/>
          <w:bCs w:val="0"/>
          <w:color w:val="000000" w:themeColor="text1"/>
          <w:sz w:val="24"/>
          <w:highlight w:val="none"/>
          <w14:textFill>
            <w14:solidFill>
              <w14:schemeClr w14:val="tx1"/>
            </w14:solidFill>
          </w14:textFill>
        </w:rPr>
        <w:t>须专人全程引导，提供团检绿色通道、预约服务、人性化服务。</w:t>
      </w:r>
    </w:p>
    <w:p w14:paraId="15A1D178">
      <w:pPr>
        <w:numPr>
          <w:ilvl w:val="0"/>
          <w:numId w:val="2"/>
        </w:numPr>
        <w:tabs>
          <w:tab w:val="left" w:pos="540"/>
        </w:tabs>
        <w:adjustRightInd w:val="0"/>
        <w:snapToGrid w:val="0"/>
        <w:spacing w:before="62" w:beforeLines="20" w:after="62" w:afterLines="20" w:line="400" w:lineRule="atLeast"/>
        <w:ind w:left="425" w:leftChars="0" w:hanging="425" w:firstLineChars="0"/>
        <w:rPr>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现场引导与秩序：</w:t>
      </w:r>
      <w:r>
        <w:rPr>
          <w:color w:val="000000" w:themeColor="text1"/>
          <w:sz w:val="24"/>
          <w:highlight w:val="none"/>
          <w14:textFill>
            <w14:solidFill>
              <w14:schemeClr w14:val="tx1"/>
            </w14:solidFill>
          </w14:textFill>
        </w:rPr>
        <w:t>体检现场设置清晰导视标识，配备专职导诊员，保障流程顺畅</w:t>
      </w:r>
      <w:r>
        <w:rPr>
          <w:rFonts w:hint="eastAsia"/>
          <w:color w:val="000000" w:themeColor="text1"/>
          <w:sz w:val="24"/>
          <w:highlight w:val="none"/>
          <w:lang w:val="en-US" w:eastAsia="zh-CN"/>
          <w14:textFill>
            <w14:solidFill>
              <w14:schemeClr w14:val="tx1"/>
            </w14:solidFill>
          </w14:textFill>
        </w:rPr>
        <w:t>.</w:t>
      </w:r>
      <w:r>
        <w:rPr>
          <w:rFonts w:ascii="宋体" w:hAnsi="宋体" w:eastAsia="宋体" w:cs="宋体"/>
          <w:sz w:val="24"/>
          <w:szCs w:val="24"/>
          <w:highlight w:val="none"/>
        </w:rPr>
        <w:t>体检一室一诊，做好参检人员隐私防护。</w:t>
      </w:r>
    </w:p>
    <w:p w14:paraId="3D3B3368">
      <w:pPr>
        <w:numPr>
          <w:ilvl w:val="0"/>
          <w:numId w:val="2"/>
        </w:numPr>
        <w:tabs>
          <w:tab w:val="left" w:pos="540"/>
        </w:tabs>
        <w:adjustRightInd w:val="0"/>
        <w:snapToGrid w:val="0"/>
        <w:spacing w:before="62" w:beforeLines="20" w:after="62" w:afterLines="20" w:line="400" w:lineRule="atLeast"/>
        <w:ind w:left="425" w:leftChars="0" w:hanging="425" w:firstLineChars="0"/>
        <w:rPr>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现场专职负责人：</w:t>
      </w:r>
      <w:r>
        <w:rPr>
          <w:color w:val="000000" w:themeColor="text1"/>
          <w:sz w:val="24"/>
          <w:highlight w:val="none"/>
          <w14:textFill>
            <w14:solidFill>
              <w14:schemeClr w14:val="tx1"/>
            </w14:solidFill>
          </w14:textFill>
        </w:rPr>
        <w:t>体检全程必须设置专职现场负责人，全时在岗值守，统筹流程、人员调度、咨询应答、问题处置，确保突发情况即时解决。</w:t>
      </w:r>
    </w:p>
    <w:p w14:paraId="22A3DFDC">
      <w:pPr>
        <w:numPr>
          <w:ilvl w:val="0"/>
          <w:numId w:val="2"/>
        </w:numPr>
        <w:tabs>
          <w:tab w:val="left" w:pos="540"/>
        </w:tabs>
        <w:adjustRightInd w:val="0"/>
        <w:snapToGrid w:val="0"/>
        <w:spacing w:before="62" w:beforeLines="20" w:after="62" w:afterLines="20" w:line="400" w:lineRule="atLeast"/>
        <w:ind w:left="425" w:leftChars="0" w:hanging="425" w:firstLineChars="0"/>
        <w:rPr>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医护人员要求：</w:t>
      </w:r>
    </w:p>
    <w:p w14:paraId="02871BAA">
      <w:pPr>
        <w:numPr>
          <w:ilvl w:val="0"/>
          <w:numId w:val="3"/>
        </w:numPr>
        <w:tabs>
          <w:tab w:val="left" w:pos="540"/>
          <w:tab w:val="clear" w:pos="312"/>
        </w:tabs>
        <w:adjustRightInd w:val="0"/>
        <w:snapToGrid w:val="0"/>
        <w:spacing w:before="62" w:beforeLines="20" w:after="62" w:afterLines="20" w:line="400" w:lineRule="atLeast"/>
        <w:ind w:left="0" w:leftChars="0" w:firstLine="420" w:firstLineChars="175"/>
        <w:rPr>
          <w:color w:val="000000" w:themeColor="text1"/>
          <w:sz w:val="24"/>
          <w:highlight w:val="none"/>
          <w14:textFill>
            <w14:solidFill>
              <w14:schemeClr w14:val="tx1"/>
            </w14:solidFill>
          </w14:textFill>
        </w:rPr>
      </w:pPr>
      <w:r>
        <w:rPr>
          <w:b w:val="0"/>
          <w:bCs w:val="0"/>
          <w:color w:val="000000" w:themeColor="text1"/>
          <w:sz w:val="24"/>
          <w:highlight w:val="none"/>
          <w14:textFill>
            <w14:solidFill>
              <w14:schemeClr w14:val="tx1"/>
            </w14:solidFill>
          </w14:textFill>
        </w:rPr>
        <w:t>本项目派驻的主检医师、现场开展体检实操的在岗执业医师，必须</w:t>
      </w:r>
      <w:r>
        <w:rPr>
          <w:color w:val="000000" w:themeColor="text1"/>
          <w:sz w:val="24"/>
          <w:highlight w:val="none"/>
          <w14:textFill>
            <w14:solidFill>
              <w14:schemeClr w14:val="tx1"/>
            </w14:solidFill>
          </w14:textFill>
        </w:rPr>
        <w:t>为</w:t>
      </w:r>
      <w:r>
        <w:rPr>
          <w:rFonts w:hint="eastAsia"/>
          <w:color w:val="000000" w:themeColor="text1"/>
          <w:sz w:val="24"/>
          <w:highlight w:val="none"/>
          <w:lang w:eastAsia="zh-CN"/>
          <w14:textFill>
            <w14:solidFill>
              <w14:schemeClr w14:val="tx1"/>
            </w14:solidFill>
          </w14:textFill>
        </w:rPr>
        <w:t>供应商</w:t>
      </w:r>
      <w:r>
        <w:rPr>
          <w:b/>
          <w:bCs/>
          <w:color w:val="000000" w:themeColor="text1"/>
          <w:sz w:val="24"/>
          <w:highlight w:val="none"/>
          <w14:textFill>
            <w14:solidFill>
              <w14:schemeClr w14:val="tx1"/>
            </w14:solidFill>
          </w14:textFill>
        </w:rPr>
        <w:t>本单位正式在职在岗人员</w:t>
      </w:r>
      <w:r>
        <w:rPr>
          <w:color w:val="000000" w:themeColor="text1"/>
          <w:sz w:val="24"/>
          <w:highlight w:val="none"/>
          <w14:textFill>
            <w14:solidFill>
              <w14:schemeClr w14:val="tx1"/>
            </w14:solidFill>
          </w14:textFill>
        </w:rPr>
        <w:t>，执业地点与</w:t>
      </w:r>
      <w:r>
        <w:rPr>
          <w:rFonts w:hint="eastAsia"/>
          <w:color w:val="000000" w:themeColor="text1"/>
          <w:sz w:val="24"/>
          <w:highlight w:val="none"/>
          <w:lang w:eastAsia="zh-CN"/>
          <w14:textFill>
            <w14:solidFill>
              <w14:schemeClr w14:val="tx1"/>
            </w14:solidFill>
          </w14:textFill>
        </w:rPr>
        <w:t>供应商</w:t>
      </w:r>
      <w:r>
        <w:rPr>
          <w:color w:val="000000" w:themeColor="text1"/>
          <w:sz w:val="24"/>
          <w:highlight w:val="none"/>
          <w14:textFill>
            <w14:solidFill>
              <w14:schemeClr w14:val="tx1"/>
            </w14:solidFill>
          </w14:textFill>
        </w:rPr>
        <w:t>一致，不得外聘、临时兼职或派遣。主检医师须具备</w:t>
      </w:r>
      <w:r>
        <w:rPr>
          <w:b/>
          <w:bCs/>
          <w:color w:val="000000" w:themeColor="text1"/>
          <w:sz w:val="24"/>
          <w:highlight w:val="none"/>
          <w14:textFill>
            <w14:solidFill>
              <w14:schemeClr w14:val="tx1"/>
            </w14:solidFill>
          </w14:textFill>
        </w:rPr>
        <w:t>副主任医师及以上职称</w:t>
      </w:r>
      <w:r>
        <w:rPr>
          <w:color w:val="000000" w:themeColor="text1"/>
          <w:sz w:val="24"/>
          <w:highlight w:val="none"/>
          <w14:textFill>
            <w14:solidFill>
              <w14:schemeClr w14:val="tx1"/>
            </w14:solidFill>
          </w14:textFill>
        </w:rPr>
        <w:t>。</w:t>
      </w:r>
    </w:p>
    <w:p w14:paraId="7519F28B">
      <w:pPr>
        <w:numPr>
          <w:ilvl w:val="0"/>
          <w:numId w:val="3"/>
        </w:numPr>
        <w:tabs>
          <w:tab w:val="left" w:pos="540"/>
          <w:tab w:val="clear" w:pos="312"/>
        </w:tabs>
        <w:adjustRightInd w:val="0"/>
        <w:snapToGrid w:val="0"/>
        <w:spacing w:before="62" w:beforeLines="20" w:after="62" w:afterLines="20" w:line="400" w:lineRule="atLeast"/>
        <w:ind w:left="0" w:leftChars="0" w:firstLine="420" w:firstLineChars="17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护士执业证书执业地点为本单位注册，或已在国家护士电子化注册系统完成本单位多点执业备案，上述两种情形均予以认可；护理相关全部用工薪酬、社保、劳务及法律责任由中标供应商全权承担，采购人不承担任何用工连带责任。</w:t>
      </w:r>
    </w:p>
    <w:p w14:paraId="18019BB0">
      <w:pPr>
        <w:numPr>
          <w:ilvl w:val="0"/>
          <w:numId w:val="2"/>
        </w:numPr>
        <w:tabs>
          <w:tab w:val="left" w:pos="540"/>
        </w:tabs>
        <w:adjustRightInd w:val="0"/>
        <w:snapToGrid w:val="0"/>
        <w:spacing w:before="62" w:beforeLines="20" w:after="62" w:afterLines="20" w:line="400" w:lineRule="atLeast"/>
        <w:ind w:left="425" w:leftChars="0" w:hanging="425" w:firstLineChars="0"/>
        <w:rPr>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检测质量要求：</w:t>
      </w:r>
      <w:r>
        <w:rPr>
          <w:color w:val="000000" w:themeColor="text1"/>
          <w:sz w:val="24"/>
          <w:highlight w:val="none"/>
          <w14:textFill>
            <w14:solidFill>
              <w14:schemeClr w14:val="tx1"/>
            </w14:solidFill>
          </w14:textFill>
        </w:rPr>
        <w:t>检测方法科学合规，试剂在有效期内、来源</w:t>
      </w:r>
      <w:r>
        <w:rPr>
          <w:rFonts w:hint="eastAsia"/>
          <w:color w:val="000000" w:themeColor="text1"/>
          <w:sz w:val="24"/>
          <w:highlight w:val="none"/>
          <w:lang w:val="en-US" w:eastAsia="zh-CN"/>
          <w14:textFill>
            <w14:solidFill>
              <w14:schemeClr w14:val="tx1"/>
            </w14:solidFill>
          </w14:textFill>
        </w:rPr>
        <w:t>合规</w:t>
      </w:r>
      <w:r>
        <w:rPr>
          <w:color w:val="000000" w:themeColor="text1"/>
          <w:sz w:val="24"/>
          <w:highlight w:val="none"/>
          <w14:textFill>
            <w14:solidFill>
              <w14:schemeClr w14:val="tx1"/>
            </w14:solidFill>
          </w14:textFill>
        </w:rPr>
        <w:t>安全有效，检验项目具备完善的室内质控、室间质评全流程质控体系。</w:t>
      </w:r>
    </w:p>
    <w:p w14:paraId="5402BDDD">
      <w:pPr>
        <w:numPr>
          <w:ilvl w:val="0"/>
          <w:numId w:val="2"/>
        </w:numPr>
        <w:tabs>
          <w:tab w:val="left" w:pos="540"/>
        </w:tabs>
        <w:adjustRightInd w:val="0"/>
        <w:snapToGrid w:val="0"/>
        <w:spacing w:before="62" w:beforeLines="20" w:after="62" w:afterLines="20" w:line="400" w:lineRule="atLeast"/>
        <w:ind w:left="425" w:leftChars="0" w:hanging="425" w:firstLineChars="0"/>
        <w:rPr>
          <w:rFonts w:hint="eastAsia" w:eastAsiaTheme="minorEastAsia"/>
          <w:color w:val="000000" w:themeColor="text1"/>
          <w:sz w:val="24"/>
          <w:highlight w:val="none"/>
          <w:lang w:eastAsia="zh-CN"/>
          <w14:textFill>
            <w14:solidFill>
              <w14:schemeClr w14:val="tx1"/>
            </w14:solidFill>
          </w14:textFill>
        </w:rPr>
      </w:pPr>
      <w:r>
        <w:rPr>
          <w:rFonts w:hint="eastAsia"/>
          <w:b/>
          <w:bCs/>
          <w:color w:val="000000" w:themeColor="text1"/>
          <w:sz w:val="24"/>
          <w:highlight w:val="none"/>
          <w14:textFill>
            <w14:solidFill>
              <w14:schemeClr w14:val="tx1"/>
            </w14:solidFill>
          </w14:textFill>
        </w:rPr>
        <w:t>检验质量保证</w:t>
      </w:r>
      <w:r>
        <w:rPr>
          <w:rFonts w:hint="eastAsia"/>
          <w:b/>
          <w:bCs/>
          <w:color w:val="000000" w:themeColor="text1"/>
          <w:sz w:val="24"/>
          <w:highlight w:val="none"/>
          <w:lang w:eastAsia="zh-CN"/>
          <w14:textFill>
            <w14:solidFill>
              <w14:schemeClr w14:val="tx1"/>
            </w14:solidFill>
          </w14:textFill>
        </w:rPr>
        <w:t>：</w:t>
      </w:r>
      <w:r>
        <w:rPr>
          <w:rFonts w:hint="eastAsia"/>
          <w:b w:val="0"/>
          <w:bCs w:val="0"/>
          <w:color w:val="000000" w:themeColor="text1"/>
          <w:sz w:val="24"/>
          <w:highlight w:val="none"/>
          <w14:textFill>
            <w14:solidFill>
              <w14:schemeClr w14:val="tx1"/>
            </w14:solidFill>
          </w14:textFill>
        </w:rPr>
        <w:t>本项目所有对外出具正式体检报告的检验项目，</w:t>
      </w:r>
      <w:r>
        <w:rPr>
          <w:rFonts w:hint="eastAsia"/>
          <w:b/>
          <w:bCs/>
          <w:color w:val="000000" w:themeColor="text1"/>
          <w:sz w:val="24"/>
          <w:highlight w:val="none"/>
          <w14:textFill>
            <w14:solidFill>
              <w14:schemeClr w14:val="tx1"/>
            </w14:solidFill>
          </w14:textFill>
        </w:rPr>
        <w:t>必须依托具备有效 CMA 检验检测资质</w:t>
      </w:r>
      <w:r>
        <w:rPr>
          <w:rFonts w:hint="eastAsia"/>
          <w:b/>
          <w:bCs/>
          <w:color w:val="000000" w:themeColor="text1"/>
          <w:sz w:val="24"/>
          <w:highlight w:val="none"/>
          <w:lang w:val="en-US" w:eastAsia="zh-CN"/>
          <w14:textFill>
            <w14:solidFill>
              <w14:schemeClr w14:val="tx1"/>
            </w14:solidFill>
          </w14:textFill>
        </w:rPr>
        <w:t>或通过CNAS（ISO15189）认可的医学</w:t>
      </w:r>
      <w:r>
        <w:rPr>
          <w:rFonts w:hint="eastAsia"/>
          <w:b/>
          <w:bCs/>
          <w:color w:val="000000" w:themeColor="text1"/>
          <w:sz w:val="24"/>
          <w:highlight w:val="none"/>
          <w14:textFill>
            <w14:solidFill>
              <w14:schemeClr w14:val="tx1"/>
            </w14:solidFill>
          </w14:textFill>
        </w:rPr>
        <w:t>实验室开展，保证报告具备法定效力</w:t>
      </w:r>
      <w:r>
        <w:rPr>
          <w:rFonts w:hint="eastAsia"/>
          <w:b/>
          <w:bCs/>
          <w:color w:val="000000" w:themeColor="text1"/>
          <w:sz w:val="24"/>
          <w:highlight w:val="none"/>
          <w:lang w:eastAsia="zh-CN"/>
          <w14:textFill>
            <w14:solidFill>
              <w14:schemeClr w14:val="tx1"/>
            </w14:solidFill>
          </w14:textFill>
        </w:rPr>
        <w:t>。</w:t>
      </w:r>
      <w:r>
        <w:rPr>
          <w:rFonts w:hint="eastAsia"/>
          <w:color w:val="000000" w:themeColor="text1"/>
          <w:sz w:val="24"/>
          <w:highlight w:val="none"/>
          <w14:textFill>
            <w14:solidFill>
              <w14:schemeClr w14:val="tx1"/>
            </w14:solidFill>
          </w14:textFill>
        </w:rPr>
        <w:t>供应商开展临床检验项目的实验室，应通过省级及以上卫生健康行政部门或其授权的临床检验中心组织的室间质量评价，并提供近一年合格证明。自检项目需提供标准操作流程及内部质控记录。</w:t>
      </w:r>
    </w:p>
    <w:p w14:paraId="7810CB79">
      <w:pPr>
        <w:numPr>
          <w:ilvl w:val="0"/>
          <w:numId w:val="2"/>
        </w:numPr>
        <w:tabs>
          <w:tab w:val="left" w:pos="540"/>
        </w:tabs>
        <w:adjustRightInd w:val="0"/>
        <w:snapToGrid w:val="0"/>
        <w:spacing w:before="62" w:beforeLines="20" w:after="62" w:afterLines="20" w:line="400" w:lineRule="atLeast"/>
        <w:ind w:left="425" w:leftChars="0" w:hanging="425" w:firstLineChars="0"/>
        <w:rPr>
          <w:rFonts w:hint="eastAsia" w:eastAsiaTheme="minorEastAsia"/>
          <w:color w:val="000000" w:themeColor="text1"/>
          <w:sz w:val="24"/>
          <w:highlight w:val="none"/>
          <w:lang w:eastAsia="zh-CN"/>
          <w14:textFill>
            <w14:solidFill>
              <w14:schemeClr w14:val="tx1"/>
            </w14:solidFill>
          </w14:textFill>
        </w:rPr>
      </w:pPr>
      <w:r>
        <w:rPr>
          <w:b/>
          <w:bCs/>
          <w:color w:val="000000" w:themeColor="text1"/>
          <w:sz w:val="24"/>
          <w:highlight w:val="none"/>
          <w14:textFill>
            <w14:solidFill>
              <w14:schemeClr w14:val="tx1"/>
            </w14:solidFill>
          </w14:textFill>
        </w:rPr>
        <w:t>检后服务</w:t>
      </w:r>
      <w:r>
        <w:rPr>
          <w:rFonts w:hint="eastAsia"/>
          <w:b/>
          <w:bCs/>
          <w:color w:val="000000" w:themeColor="text1"/>
          <w:sz w:val="24"/>
          <w:highlight w:val="none"/>
          <w14:textFill>
            <w14:solidFill>
              <w14:schemeClr w14:val="tx1"/>
            </w14:solidFill>
          </w14:textFill>
        </w:rPr>
        <w:t>与急症处置</w:t>
      </w:r>
      <w:r>
        <w:rPr>
          <w:b/>
          <w:bCs/>
          <w:color w:val="000000" w:themeColor="text1"/>
          <w:sz w:val="24"/>
          <w:highlight w:val="none"/>
          <w14:textFill>
            <w14:solidFill>
              <w14:schemeClr w14:val="tx1"/>
            </w14:solidFill>
          </w14:textFill>
        </w:rPr>
        <w:t>：</w:t>
      </w:r>
      <w:r>
        <w:rPr>
          <w:rFonts w:hint="eastAsia"/>
          <w:b w:val="0"/>
          <w:bCs w:val="0"/>
          <w:color w:val="000000" w:themeColor="text1"/>
          <w:sz w:val="24"/>
          <w:highlight w:val="none"/>
          <w14:textFill>
            <w14:solidFill>
              <w14:schemeClr w14:val="tx1"/>
            </w14:solidFill>
          </w14:textFill>
        </w:rPr>
        <w:t>供应商须提供检后报告解读、健康咨询、异常干预及绿色就医协助服务；体检重大/疑难异常者，供应商可按需邀约对应专科专家至体检中心现场会诊，或协助职工预约专家门诊就诊</w:t>
      </w:r>
      <w:r>
        <w:rPr>
          <w:rFonts w:hint="eastAsia"/>
          <w:b w:val="0"/>
          <w:bCs w:val="0"/>
          <w:color w:val="000000" w:themeColor="text1"/>
          <w:sz w:val="24"/>
          <w:highlight w:val="none"/>
          <w:lang w:eastAsia="zh-CN"/>
          <w14:textFill>
            <w14:solidFill>
              <w14:schemeClr w14:val="tx1"/>
            </w14:solidFill>
          </w14:textFill>
        </w:rPr>
        <w:t>；</w:t>
      </w:r>
      <w:r>
        <w:rPr>
          <w:rFonts w:hint="eastAsia"/>
          <w:b w:val="0"/>
          <w:bCs w:val="0"/>
          <w:color w:val="000000" w:themeColor="text1"/>
          <w:sz w:val="24"/>
          <w:highlight w:val="none"/>
          <w14:textFill>
            <w14:solidFill>
              <w14:schemeClr w14:val="tx1"/>
            </w14:solidFill>
          </w14:textFill>
        </w:rPr>
        <w:t>建立完善的体检现场突发疾病应急处置流程，配备急救设备与药品，保障受检者安全。</w:t>
      </w:r>
    </w:p>
    <w:p w14:paraId="4C9BDD78">
      <w:pPr>
        <w:numPr>
          <w:ilvl w:val="0"/>
          <w:numId w:val="2"/>
        </w:numPr>
        <w:tabs>
          <w:tab w:val="left" w:pos="540"/>
        </w:tabs>
        <w:adjustRightInd w:val="0"/>
        <w:snapToGrid w:val="0"/>
        <w:spacing w:before="62" w:beforeLines="20" w:after="62" w:afterLines="20" w:line="400" w:lineRule="atLeast"/>
        <w:ind w:left="425" w:leftChars="0" w:hanging="425" w:firstLineChars="0"/>
        <w:rPr>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报告交付要求：</w:t>
      </w:r>
      <w:r>
        <w:rPr>
          <w:color w:val="000000" w:themeColor="text1"/>
          <w:sz w:val="24"/>
          <w:highlight w:val="none"/>
          <w14:textFill>
            <w14:solidFill>
              <w14:schemeClr w14:val="tx1"/>
            </w14:solidFill>
          </w14:textFill>
        </w:rPr>
        <w:t>体检结束后</w:t>
      </w:r>
      <w:r>
        <w:rPr>
          <w:b/>
          <w:bCs/>
          <w:color w:val="000000" w:themeColor="text1"/>
          <w:sz w:val="24"/>
          <w:highlight w:val="none"/>
          <w14:textFill>
            <w14:solidFill>
              <w14:schemeClr w14:val="tx1"/>
            </w14:solidFill>
          </w14:textFill>
        </w:rPr>
        <w:t>15 个工作日内</w:t>
      </w:r>
      <w:r>
        <w:rPr>
          <w:color w:val="000000" w:themeColor="text1"/>
          <w:sz w:val="24"/>
          <w:highlight w:val="none"/>
          <w14:textFill>
            <w14:solidFill>
              <w14:schemeClr w14:val="tx1"/>
            </w14:solidFill>
          </w14:textFill>
        </w:rPr>
        <w:t xml:space="preserve">交付以下报告： </w:t>
      </w:r>
    </w:p>
    <w:p w14:paraId="2A6888BA">
      <w:pPr>
        <w:numPr>
          <w:ilvl w:val="0"/>
          <w:numId w:val="0"/>
        </w:numPr>
        <w:tabs>
          <w:tab w:val="left" w:pos="540"/>
        </w:tabs>
        <w:adjustRightInd w:val="0"/>
        <w:snapToGrid w:val="0"/>
        <w:spacing w:before="62" w:beforeLines="20" w:after="62" w:afterLines="20" w:line="400" w:lineRule="atLeast"/>
        <w:ind w:left="0" w:leftChars="0" w:firstLine="420" w:firstLineChars="17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1</w:t>
      </w:r>
      <w:r>
        <w:rPr>
          <w:color w:val="000000" w:themeColor="text1"/>
          <w:sz w:val="24"/>
          <w:highlight w:val="none"/>
          <w14:textFill>
            <w14:solidFill>
              <w14:schemeClr w14:val="tx1"/>
            </w14:solidFill>
          </w14:textFill>
        </w:rPr>
        <w:t>）个人电子体检报告（支持线上查询、下载、打印</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个别仅提供纸质报告的，应提前告知采购人</w:t>
      </w:r>
      <w:r>
        <w:rPr>
          <w:color w:val="000000" w:themeColor="text1"/>
          <w:sz w:val="24"/>
          <w:highlight w:val="none"/>
          <w14:textFill>
            <w14:solidFill>
              <w14:schemeClr w14:val="tx1"/>
            </w14:solidFill>
          </w14:textFill>
        </w:rPr>
        <w:t xml:space="preserve">）； </w:t>
      </w:r>
    </w:p>
    <w:p w14:paraId="374AF59D">
      <w:pPr>
        <w:numPr>
          <w:ilvl w:val="0"/>
          <w:numId w:val="0"/>
        </w:numPr>
        <w:tabs>
          <w:tab w:val="left" w:pos="540"/>
        </w:tabs>
        <w:adjustRightInd w:val="0"/>
        <w:snapToGrid w:val="0"/>
        <w:spacing w:before="62" w:beforeLines="20" w:after="62" w:afterLines="20" w:line="400" w:lineRule="atLeast"/>
        <w:ind w:left="17" w:leftChars="8" w:firstLine="400" w:firstLineChars="167"/>
        <w:rPr>
          <w:rFonts w:hint="eastAsia"/>
          <w:color w:val="000000" w:themeColor="text1"/>
          <w:sz w:val="24"/>
          <w:highlight w:val="none"/>
          <w:lang w:val="en-US" w:eastAsia="zh-CN"/>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2</w:t>
      </w:r>
      <w:r>
        <w:rPr>
          <w:color w:val="000000" w:themeColor="text1"/>
          <w:sz w:val="24"/>
          <w:highlight w:val="none"/>
          <w14:textFill>
            <w14:solidFill>
              <w14:schemeClr w14:val="tx1"/>
            </w14:solidFill>
          </w14:textFill>
        </w:rPr>
        <w:t>）单位整体健康分析报告（</w:t>
      </w:r>
      <w:r>
        <w:rPr>
          <w:rFonts w:hint="eastAsia"/>
          <w:color w:val="000000" w:themeColor="text1"/>
          <w:sz w:val="24"/>
          <w:highlight w:val="none"/>
          <w:lang w:val="en-US" w:eastAsia="zh-CN"/>
          <w14:textFill>
            <w14:solidFill>
              <w14:schemeClr w14:val="tx1"/>
            </w14:solidFill>
          </w14:textFill>
        </w:rPr>
        <w:t>脱敏处理，</w:t>
      </w:r>
      <w:r>
        <w:rPr>
          <w:color w:val="000000" w:themeColor="text1"/>
          <w:sz w:val="24"/>
          <w:highlight w:val="none"/>
          <w14:textFill>
            <w14:solidFill>
              <w14:schemeClr w14:val="tx1"/>
            </w14:solidFill>
          </w14:textFill>
        </w:rPr>
        <w:t>不含个人隐私信息，含异常统计、风险评估、健康干预建议）。</w:t>
      </w:r>
      <w:r>
        <w:rPr>
          <w:rFonts w:hint="eastAsia"/>
          <w:color w:val="000000" w:themeColor="text1"/>
          <w:sz w:val="24"/>
          <w:highlight w:val="none"/>
          <w:lang w:val="en-US" w:eastAsia="zh-CN"/>
          <w14:textFill>
            <w14:solidFill>
              <w14:schemeClr w14:val="tx1"/>
            </w14:solidFill>
          </w14:textFill>
        </w:rPr>
        <w:t>统一交付采购人指定负责人。</w:t>
      </w:r>
    </w:p>
    <w:p w14:paraId="655E3E5E">
      <w:pPr>
        <w:numPr>
          <w:ilvl w:val="0"/>
          <w:numId w:val="2"/>
        </w:numPr>
        <w:tabs>
          <w:tab w:val="left" w:pos="540"/>
        </w:tabs>
        <w:adjustRightInd w:val="0"/>
        <w:snapToGrid w:val="0"/>
        <w:spacing w:before="62" w:beforeLines="20" w:after="62" w:afterLines="20" w:line="400" w:lineRule="atLeast"/>
        <w:ind w:left="425" w:leftChars="0" w:hanging="425" w:firstLineChars="0"/>
        <w:rPr>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重大异常上报：</w:t>
      </w:r>
      <w:r>
        <w:rPr>
          <w:color w:val="000000" w:themeColor="text1"/>
          <w:sz w:val="24"/>
          <w:highlight w:val="none"/>
          <w14:textFill>
            <w14:solidFill>
              <w14:schemeClr w14:val="tx1"/>
            </w14:solidFill>
          </w14:textFill>
        </w:rPr>
        <w:t>检出传染病、恶性肿瘤、危急值等重大异常，须24 小时内</w:t>
      </w:r>
      <w:r>
        <w:rPr>
          <w:rFonts w:hint="eastAsia"/>
          <w:color w:val="000000" w:themeColor="text1"/>
          <w:sz w:val="24"/>
          <w:highlight w:val="none"/>
          <w:lang w:val="en-US" w:eastAsia="zh-CN"/>
          <w14:textFill>
            <w14:solidFill>
              <w14:schemeClr w14:val="tx1"/>
            </w14:solidFill>
          </w14:textFill>
        </w:rPr>
        <w:t>通知受检</w:t>
      </w:r>
      <w:r>
        <w:rPr>
          <w:color w:val="000000" w:themeColor="text1"/>
          <w:sz w:val="24"/>
          <w:highlight w:val="none"/>
          <w14:textFill>
            <w14:solidFill>
              <w14:schemeClr w14:val="tx1"/>
            </w14:solidFill>
          </w14:textFill>
        </w:rPr>
        <w:t>者</w:t>
      </w:r>
      <w:r>
        <w:rPr>
          <w:rFonts w:hint="eastAsia"/>
          <w:color w:val="000000" w:themeColor="text1"/>
          <w:sz w:val="24"/>
          <w:highlight w:val="none"/>
          <w:lang w:val="en-US" w:eastAsia="zh-CN"/>
          <w14:textFill>
            <w14:solidFill>
              <w14:schemeClr w14:val="tx1"/>
            </w14:solidFill>
          </w14:textFill>
        </w:rPr>
        <w:t>本人</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可疑病例需复查的，及时通知受检</w:t>
      </w:r>
      <w:r>
        <w:rPr>
          <w:color w:val="000000" w:themeColor="text1"/>
          <w:sz w:val="24"/>
          <w:highlight w:val="none"/>
          <w14:textFill>
            <w14:solidFill>
              <w14:schemeClr w14:val="tx1"/>
            </w14:solidFill>
          </w14:textFill>
        </w:rPr>
        <w:t>者</w:t>
      </w:r>
      <w:r>
        <w:rPr>
          <w:rFonts w:hint="eastAsia"/>
          <w:color w:val="000000" w:themeColor="text1"/>
          <w:sz w:val="24"/>
          <w:highlight w:val="none"/>
          <w:lang w:val="en-US" w:eastAsia="zh-CN"/>
          <w14:textFill>
            <w14:solidFill>
              <w14:schemeClr w14:val="tx1"/>
            </w14:solidFill>
          </w14:textFill>
        </w:rPr>
        <w:t>本人</w:t>
      </w:r>
      <w:r>
        <w:rPr>
          <w:color w:val="000000" w:themeColor="text1"/>
          <w:sz w:val="24"/>
          <w:highlight w:val="none"/>
          <w14:textFill>
            <w14:solidFill>
              <w14:schemeClr w14:val="tx1"/>
            </w14:solidFill>
          </w14:textFill>
        </w:rPr>
        <w:t>。</w:t>
      </w:r>
    </w:p>
    <w:p w14:paraId="33C84212">
      <w:pPr>
        <w:numPr>
          <w:ilvl w:val="0"/>
          <w:numId w:val="2"/>
        </w:numPr>
        <w:tabs>
          <w:tab w:val="left" w:pos="540"/>
        </w:tabs>
        <w:adjustRightInd w:val="0"/>
        <w:snapToGrid w:val="0"/>
        <w:spacing w:before="62" w:beforeLines="20" w:after="62" w:afterLines="20" w:line="400" w:lineRule="atLeast"/>
        <w:ind w:left="425" w:leftChars="0" w:hanging="425" w:firstLineChars="0"/>
        <w:rPr>
          <w:b w:val="0"/>
          <w:bCs w:val="0"/>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绿色就医通道：</w:t>
      </w:r>
      <w:r>
        <w:rPr>
          <w:b w:val="0"/>
          <w:bCs w:val="0"/>
          <w:color w:val="000000" w:themeColor="text1"/>
          <w:sz w:val="24"/>
          <w:highlight w:val="none"/>
          <w14:textFill>
            <w14:solidFill>
              <w14:schemeClr w14:val="tx1"/>
            </w14:solidFill>
          </w14:textFill>
        </w:rPr>
        <w:t>提供就诊指导、协助挂号、急症快速转诊至三级医院急救体系。</w:t>
      </w:r>
    </w:p>
    <w:p w14:paraId="3191E866">
      <w:pPr>
        <w:numPr>
          <w:ilvl w:val="0"/>
          <w:numId w:val="2"/>
        </w:numPr>
        <w:tabs>
          <w:tab w:val="left" w:pos="540"/>
        </w:tabs>
        <w:adjustRightInd w:val="0"/>
        <w:snapToGrid w:val="0"/>
        <w:spacing w:before="62" w:beforeLines="20" w:after="62" w:afterLines="20" w:line="400" w:lineRule="atLeast"/>
        <w:ind w:left="425" w:leftChars="0" w:hanging="425" w:firstLineChars="0"/>
        <w:rPr>
          <w:b/>
          <w:bCs/>
          <w:color w:val="000000" w:themeColor="text1"/>
          <w:sz w:val="24"/>
          <w:highlight w:val="none"/>
          <w14:textFill>
            <w14:solidFill>
              <w14:schemeClr w14:val="tx1"/>
            </w14:solidFill>
          </w14:textFill>
        </w:rPr>
      </w:pPr>
      <w:r>
        <w:rPr>
          <w:b/>
          <w:bCs/>
          <w:color w:val="000000" w:themeColor="text1"/>
          <w:sz w:val="24"/>
          <w:highlight w:val="none"/>
          <w14:textFill>
            <w14:solidFill>
              <w14:schemeClr w14:val="tx1"/>
            </w14:solidFill>
          </w14:textFill>
        </w:rPr>
        <w:t>便民保障：提供饮水、营养早餐，品种丰富。</w:t>
      </w:r>
    </w:p>
    <w:p w14:paraId="58B7DCCA">
      <w:pPr>
        <w:numPr>
          <w:ilvl w:val="0"/>
          <w:numId w:val="2"/>
        </w:numPr>
        <w:tabs>
          <w:tab w:val="left" w:pos="540"/>
        </w:tabs>
        <w:adjustRightInd w:val="0"/>
        <w:snapToGrid w:val="0"/>
        <w:spacing w:before="62" w:beforeLines="20" w:after="62" w:afterLines="20" w:line="400" w:lineRule="atLeast"/>
        <w:ind w:left="425" w:leftChars="0" w:hanging="425" w:firstLineChars="0"/>
        <w:rPr>
          <w:rFonts w:hint="default"/>
          <w:b/>
          <w:bCs/>
          <w:color w:val="000000" w:themeColor="text1"/>
          <w:sz w:val="24"/>
          <w:highlight w:val="none"/>
          <w:lang w:val="en-US" w:eastAsia="zh-CN"/>
          <w14:textFill>
            <w14:solidFill>
              <w14:schemeClr w14:val="tx1"/>
            </w14:solidFill>
          </w14:textFill>
        </w:rPr>
      </w:pPr>
      <w:r>
        <w:rPr>
          <w:b/>
          <w:bCs/>
          <w:color w:val="000000" w:themeColor="text1"/>
          <w:sz w:val="24"/>
          <w:highlight w:val="none"/>
          <w14:textFill>
            <w14:solidFill>
              <w14:schemeClr w14:val="tx1"/>
            </w14:solidFill>
          </w14:textFill>
        </w:rPr>
        <w:t>补检规则：</w:t>
      </w:r>
      <w:r>
        <w:rPr>
          <w:rFonts w:hint="eastAsia"/>
          <w:b w:val="0"/>
          <w:bCs w:val="0"/>
          <w:color w:val="000000" w:themeColor="text1"/>
          <w:sz w:val="24"/>
          <w:highlight w:val="none"/>
          <w:lang w:val="en-US" w:eastAsia="zh-CN"/>
          <w14:textFill>
            <w14:solidFill>
              <w14:schemeClr w14:val="tx1"/>
            </w14:solidFill>
          </w14:textFill>
        </w:rPr>
        <w:t>采购人参检人员部分体检项目不能完成时，供应商负责另行安排体检日期：延期检查项目自体检登记日期起30天内。采购人参检人员未按约定日期到检，或超过有效期仍未到检则自动按弃检处理。</w:t>
      </w:r>
    </w:p>
    <w:p w14:paraId="4FF65224">
      <w:pPr>
        <w:numPr>
          <w:ilvl w:val="0"/>
          <w:numId w:val="2"/>
        </w:numPr>
        <w:tabs>
          <w:tab w:val="left" w:pos="540"/>
        </w:tabs>
        <w:adjustRightInd w:val="0"/>
        <w:snapToGrid w:val="0"/>
        <w:spacing w:before="62" w:beforeLines="20" w:after="62" w:afterLines="20" w:line="400" w:lineRule="atLeast"/>
        <w:ind w:left="425" w:leftChars="0" w:hanging="425" w:firstLineChars="0"/>
        <w:rPr>
          <w:rFonts w:hint="default"/>
          <w:b w:val="0"/>
          <w:bCs w:val="0"/>
          <w:color w:val="000000" w:themeColor="text1"/>
          <w:sz w:val="24"/>
          <w:highlight w:val="none"/>
          <w:lang w:val="en-US" w:eastAsia="zh-CN"/>
          <w14:textFill>
            <w14:solidFill>
              <w14:schemeClr w14:val="tx1"/>
            </w14:solidFill>
          </w14:textFill>
        </w:rPr>
      </w:pPr>
      <w:r>
        <w:rPr>
          <w:rFonts w:hint="default"/>
          <w:b/>
          <w:bCs/>
          <w:color w:val="000000" w:themeColor="text1"/>
          <w:sz w:val="24"/>
          <w:highlight w:val="none"/>
          <w:lang w:val="en-US" w:eastAsia="zh-CN"/>
          <w14:textFill>
            <w14:solidFill>
              <w14:schemeClr w14:val="tx1"/>
            </w14:solidFill>
          </w14:textFill>
        </w:rPr>
        <w:t>健康科普讲座服务：</w:t>
      </w:r>
      <w:r>
        <w:rPr>
          <w:rFonts w:hint="default"/>
          <w:b w:val="0"/>
          <w:bCs w:val="0"/>
          <w:color w:val="000000" w:themeColor="text1"/>
          <w:sz w:val="24"/>
          <w:highlight w:val="none"/>
          <w:lang w:val="en-US" w:eastAsia="zh-CN"/>
          <w14:textFill>
            <w14:solidFill>
              <w14:schemeClr w14:val="tx1"/>
            </w14:solidFill>
          </w14:textFill>
        </w:rPr>
        <w:t>体检全部结束、单位整体健康分析报告出具后，</w:t>
      </w:r>
      <w:r>
        <w:rPr>
          <w:rFonts w:hint="eastAsia"/>
          <w:b w:val="0"/>
          <w:bCs w:val="0"/>
          <w:color w:val="000000" w:themeColor="text1"/>
          <w:sz w:val="24"/>
          <w:highlight w:val="none"/>
          <w:lang w:val="en-US" w:eastAsia="zh-CN"/>
          <w14:textFill>
            <w14:solidFill>
              <w14:schemeClr w14:val="tx1"/>
            </w14:solidFill>
          </w14:textFill>
        </w:rPr>
        <w:t>供应商</w:t>
      </w:r>
      <w:r>
        <w:rPr>
          <w:rFonts w:hint="default"/>
          <w:b w:val="0"/>
          <w:bCs w:val="0"/>
          <w:color w:val="000000" w:themeColor="text1"/>
          <w:sz w:val="24"/>
          <w:highlight w:val="none"/>
          <w:lang w:val="en-US" w:eastAsia="zh-CN"/>
          <w14:textFill>
            <w14:solidFill>
              <w14:schemeClr w14:val="tx1"/>
            </w14:solidFill>
          </w14:textFill>
        </w:rPr>
        <w:t>免费为本单位组织1场本年度体检大数据相关健康专题线下讲座，结合当年参检人员高发异常、常见病、慢病防控开展授课。</w:t>
      </w:r>
      <w:r>
        <w:rPr>
          <w:rFonts w:hint="default"/>
          <w:b/>
          <w:bCs/>
          <w:color w:val="000000" w:themeColor="text1"/>
          <w:sz w:val="24"/>
          <w:highlight w:val="none"/>
          <w:lang w:val="en-US" w:eastAsia="zh-CN"/>
          <w14:textFill>
            <w14:solidFill>
              <w14:schemeClr w14:val="tx1"/>
            </w14:solidFill>
          </w14:textFill>
        </w:rPr>
        <w:t>授课专家为副高及以上职称医师。</w:t>
      </w:r>
    </w:p>
    <w:p w14:paraId="40379B9C">
      <w:pPr>
        <w:numPr>
          <w:ilvl w:val="0"/>
          <w:numId w:val="2"/>
        </w:numPr>
        <w:tabs>
          <w:tab w:val="left" w:pos="540"/>
        </w:tabs>
        <w:adjustRightInd w:val="0"/>
        <w:snapToGrid w:val="0"/>
        <w:spacing w:before="62" w:beforeLines="20" w:after="62" w:afterLines="20" w:line="400" w:lineRule="atLeast"/>
        <w:ind w:left="425" w:leftChars="0" w:hanging="425" w:firstLineChars="0"/>
        <w:rPr>
          <w:rFonts w:hint="default"/>
          <w:b/>
          <w:bCs/>
          <w:color w:val="000000" w:themeColor="text1"/>
          <w:sz w:val="24"/>
          <w:highlight w:val="none"/>
          <w:lang w:val="en-US" w:eastAsia="zh-CN"/>
          <w14:textFill>
            <w14:solidFill>
              <w14:schemeClr w14:val="tx1"/>
            </w14:solidFill>
          </w14:textFill>
        </w:rPr>
      </w:pPr>
      <w:r>
        <w:rPr>
          <w:rFonts w:hint="default"/>
          <w:b/>
          <w:bCs/>
          <w:color w:val="000000" w:themeColor="text1"/>
          <w:sz w:val="24"/>
          <w:highlight w:val="none"/>
          <w:lang w:val="en-US" w:eastAsia="zh-CN"/>
          <w14:textFill>
            <w14:solidFill>
              <w14:schemeClr w14:val="tx1"/>
            </w14:solidFill>
          </w14:textFill>
        </w:rPr>
        <w:t>禁止性要求：</w:t>
      </w:r>
      <w:r>
        <w:rPr>
          <w:rFonts w:hint="default"/>
          <w:b w:val="0"/>
          <w:bCs w:val="0"/>
          <w:color w:val="000000" w:themeColor="text1"/>
          <w:sz w:val="24"/>
          <w:highlight w:val="none"/>
          <w:lang w:val="en-US" w:eastAsia="zh-CN"/>
          <w14:textFill>
            <w14:solidFill>
              <w14:schemeClr w14:val="tx1"/>
            </w14:solidFill>
          </w14:textFill>
        </w:rPr>
        <w:t>体检过程不得推销任何产品、不得发布商业广告。</w:t>
      </w:r>
    </w:p>
    <w:p w14:paraId="3DF4785B">
      <w:pPr>
        <w:numPr>
          <w:ilvl w:val="0"/>
          <w:numId w:val="2"/>
        </w:numPr>
        <w:tabs>
          <w:tab w:val="left" w:pos="540"/>
        </w:tabs>
        <w:adjustRightInd w:val="0"/>
        <w:snapToGrid w:val="0"/>
        <w:spacing w:before="62" w:beforeLines="20" w:after="62" w:afterLines="20" w:line="400" w:lineRule="atLeast"/>
        <w:ind w:left="425" w:leftChars="0" w:hanging="425" w:firstLineChars="0"/>
        <w:rPr>
          <w:b w:val="0"/>
          <w:bCs w:val="0"/>
          <w:color w:val="000000" w:themeColor="text1"/>
          <w:sz w:val="24"/>
          <w:highlight w:val="none"/>
          <w14:textFill>
            <w14:solidFill>
              <w14:schemeClr w14:val="tx1"/>
            </w14:solidFill>
          </w14:textFill>
        </w:rPr>
      </w:pPr>
      <w:r>
        <w:rPr>
          <w:rFonts w:hint="default"/>
          <w:b/>
          <w:bCs/>
          <w:color w:val="000000" w:themeColor="text1"/>
          <w:sz w:val="24"/>
          <w:highlight w:val="none"/>
          <w:lang w:val="en-US" w:eastAsia="zh-CN"/>
          <w14:textFill>
            <w14:solidFill>
              <w14:schemeClr w14:val="tx1"/>
            </w14:solidFill>
          </w14:textFill>
        </w:rPr>
        <w:t>分包转包：</w:t>
      </w:r>
      <w:r>
        <w:rPr>
          <w:rFonts w:hint="default"/>
          <w:b w:val="0"/>
          <w:bCs w:val="0"/>
          <w:color w:val="000000" w:themeColor="text1"/>
          <w:sz w:val="24"/>
          <w:highlight w:val="none"/>
          <w:lang w:val="en-US" w:eastAsia="zh-CN"/>
          <w14:textFill>
            <w14:solidFill>
              <w14:schemeClr w14:val="tx1"/>
            </w14:solidFill>
          </w14:textFill>
        </w:rPr>
        <w:t>项目主体体检、核心检验服务禁止转包；非关键性配套服务如需外协须投标文件列明，</w:t>
      </w:r>
      <w:r>
        <w:rPr>
          <w:rFonts w:hint="eastAsia"/>
          <w:b w:val="0"/>
          <w:bCs w:val="0"/>
          <w:color w:val="000000" w:themeColor="text1"/>
          <w:sz w:val="24"/>
          <w:highlight w:val="none"/>
          <w:lang w:val="en-US" w:eastAsia="zh-CN"/>
          <w14:textFill>
            <w14:solidFill>
              <w14:schemeClr w14:val="tx1"/>
            </w14:solidFill>
          </w14:textFill>
        </w:rPr>
        <w:t>供应商</w:t>
      </w:r>
      <w:r>
        <w:rPr>
          <w:rFonts w:hint="default"/>
          <w:b w:val="0"/>
          <w:bCs w:val="0"/>
          <w:color w:val="000000" w:themeColor="text1"/>
          <w:sz w:val="24"/>
          <w:highlight w:val="none"/>
          <w:lang w:val="en-US" w:eastAsia="zh-CN"/>
          <w14:textFill>
            <w14:solidFill>
              <w14:schemeClr w14:val="tx1"/>
            </w14:solidFill>
          </w14:textFill>
        </w:rPr>
        <w:t>对外包结果负全部责任；本项目不接受联合体投标。</w:t>
      </w:r>
    </w:p>
    <w:p w14:paraId="35F73AB2">
      <w:pPr>
        <w:pStyle w:val="12"/>
        <w:tabs>
          <w:tab w:val="left" w:pos="0"/>
          <w:tab w:val="clear" w:pos="840"/>
        </w:tabs>
        <w:spacing w:before="120" w:after="120"/>
        <w:ind w:firstLine="0"/>
        <w:jc w:val="left"/>
        <w:rPr>
          <w:b/>
          <w:color w:val="000000" w:themeColor="text1"/>
          <w:sz w:val="24"/>
          <w:szCs w:val="24"/>
          <w:highlight w:val="none"/>
          <w14:textFill>
            <w14:solidFill>
              <w14:schemeClr w14:val="tx1"/>
            </w14:solidFill>
          </w14:textFill>
        </w:rPr>
      </w:pPr>
      <w:r>
        <w:rPr>
          <w:rFonts w:hint="eastAsia"/>
          <w:b/>
          <w:color w:val="000000" w:themeColor="text1"/>
          <w:sz w:val="24"/>
          <w:szCs w:val="24"/>
          <w:highlight w:val="none"/>
          <w:lang w:val="en-US" w:eastAsia="zh-CN"/>
          <w14:textFill>
            <w14:solidFill>
              <w14:schemeClr w14:val="tx1"/>
            </w14:solidFill>
          </w14:textFill>
        </w:rPr>
        <w:t>三、</w:t>
      </w:r>
      <w:r>
        <w:rPr>
          <w:rFonts w:hint="eastAsia"/>
          <w:b/>
          <w:color w:val="000000" w:themeColor="text1"/>
          <w:sz w:val="24"/>
          <w:szCs w:val="24"/>
          <w:highlight w:val="none"/>
          <w14:textFill>
            <w14:solidFill>
              <w14:schemeClr w14:val="tx1"/>
            </w14:solidFill>
          </w14:textFill>
        </w:rPr>
        <w:t>体检项目</w:t>
      </w:r>
    </w:p>
    <w:p w14:paraId="2506DBA1">
      <w:pPr>
        <w:tabs>
          <w:tab w:val="left" w:pos="540"/>
        </w:tabs>
        <w:adjustRightInd w:val="0"/>
        <w:snapToGrid w:val="0"/>
        <w:spacing w:line="420" w:lineRule="exact"/>
        <w:ind w:left="0" w:leftChars="0" w:firstLine="420" w:firstLineChars="175"/>
        <w:rPr>
          <w:rFonts w:hint="eastAsia" w:ascii="宋体" w:hAnsi="宋体" w:cs="Courier New"/>
          <w:color w:val="000000" w:themeColor="text1"/>
          <w:sz w:val="24"/>
          <w:highlight w:val="none"/>
          <w14:textFill>
            <w14:solidFill>
              <w14:schemeClr w14:val="tx1"/>
            </w14:solidFill>
          </w14:textFill>
        </w:rPr>
      </w:pPr>
      <w:r>
        <w:rPr>
          <w:rFonts w:hint="eastAsia" w:ascii="宋体" w:hAnsi="宋体" w:cs="Courier New"/>
          <w:color w:val="000000" w:themeColor="text1"/>
          <w:sz w:val="24"/>
          <w:highlight w:val="none"/>
          <w14:textFill>
            <w14:solidFill>
              <w14:schemeClr w14:val="tx1"/>
            </w14:solidFill>
          </w14:textFill>
        </w:rPr>
        <w:t>根据体检个体差异，体检项目分成六组不同类别，即：男40</w:t>
      </w:r>
      <w:r>
        <w:rPr>
          <w:rFonts w:hint="eastAsia" w:ascii="宋体" w:hAnsi="宋体" w:cs="Courier New"/>
          <w:color w:val="000000" w:themeColor="text1"/>
          <w:sz w:val="24"/>
          <w:highlight w:val="none"/>
          <w:lang w:val="en-US" w:eastAsia="zh-CN"/>
          <w14:textFill>
            <w14:solidFill>
              <w14:schemeClr w14:val="tx1"/>
            </w14:solidFill>
          </w14:textFill>
        </w:rPr>
        <w:t>周</w:t>
      </w:r>
      <w:r>
        <w:rPr>
          <w:rFonts w:hint="eastAsia" w:ascii="宋体" w:hAnsi="宋体" w:cs="Courier New"/>
          <w:color w:val="000000" w:themeColor="text1"/>
          <w:sz w:val="24"/>
          <w:highlight w:val="none"/>
          <w14:textFill>
            <w14:solidFill>
              <w14:schemeClr w14:val="tx1"/>
            </w14:solidFill>
          </w14:textFill>
        </w:rPr>
        <w:t>岁</w:t>
      </w:r>
      <w:r>
        <w:rPr>
          <w:rFonts w:hint="eastAsia" w:ascii="宋体" w:hAnsi="宋体" w:cs="Courier New"/>
          <w:color w:val="000000" w:themeColor="text1"/>
          <w:sz w:val="24"/>
          <w:highlight w:val="none"/>
          <w:lang w:eastAsia="zh-CN"/>
          <w14:textFill>
            <w14:solidFill>
              <w14:schemeClr w14:val="tx1"/>
            </w14:solidFill>
          </w14:textFill>
        </w:rPr>
        <w:t>（</w:t>
      </w:r>
      <w:r>
        <w:rPr>
          <w:rFonts w:hint="eastAsia" w:ascii="宋体" w:hAnsi="宋体" w:cs="Courier New"/>
          <w:color w:val="000000" w:themeColor="text1"/>
          <w:sz w:val="24"/>
          <w:highlight w:val="none"/>
          <w:lang w:val="en-US" w:eastAsia="zh-CN"/>
          <w14:textFill>
            <w14:solidFill>
              <w14:schemeClr w14:val="tx1"/>
            </w14:solidFill>
          </w14:textFill>
        </w:rPr>
        <w:t>含）</w:t>
      </w:r>
      <w:r>
        <w:rPr>
          <w:rFonts w:hint="eastAsia" w:ascii="宋体" w:hAnsi="宋体" w:cs="Courier New"/>
          <w:color w:val="000000" w:themeColor="text1"/>
          <w:sz w:val="24"/>
          <w:highlight w:val="none"/>
          <w14:textFill>
            <w14:solidFill>
              <w14:schemeClr w14:val="tx1"/>
            </w14:solidFill>
          </w14:textFill>
        </w:rPr>
        <w:t>以上283人、男40</w:t>
      </w:r>
      <w:r>
        <w:rPr>
          <w:rFonts w:hint="eastAsia" w:ascii="宋体" w:hAnsi="宋体" w:cs="Courier New"/>
          <w:color w:val="000000" w:themeColor="text1"/>
          <w:sz w:val="24"/>
          <w:highlight w:val="none"/>
          <w:lang w:val="en-US" w:eastAsia="zh-CN"/>
          <w14:textFill>
            <w14:solidFill>
              <w14:schemeClr w14:val="tx1"/>
            </w14:solidFill>
          </w14:textFill>
        </w:rPr>
        <w:t>周</w:t>
      </w:r>
      <w:r>
        <w:rPr>
          <w:rFonts w:hint="eastAsia" w:ascii="宋体" w:hAnsi="宋体" w:cs="Courier New"/>
          <w:color w:val="000000" w:themeColor="text1"/>
          <w:sz w:val="24"/>
          <w:highlight w:val="none"/>
          <w14:textFill>
            <w14:solidFill>
              <w14:schemeClr w14:val="tx1"/>
            </w14:solidFill>
          </w14:textFill>
        </w:rPr>
        <w:t>岁以下230人、女已婚40</w:t>
      </w:r>
      <w:r>
        <w:rPr>
          <w:rFonts w:hint="eastAsia" w:ascii="宋体" w:hAnsi="宋体" w:cs="Courier New"/>
          <w:color w:val="000000" w:themeColor="text1"/>
          <w:sz w:val="24"/>
          <w:highlight w:val="none"/>
          <w:lang w:val="en-US" w:eastAsia="zh-CN"/>
          <w14:textFill>
            <w14:solidFill>
              <w14:schemeClr w14:val="tx1"/>
            </w14:solidFill>
          </w14:textFill>
        </w:rPr>
        <w:t>周</w:t>
      </w:r>
      <w:r>
        <w:rPr>
          <w:rFonts w:hint="eastAsia" w:ascii="宋体" w:hAnsi="宋体" w:cs="Courier New"/>
          <w:color w:val="000000" w:themeColor="text1"/>
          <w:sz w:val="24"/>
          <w:highlight w:val="none"/>
          <w14:textFill>
            <w14:solidFill>
              <w14:schemeClr w14:val="tx1"/>
            </w14:solidFill>
          </w14:textFill>
        </w:rPr>
        <w:t>岁</w:t>
      </w:r>
      <w:r>
        <w:rPr>
          <w:rFonts w:hint="eastAsia" w:ascii="宋体" w:hAnsi="宋体" w:cs="Courier New"/>
          <w:color w:val="000000" w:themeColor="text1"/>
          <w:sz w:val="24"/>
          <w:highlight w:val="none"/>
          <w:lang w:eastAsia="zh-CN"/>
          <w14:textFill>
            <w14:solidFill>
              <w14:schemeClr w14:val="tx1"/>
            </w14:solidFill>
          </w14:textFill>
        </w:rPr>
        <w:t>（</w:t>
      </w:r>
      <w:r>
        <w:rPr>
          <w:rFonts w:hint="eastAsia" w:ascii="宋体" w:hAnsi="宋体" w:cs="Courier New"/>
          <w:color w:val="000000" w:themeColor="text1"/>
          <w:sz w:val="24"/>
          <w:highlight w:val="none"/>
          <w:lang w:val="en-US" w:eastAsia="zh-CN"/>
          <w14:textFill>
            <w14:solidFill>
              <w14:schemeClr w14:val="tx1"/>
            </w14:solidFill>
          </w14:textFill>
        </w:rPr>
        <w:t>含）</w:t>
      </w:r>
      <w:r>
        <w:rPr>
          <w:rFonts w:hint="eastAsia" w:ascii="宋体" w:hAnsi="宋体" w:cs="Courier New"/>
          <w:color w:val="000000" w:themeColor="text1"/>
          <w:sz w:val="24"/>
          <w:highlight w:val="none"/>
          <w14:textFill>
            <w14:solidFill>
              <w14:schemeClr w14:val="tx1"/>
            </w14:solidFill>
          </w14:textFill>
        </w:rPr>
        <w:t>以上</w:t>
      </w:r>
      <w:r>
        <w:rPr>
          <w:rFonts w:hint="eastAsia" w:ascii="宋体" w:hAnsi="宋体" w:cs="Courier New"/>
          <w:color w:val="000000" w:themeColor="text1"/>
          <w:sz w:val="24"/>
          <w:highlight w:val="none"/>
          <w:lang w:val="en-US" w:eastAsia="zh-CN"/>
          <w14:textFill>
            <w14:solidFill>
              <w14:schemeClr w14:val="tx1"/>
            </w14:solidFill>
          </w14:textFill>
        </w:rPr>
        <w:t>193人</w:t>
      </w:r>
      <w:r>
        <w:rPr>
          <w:rFonts w:hint="eastAsia" w:ascii="宋体" w:hAnsi="宋体" w:cs="Courier New"/>
          <w:color w:val="000000" w:themeColor="text1"/>
          <w:sz w:val="24"/>
          <w:highlight w:val="none"/>
          <w14:textFill>
            <w14:solidFill>
              <w14:schemeClr w14:val="tx1"/>
            </w14:solidFill>
          </w14:textFill>
        </w:rPr>
        <w:t>、女已婚40</w:t>
      </w:r>
      <w:r>
        <w:rPr>
          <w:rFonts w:hint="eastAsia" w:ascii="宋体" w:hAnsi="宋体" w:cs="Courier New"/>
          <w:color w:val="000000" w:themeColor="text1"/>
          <w:sz w:val="24"/>
          <w:highlight w:val="none"/>
          <w:lang w:val="en-US" w:eastAsia="zh-CN"/>
          <w14:textFill>
            <w14:solidFill>
              <w14:schemeClr w14:val="tx1"/>
            </w14:solidFill>
          </w14:textFill>
        </w:rPr>
        <w:t>周</w:t>
      </w:r>
      <w:r>
        <w:rPr>
          <w:rFonts w:hint="eastAsia" w:ascii="宋体" w:hAnsi="宋体" w:cs="Courier New"/>
          <w:color w:val="000000" w:themeColor="text1"/>
          <w:sz w:val="24"/>
          <w:highlight w:val="none"/>
          <w14:textFill>
            <w14:solidFill>
              <w14:schemeClr w14:val="tx1"/>
            </w14:solidFill>
          </w14:textFill>
        </w:rPr>
        <w:t>岁以下135人、女未婚40</w:t>
      </w:r>
      <w:r>
        <w:rPr>
          <w:rFonts w:hint="eastAsia" w:ascii="宋体" w:hAnsi="宋体" w:cs="Courier New"/>
          <w:color w:val="000000" w:themeColor="text1"/>
          <w:sz w:val="24"/>
          <w:highlight w:val="none"/>
          <w:lang w:val="en-US" w:eastAsia="zh-CN"/>
          <w14:textFill>
            <w14:solidFill>
              <w14:schemeClr w14:val="tx1"/>
            </w14:solidFill>
          </w14:textFill>
        </w:rPr>
        <w:t>周岁（含）</w:t>
      </w:r>
      <w:r>
        <w:rPr>
          <w:rFonts w:hint="eastAsia" w:ascii="宋体" w:hAnsi="宋体" w:cs="Courier New"/>
          <w:color w:val="000000" w:themeColor="text1"/>
          <w:sz w:val="24"/>
          <w:highlight w:val="none"/>
          <w14:textFill>
            <w14:solidFill>
              <w14:schemeClr w14:val="tx1"/>
            </w14:solidFill>
          </w14:textFill>
        </w:rPr>
        <w:t>以上6人、女未婚40</w:t>
      </w:r>
      <w:r>
        <w:rPr>
          <w:rFonts w:hint="eastAsia" w:ascii="宋体" w:hAnsi="宋体" w:cs="Courier New"/>
          <w:color w:val="000000" w:themeColor="text1"/>
          <w:sz w:val="24"/>
          <w:highlight w:val="none"/>
          <w:lang w:val="en-US" w:eastAsia="zh-CN"/>
          <w14:textFill>
            <w14:solidFill>
              <w14:schemeClr w14:val="tx1"/>
            </w14:solidFill>
          </w14:textFill>
        </w:rPr>
        <w:t>周</w:t>
      </w:r>
      <w:r>
        <w:rPr>
          <w:rFonts w:hint="eastAsia" w:ascii="宋体" w:hAnsi="宋体" w:cs="Courier New"/>
          <w:color w:val="000000" w:themeColor="text1"/>
          <w:sz w:val="24"/>
          <w:highlight w:val="none"/>
          <w14:textFill>
            <w14:solidFill>
              <w14:schemeClr w14:val="tx1"/>
            </w14:solidFill>
          </w14:textFill>
        </w:rPr>
        <w:t>岁以下63人。</w:t>
      </w:r>
    </w:p>
    <w:tbl>
      <w:tblPr>
        <w:tblStyle w:val="7"/>
        <w:tblW w:w="93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5"/>
        <w:gridCol w:w="1716"/>
        <w:gridCol w:w="2476"/>
        <w:gridCol w:w="782"/>
        <w:gridCol w:w="782"/>
        <w:gridCol w:w="782"/>
        <w:gridCol w:w="782"/>
        <w:gridCol w:w="782"/>
        <w:gridCol w:w="783"/>
      </w:tblGrid>
      <w:tr w14:paraId="0B9DC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445" w:type="dxa"/>
            <w:tcBorders>
              <w:top w:val="single" w:color="000000" w:sz="12" w:space="0"/>
              <w:left w:val="single" w:color="000000" w:sz="12" w:space="0"/>
              <w:bottom w:val="nil"/>
              <w:right w:val="nil"/>
            </w:tcBorders>
            <w:shd w:val="clear" w:color="auto" w:fill="auto"/>
            <w:tcMar>
              <w:top w:w="-1" w:type="dxa"/>
              <w:left w:w="-1" w:type="dxa"/>
              <w:bottom w:w="-1" w:type="dxa"/>
              <w:right w:w="-1" w:type="dxa"/>
            </w:tcMar>
            <w:vAlign w:val="center"/>
          </w:tcPr>
          <w:p w14:paraId="5096F53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716" w:type="dxa"/>
            <w:tcBorders>
              <w:top w:val="single" w:color="000000" w:sz="12" w:space="0"/>
              <w:left w:val="single" w:color="000000" w:sz="4" w:space="0"/>
              <w:bottom w:val="nil"/>
              <w:right w:val="nil"/>
            </w:tcBorders>
            <w:shd w:val="clear" w:color="auto" w:fill="auto"/>
            <w:tcMar>
              <w:top w:w="-1" w:type="dxa"/>
              <w:left w:w="-1" w:type="dxa"/>
              <w:bottom w:w="-1" w:type="dxa"/>
              <w:right w:w="-1" w:type="dxa"/>
            </w:tcMar>
            <w:vAlign w:val="center"/>
          </w:tcPr>
          <w:p w14:paraId="694873C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体检项目</w:t>
            </w:r>
          </w:p>
        </w:tc>
        <w:tc>
          <w:tcPr>
            <w:tcW w:w="2476" w:type="dxa"/>
            <w:tcBorders>
              <w:top w:val="single" w:color="000000" w:sz="12" w:space="0"/>
              <w:left w:val="single" w:color="000000" w:sz="4" w:space="0"/>
              <w:bottom w:val="nil"/>
              <w:right w:val="nil"/>
            </w:tcBorders>
            <w:shd w:val="clear" w:color="auto" w:fill="auto"/>
            <w:tcMar>
              <w:top w:w="-1" w:type="dxa"/>
              <w:left w:w="-1" w:type="dxa"/>
              <w:bottom w:w="-1" w:type="dxa"/>
              <w:right w:w="-1" w:type="dxa"/>
            </w:tcMar>
            <w:vAlign w:val="center"/>
          </w:tcPr>
          <w:p w14:paraId="46C6DC3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临床意义</w:t>
            </w:r>
          </w:p>
        </w:tc>
        <w:tc>
          <w:tcPr>
            <w:tcW w:w="782" w:type="dxa"/>
            <w:tcBorders>
              <w:top w:val="single" w:color="000000" w:sz="12" w:space="0"/>
              <w:left w:val="single" w:color="000000" w:sz="4" w:space="0"/>
              <w:bottom w:val="nil"/>
              <w:right w:val="nil"/>
            </w:tcBorders>
            <w:shd w:val="clear" w:color="auto" w:fill="auto"/>
            <w:tcMar>
              <w:top w:w="-1" w:type="dxa"/>
              <w:left w:w="-1" w:type="dxa"/>
              <w:bottom w:w="-1" w:type="dxa"/>
              <w:right w:w="-1" w:type="dxa"/>
            </w:tcMar>
            <w:vAlign w:val="center"/>
          </w:tcPr>
          <w:p w14:paraId="1308A66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男40周岁</w:t>
            </w:r>
          </w:p>
          <w:p w14:paraId="1FB6D93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(含）以上</w:t>
            </w:r>
          </w:p>
        </w:tc>
        <w:tc>
          <w:tcPr>
            <w:tcW w:w="782" w:type="dxa"/>
            <w:tcBorders>
              <w:top w:val="single" w:color="000000" w:sz="12" w:space="0"/>
              <w:left w:val="single" w:color="000000" w:sz="4" w:space="0"/>
              <w:bottom w:val="nil"/>
              <w:right w:val="nil"/>
            </w:tcBorders>
            <w:shd w:val="clear" w:color="auto" w:fill="auto"/>
            <w:tcMar>
              <w:top w:w="-1" w:type="dxa"/>
              <w:left w:w="-1" w:type="dxa"/>
              <w:bottom w:w="-1" w:type="dxa"/>
              <w:right w:w="-1" w:type="dxa"/>
            </w:tcMar>
            <w:vAlign w:val="center"/>
          </w:tcPr>
          <w:p w14:paraId="03BF786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男40周岁以下</w:t>
            </w:r>
          </w:p>
        </w:tc>
        <w:tc>
          <w:tcPr>
            <w:tcW w:w="782" w:type="dxa"/>
            <w:tcBorders>
              <w:top w:val="single" w:color="000000" w:sz="12" w:space="0"/>
              <w:left w:val="single" w:color="000000" w:sz="4" w:space="0"/>
              <w:bottom w:val="nil"/>
              <w:right w:val="nil"/>
            </w:tcBorders>
            <w:shd w:val="clear" w:color="auto" w:fill="auto"/>
            <w:tcMar>
              <w:top w:w="-1" w:type="dxa"/>
              <w:left w:w="-1" w:type="dxa"/>
              <w:bottom w:w="-1" w:type="dxa"/>
              <w:right w:w="-1" w:type="dxa"/>
            </w:tcMar>
            <w:vAlign w:val="center"/>
          </w:tcPr>
          <w:p w14:paraId="0F4C94D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女已婚40周岁</w:t>
            </w:r>
          </w:p>
          <w:p w14:paraId="06EBFA1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（含）以上</w:t>
            </w:r>
          </w:p>
        </w:tc>
        <w:tc>
          <w:tcPr>
            <w:tcW w:w="782" w:type="dxa"/>
            <w:tcBorders>
              <w:top w:val="single" w:color="000000" w:sz="12" w:space="0"/>
              <w:left w:val="single" w:color="000000" w:sz="4" w:space="0"/>
              <w:bottom w:val="nil"/>
              <w:right w:val="nil"/>
            </w:tcBorders>
            <w:shd w:val="clear" w:color="auto" w:fill="auto"/>
            <w:tcMar>
              <w:top w:w="-1" w:type="dxa"/>
              <w:left w:w="-1" w:type="dxa"/>
              <w:bottom w:w="-1" w:type="dxa"/>
              <w:right w:w="-1" w:type="dxa"/>
            </w:tcMar>
            <w:vAlign w:val="center"/>
          </w:tcPr>
          <w:p w14:paraId="57F55DB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女未婚40周岁</w:t>
            </w:r>
          </w:p>
          <w:p w14:paraId="2EBD3FF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（含）以上</w:t>
            </w:r>
          </w:p>
        </w:tc>
        <w:tc>
          <w:tcPr>
            <w:tcW w:w="782" w:type="dxa"/>
            <w:tcBorders>
              <w:top w:val="single" w:color="000000" w:sz="12" w:space="0"/>
              <w:left w:val="single" w:color="000000" w:sz="4" w:space="0"/>
              <w:bottom w:val="nil"/>
              <w:right w:val="nil"/>
            </w:tcBorders>
            <w:shd w:val="clear" w:color="auto" w:fill="auto"/>
            <w:tcMar>
              <w:top w:w="-1" w:type="dxa"/>
              <w:left w:w="-1" w:type="dxa"/>
              <w:bottom w:w="-1" w:type="dxa"/>
              <w:right w:w="-1" w:type="dxa"/>
            </w:tcMar>
            <w:vAlign w:val="center"/>
          </w:tcPr>
          <w:p w14:paraId="00ED7EC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女已婚40周岁以下</w:t>
            </w:r>
          </w:p>
        </w:tc>
        <w:tc>
          <w:tcPr>
            <w:tcW w:w="783" w:type="dxa"/>
            <w:tcBorders>
              <w:top w:val="single" w:color="000000" w:sz="12"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6860B11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女未婚40周岁以下</w:t>
            </w:r>
          </w:p>
        </w:tc>
      </w:tr>
      <w:tr w14:paraId="59CFB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3CD69C2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77E2FA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内科</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9A094B8">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筛查病史、物理诊断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（内科既往史、心律、心音、肺部呼吸音、肝脏触诊、脾触诊、神经系统、肾区叩诊、腹部触诊、腹部器官、呼吸器官、其他）</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5EFFC43">
            <w:pPr>
              <w:keepNext/>
              <w:keepLines w:val="0"/>
              <w:widowControl/>
              <w:suppressLineNumbers w:val="0"/>
              <w:snapToGrid w:val="0"/>
              <w:ind w:left="0" w:leftChars="0" w:right="0" w:rightChars="0" w:firstLine="0" w:firstLineChars="0"/>
              <w:jc w:val="left"/>
              <w:textAlignment w:val="center"/>
              <w:rPr>
                <w:rFonts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799865A">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76F7B21">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10CCB91">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8F45E2F">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7DCCAC22">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4A4D7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43934B5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0413E7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身高体重</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9BF9A86">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主要了解人体的血压及体重情况，是否有高血压、体重超标及体重偏低等</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C819E01">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204BE73">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927C950">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441C4DE">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4ED0449">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2677AD3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0875E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0E1FE9A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41C2A0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血压</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C438CFD">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主要了解人体的血压及体重情况，是否有高血压、体重超标及体重偏低等</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976CB6A">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6FFEF88">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20DD0FE">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FA444E5">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C815F2F">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7CC8F0D4">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27BAE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7ED9628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2CB5FF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外科</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5E004EB">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筛查病史、物理诊断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（外科既往史、甲状腺、浅表淋巴结、乳腺、疝）</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0889A68">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34DCBC7">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201FF79">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40011CC">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38A2214">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3E5F3ED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31838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3A07D0D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C1E5C1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眼压</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97C4187">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初步筛查青光眼及高眼压症</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9AFFE89">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B6E885A">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48953B9">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16FFB93">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3056E47">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28FC97A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54AED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36630CD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E436E0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视力</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63DAFE7">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视力检查，用于筛查助屈光不正或全身病致视力降等</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165AD82">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2EBBC9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2968780">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B1B0D56">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793CE9A">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05D89209">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1F927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58301A9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A727A3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眼科</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925856A">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筛查病史、物理诊断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（既往史、外眼检查、眼底、裂隙灯）</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4F3398D">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EB81179">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453451A">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CB3EBE0">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3374267">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2D9E0C54">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42427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09A8649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62116C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辨色力</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2FB4159">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测评色觉</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FD34802">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EBAD6D9">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8E432DB">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99AB947">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BE512F8">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21D3BB77">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12911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1BAA49F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581798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免散瞳眼底检查</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C3C5B85">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筛查眼底病变</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A481C94">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C3D51D2">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103B61A">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9928C83">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DA44487">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0F8405DE">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0A523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374F7FC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C90AC9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妇科检查</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7D8BFC9">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筛查病史、物理诊断</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（月经史、常规问题、既往史、外生殖器、阴道、子宫颈、子宫、附件）</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FC67357">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6C0EE83">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7431454">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7168A09">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A4D1D3B">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1A1C81C6">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56DC5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603F19B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20B201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电脑多导联心电图</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578FCF7">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描记心脏电活动，反映有无心律失常、心肌缺血等</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96C9669">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2B5A51F">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3E757FF">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A781845">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68595EF">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58D262BB">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36016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5BAB786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1CCA8C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13-C尿素呼气试验</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88E7F78">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胃幽门螺杆菌检测</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57C6942">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6D0757A">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839963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44DCA28">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44D8B77">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715AEB12">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19134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6716556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B3D014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超声骨密度检查</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D3693B4">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初步筛查骨质疏松的筛查指标之一</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B0A3C95">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6661353">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62E5369">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DC055B3">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A435868">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021C285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7650C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47F5A77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405F95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人体成分分析</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2E2DD69">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测量身体骨骼肌、体脂百分比、细胞外水分比率、上下肢肌肉量等</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E10E0F5">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0902C03">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9770640">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CD09E15">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F014C7E">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2C6451EF">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6CCA9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1DF3E52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6DF605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超声心动图</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1F75BE5">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了解心脏结构及功能</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42900EF">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E1A93B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2D3D26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9FD1067">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EDFB050">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2D691A2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5BFF0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4A54B81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1FC325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肝胆胰脾彩超</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172D001">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检查肝胆胰脾各脏器的形态和结构等</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DCE1488">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C85F55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0813F69">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2037690">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E2EFA35">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278B8F60">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4E107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15842D3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2867A6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甲状腺彩超</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D27D7FF">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无创性筛查甲状腺疾病</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E938F99">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531CE14">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0E8075C">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445AA0F">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3B4C1EF">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0E7F056F">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3DDD0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14A8830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2EC674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乳腺彩超</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239011C">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无创性筛查乳腺结节、乳腺癌等疾病</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8439334">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D148671">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7CEE812">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A57AEE0">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7A7066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152C59EB">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7F5FA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0D3ED0E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F3C79E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颈动脉彩超</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095762D">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检查颈动脉情况，了解颈动脉有无动脉粥样硬化斑块及狭窄，早期反映心脑血管疾病风险</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A66D1F6">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39E3704">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394104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47F243F">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D7D29D4">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49CDD574">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36702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4010A11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4DBE0A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泌尿系统彩超</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5C60A0F">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筛查双肾、双侧输尿管、前列腺（男士）有无病变</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6E96C2E">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BF8E67B">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2E6C7FF">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41A0386">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677E3AC">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7A9EC57F">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02D82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4D9A98E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C06E24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阴道彩超</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1B7296A">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筛查女性生殖器官的占位性病变（已婚女性）</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5B76568">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F7CD4BA">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7E49005">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A5D8A40">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785AF58">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49AFAB84">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673BA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0A69636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ADC95A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经腹部妇科彩超</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4EB51E9">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(需憋尿)</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B8CAD73">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B83A015">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7F3AAC2">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1D3A46B">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93BA8F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2804B1A2">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77D81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3A209F8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B13459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胸部低剂量CT【无片】</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E6DF899">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筛查胸部病变的重要手段</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370567F">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DDEF566">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B85B270">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447968E">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36A8501">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2555C789">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7D498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7BC6105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D32F5B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耳鼻喉科</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81356B2">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普通检查观察耳廓、外耳道、鼓膜，听力；鼻外形、鼻中隔、下鼻甲、中鼻道、鼻咽部、扁桃体、咽部、喉部的情况。</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7E38F74">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0F72007">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A2D5C90">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C92AC6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5BB25F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00D27BE2">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72915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54B940B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A135C9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下肢联合速度力量测评</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4A716BB">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量化评估跳跃动作高度绝对值，作为评估下肢诸肌群爆发力水平的客观指标，并作为指导主动运动干预均衡提高健康水平与身体活动能力的客观依据。</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A82BC7E">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EF9F41C">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C50EDD4">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17A598E">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00E5F19">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288FBC66">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2534D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0FF1EBE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7552D3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上肢力量前臂手部发展水平测评</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797ACF3">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量化评估上肢远端握力肌力绝对值为代表，作为评估上肢力量素质发展水平的客观指标，并作为指导主动运动干预均衡提高健康水平与身体活动能力的客观依据。</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A077A86">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F75CC93">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2482BD8">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2218C02">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5870BF0">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2A392FE2">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2A28A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05C6325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C82C7D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身体背侧肌群整体力量素质</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CF181A3">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量化评估身体背侧肌力绝对值为代表，作为评估身体背侧力量素质发展水平的客观指标，并作为指导主动运动干预均衡提高健康水平与身体活动能力的客观依据。</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C26BEF9">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21F2CFA">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9DC6776">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4CA1DB7">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3C8B06E">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517FF471">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58110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0780A3A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1B3D6A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一体化心肺代谢测评</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3724970">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评估心肺功能，无创测定心肺功能最敏感和可靠的指标之一，减少因运动不当造成心肺损害。</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9CFBF1B">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A13586E">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7F4E048">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D80F46B">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B62AAAA">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1E885170">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0712D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5EB5154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C67E27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尿常规</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4E99D4D">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反映有无血尿、蛋白尿、泌尿系统感染等</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4D11D04">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1DCCAE1">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4AD0676">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5E4C830">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5B3B22E">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7E3FD46A">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1A462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320CF11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85FD0C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肾功</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D25B990">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检测尿素、肌酐、尿酸、钙、磷、估算的肾小球滤过率、血清胱抑素C，反映有无肾功能损害</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8FAD366">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9F5036E">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4184CB6">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8688CEC">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335BA43">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15FED1E0">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7E549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5855CB2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33BB48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血糖</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DCA2D47">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检测空腹血糖水平，筛查有无糖尿病</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516CCD4">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D0E2CB9">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83ABF63">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F8BF38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797BD2E">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4C984EA1">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6FAFA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6C4256F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7B5446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心肌酶</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2E76A0B">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检测肌酸激酶、肌酸激酶-MB、乳酸脱氢酶、α-羟丁酸脱氢酶，反映有无功能损害</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244A6DA">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B557194">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5EDCB6E">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9FF45B1">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59FEE50">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7B03662E">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4F5B5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68900A6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7F9D67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甲胎蛋白(AFP)</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778D90E">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用于筛查肝脏恶性肿瘤的重要指标之一</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A633701">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EC43D45">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68D9DC9">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F2E24F1">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27A5AB1">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7ABB1C19">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1D773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293375B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622595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碱性磷酸酶</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D6C9966">
            <w:pPr>
              <w:keepNext/>
              <w:snapToGrid w:val="0"/>
              <w:ind w:left="0" w:leftChars="0" w:right="0" w:rightChars="0" w:firstLine="0" w:firstLineChars="0"/>
              <w:jc w:val="left"/>
              <w:rPr>
                <w:rFonts w:hint="eastAsia" w:ascii="宋体" w:hAnsi="宋体" w:eastAsia="宋体" w:cs="宋体"/>
                <w:i w:val="0"/>
                <w:iCs w:val="0"/>
                <w:color w:val="000000"/>
                <w:sz w:val="21"/>
                <w:szCs w:val="21"/>
                <w:u w:val="none"/>
              </w:rPr>
            </w:pP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8346456">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0A27EDC">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94ADB39">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8CCB78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E8C9DE1">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37A087D6">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10C88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0A3BB6B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7A598E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胃蛋白酶原I、II</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7504DFA">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胃病早期筛查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（人胃蛋白酶原I、人胃蛋白酶原II、人胃蛋白酶原I/II比值）</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59833CF">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EA50E0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B4C1812">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679A561">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5A2B607">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6DD11D4F">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7C339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0FD12AE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D2ABF7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25羟维生素D</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49043BB">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检测维生素D水平</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56690D9">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5622D6B">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4978905">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B76AF33">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9FC6044">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57C0FE69">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626E1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6331016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7679CD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癌胚抗原(CEA)</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F293A9A">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用于筛查恶性肿瘤的标志物</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31E3D97">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CC0687A">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6AD0C4E">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E09EC11">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AC12147">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0275E681">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3AB45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5751D37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30A0A7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癌抗原125</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9422AA6">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用于筛查消化道肿瘤和妇科肿瘤的肿瘤标志物</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CD1BAA8">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CF09EF2">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93A6910">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C22C438">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F2F6AC6">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127AF38B">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3EC1C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6BDC08E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D91985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癌抗原153</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FD90C17">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主要见于乳腺癌、也可见于卵巢癌、结肠癌、支气管癌、肺癌、胰腺癌、子宫颈癌、子宫内膜癌、原发性肝癌等</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B717385">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802CDA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68ADC87">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3D190F2">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1FFE742">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60C00406">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48038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79B13CD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E676C1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糖链抗原19-9</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E42B5A3">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用于筛查消化道肿瘤的肿瘤标志物</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8E63BAA">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E3955B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FA299D0">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5DE4509">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039A84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7CE796E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04E38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764ACF7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D95056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血常规</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FB5F6CC">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检测红细胞、白细胞、血小板等血细胞数量，反映外周血液系统有无改变</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39A5F3C">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B9A77CF">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818416E">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06877B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173F0AE">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279B7C1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5B41C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4B52758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5EA494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糖化血红蛋白</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9517734">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反映近2-3个月血糖控制情况，用于糖尿病早期筛查</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9EA3E92">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D694B28">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929D5D4">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59A9B21">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B69203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3DD8D1D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23148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319DCA6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9F2D79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胃泌素-17检测</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1F02A9C">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胃病早期筛查</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070C8C0">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1F8702B">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7F3DE02">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AD8FB75">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F6F9C69">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370CB906">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0EC0E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761C3C5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B3F243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血脂</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2C399E9">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检测总胆固醇、甘油三酯、低密度脂蛋白胆固醇、高密度脂蛋白胆固醇，反映血脂水平</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532A82B">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395BBEF">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139DECE">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A6A81EA">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618E13C">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48C16BE1">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2C431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30D3C82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F22E44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同型半胱氨酸</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4B2F4E6">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反映心血管疾病的风险</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F0AF927">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021AB1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9882336">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4C6E601">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0D023F0">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585F3DA9">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3F540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202FABC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605607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甲状腺功能五项</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3A42714">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检测促甲状腺素、游离甲状腺素、游离三碘甲状腺原氨酸、总甲状腺素、总三碘甲状腺原氨酸，反映有无甲亢或甲减现象</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D7996B9">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8BD94D6">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DE9F837">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B740F24">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B8254B4">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59C0DCAA">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3EB38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0E67AD8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EA8BD4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肝功</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AD70C81">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检测天冬氨酸氨基转移酶、丙氨酸氨基转移酶、总胆红素、直接胆红素、总蛋白、白蛋白、球蛋白，反应有无肝损害</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B65D384">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53C16BA">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151B78C">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0D7161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8328AEB">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71FD1265">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23FDC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58FCBAA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8188E0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超敏C反应蛋白</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61A8B28">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反映炎症反应情况，对心血管疾病有预测价值</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C6D0133">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EBFEE57">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4445D2C">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04A7913">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C9C2856">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5937FF9F">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75FE9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3614C36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FA1EF3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总前列腺特异性抗原(T-PSA)</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48B8F32">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用于筛查前列腺增生、前列腺癌的重要指标之一</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DC3FCF4">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890FEA0">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9C77EC1">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BA3FFA6">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05D2019">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3F8B4CDA">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41735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70492E4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C491AE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游离前列腺特异抗原(F-PSA)</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EBD9D1B">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用于筛查前列腺增生、前列腺癌的重要指标之一</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D25A72E">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C10A1CB">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4984287">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A8F3EC4">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0B154C3">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54181D7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6412F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191BABC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A941D6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异常凝血酶原(PIVKA-II)测定</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0F3EF9B">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是一种较新的特异性较强的肝细胞癌诊断标志物。</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528E2DE">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BE53038">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86D18C5">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1EDA9A7E">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50C99B55">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40783BFE">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67DD1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67DAD02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D0EC27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HPV</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CC25245">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人乳头瘤病毒检测，用于宫颈癌的筛查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（HPV16、HPV18、其他12种）</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3B74CC0A">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350371B">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FABA988">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36F5104">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0AD912D0">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021FF088">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38AFD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nil"/>
              <w:right w:val="nil"/>
            </w:tcBorders>
            <w:shd w:val="clear" w:color="auto" w:fill="auto"/>
            <w:tcMar>
              <w:top w:w="-1" w:type="dxa"/>
              <w:left w:w="-1" w:type="dxa"/>
              <w:bottom w:w="-1" w:type="dxa"/>
              <w:right w:w="-1" w:type="dxa"/>
            </w:tcMar>
            <w:vAlign w:val="center"/>
          </w:tcPr>
          <w:p w14:paraId="2896B19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171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1577B9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妇科TCT</w:t>
            </w:r>
          </w:p>
        </w:tc>
        <w:tc>
          <w:tcPr>
            <w:tcW w:w="2476"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467BCC3">
            <w:pPr>
              <w:keepNext/>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宫颈超薄细胞学检查，宫颈癌的筛查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(标本满意度、颈管细胞、化生细胞、滴虫感染、念珠菌感染、疱疹感染提示、HPV 感染提示、抹片分析、补充意见）</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8367372">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7E94154E">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49F0A3F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2A960C69">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nil"/>
              <w:right w:val="nil"/>
            </w:tcBorders>
            <w:shd w:val="clear" w:color="auto" w:fill="auto"/>
            <w:tcMar>
              <w:top w:w="-1" w:type="dxa"/>
              <w:left w:w="-1" w:type="dxa"/>
              <w:bottom w:w="-1" w:type="dxa"/>
              <w:right w:w="-1" w:type="dxa"/>
            </w:tcMar>
            <w:vAlign w:val="center"/>
          </w:tcPr>
          <w:p w14:paraId="696D1A0B">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nil"/>
              <w:right w:val="single" w:color="000000" w:sz="12" w:space="0"/>
            </w:tcBorders>
            <w:shd w:val="clear" w:color="auto" w:fill="auto"/>
            <w:tcMar>
              <w:top w:w="-1" w:type="dxa"/>
              <w:left w:w="-1" w:type="dxa"/>
              <w:bottom w:w="-1" w:type="dxa"/>
              <w:right w:w="-1" w:type="dxa"/>
            </w:tcMar>
            <w:vAlign w:val="center"/>
          </w:tcPr>
          <w:p w14:paraId="3375886A">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r w14:paraId="09151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5" w:type="dxa"/>
            <w:tcBorders>
              <w:top w:val="single" w:color="000000" w:sz="4" w:space="0"/>
              <w:left w:val="single" w:color="000000" w:sz="12" w:space="0"/>
              <w:bottom w:val="single" w:color="000000" w:sz="12" w:space="0"/>
              <w:right w:val="nil"/>
            </w:tcBorders>
            <w:shd w:val="clear" w:color="auto" w:fill="auto"/>
            <w:tcMar>
              <w:top w:w="-1" w:type="dxa"/>
              <w:left w:w="-1" w:type="dxa"/>
              <w:bottom w:w="-1" w:type="dxa"/>
              <w:right w:w="-1" w:type="dxa"/>
            </w:tcMar>
            <w:vAlign w:val="center"/>
          </w:tcPr>
          <w:p w14:paraId="728909E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1716" w:type="dxa"/>
            <w:tcBorders>
              <w:top w:val="single" w:color="000000" w:sz="4" w:space="0"/>
              <w:left w:val="single" w:color="000000" w:sz="4" w:space="0"/>
              <w:bottom w:val="single" w:color="000000" w:sz="12" w:space="0"/>
              <w:right w:val="nil"/>
            </w:tcBorders>
            <w:shd w:val="clear" w:color="auto" w:fill="auto"/>
            <w:tcMar>
              <w:top w:w="-1" w:type="dxa"/>
              <w:left w:w="-1" w:type="dxa"/>
              <w:bottom w:w="-1" w:type="dxa"/>
              <w:right w:w="-1" w:type="dxa"/>
            </w:tcMar>
            <w:vAlign w:val="center"/>
          </w:tcPr>
          <w:p w14:paraId="395891B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叶酸</w:t>
            </w:r>
          </w:p>
        </w:tc>
        <w:tc>
          <w:tcPr>
            <w:tcW w:w="2476" w:type="dxa"/>
            <w:tcBorders>
              <w:top w:val="single" w:color="000000" w:sz="4" w:space="0"/>
              <w:left w:val="single" w:color="000000" w:sz="4" w:space="0"/>
              <w:bottom w:val="single" w:color="000000" w:sz="12" w:space="0"/>
              <w:right w:val="nil"/>
            </w:tcBorders>
            <w:shd w:val="clear" w:color="auto" w:fill="auto"/>
            <w:tcMar>
              <w:top w:w="-1" w:type="dxa"/>
              <w:left w:w="-1" w:type="dxa"/>
              <w:bottom w:w="-1" w:type="dxa"/>
              <w:right w:w="-1" w:type="dxa"/>
            </w:tcMar>
            <w:vAlign w:val="center"/>
          </w:tcPr>
          <w:p w14:paraId="304DB8D2">
            <w:pPr>
              <w:keepNext/>
              <w:snapToGrid w:val="0"/>
              <w:ind w:left="0" w:leftChars="0" w:right="0" w:rightChars="0" w:firstLine="0" w:firstLineChars="0"/>
              <w:jc w:val="left"/>
              <w:rPr>
                <w:rFonts w:hint="eastAsia" w:ascii="宋体" w:hAnsi="宋体" w:eastAsia="宋体" w:cs="宋体"/>
                <w:i w:val="0"/>
                <w:iCs w:val="0"/>
                <w:color w:val="000000"/>
                <w:sz w:val="21"/>
                <w:szCs w:val="21"/>
                <w:u w:val="none"/>
              </w:rPr>
            </w:pPr>
          </w:p>
        </w:tc>
        <w:tc>
          <w:tcPr>
            <w:tcW w:w="782" w:type="dxa"/>
            <w:tcBorders>
              <w:top w:val="single" w:color="000000" w:sz="4" w:space="0"/>
              <w:left w:val="single" w:color="000000" w:sz="4" w:space="0"/>
              <w:bottom w:val="single" w:color="000000" w:sz="12" w:space="0"/>
              <w:right w:val="nil"/>
            </w:tcBorders>
            <w:shd w:val="clear" w:color="auto" w:fill="auto"/>
            <w:tcMar>
              <w:top w:w="-1" w:type="dxa"/>
              <w:left w:w="-1" w:type="dxa"/>
              <w:bottom w:w="-1" w:type="dxa"/>
              <w:right w:w="-1" w:type="dxa"/>
            </w:tcMar>
            <w:vAlign w:val="center"/>
          </w:tcPr>
          <w:p w14:paraId="70EBED58">
            <w:pPr>
              <w:keepNext/>
              <w:keepLines w:val="0"/>
              <w:widowControl/>
              <w:suppressLineNumbers w:val="0"/>
              <w:snapToGrid w:val="0"/>
              <w:ind w:left="0" w:leftChars="0" w:right="0" w:rightChars="0" w:firstLine="0" w:firstLineChars="0"/>
              <w:jc w:val="left"/>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single" w:color="000000" w:sz="12" w:space="0"/>
              <w:right w:val="nil"/>
            </w:tcBorders>
            <w:shd w:val="clear" w:color="auto" w:fill="auto"/>
            <w:tcMar>
              <w:top w:w="-1" w:type="dxa"/>
              <w:left w:w="-1" w:type="dxa"/>
              <w:bottom w:w="-1" w:type="dxa"/>
              <w:right w:w="-1" w:type="dxa"/>
            </w:tcMar>
            <w:vAlign w:val="center"/>
          </w:tcPr>
          <w:p w14:paraId="2AE07438">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single" w:color="000000" w:sz="12" w:space="0"/>
              <w:right w:val="nil"/>
            </w:tcBorders>
            <w:shd w:val="clear" w:color="auto" w:fill="auto"/>
            <w:tcMar>
              <w:top w:w="-1" w:type="dxa"/>
              <w:left w:w="-1" w:type="dxa"/>
              <w:bottom w:w="-1" w:type="dxa"/>
              <w:right w:w="-1" w:type="dxa"/>
            </w:tcMar>
            <w:vAlign w:val="center"/>
          </w:tcPr>
          <w:p w14:paraId="71C9F200">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single" w:color="000000" w:sz="12" w:space="0"/>
              <w:right w:val="nil"/>
            </w:tcBorders>
            <w:shd w:val="clear" w:color="auto" w:fill="auto"/>
            <w:tcMar>
              <w:top w:w="-1" w:type="dxa"/>
              <w:left w:w="-1" w:type="dxa"/>
              <w:bottom w:w="-1" w:type="dxa"/>
              <w:right w:w="-1" w:type="dxa"/>
            </w:tcMar>
            <w:vAlign w:val="center"/>
          </w:tcPr>
          <w:p w14:paraId="219197B8">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2" w:type="dxa"/>
            <w:tcBorders>
              <w:top w:val="single" w:color="000000" w:sz="4" w:space="0"/>
              <w:left w:val="single" w:color="000000" w:sz="4" w:space="0"/>
              <w:bottom w:val="single" w:color="000000" w:sz="12" w:space="0"/>
              <w:right w:val="nil"/>
            </w:tcBorders>
            <w:shd w:val="clear" w:color="auto" w:fill="auto"/>
            <w:tcMar>
              <w:top w:w="-1" w:type="dxa"/>
              <w:left w:w="-1" w:type="dxa"/>
              <w:bottom w:w="-1" w:type="dxa"/>
              <w:right w:w="-1" w:type="dxa"/>
            </w:tcMar>
            <w:vAlign w:val="center"/>
          </w:tcPr>
          <w:p w14:paraId="1C67D2E1">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c>
          <w:tcPr>
            <w:tcW w:w="783" w:type="dxa"/>
            <w:tcBorders>
              <w:top w:val="single" w:color="000000" w:sz="4" w:space="0"/>
              <w:left w:val="single" w:color="000000" w:sz="4" w:space="0"/>
              <w:bottom w:val="single" w:color="000000" w:sz="12" w:space="0"/>
              <w:right w:val="single" w:color="000000" w:sz="12" w:space="0"/>
            </w:tcBorders>
            <w:shd w:val="clear" w:color="auto" w:fill="auto"/>
            <w:tcMar>
              <w:top w:w="-1" w:type="dxa"/>
              <w:left w:w="-1" w:type="dxa"/>
              <w:bottom w:w="-1" w:type="dxa"/>
              <w:right w:w="-1" w:type="dxa"/>
            </w:tcMar>
            <w:vAlign w:val="center"/>
          </w:tcPr>
          <w:p w14:paraId="29B0189D">
            <w:pPr>
              <w:keepNext/>
              <w:keepLines w:val="0"/>
              <w:widowControl/>
              <w:suppressLineNumbers w:val="0"/>
              <w:snapToGrid w:val="0"/>
              <w:ind w:left="0" w:leftChars="0" w:right="0" w:rightChars="0" w:firstLine="0" w:firstLineChars="0"/>
              <w:jc w:val="center"/>
              <w:textAlignment w:val="center"/>
              <w:rPr>
                <w:rFonts w:hint="default" w:ascii="宋体" w:hAnsi="Arial" w:eastAsia="宋体" w:cs="Arial"/>
                <w:i w:val="0"/>
                <w:iCs w:val="0"/>
                <w:color w:val="000000"/>
                <w:sz w:val="21"/>
                <w:szCs w:val="21"/>
                <w:u w:val="none"/>
              </w:rPr>
            </w:pPr>
            <w:r>
              <w:rPr>
                <w:rFonts w:hint="default" w:ascii="宋体" w:hAnsi="Arial" w:eastAsia="宋体" w:cs="Arial"/>
                <w:i w:val="0"/>
                <w:iCs w:val="0"/>
                <w:color w:val="000000"/>
                <w:kern w:val="0"/>
                <w:sz w:val="21"/>
                <w:szCs w:val="21"/>
                <w:u w:val="none"/>
                <w:lang w:val="en-US" w:eastAsia="zh-CN" w:bidi="ar"/>
              </w:rPr>
              <w:t>√</w:t>
            </w:r>
          </w:p>
        </w:tc>
      </w:tr>
    </w:tbl>
    <w:p w14:paraId="3CD78416">
      <w:pPr>
        <w:tabs>
          <w:tab w:val="left" w:pos="540"/>
        </w:tabs>
        <w:adjustRightInd w:val="0"/>
        <w:snapToGrid w:val="0"/>
        <w:spacing w:line="420" w:lineRule="exact"/>
        <w:rPr>
          <w:rFonts w:hint="eastAsia" w:ascii="宋体" w:hAnsi="宋体" w:cs="Courier New"/>
          <w:color w:val="000000" w:themeColor="text1"/>
          <w:sz w:val="24"/>
          <w:highlight w:val="none"/>
          <w14:textFill>
            <w14:solidFill>
              <w14:schemeClr w14:val="tx1"/>
            </w14:solidFill>
          </w14:textFill>
        </w:rPr>
      </w:pPr>
    </w:p>
    <w:p w14:paraId="3CBCCAEA">
      <w:pPr>
        <w:tabs>
          <w:tab w:val="left" w:pos="540"/>
        </w:tabs>
        <w:adjustRightInd w:val="0"/>
        <w:snapToGrid w:val="0"/>
        <w:spacing w:line="420" w:lineRule="exact"/>
        <w:rPr>
          <w:rFonts w:hint="eastAsia" w:ascii="宋体" w:hAnsi="宋体" w:cs="Courier New"/>
          <w:color w:val="000000" w:themeColor="text1"/>
          <w:sz w:val="24"/>
          <w:highlight w:val="none"/>
          <w14:textFill>
            <w14:solidFill>
              <w14:schemeClr w14:val="tx1"/>
            </w14:solidFill>
          </w14:textFill>
        </w:rPr>
      </w:pPr>
      <w:r>
        <w:rPr>
          <w:rFonts w:hint="eastAsia" w:ascii="宋体" w:hAnsi="宋体" w:cs="Courier New"/>
          <w:color w:val="000000" w:themeColor="text1"/>
          <w:sz w:val="24"/>
          <w:highlight w:val="none"/>
          <w14:textFill>
            <w14:solidFill>
              <w14:schemeClr w14:val="tx1"/>
            </w14:solidFill>
          </w14:textFill>
        </w:rPr>
        <w:t>注</w:t>
      </w:r>
      <w:r>
        <w:rPr>
          <w:rFonts w:ascii="宋体" w:hAnsi="宋体" w:cs="Courier New"/>
          <w:color w:val="000000" w:themeColor="text1"/>
          <w:sz w:val="24"/>
          <w:highlight w:val="none"/>
          <w14:textFill>
            <w14:solidFill>
              <w14:schemeClr w14:val="tx1"/>
            </w14:solidFill>
          </w14:textFill>
        </w:rPr>
        <w:t>：</w:t>
      </w:r>
      <w:r>
        <w:rPr>
          <w:rFonts w:hint="eastAsia" w:ascii="宋体" w:hAnsi="宋体" w:cs="Courier New"/>
          <w:color w:val="000000" w:themeColor="text1"/>
          <w:sz w:val="24"/>
          <w:highlight w:val="none"/>
          <w14:textFill>
            <w14:solidFill>
              <w14:schemeClr w14:val="tx1"/>
            </w14:solidFill>
          </w14:textFill>
        </w:rPr>
        <w:t>非约定项目检查，</w:t>
      </w:r>
      <w:r>
        <w:rPr>
          <w:rFonts w:hint="eastAsia" w:ascii="宋体" w:hAnsi="宋体" w:cs="Courier New"/>
          <w:color w:val="000000" w:themeColor="text1"/>
          <w:sz w:val="24"/>
          <w:highlight w:val="none"/>
          <w:lang w:val="en-US" w:eastAsia="zh-CN"/>
          <w14:textFill>
            <w14:solidFill>
              <w14:schemeClr w14:val="tx1"/>
            </w14:solidFill>
          </w14:textFill>
        </w:rPr>
        <w:t>采购人</w:t>
      </w:r>
      <w:r>
        <w:rPr>
          <w:rFonts w:hint="eastAsia" w:ascii="宋体" w:hAnsi="宋体" w:cs="Courier New"/>
          <w:color w:val="000000" w:themeColor="text1"/>
          <w:sz w:val="24"/>
          <w:highlight w:val="none"/>
          <w14:textFill>
            <w14:solidFill>
              <w14:schemeClr w14:val="tx1"/>
            </w14:solidFill>
          </w14:textFill>
        </w:rPr>
        <w:t>不予支付任何费用。</w:t>
      </w:r>
    </w:p>
    <w:p w14:paraId="07851899">
      <w:r>
        <w:rPr>
          <w:rFonts w:hint="eastAsia" w:ascii="宋体" w:hAnsi="宋体" w:cs="Courier New"/>
          <w:color w:val="000000" w:themeColor="text1"/>
          <w:sz w:val="24"/>
          <w:highlight w:val="none"/>
          <w:lang w:val="en-US" w:eastAsia="zh-CN"/>
          <w14:textFill>
            <w14:solidFill>
              <w14:schemeClr w14:val="tx1"/>
            </w14:solidFill>
          </w14:textFill>
        </w:rPr>
        <w:t>分组总价含采血、耗材、体检全过程费用。</w:t>
      </w:r>
      <w:bookmarkStart w:id="1" w:name="_GoBack"/>
      <w:bookmarkEnd w:id="1"/>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508949"/>
      <w:docPartObj>
        <w:docPartGallery w:val="autotext"/>
      </w:docPartObj>
    </w:sdtPr>
    <w:sdtContent>
      <w:p w14:paraId="623834AF">
        <w:pPr>
          <w:pStyle w:val="5"/>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61</w:t>
        </w:r>
        <w:r>
          <w:rPr>
            <w:rFonts w:ascii="Times New Roman"/>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5D2920"/>
    <w:multiLevelType w:val="singleLevel"/>
    <w:tmpl w:val="C35D2920"/>
    <w:lvl w:ilvl="0" w:tentative="0">
      <w:start w:val="1"/>
      <w:numFmt w:val="decimal"/>
      <w:lvlText w:val="%1."/>
      <w:lvlJc w:val="left"/>
      <w:pPr>
        <w:ind w:left="425" w:hanging="425"/>
      </w:pPr>
      <w:rPr>
        <w:rFonts w:hint="default"/>
      </w:rPr>
    </w:lvl>
  </w:abstractNum>
  <w:abstractNum w:abstractNumId="1">
    <w:nsid w:val="00000026"/>
    <w:multiLevelType w:val="multilevel"/>
    <w:tmpl w:val="00000026"/>
    <w:lvl w:ilvl="0" w:tentative="0">
      <w:start w:val="1"/>
      <w:numFmt w:val="decimal"/>
      <w:pStyle w:val="14"/>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3"/>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isLgl/>
      <w:suff w:val="nothing"/>
      <w:lvlText w:val="%1.%2.%3.%4.%5.%6　"/>
      <w:lvlJc w:val="left"/>
      <w:pPr>
        <w:ind w:left="-25" w:firstLine="0"/>
      </w:pPr>
      <w:rPr>
        <w:rFonts w:hint="default" w:ascii="Times New Roman" w:hAnsi="Times New Roman" w:eastAsia="宋体"/>
        <w:b/>
        <w:i w:val="0"/>
        <w:sz w:val="28"/>
      </w:rPr>
    </w:lvl>
    <w:lvl w:ilvl="6" w:tentative="0">
      <w:start w:val="1"/>
      <w:numFmt w:val="lowerLetter"/>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2">
    <w:nsid w:val="5B94E958"/>
    <w:multiLevelType w:val="singleLevel"/>
    <w:tmpl w:val="5B94E958"/>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A66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sz w:val="24"/>
    </w:rPr>
  </w:style>
  <w:style w:type="paragraph" w:styleId="4">
    <w:name w:val="Plain Text"/>
    <w:basedOn w:val="1"/>
    <w:qFormat/>
    <w:uiPriority w:val="0"/>
    <w:rPr>
      <w:rFonts w:hint="eastAsia" w:ascii="宋体" w:hAnsi="Courier New"/>
      <w:szCs w:val="20"/>
    </w:rPr>
  </w:style>
  <w:style w:type="paragraph" w:styleId="5">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paragraph" w:styleId="10">
    <w:name w:val="List Paragraph"/>
    <w:basedOn w:val="1"/>
    <w:qFormat/>
    <w:uiPriority w:val="34"/>
    <w:pPr>
      <w:ind w:firstLine="420" w:firstLineChars="200"/>
    </w:pPr>
    <w:rPr>
      <w:rFonts w:ascii="Calibri" w:hAnsi="Calibri"/>
      <w:szCs w:val="22"/>
    </w:rPr>
  </w:style>
  <w:style w:type="character" w:customStyle="1" w:styleId="11">
    <w:name w:val="font41"/>
    <w:basedOn w:val="8"/>
    <w:qFormat/>
    <w:uiPriority w:val="0"/>
    <w:rPr>
      <w:rFonts w:ascii="宋体" w:hAnsi="宋体" w:eastAsia="宋体" w:cs="宋体"/>
      <w:color w:val="000000"/>
      <w:sz w:val="46"/>
      <w:szCs w:val="46"/>
      <w:u w:val="none"/>
    </w:rPr>
  </w:style>
  <w:style w:type="paragraph" w:customStyle="1" w:styleId="12">
    <w:name w:val="二级条标题"/>
    <w:basedOn w:val="13"/>
    <w:next w:val="1"/>
    <w:qFormat/>
    <w:uiPriority w:val="0"/>
    <w:pPr>
      <w:numPr>
        <w:numId w:val="0"/>
      </w:numPr>
      <w:tabs>
        <w:tab w:val="left" w:pos="360"/>
        <w:tab w:val="left" w:pos="840"/>
      </w:tabs>
      <w:ind w:hanging="840"/>
      <w:outlineLvl w:val="2"/>
    </w:pPr>
    <w:rPr>
      <w:rFonts w:ascii="宋体" w:eastAsia="宋体"/>
      <w:b w:val="0"/>
    </w:rPr>
  </w:style>
  <w:style w:type="paragraph" w:customStyle="1" w:styleId="13">
    <w:name w:val="一级条标题"/>
    <w:basedOn w:val="14"/>
    <w:next w:val="1"/>
    <w:qFormat/>
    <w:uiPriority w:val="0"/>
    <w:pPr>
      <w:numPr>
        <w:ilvl w:val="1"/>
      </w:numPr>
      <w:tabs>
        <w:tab w:val="left" w:pos="360"/>
        <w:tab w:val="left" w:pos="840"/>
      </w:tabs>
      <w:ind w:left="0" w:hanging="840"/>
      <w:outlineLvl w:val="1"/>
    </w:pPr>
  </w:style>
  <w:style w:type="paragraph" w:customStyle="1" w:styleId="14">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2026-07-09T07:27:24Z</dcterms:created>
  <dc:creator>ZF</dc:creator>
  <cp:lastModifiedBy>飞飛</cp:lastModifiedBy>
  <dcterms:modified xsi:type="dcterms:W3CDTF">2026-07-09T07:29:15Z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eyJoZGlkIjoiYWE4YWNmYmJhOWRhZTc3ZjY1NmZiNDZmNTE0MDhkNjgiLCJ1c2VySWQiOiIzNjQxNTg2NzkifQ==</vt:lpwstr>
  </property>
  <property fmtid="{D5CDD505-2E9C-101B-9397-08002B2CF9AE}" pid="4" name="ICV">
    <vt:lpwstr>54EC39098AC04950A9DB5785C44F4311_12</vt:lpwstr>
  </property>
</Properties>
</file>