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85809">
      <w:pPr>
        <w:spacing w:line="360" w:lineRule="auto"/>
        <w:jc w:val="center"/>
        <w:outlineLvl w:val="0"/>
        <w:rPr>
          <w:sz w:val="32"/>
          <w:szCs w:val="32"/>
        </w:rPr>
      </w:pPr>
      <w:bookmarkStart w:id="0" w:name="_Toc99301419"/>
      <w:r>
        <w:rPr>
          <w:b/>
          <w:sz w:val="36"/>
          <w:szCs w:val="36"/>
        </w:rPr>
        <w:t>第</w:t>
      </w:r>
      <w:bookmarkStart w:id="34" w:name="_GoBack"/>
      <w:bookmarkEnd w:id="34"/>
      <w:r>
        <w:rPr>
          <w:b/>
          <w:sz w:val="36"/>
          <w:szCs w:val="36"/>
        </w:rPr>
        <w:t>一章   投标邀请</w:t>
      </w:r>
      <w:bookmarkEnd w:id="0"/>
    </w:p>
    <w:p w14:paraId="0350323B">
      <w:pPr>
        <w:pStyle w:val="2"/>
        <w:spacing w:before="0" w:line="360" w:lineRule="auto"/>
        <w:jc w:val="left"/>
        <w:rPr>
          <w:rFonts w:ascii="Times New Roman" w:hAnsi="Times New Roman" w:eastAsia="宋体"/>
          <w:sz w:val="24"/>
          <w:szCs w:val="24"/>
          <w:highlight w:val="none"/>
        </w:rPr>
      </w:pPr>
      <w:bookmarkStart w:id="1" w:name="_Toc28359002"/>
      <w:bookmarkStart w:id="2" w:name="_Toc28359079"/>
      <w:bookmarkStart w:id="3" w:name="_Toc35393790"/>
      <w:bookmarkStart w:id="4" w:name="_Toc35393621"/>
      <w:bookmarkStart w:id="5" w:name="_Hlk24379207"/>
      <w:r>
        <w:rPr>
          <w:rFonts w:ascii="Times New Roman" w:hAnsi="Times New Roman" w:eastAsia="宋体"/>
          <w:sz w:val="24"/>
          <w:szCs w:val="24"/>
          <w:highlight w:val="none"/>
        </w:rPr>
        <w:t>一、项目基本情况</w:t>
      </w:r>
      <w:bookmarkEnd w:id="1"/>
      <w:bookmarkEnd w:id="2"/>
      <w:bookmarkEnd w:id="3"/>
      <w:bookmarkEnd w:id="4"/>
    </w:p>
    <w:p w14:paraId="60D33DF7">
      <w:pPr>
        <w:spacing w:line="360" w:lineRule="auto"/>
        <w:ind w:firstLine="480" w:firstLineChars="200"/>
        <w:rPr>
          <w:sz w:val="24"/>
          <w:highlight w:val="none"/>
        </w:rPr>
      </w:pPr>
      <w:r>
        <w:rPr>
          <w:sz w:val="24"/>
          <w:highlight w:val="none"/>
        </w:rPr>
        <w:t>1.项目编号：</w:t>
      </w:r>
      <w:r>
        <w:rPr>
          <w:rFonts w:hint="eastAsia"/>
          <w:sz w:val="24"/>
          <w:highlight w:val="none"/>
        </w:rPr>
        <w:t>11010626210200029559-XM001</w:t>
      </w:r>
    </w:p>
    <w:p w14:paraId="6D98A29D">
      <w:pPr>
        <w:spacing w:line="360" w:lineRule="auto"/>
        <w:ind w:firstLine="480" w:firstLineChars="200"/>
        <w:rPr>
          <w:sz w:val="24"/>
          <w:highlight w:val="none"/>
        </w:rPr>
      </w:pPr>
      <w:r>
        <w:rPr>
          <w:sz w:val="24"/>
          <w:highlight w:val="none"/>
        </w:rPr>
        <w:t>2.项目名称：</w:t>
      </w:r>
      <w:r>
        <w:rPr>
          <w:rFonts w:hint="eastAsia"/>
          <w:sz w:val="24"/>
          <w:highlight w:val="none"/>
          <w:lang w:val="en-US" w:eastAsia="zh-CN"/>
        </w:rPr>
        <w:t>中国戏曲文化周补助01包</w:t>
      </w:r>
    </w:p>
    <w:bookmarkEnd w:id="5"/>
    <w:p w14:paraId="06C778F5">
      <w:pPr>
        <w:spacing w:line="360" w:lineRule="auto"/>
        <w:ind w:firstLine="480" w:firstLineChars="200"/>
        <w:rPr>
          <w:sz w:val="24"/>
        </w:rPr>
      </w:pPr>
      <w:r>
        <w:rPr>
          <w:sz w:val="24"/>
        </w:rPr>
        <w:t>3.项目预算金额：</w:t>
      </w:r>
      <w:r>
        <w:rPr>
          <w:rFonts w:hint="eastAsia"/>
          <w:sz w:val="24"/>
          <w:lang w:val="en-US" w:eastAsia="zh-CN"/>
        </w:rPr>
        <w:t>70</w:t>
      </w:r>
      <w:r>
        <w:rPr>
          <w:sz w:val="24"/>
        </w:rPr>
        <w:t>万元、项目最高限价（如有）：</w:t>
      </w:r>
      <w:r>
        <w:rPr>
          <w:rFonts w:hint="eastAsia"/>
          <w:sz w:val="24"/>
          <w:lang w:val="en-US" w:eastAsia="zh-CN"/>
        </w:rPr>
        <w:t>70</w:t>
      </w:r>
      <w:r>
        <w:rPr>
          <w:sz w:val="24"/>
        </w:rPr>
        <w:t>万元</w:t>
      </w:r>
    </w:p>
    <w:p w14:paraId="6DC593CD">
      <w:pPr>
        <w:spacing w:line="360" w:lineRule="auto"/>
        <w:ind w:firstLine="480" w:firstLineChars="200"/>
        <w:rPr>
          <w:sz w:val="24"/>
        </w:rPr>
      </w:pPr>
      <w:r>
        <w:rPr>
          <w:sz w:val="24"/>
        </w:rPr>
        <w:t>4.采购需求：</w:t>
      </w:r>
    </w:p>
    <w:tbl>
      <w:tblPr>
        <w:tblStyle w:val="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20B9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C441419">
            <w:pPr>
              <w:jc w:val="center"/>
              <w:rPr>
                <w:bCs/>
                <w:szCs w:val="21"/>
              </w:rPr>
            </w:pPr>
            <w:r>
              <w:rPr>
                <w:bCs/>
                <w:szCs w:val="21"/>
              </w:rPr>
              <w:t>包号</w:t>
            </w:r>
          </w:p>
        </w:tc>
        <w:tc>
          <w:tcPr>
            <w:tcW w:w="843" w:type="pct"/>
            <w:vAlign w:val="center"/>
          </w:tcPr>
          <w:p w14:paraId="59AFFF94">
            <w:pPr>
              <w:jc w:val="center"/>
              <w:rPr>
                <w:bCs/>
                <w:szCs w:val="21"/>
              </w:rPr>
            </w:pPr>
            <w:r>
              <w:rPr>
                <w:bCs/>
                <w:szCs w:val="21"/>
              </w:rPr>
              <w:t>标的名称</w:t>
            </w:r>
          </w:p>
        </w:tc>
        <w:tc>
          <w:tcPr>
            <w:tcW w:w="921" w:type="pct"/>
            <w:vAlign w:val="center"/>
          </w:tcPr>
          <w:p w14:paraId="45CDCC1B">
            <w:pPr>
              <w:jc w:val="center"/>
              <w:rPr>
                <w:bCs/>
                <w:szCs w:val="21"/>
              </w:rPr>
            </w:pPr>
            <w:r>
              <w:rPr>
                <w:bCs/>
                <w:szCs w:val="21"/>
              </w:rPr>
              <w:t>采购包</w:t>
            </w:r>
          </w:p>
          <w:p w14:paraId="7AAE1DDA">
            <w:pPr>
              <w:jc w:val="center"/>
              <w:rPr>
                <w:bCs/>
                <w:szCs w:val="21"/>
              </w:rPr>
            </w:pPr>
            <w:r>
              <w:rPr>
                <w:bCs/>
                <w:szCs w:val="21"/>
              </w:rPr>
              <w:t>预算金额</w:t>
            </w:r>
          </w:p>
          <w:p w14:paraId="590ADA17">
            <w:pPr>
              <w:jc w:val="center"/>
              <w:rPr>
                <w:bCs/>
                <w:szCs w:val="21"/>
              </w:rPr>
            </w:pPr>
            <w:r>
              <w:rPr>
                <w:bCs/>
                <w:szCs w:val="21"/>
              </w:rPr>
              <w:t>（万元）</w:t>
            </w:r>
          </w:p>
        </w:tc>
        <w:tc>
          <w:tcPr>
            <w:tcW w:w="540" w:type="pct"/>
            <w:vAlign w:val="center"/>
          </w:tcPr>
          <w:p w14:paraId="17C0F901">
            <w:pPr>
              <w:jc w:val="center"/>
              <w:rPr>
                <w:bCs/>
                <w:szCs w:val="21"/>
              </w:rPr>
            </w:pPr>
            <w:r>
              <w:rPr>
                <w:bCs/>
                <w:szCs w:val="21"/>
              </w:rPr>
              <w:t>数量</w:t>
            </w:r>
          </w:p>
        </w:tc>
        <w:tc>
          <w:tcPr>
            <w:tcW w:w="2314" w:type="pct"/>
            <w:vAlign w:val="center"/>
          </w:tcPr>
          <w:p w14:paraId="50ECC88C">
            <w:pPr>
              <w:jc w:val="center"/>
              <w:rPr>
                <w:szCs w:val="21"/>
              </w:rPr>
            </w:pPr>
            <w:r>
              <w:rPr>
                <w:szCs w:val="21"/>
              </w:rPr>
              <w:t>简要技术需求或服务要求</w:t>
            </w:r>
          </w:p>
        </w:tc>
      </w:tr>
      <w:tr w14:paraId="3CF6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380" w:type="pct"/>
            <w:vAlign w:val="center"/>
          </w:tcPr>
          <w:p w14:paraId="62566CC8">
            <w:pPr>
              <w:jc w:val="center"/>
              <w:rPr>
                <w:bCs/>
                <w:szCs w:val="21"/>
              </w:rPr>
            </w:pPr>
            <w:r>
              <w:rPr>
                <w:bCs/>
                <w:szCs w:val="21"/>
              </w:rPr>
              <w:t>01</w:t>
            </w:r>
          </w:p>
        </w:tc>
        <w:tc>
          <w:tcPr>
            <w:tcW w:w="843" w:type="pct"/>
            <w:vAlign w:val="center"/>
          </w:tcPr>
          <w:p w14:paraId="194DDD76">
            <w:pPr>
              <w:jc w:val="center"/>
              <w:rPr>
                <w:bCs/>
                <w:szCs w:val="21"/>
              </w:rPr>
            </w:pPr>
            <w:r>
              <w:rPr>
                <w:rFonts w:hint="eastAsia"/>
                <w:bCs/>
                <w:szCs w:val="21"/>
                <w:lang w:val="en-US" w:eastAsia="zh-CN"/>
              </w:rPr>
              <w:t>中国戏曲文化周补助01包</w:t>
            </w:r>
          </w:p>
        </w:tc>
        <w:tc>
          <w:tcPr>
            <w:tcW w:w="921" w:type="pct"/>
            <w:vAlign w:val="center"/>
          </w:tcPr>
          <w:p w14:paraId="5DD8DCA6">
            <w:pPr>
              <w:jc w:val="center"/>
              <w:rPr>
                <w:rFonts w:hint="default" w:eastAsia="宋体"/>
                <w:bCs/>
                <w:szCs w:val="21"/>
                <w:lang w:val="en-US" w:eastAsia="zh-CN"/>
              </w:rPr>
            </w:pPr>
            <w:r>
              <w:rPr>
                <w:rFonts w:hint="eastAsia"/>
                <w:bCs/>
                <w:szCs w:val="21"/>
                <w:lang w:val="en-US" w:eastAsia="zh-CN"/>
              </w:rPr>
              <w:t>70</w:t>
            </w:r>
          </w:p>
        </w:tc>
        <w:tc>
          <w:tcPr>
            <w:tcW w:w="540" w:type="pct"/>
            <w:vAlign w:val="center"/>
          </w:tcPr>
          <w:p w14:paraId="45211988">
            <w:pPr>
              <w:jc w:val="center"/>
              <w:rPr>
                <w:rFonts w:hint="default" w:eastAsia="宋体"/>
                <w:bCs/>
                <w:szCs w:val="21"/>
                <w:lang w:val="en-US" w:eastAsia="zh-CN"/>
              </w:rPr>
            </w:pPr>
            <w:r>
              <w:rPr>
                <w:rFonts w:hint="eastAsia"/>
                <w:bCs/>
                <w:szCs w:val="21"/>
                <w:lang w:val="en-US" w:eastAsia="zh-CN"/>
              </w:rPr>
              <w:t>1</w:t>
            </w:r>
          </w:p>
        </w:tc>
        <w:tc>
          <w:tcPr>
            <w:tcW w:w="2314" w:type="pct"/>
            <w:vAlign w:val="center"/>
          </w:tcPr>
          <w:p w14:paraId="564DB4B2">
            <w:pPr>
              <w:jc w:val="left"/>
              <w:rPr>
                <w:kern w:val="0"/>
                <w:szCs w:val="21"/>
              </w:rPr>
            </w:pPr>
            <w:r>
              <w:rPr>
                <w:rFonts w:hint="eastAsia"/>
                <w:kern w:val="0"/>
                <w:szCs w:val="21"/>
                <w:lang w:val="en-US" w:eastAsia="zh-CN"/>
              </w:rPr>
              <w:t>针对</w:t>
            </w:r>
            <w:r>
              <w:rPr>
                <w:rFonts w:hint="eastAsia"/>
                <w:kern w:val="0"/>
                <w:szCs w:val="21"/>
                <w:highlight w:val="none"/>
                <w:lang w:eastAsia="zh-CN"/>
              </w:rPr>
              <w:t>十周年回顾</w:t>
            </w:r>
            <w:r>
              <w:rPr>
                <w:rFonts w:hint="eastAsia"/>
                <w:kern w:val="0"/>
                <w:szCs w:val="21"/>
                <w:highlight w:val="none"/>
              </w:rPr>
              <w:t>展</w:t>
            </w:r>
            <w:r>
              <w:rPr>
                <w:rFonts w:hint="eastAsia"/>
                <w:kern w:val="0"/>
                <w:szCs w:val="21"/>
              </w:rPr>
              <w:t>的素材整理与研究、展览策划、展陈大纲撰写、展陈设计、展览场地协调、展览搭建、多媒体及新媒体内容制作、开展仪式策划与实施等全过程展览服务。</w:t>
            </w:r>
          </w:p>
        </w:tc>
      </w:tr>
    </w:tbl>
    <w:p w14:paraId="715E967F">
      <w:pPr>
        <w:spacing w:line="360" w:lineRule="auto"/>
        <w:ind w:firstLine="480" w:firstLineChars="200"/>
        <w:rPr>
          <w:sz w:val="24"/>
          <w:highlight w:val="none"/>
          <w:u w:val="single"/>
        </w:rPr>
      </w:pPr>
      <w:r>
        <w:rPr>
          <w:sz w:val="24"/>
          <w:highlight w:val="none"/>
        </w:rPr>
        <w:t>5.合同履行期限：</w:t>
      </w:r>
      <w:r>
        <w:rPr>
          <w:rFonts w:hint="eastAsia"/>
          <w:sz w:val="24"/>
          <w:highlight w:val="none"/>
          <w:lang w:val="en-US" w:eastAsia="zh-CN"/>
        </w:rPr>
        <w:t>预计9月初至12月（具体执行时间已采购人计划为准）</w:t>
      </w:r>
    </w:p>
    <w:p w14:paraId="24DCE6CD">
      <w:pPr>
        <w:spacing w:line="360" w:lineRule="auto"/>
        <w:ind w:firstLine="480" w:firstLineChars="200"/>
        <w:rPr>
          <w:sz w:val="24"/>
        </w:rPr>
      </w:pPr>
      <w:r>
        <w:rPr>
          <w:sz w:val="24"/>
        </w:rPr>
        <w:t xml:space="preserve">6.本项目是否接受联合体投标：□是 </w:t>
      </w:r>
      <w:r>
        <w:rPr>
          <w:rFonts w:hint="eastAsia" w:asciiTheme="minorEastAsia" w:hAnsiTheme="minorEastAsia" w:eastAsiaTheme="minorEastAsia" w:cstheme="minorEastAsia"/>
          <w:spacing w:val="8"/>
          <w:sz w:val="24"/>
        </w:rPr>
        <w:t>■</w:t>
      </w:r>
      <w:r>
        <w:rPr>
          <w:sz w:val="24"/>
        </w:rPr>
        <w:t>否。</w:t>
      </w:r>
    </w:p>
    <w:p w14:paraId="2F7665AB">
      <w:pPr>
        <w:pStyle w:val="2"/>
        <w:spacing w:before="0" w:line="360" w:lineRule="auto"/>
        <w:jc w:val="left"/>
        <w:rPr>
          <w:rFonts w:ascii="Times New Roman" w:hAnsi="Times New Roman" w:eastAsia="宋体"/>
          <w:sz w:val="24"/>
          <w:szCs w:val="24"/>
        </w:rPr>
      </w:pPr>
      <w:bookmarkStart w:id="6" w:name="_Toc35393622"/>
      <w:bookmarkStart w:id="7" w:name="_Toc28359003"/>
      <w:bookmarkStart w:id="8" w:name="_Toc35393791"/>
      <w:bookmarkStart w:id="9" w:name="_Toc28359080"/>
      <w:r>
        <w:rPr>
          <w:rFonts w:ascii="Times New Roman" w:hAnsi="Times New Roman" w:eastAsia="宋体"/>
          <w:sz w:val="24"/>
          <w:szCs w:val="24"/>
        </w:rPr>
        <w:t>二、申请人的资格要求（须同时满足）</w:t>
      </w:r>
      <w:bookmarkEnd w:id="6"/>
      <w:bookmarkEnd w:id="7"/>
      <w:bookmarkEnd w:id="8"/>
      <w:bookmarkEnd w:id="9"/>
    </w:p>
    <w:p w14:paraId="03439FBB">
      <w:pPr>
        <w:spacing w:line="360" w:lineRule="auto"/>
        <w:ind w:firstLine="480" w:firstLineChars="200"/>
        <w:rPr>
          <w:sz w:val="24"/>
        </w:rPr>
      </w:pPr>
      <w:r>
        <w:rPr>
          <w:sz w:val="24"/>
        </w:rPr>
        <w:t>1.满足《中华人民共和国政府采购法》第二十二条规定；</w:t>
      </w:r>
    </w:p>
    <w:p w14:paraId="5F83E486">
      <w:pPr>
        <w:spacing w:line="360" w:lineRule="auto"/>
        <w:ind w:firstLine="480" w:firstLineChars="200"/>
        <w:rPr>
          <w:sz w:val="24"/>
        </w:rPr>
      </w:pPr>
      <w:bookmarkStart w:id="10" w:name="_Toc28359081"/>
      <w:bookmarkStart w:id="11" w:name="_Toc28359004"/>
      <w:r>
        <w:rPr>
          <w:sz w:val="24"/>
        </w:rPr>
        <w:t>2.落实政府采购政策需满足的资格要求：</w:t>
      </w:r>
    </w:p>
    <w:p w14:paraId="4F422188">
      <w:pPr>
        <w:spacing w:line="360" w:lineRule="auto"/>
        <w:ind w:firstLine="480" w:firstLineChars="200"/>
        <w:rPr>
          <w:sz w:val="24"/>
        </w:rPr>
      </w:pPr>
      <w:r>
        <w:rPr>
          <w:sz w:val="24"/>
        </w:rPr>
        <w:t>2.1 中小企业政策</w:t>
      </w:r>
    </w:p>
    <w:p w14:paraId="3196448A">
      <w:pPr>
        <w:spacing w:line="360" w:lineRule="auto"/>
        <w:ind w:firstLine="512" w:firstLineChars="200"/>
        <w:rPr>
          <w:sz w:val="24"/>
        </w:rPr>
      </w:pPr>
      <w:r>
        <w:rPr>
          <w:rFonts w:hint="eastAsia" w:asciiTheme="minorEastAsia" w:hAnsiTheme="minorEastAsia" w:eastAsiaTheme="minorEastAsia" w:cstheme="minorEastAsia"/>
          <w:spacing w:val="8"/>
          <w:sz w:val="24"/>
        </w:rPr>
        <w:t>■</w:t>
      </w:r>
      <w:r>
        <w:rPr>
          <w:sz w:val="24"/>
        </w:rPr>
        <w:t>本项目不专门面向中小企业预留采购份额。</w:t>
      </w:r>
    </w:p>
    <w:p w14:paraId="73857B8F">
      <w:pPr>
        <w:spacing w:line="360" w:lineRule="auto"/>
        <w:ind w:firstLine="480" w:firstLineChars="200"/>
        <w:rPr>
          <w:sz w:val="24"/>
        </w:rPr>
      </w:pPr>
      <w:r>
        <w:rPr>
          <w:sz w:val="24"/>
        </w:rPr>
        <w:t>□本项目专门面向  □中小 □小微企业  采购。即：提供的货物全部由符合政策要求的中小/小微企业制造、服务全部由符合政策要求的中小/小微企业承接。</w:t>
      </w:r>
    </w:p>
    <w:p w14:paraId="2B25A0C9">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w:t>
      </w:r>
      <w:r>
        <w:rPr>
          <w:sz w:val="24"/>
        </w:rPr>
        <w:t>。</w:t>
      </w:r>
    </w:p>
    <w:p w14:paraId="3AD78338">
      <w:pPr>
        <w:spacing w:line="360" w:lineRule="auto"/>
        <w:ind w:firstLine="480" w:firstLineChars="200"/>
        <w:rPr>
          <w:sz w:val="24"/>
        </w:rPr>
      </w:pPr>
      <w:r>
        <w:rPr>
          <w:sz w:val="24"/>
        </w:rPr>
        <w:t>2.2 其它落实政府采购政策的资格要求（如有）：</w:t>
      </w:r>
      <w:r>
        <w:rPr>
          <w:rFonts w:hint="eastAsia"/>
          <w:sz w:val="24"/>
        </w:rPr>
        <w:t>/</w:t>
      </w:r>
      <w:r>
        <w:rPr>
          <w:sz w:val="24"/>
        </w:rPr>
        <w:t>。</w:t>
      </w:r>
    </w:p>
    <w:p w14:paraId="7736968C">
      <w:pPr>
        <w:spacing w:line="360" w:lineRule="auto"/>
        <w:ind w:firstLine="480" w:firstLineChars="200"/>
        <w:rPr>
          <w:i/>
          <w:iCs/>
          <w:sz w:val="24"/>
          <w:u w:val="single"/>
        </w:rPr>
      </w:pPr>
      <w:r>
        <w:rPr>
          <w:sz w:val="24"/>
        </w:rPr>
        <w:t>3.本项目的特定</w:t>
      </w:r>
      <w:r>
        <w:rPr>
          <w:sz w:val="24"/>
          <w:highlight w:val="none"/>
        </w:rPr>
        <w:t>资格要求：</w:t>
      </w:r>
      <w:r>
        <w:rPr>
          <w:rFonts w:hint="eastAsia" w:ascii="宋体" w:hAnsi="宋体" w:cs="宋体"/>
          <w:sz w:val="24"/>
          <w:highlight w:val="none"/>
          <w:lang w:val="en-US" w:eastAsia="zh-CN"/>
        </w:rPr>
        <w:t>/</w:t>
      </w:r>
      <w:r>
        <w:rPr>
          <w:rFonts w:hint="eastAsia" w:ascii="宋体" w:hAnsi="宋体" w:cs="宋体"/>
          <w:sz w:val="24"/>
          <w:highlight w:val="none"/>
        </w:rPr>
        <w:t>。</w:t>
      </w:r>
    </w:p>
    <w:p w14:paraId="54919AB6">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03BDDC64">
      <w:pPr>
        <w:tabs>
          <w:tab w:val="left" w:pos="900"/>
          <w:tab w:val="left" w:pos="1134"/>
          <w:tab w:val="left" w:pos="1589"/>
          <w:tab w:val="left" w:pos="5521"/>
        </w:tabs>
        <w:snapToGrid w:val="0"/>
        <w:spacing w:line="360" w:lineRule="auto"/>
        <w:ind w:left="991" w:leftChars="472" w:firstLine="2"/>
        <w:rPr>
          <w:sz w:val="24"/>
        </w:rPr>
      </w:pPr>
      <w:r>
        <w:rPr>
          <w:rFonts w:hint="eastAsia" w:asciiTheme="minorEastAsia" w:hAnsiTheme="minorEastAsia" w:eastAsiaTheme="minorEastAsia" w:cstheme="minorEastAsia"/>
          <w:spacing w:val="8"/>
          <w:sz w:val="24"/>
        </w:rPr>
        <w:t>■</w:t>
      </w:r>
      <w:r>
        <w:rPr>
          <w:sz w:val="24"/>
        </w:rPr>
        <w:t>否</w:t>
      </w:r>
    </w:p>
    <w:p w14:paraId="7E464AF5">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1C05EC13">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p>
    <w:p w14:paraId="1FF2A1DA">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信用信息查询记录（供应商的信用记录应符合财库[2016]125号文规定。近三年被“信用中国”网站、“中国政府采购网”网站列入失信被执行人、重大税收违法案件当事人名单、政府采购严重违法失信行为记录名单的，不得参加本次项目的招标，供应商无需提供，由采购代理机构到国家规定网站查询打印）；</w:t>
      </w:r>
    </w:p>
    <w:p w14:paraId="6E50B966">
      <w:pPr>
        <w:tabs>
          <w:tab w:val="left" w:pos="900"/>
          <w:tab w:val="left" w:pos="1134"/>
          <w:tab w:val="left" w:pos="1589"/>
          <w:tab w:val="left" w:pos="5521"/>
        </w:tabs>
        <w:snapToGrid w:val="0"/>
        <w:spacing w:line="360" w:lineRule="auto"/>
        <w:ind w:firstLine="480" w:firstLineChars="200"/>
        <w:rPr>
          <w:i/>
          <w:iCs/>
          <w:sz w:val="24"/>
          <w:u w:val="single"/>
        </w:rPr>
      </w:pPr>
      <w:r>
        <w:rPr>
          <w:rFonts w:hint="eastAsia" w:ascii="宋体" w:hAnsi="宋体" w:cs="宋体"/>
          <w:sz w:val="24"/>
        </w:rPr>
        <w:t>（</w:t>
      </w:r>
      <w:r>
        <w:rPr>
          <w:rFonts w:hint="eastAsia" w:ascii="宋体" w:hAnsi="宋体" w:cs="宋体"/>
          <w:sz w:val="24"/>
          <w:lang w:val="en-US" w:eastAsia="zh-CN"/>
        </w:rPr>
        <w:t>2</w:t>
      </w:r>
      <w:r>
        <w:rPr>
          <w:rFonts w:hint="eastAsia" w:ascii="宋体" w:hAnsi="宋体" w:cs="宋体"/>
          <w:sz w:val="24"/>
        </w:rPr>
        <w:t>）单位负责人为同一人或者存在直接控股、管理关系的不同供应商，不得参加同一合同项下的政府采购活动。除单一来源采购项目外，为采购项目提供整体设计、规范编制或者项目管理、检测等服务的供应商，不得再参加该采购项目的其他采购活动。</w:t>
      </w:r>
    </w:p>
    <w:bookmarkEnd w:id="10"/>
    <w:bookmarkEnd w:id="11"/>
    <w:p w14:paraId="76F78A1A">
      <w:pPr>
        <w:pStyle w:val="2"/>
        <w:widowControl/>
        <w:spacing w:before="0" w:line="360" w:lineRule="auto"/>
        <w:jc w:val="left"/>
        <w:rPr>
          <w:rFonts w:ascii="Times New Roman" w:hAnsi="Times New Roman" w:eastAsia="宋体"/>
          <w:sz w:val="24"/>
          <w:szCs w:val="24"/>
        </w:rPr>
      </w:pPr>
      <w:bookmarkStart w:id="12" w:name="_Toc35393792"/>
      <w:bookmarkStart w:id="13" w:name="_Toc35393623"/>
      <w:r>
        <w:rPr>
          <w:rFonts w:ascii="Times New Roman" w:hAnsi="Times New Roman" w:eastAsia="宋体"/>
          <w:sz w:val="24"/>
          <w:szCs w:val="24"/>
        </w:rPr>
        <w:t>三、获取招标文件</w:t>
      </w:r>
      <w:bookmarkEnd w:id="12"/>
      <w:bookmarkEnd w:id="13"/>
    </w:p>
    <w:p w14:paraId="335AF271">
      <w:pPr>
        <w:adjustRightInd w:val="0"/>
        <w:snapToGrid w:val="0"/>
        <w:spacing w:line="360" w:lineRule="auto"/>
        <w:ind w:firstLine="480" w:firstLineChars="200"/>
        <w:rPr>
          <w:sz w:val="24"/>
          <w:lang w:bidi="ar"/>
        </w:rPr>
      </w:pPr>
      <w:r>
        <w:rPr>
          <w:sz w:val="24"/>
          <w:lang w:bidi="ar"/>
        </w:rPr>
        <w:t>1.时间</w:t>
      </w:r>
      <w:r>
        <w:rPr>
          <w:sz w:val="24"/>
          <w:highlight w:val="none"/>
          <w:lang w:bidi="ar"/>
        </w:rPr>
        <w:t>：</w:t>
      </w:r>
      <w:r>
        <w:rPr>
          <w:rFonts w:hint="eastAsia" w:asciiTheme="minorEastAsia" w:hAnsiTheme="minorEastAsia" w:eastAsiaTheme="minorEastAsia" w:cstheme="minorEastAsia"/>
          <w:spacing w:val="-9"/>
          <w:sz w:val="24"/>
          <w:highlight w:val="none"/>
        </w:rPr>
        <w:t>2026年</w:t>
      </w:r>
      <w:r>
        <w:rPr>
          <w:rFonts w:hint="eastAsia" w:asciiTheme="minorEastAsia" w:hAnsiTheme="minorEastAsia" w:eastAsiaTheme="minorEastAsia" w:cstheme="minorEastAsia"/>
          <w:spacing w:val="-9"/>
          <w:sz w:val="24"/>
          <w:highlight w:val="none"/>
          <w:lang w:val="en-US" w:eastAsia="zh-CN"/>
        </w:rPr>
        <w:t>7</w:t>
      </w:r>
      <w:r>
        <w:rPr>
          <w:rFonts w:hint="eastAsia" w:asciiTheme="minorEastAsia" w:hAnsiTheme="minorEastAsia" w:eastAsiaTheme="minorEastAsia" w:cstheme="minorEastAsia"/>
          <w:spacing w:val="-9"/>
          <w:sz w:val="24"/>
          <w:highlight w:val="none"/>
        </w:rPr>
        <w:t>月</w:t>
      </w:r>
      <w:r>
        <w:rPr>
          <w:rFonts w:hint="eastAsia" w:asciiTheme="minorEastAsia" w:hAnsiTheme="minorEastAsia" w:eastAsiaTheme="minorEastAsia" w:cstheme="minorEastAsia"/>
          <w:spacing w:val="-9"/>
          <w:sz w:val="24"/>
          <w:highlight w:val="none"/>
          <w:lang w:val="en-US" w:eastAsia="zh-CN"/>
        </w:rPr>
        <w:t>23</w:t>
      </w:r>
      <w:r>
        <w:rPr>
          <w:rFonts w:hint="eastAsia" w:asciiTheme="minorEastAsia" w:hAnsiTheme="minorEastAsia" w:eastAsiaTheme="minorEastAsia" w:cstheme="minorEastAsia"/>
          <w:spacing w:val="-9"/>
          <w:sz w:val="24"/>
          <w:highlight w:val="none"/>
        </w:rPr>
        <w:t>日至2026年</w:t>
      </w:r>
      <w:r>
        <w:rPr>
          <w:rFonts w:hint="eastAsia" w:asciiTheme="minorEastAsia" w:hAnsiTheme="minorEastAsia" w:eastAsiaTheme="minorEastAsia" w:cstheme="minorEastAsia"/>
          <w:spacing w:val="-9"/>
          <w:sz w:val="24"/>
          <w:highlight w:val="none"/>
          <w:lang w:val="en-US" w:eastAsia="zh-CN"/>
        </w:rPr>
        <w:t>7</w:t>
      </w:r>
      <w:r>
        <w:rPr>
          <w:rFonts w:hint="eastAsia" w:asciiTheme="minorEastAsia" w:hAnsiTheme="minorEastAsia" w:eastAsiaTheme="minorEastAsia" w:cstheme="minorEastAsia"/>
          <w:spacing w:val="-9"/>
          <w:sz w:val="24"/>
          <w:highlight w:val="none"/>
        </w:rPr>
        <w:t>月</w:t>
      </w:r>
      <w:r>
        <w:rPr>
          <w:rFonts w:hint="eastAsia" w:asciiTheme="minorEastAsia" w:hAnsiTheme="minorEastAsia" w:eastAsiaTheme="minorEastAsia" w:cstheme="minorEastAsia"/>
          <w:spacing w:val="-9"/>
          <w:sz w:val="24"/>
          <w:highlight w:val="none"/>
          <w:lang w:val="en-US" w:eastAsia="zh-CN"/>
        </w:rPr>
        <w:t>29</w:t>
      </w:r>
      <w:r>
        <w:rPr>
          <w:rFonts w:hint="eastAsia" w:asciiTheme="minorEastAsia" w:hAnsiTheme="minorEastAsia" w:eastAsiaTheme="minorEastAsia" w:cstheme="minorEastAsia"/>
          <w:spacing w:val="-9"/>
          <w:sz w:val="24"/>
          <w:highlight w:val="none"/>
        </w:rPr>
        <w:t>日，</w:t>
      </w:r>
      <w:r>
        <w:rPr>
          <w:rFonts w:hint="eastAsia" w:asciiTheme="minorEastAsia" w:hAnsiTheme="minorEastAsia" w:eastAsiaTheme="minorEastAsia"/>
          <w:sz w:val="24"/>
          <w:highlight w:val="none"/>
        </w:rPr>
        <w:t>每</w:t>
      </w:r>
      <w:r>
        <w:rPr>
          <w:rFonts w:hint="eastAsia" w:asciiTheme="minorEastAsia" w:hAnsiTheme="minorEastAsia" w:eastAsiaTheme="minorEastAsia"/>
          <w:sz w:val="24"/>
        </w:rPr>
        <w:t>天上午9:00至12:00，下午12:00至17:00（北京时间，法定节假日除外）</w:t>
      </w:r>
      <w:r>
        <w:rPr>
          <w:sz w:val="24"/>
          <w:lang w:bidi="ar"/>
        </w:rPr>
        <w:t>。</w:t>
      </w:r>
    </w:p>
    <w:p w14:paraId="00B9D1A8">
      <w:pPr>
        <w:adjustRightInd w:val="0"/>
        <w:snapToGrid w:val="0"/>
        <w:spacing w:line="360" w:lineRule="auto"/>
        <w:ind w:firstLine="480" w:firstLineChars="200"/>
        <w:rPr>
          <w:sz w:val="24"/>
        </w:rPr>
      </w:pPr>
      <w:r>
        <w:rPr>
          <w:sz w:val="24"/>
          <w:lang w:bidi="ar"/>
        </w:rPr>
        <w:t>2.地点：北京市政府采购电子交易平台</w:t>
      </w:r>
    </w:p>
    <w:p w14:paraId="24995887">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59172656">
      <w:pPr>
        <w:widowControl/>
        <w:adjustRightInd w:val="0"/>
        <w:snapToGrid w:val="0"/>
        <w:spacing w:line="360" w:lineRule="auto"/>
        <w:ind w:firstLine="480" w:firstLineChars="200"/>
        <w:jc w:val="left"/>
        <w:rPr>
          <w:sz w:val="24"/>
        </w:rPr>
      </w:pPr>
      <w:r>
        <w:rPr>
          <w:sz w:val="24"/>
          <w:lang w:bidi="ar"/>
        </w:rPr>
        <w:t>4.售价：0元。</w:t>
      </w:r>
    </w:p>
    <w:p w14:paraId="64D15C36">
      <w:pPr>
        <w:pStyle w:val="2"/>
        <w:widowControl/>
        <w:spacing w:before="0" w:line="360" w:lineRule="auto"/>
        <w:jc w:val="left"/>
        <w:rPr>
          <w:rFonts w:ascii="Times New Roman" w:hAnsi="Times New Roman" w:eastAsia="宋体"/>
          <w:sz w:val="24"/>
          <w:szCs w:val="24"/>
        </w:rPr>
      </w:pPr>
      <w:bookmarkStart w:id="14" w:name="_Toc28359005"/>
      <w:bookmarkStart w:id="15" w:name="_Toc28359082"/>
      <w:bookmarkStart w:id="16" w:name="_Toc35393793"/>
      <w:bookmarkStart w:id="17" w:name="_Toc35393624"/>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553E16EC">
      <w:pPr>
        <w:spacing w:line="360" w:lineRule="auto"/>
        <w:ind w:firstLine="480" w:firstLineChars="200"/>
        <w:rPr>
          <w:bCs/>
          <w:sz w:val="24"/>
          <w:highlight w:val="yellow"/>
          <w:u w:val="single"/>
        </w:rPr>
      </w:pPr>
      <w:r>
        <w:rPr>
          <w:sz w:val="24"/>
          <w:highlight w:val="none"/>
          <w:lang w:bidi="ar"/>
        </w:rPr>
        <w:t>投标截止时间、开标时间：</w:t>
      </w:r>
      <w:r>
        <w:rPr>
          <w:rFonts w:hint="eastAsia" w:asciiTheme="minorEastAsia" w:hAnsiTheme="minorEastAsia" w:eastAsiaTheme="minorEastAsia" w:cstheme="minorEastAsia"/>
          <w:spacing w:val="-10"/>
          <w:sz w:val="24"/>
          <w:highlight w:val="none"/>
        </w:rPr>
        <w:t>2026年</w:t>
      </w:r>
      <w:r>
        <w:rPr>
          <w:rFonts w:hint="eastAsia" w:asciiTheme="minorEastAsia" w:hAnsiTheme="minorEastAsia" w:eastAsiaTheme="minorEastAsia" w:cstheme="minorEastAsia"/>
          <w:spacing w:val="-10"/>
          <w:sz w:val="24"/>
          <w:highlight w:val="none"/>
          <w:lang w:val="en-US" w:eastAsia="zh-CN"/>
        </w:rPr>
        <w:t>8</w:t>
      </w:r>
      <w:r>
        <w:rPr>
          <w:rFonts w:hint="eastAsia" w:asciiTheme="minorEastAsia" w:hAnsiTheme="minorEastAsia" w:eastAsiaTheme="minorEastAsia" w:cstheme="minorEastAsia"/>
          <w:spacing w:val="-10"/>
          <w:sz w:val="24"/>
          <w:highlight w:val="none"/>
        </w:rPr>
        <w:t>月</w:t>
      </w:r>
      <w:r>
        <w:rPr>
          <w:rFonts w:hint="eastAsia" w:asciiTheme="minorEastAsia" w:hAnsiTheme="minorEastAsia" w:eastAsiaTheme="minorEastAsia" w:cstheme="minorEastAsia"/>
          <w:spacing w:val="-10"/>
          <w:sz w:val="24"/>
          <w:highlight w:val="none"/>
          <w:lang w:val="en-US" w:eastAsia="zh-CN"/>
        </w:rPr>
        <w:t>12</w:t>
      </w:r>
      <w:r>
        <w:rPr>
          <w:rFonts w:hint="eastAsia" w:asciiTheme="minorEastAsia" w:hAnsiTheme="minorEastAsia" w:eastAsiaTheme="minorEastAsia" w:cstheme="minorEastAsia"/>
          <w:spacing w:val="-10"/>
          <w:sz w:val="24"/>
          <w:highlight w:val="none"/>
        </w:rPr>
        <w:t>日</w:t>
      </w:r>
      <w:r>
        <w:rPr>
          <w:rFonts w:hint="eastAsia" w:asciiTheme="minorEastAsia" w:hAnsiTheme="minorEastAsia" w:eastAsiaTheme="minorEastAsia" w:cstheme="minorEastAsia"/>
          <w:spacing w:val="-10"/>
          <w:sz w:val="24"/>
          <w:highlight w:val="none"/>
          <w:lang w:val="en-US" w:eastAsia="zh-CN"/>
        </w:rPr>
        <w:t>9</w:t>
      </w:r>
      <w:r>
        <w:rPr>
          <w:rFonts w:hint="eastAsia" w:asciiTheme="minorEastAsia" w:hAnsiTheme="minorEastAsia" w:eastAsiaTheme="minorEastAsia" w:cstheme="minorEastAsia"/>
          <w:spacing w:val="-10"/>
          <w:sz w:val="24"/>
          <w:highlight w:val="none"/>
        </w:rPr>
        <w:t>点</w:t>
      </w:r>
      <w:r>
        <w:rPr>
          <w:rFonts w:hint="eastAsia" w:asciiTheme="minorEastAsia" w:hAnsiTheme="minorEastAsia" w:eastAsiaTheme="minorEastAsia" w:cstheme="minorEastAsia"/>
          <w:spacing w:val="-10"/>
          <w:sz w:val="24"/>
          <w:highlight w:val="none"/>
          <w:lang w:val="en-US" w:eastAsia="zh-CN"/>
        </w:rPr>
        <w:t>00</w:t>
      </w:r>
      <w:r>
        <w:rPr>
          <w:rFonts w:hint="eastAsia" w:asciiTheme="minorEastAsia" w:hAnsiTheme="minorEastAsia" w:eastAsiaTheme="minorEastAsia" w:cstheme="minorEastAsia"/>
          <w:spacing w:val="-10"/>
          <w:sz w:val="24"/>
          <w:highlight w:val="none"/>
        </w:rPr>
        <w:t>分（北京时间）。</w:t>
      </w:r>
    </w:p>
    <w:p w14:paraId="02647BA0">
      <w:pPr>
        <w:spacing w:line="360" w:lineRule="auto"/>
        <w:ind w:firstLine="480" w:firstLineChars="200"/>
        <w:rPr>
          <w:bCs/>
          <w:sz w:val="24"/>
          <w:u w:val="single"/>
        </w:rPr>
      </w:pPr>
      <w:r>
        <w:rPr>
          <w:sz w:val="24"/>
          <w:lang w:bidi="ar"/>
        </w:rPr>
        <w:t>地点：北京市政府采购电子交易平台</w:t>
      </w:r>
      <w:r>
        <w:rPr>
          <w:sz w:val="24"/>
          <w:lang w:val="zh-TW" w:bidi="ar"/>
        </w:rPr>
        <w:t>。</w:t>
      </w:r>
    </w:p>
    <w:p w14:paraId="2C5015DF">
      <w:pPr>
        <w:pStyle w:val="2"/>
        <w:spacing w:before="0" w:line="360" w:lineRule="auto"/>
        <w:jc w:val="left"/>
        <w:rPr>
          <w:rFonts w:ascii="Times New Roman" w:hAnsi="Times New Roman" w:eastAsia="宋体"/>
          <w:sz w:val="24"/>
          <w:szCs w:val="24"/>
        </w:rPr>
      </w:pPr>
      <w:bookmarkStart w:id="18" w:name="_Toc28359007"/>
      <w:bookmarkStart w:id="19" w:name="_Toc35393625"/>
      <w:bookmarkStart w:id="20" w:name="_Toc35393794"/>
      <w:bookmarkStart w:id="21" w:name="_Toc28359084"/>
      <w:r>
        <w:rPr>
          <w:rFonts w:ascii="Times New Roman" w:hAnsi="Times New Roman" w:eastAsia="宋体"/>
          <w:sz w:val="24"/>
          <w:szCs w:val="24"/>
        </w:rPr>
        <w:t>五、公告期限</w:t>
      </w:r>
      <w:bookmarkEnd w:id="18"/>
      <w:bookmarkEnd w:id="19"/>
      <w:bookmarkEnd w:id="20"/>
      <w:bookmarkEnd w:id="21"/>
    </w:p>
    <w:p w14:paraId="70B0F7DF">
      <w:pPr>
        <w:spacing w:line="360" w:lineRule="auto"/>
        <w:ind w:firstLine="480" w:firstLineChars="200"/>
        <w:rPr>
          <w:kern w:val="0"/>
          <w:sz w:val="24"/>
        </w:rPr>
      </w:pPr>
      <w:r>
        <w:rPr>
          <w:kern w:val="0"/>
          <w:sz w:val="24"/>
        </w:rPr>
        <w:t>自本公告发布之日起5个工作日。</w:t>
      </w:r>
    </w:p>
    <w:p w14:paraId="70F3EA87">
      <w:pPr>
        <w:pStyle w:val="2"/>
        <w:spacing w:before="0" w:line="360" w:lineRule="auto"/>
        <w:jc w:val="left"/>
        <w:rPr>
          <w:rFonts w:ascii="Times New Roman" w:hAnsi="Times New Roman" w:eastAsia="宋体"/>
          <w:sz w:val="24"/>
          <w:szCs w:val="24"/>
        </w:rPr>
      </w:pPr>
      <w:bookmarkStart w:id="22" w:name="_Toc35393626"/>
      <w:bookmarkStart w:id="23" w:name="_Toc35393795"/>
      <w:r>
        <w:rPr>
          <w:rFonts w:ascii="Times New Roman" w:hAnsi="Times New Roman" w:eastAsia="宋体"/>
          <w:sz w:val="24"/>
          <w:szCs w:val="24"/>
        </w:rPr>
        <w:t>六、其他补充事宜</w:t>
      </w:r>
      <w:bookmarkEnd w:id="22"/>
      <w:bookmarkEnd w:id="23"/>
    </w:p>
    <w:p w14:paraId="1E06E529">
      <w:pPr>
        <w:widowControl/>
        <w:kinsoku w:val="0"/>
        <w:autoSpaceDE w:val="0"/>
        <w:autoSpaceDN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pacing w:val="-1"/>
          <w:sz w:val="24"/>
        </w:rPr>
      </w:pPr>
      <w:r>
        <w:rPr>
          <w:sz w:val="24"/>
        </w:rPr>
        <w:t>1.本项目需要落实的政府采购政策：</w:t>
      </w:r>
      <w:r>
        <w:rPr>
          <w:rFonts w:hint="eastAsia" w:asciiTheme="minorEastAsia" w:hAnsiTheme="minorEastAsia" w:eastAsiaTheme="minorEastAsia"/>
          <w:sz w:val="24"/>
          <w:lang w:bidi="ar"/>
        </w:rPr>
        <w:t>本项目落实政府采购促进中小企业发展、政府采购促进残疾人就业、政府采购信用担保、节能产品、环境标志产品优先采购等政府采购政策</w:t>
      </w:r>
      <w:r>
        <w:rPr>
          <w:rFonts w:hint="eastAsia" w:asciiTheme="minorEastAsia" w:hAnsiTheme="minorEastAsia" w:eastAsiaTheme="minorEastAsia" w:cstheme="minorEastAsia"/>
          <w:spacing w:val="-1"/>
          <w:sz w:val="24"/>
        </w:rPr>
        <w:t xml:space="preserve"> 。       </w:t>
      </w:r>
    </w:p>
    <w:p w14:paraId="0B84F6B8">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6053FC51">
      <w:pPr>
        <w:adjustRightInd w:val="0"/>
        <w:snapToGrid w:val="0"/>
        <w:spacing w:line="360" w:lineRule="auto"/>
        <w:ind w:firstLine="480" w:firstLineChars="200"/>
        <w:rPr>
          <w:sz w:val="24"/>
          <w:lang w:bidi="ar"/>
        </w:rPr>
      </w:pPr>
      <w:r>
        <w:rPr>
          <w:sz w:val="24"/>
          <w:lang w:bidi="ar"/>
        </w:rPr>
        <w:t>CA数字证书服务热线 010-58511086</w:t>
      </w:r>
    </w:p>
    <w:p w14:paraId="21714F51">
      <w:pPr>
        <w:adjustRightInd w:val="0"/>
        <w:snapToGrid w:val="0"/>
        <w:spacing w:line="360" w:lineRule="auto"/>
        <w:ind w:firstLine="480" w:firstLineChars="200"/>
        <w:rPr>
          <w:sz w:val="24"/>
        </w:rPr>
      </w:pPr>
      <w:r>
        <w:rPr>
          <w:sz w:val="24"/>
          <w:lang w:bidi="ar"/>
        </w:rPr>
        <w:t>电子营业执照服务热线 400-699-7000</w:t>
      </w:r>
    </w:p>
    <w:p w14:paraId="1D18E742">
      <w:pPr>
        <w:adjustRightInd w:val="0"/>
        <w:snapToGrid w:val="0"/>
        <w:spacing w:line="360" w:lineRule="auto"/>
        <w:ind w:firstLine="480" w:firstLineChars="200"/>
        <w:rPr>
          <w:sz w:val="24"/>
        </w:rPr>
      </w:pPr>
      <w:r>
        <w:rPr>
          <w:sz w:val="24"/>
          <w:lang w:bidi="ar"/>
        </w:rPr>
        <w:t>技术支持服务热线</w:t>
      </w:r>
      <w:r>
        <w:rPr>
          <w:rFonts w:hint="eastAsia"/>
          <w:sz w:val="24"/>
          <w:lang w:bidi="ar"/>
        </w:rPr>
        <w:t xml:space="preserve"> </w:t>
      </w:r>
      <w:r>
        <w:rPr>
          <w:sz w:val="24"/>
          <w:lang w:bidi="ar"/>
        </w:rPr>
        <w:t>010-86483801</w:t>
      </w:r>
    </w:p>
    <w:p w14:paraId="7C8653F0">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1B2CFFCE">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6B4AF317">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124F2689">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39F818E3">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341392EF">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66A0B85">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73A10D19">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49C2A7AD">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6316EFA4">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0154097">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06D34997">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3B1E10C3">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0411964C">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2451FF4">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0D1E7A74">
      <w:pPr>
        <w:spacing w:line="360" w:lineRule="auto"/>
        <w:ind w:firstLine="480" w:firstLineChars="200"/>
        <w:rPr>
          <w:sz w:val="24"/>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1E254385">
      <w:pPr>
        <w:pStyle w:val="2"/>
        <w:spacing w:before="0" w:line="360" w:lineRule="auto"/>
        <w:jc w:val="left"/>
        <w:rPr>
          <w:rFonts w:ascii="Times New Roman" w:hAnsi="Times New Roman" w:eastAsia="宋体"/>
          <w:sz w:val="24"/>
          <w:szCs w:val="24"/>
        </w:rPr>
      </w:pPr>
      <w:bookmarkStart w:id="24" w:name="_Toc28359008"/>
      <w:bookmarkStart w:id="25" w:name="_Toc35393627"/>
      <w:bookmarkStart w:id="26" w:name="_Toc28359085"/>
      <w:bookmarkStart w:id="27" w:name="_Toc35393796"/>
      <w:r>
        <w:rPr>
          <w:rFonts w:ascii="Times New Roman" w:hAnsi="Times New Roman" w:eastAsia="宋体"/>
          <w:sz w:val="24"/>
          <w:szCs w:val="24"/>
        </w:rPr>
        <w:t>七、对本次招标提出询问，请按以下方式联系。</w:t>
      </w:r>
      <w:bookmarkEnd w:id="24"/>
      <w:bookmarkEnd w:id="25"/>
      <w:bookmarkEnd w:id="26"/>
      <w:bookmarkEnd w:id="27"/>
    </w:p>
    <w:p w14:paraId="0075B261">
      <w:pPr>
        <w:spacing w:line="360" w:lineRule="auto"/>
        <w:ind w:left="1080" w:leftChars="371" w:hanging="301" w:hangingChars="125"/>
        <w:jc w:val="left"/>
        <w:rPr>
          <w:b/>
          <w:sz w:val="24"/>
        </w:rPr>
      </w:pPr>
      <w:r>
        <w:rPr>
          <w:b/>
          <w:sz w:val="24"/>
        </w:rPr>
        <w:t>1.采购人信息</w:t>
      </w:r>
    </w:p>
    <w:p w14:paraId="7571BAF2">
      <w:pPr>
        <w:spacing w:line="360" w:lineRule="auto"/>
        <w:ind w:left="1079" w:leftChars="371" w:hanging="300" w:hangingChars="125"/>
        <w:jc w:val="left"/>
        <w:rPr>
          <w:sz w:val="24"/>
          <w:highlight w:val="none"/>
        </w:rPr>
      </w:pPr>
      <w:bookmarkStart w:id="28" w:name="_Toc28359086"/>
      <w:bookmarkStart w:id="29" w:name="_Toc28359009"/>
      <w:r>
        <w:rPr>
          <w:sz w:val="24"/>
          <w:highlight w:val="none"/>
        </w:rPr>
        <w:t>名    称：</w:t>
      </w:r>
      <w:r>
        <w:rPr>
          <w:rFonts w:hint="eastAsia"/>
          <w:sz w:val="24"/>
          <w:highlight w:val="none"/>
        </w:rPr>
        <w:t>北京市丰台区</w:t>
      </w:r>
      <w:r>
        <w:rPr>
          <w:rFonts w:hint="eastAsia"/>
          <w:sz w:val="24"/>
          <w:highlight w:val="none"/>
          <w:lang w:eastAsia="zh-CN"/>
        </w:rPr>
        <w:t>文化和旅游局</w:t>
      </w:r>
    </w:p>
    <w:p w14:paraId="6BE22A6E">
      <w:pPr>
        <w:spacing w:line="360" w:lineRule="auto"/>
        <w:ind w:left="1079" w:leftChars="371" w:hanging="300" w:hangingChars="125"/>
        <w:jc w:val="left"/>
        <w:rPr>
          <w:rFonts w:hint="default" w:eastAsia="宋体"/>
          <w:sz w:val="24"/>
          <w:highlight w:val="none"/>
          <w:lang w:val="en-US" w:eastAsia="zh-CN"/>
        </w:rPr>
      </w:pPr>
      <w:r>
        <w:rPr>
          <w:sz w:val="24"/>
          <w:highlight w:val="none"/>
        </w:rPr>
        <w:t>地    址：</w:t>
      </w:r>
      <w:r>
        <w:rPr>
          <w:rFonts w:hint="eastAsia"/>
          <w:sz w:val="24"/>
          <w:highlight w:val="none"/>
          <w:lang w:eastAsia="zh-CN"/>
        </w:rPr>
        <w:t>北京市丰台区南苑路</w:t>
      </w:r>
      <w:r>
        <w:rPr>
          <w:rFonts w:hint="eastAsia"/>
          <w:sz w:val="24"/>
          <w:highlight w:val="none"/>
          <w:lang w:val="en-US" w:eastAsia="zh-CN"/>
        </w:rPr>
        <w:t>7号</w:t>
      </w:r>
    </w:p>
    <w:p w14:paraId="53BD70D3">
      <w:pPr>
        <w:spacing w:line="360" w:lineRule="auto"/>
        <w:ind w:left="1079" w:leftChars="371" w:hanging="300" w:hangingChars="125"/>
        <w:jc w:val="left"/>
        <w:rPr>
          <w:rFonts w:hint="default" w:eastAsia="宋体"/>
          <w:sz w:val="24"/>
          <w:highlight w:val="none"/>
          <w:lang w:val="en-US" w:eastAsia="zh-CN"/>
        </w:rPr>
      </w:pPr>
      <w:r>
        <w:rPr>
          <w:sz w:val="24"/>
          <w:highlight w:val="none"/>
        </w:rPr>
        <w:t>联系方式：</w:t>
      </w:r>
      <w:r>
        <w:rPr>
          <w:rFonts w:hint="eastAsia"/>
          <w:sz w:val="24"/>
          <w:highlight w:val="none"/>
          <w:lang w:val="en-US" w:eastAsia="zh-CN"/>
        </w:rPr>
        <w:t>牛老师010-87017242</w:t>
      </w:r>
    </w:p>
    <w:p w14:paraId="0BE3BFE9">
      <w:pPr>
        <w:spacing w:line="360" w:lineRule="auto"/>
        <w:ind w:left="1080" w:leftChars="371" w:hanging="301" w:hangingChars="125"/>
        <w:jc w:val="left"/>
        <w:rPr>
          <w:b/>
          <w:sz w:val="24"/>
        </w:rPr>
      </w:pPr>
      <w:r>
        <w:rPr>
          <w:b/>
          <w:sz w:val="24"/>
        </w:rPr>
        <w:t>2.采购代理机构信息</w:t>
      </w:r>
      <w:bookmarkEnd w:id="28"/>
      <w:bookmarkEnd w:id="29"/>
    </w:p>
    <w:p w14:paraId="11E038CF">
      <w:pPr>
        <w:spacing w:line="360" w:lineRule="auto"/>
        <w:ind w:left="1079" w:leftChars="371" w:hanging="300" w:hangingChars="125"/>
        <w:jc w:val="left"/>
        <w:rPr>
          <w:bCs/>
          <w:sz w:val="24"/>
        </w:rPr>
      </w:pPr>
      <w:bookmarkStart w:id="30" w:name="_Toc28359010"/>
      <w:bookmarkStart w:id="31" w:name="_Toc28359087"/>
      <w:r>
        <w:rPr>
          <w:rFonts w:hint="eastAsia"/>
          <w:bCs/>
          <w:sz w:val="24"/>
        </w:rPr>
        <w:t>名称：北京东方宏正工程管理有限公司</w:t>
      </w:r>
    </w:p>
    <w:p w14:paraId="5C322FE3">
      <w:pPr>
        <w:spacing w:line="360" w:lineRule="auto"/>
        <w:ind w:left="1079" w:leftChars="371" w:hanging="300" w:hangingChars="125"/>
        <w:jc w:val="left"/>
        <w:rPr>
          <w:bCs/>
          <w:sz w:val="24"/>
        </w:rPr>
      </w:pPr>
      <w:r>
        <w:rPr>
          <w:rFonts w:hint="eastAsia"/>
          <w:bCs/>
          <w:sz w:val="24"/>
        </w:rPr>
        <w:t>地址：北京市丰台区汽车博物馆东路盈坤世纪G座902A</w:t>
      </w:r>
    </w:p>
    <w:p w14:paraId="29BC543C">
      <w:pPr>
        <w:spacing w:line="360" w:lineRule="auto"/>
        <w:ind w:left="1079" w:leftChars="371" w:hanging="300" w:hangingChars="125"/>
        <w:jc w:val="left"/>
        <w:rPr>
          <w:bCs/>
          <w:sz w:val="24"/>
        </w:rPr>
      </w:pPr>
      <w:r>
        <w:rPr>
          <w:rFonts w:hint="eastAsia"/>
          <w:bCs/>
          <w:sz w:val="24"/>
        </w:rPr>
        <w:t>联系方式：010-63727291</w:t>
      </w:r>
    </w:p>
    <w:p w14:paraId="5C5261F8">
      <w:pPr>
        <w:spacing w:line="360" w:lineRule="auto"/>
        <w:ind w:left="1080" w:leftChars="371" w:hanging="301" w:hangingChars="125"/>
        <w:jc w:val="left"/>
        <w:rPr>
          <w:b/>
          <w:sz w:val="24"/>
          <w:u w:val="single"/>
        </w:rPr>
      </w:pPr>
      <w:r>
        <w:rPr>
          <w:b/>
          <w:sz w:val="24"/>
        </w:rPr>
        <w:t>3.项目联系方式</w:t>
      </w:r>
      <w:bookmarkEnd w:id="30"/>
      <w:bookmarkEnd w:id="31"/>
    </w:p>
    <w:p w14:paraId="2ABBBF3B">
      <w:pPr>
        <w:spacing w:line="360" w:lineRule="auto"/>
        <w:ind w:firstLine="720" w:firstLineChars="300"/>
        <w:jc w:val="left"/>
        <w:rPr>
          <w:rFonts w:hint="eastAsia" w:asciiTheme="minorEastAsia" w:hAnsiTheme="minorEastAsia" w:eastAsiaTheme="minorEastAsia"/>
          <w:sz w:val="24"/>
        </w:rPr>
      </w:pPr>
      <w:r>
        <w:rPr>
          <w:rFonts w:asciiTheme="minorEastAsia" w:hAnsiTheme="minorEastAsia" w:eastAsiaTheme="minorEastAsia"/>
          <w:sz w:val="24"/>
        </w:rPr>
        <w:t>项目联系人：</w:t>
      </w:r>
      <w:r>
        <w:rPr>
          <w:rFonts w:hint="eastAsia" w:asciiTheme="minorEastAsia" w:hAnsiTheme="minorEastAsia" w:eastAsiaTheme="minorEastAsia"/>
          <w:sz w:val="24"/>
        </w:rPr>
        <w:t>陶韩、朱艾、王振洋、马阿曼、赵彦朝</w:t>
      </w:r>
    </w:p>
    <w:p w14:paraId="18A80B44">
      <w:pPr>
        <w:pStyle w:val="4"/>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rPr>
        <w:t>电话：</w:t>
      </w:r>
      <w:bookmarkStart w:id="32" w:name="OLE_LINK1"/>
      <w:r>
        <w:rPr>
          <w:rFonts w:asciiTheme="minorEastAsia" w:hAnsiTheme="minorEastAsia" w:eastAsiaTheme="minorEastAsia"/>
          <w:sz w:val="24"/>
        </w:rPr>
        <w:t>010-63727291</w:t>
      </w:r>
      <w:bookmarkEnd w:id="32"/>
    </w:p>
    <w:p w14:paraId="56648F48">
      <w:r>
        <w:br w:type="page"/>
      </w:r>
    </w:p>
    <w:p w14:paraId="5637B75A">
      <w:pPr>
        <w:numPr>
          <w:ilvl w:val="0"/>
          <w:numId w:val="1"/>
        </w:numPr>
        <w:spacing w:line="360" w:lineRule="auto"/>
        <w:jc w:val="center"/>
        <w:outlineLvl w:val="0"/>
        <w:rPr>
          <w:b/>
          <w:sz w:val="36"/>
          <w:szCs w:val="36"/>
        </w:rPr>
      </w:pPr>
      <w:bookmarkStart w:id="33" w:name="_Toc99301424"/>
      <w:r>
        <w:rPr>
          <w:b/>
          <w:sz w:val="36"/>
          <w:szCs w:val="36"/>
        </w:rPr>
        <w:t xml:space="preserve">  采购需求</w:t>
      </w:r>
      <w:bookmarkEnd w:id="33"/>
    </w:p>
    <w:p w14:paraId="3A263064">
      <w:pPr>
        <w:keepNext w:val="0"/>
        <w:keepLines w:val="0"/>
        <w:pageBreakBefore w:val="0"/>
        <w:widowControl w:val="0"/>
        <w:kinsoku/>
        <w:wordWrap/>
        <w:overflowPunct/>
        <w:topLinePunct w:val="0"/>
        <w:autoSpaceDE/>
        <w:autoSpaceDN/>
        <w:bidi w:val="0"/>
        <w:adjustRightInd/>
        <w:snapToGrid/>
        <w:spacing w:before="1" w:line="360" w:lineRule="auto"/>
        <w:jc w:val="left"/>
        <w:textAlignment w:val="auto"/>
        <w:rPr>
          <w:rFonts w:hint="eastAsia" w:ascii="宋体" w:hAnsi="宋体" w:cs="宋体"/>
          <w:b/>
          <w:bCs w:val="0"/>
          <w:sz w:val="24"/>
          <w:lang w:val="en-US" w:eastAsia="zh-CN"/>
        </w:rPr>
      </w:pPr>
      <w:r>
        <w:rPr>
          <w:rFonts w:hint="eastAsia" w:ascii="宋体" w:hAnsi="宋体" w:cs="宋体"/>
          <w:b/>
          <w:bCs w:val="0"/>
          <w:sz w:val="24"/>
          <w:lang w:val="en-US" w:eastAsia="zh-CN"/>
        </w:rPr>
        <w:t>一、项目背景</w:t>
      </w:r>
    </w:p>
    <w:p w14:paraId="64DC3BF3">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针对</w:t>
      </w:r>
      <w:r>
        <w:rPr>
          <w:rFonts w:hint="eastAsia" w:ascii="宋体" w:hAnsi="宋体" w:eastAsia="宋体" w:cs="宋体"/>
          <w:kern w:val="0"/>
          <w:sz w:val="24"/>
          <w:szCs w:val="24"/>
        </w:rPr>
        <w:t>第十届中国戏曲文化周成果线下回顾展的素材整理与研究、展览策划、展陈大纲撰写、展陈设计、展览场地协调、展览搭建、多媒体及新媒体内容制作、开展仪式策划与实施等全过程展览服务。</w:t>
      </w:r>
    </w:p>
    <w:p w14:paraId="71321DA7">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国戏曲文化周是由文化和旅游部、北京市政府主办，北京市文旅局、丰台区委区政府等单位承办的国家级群众性戏曲文化活动。2026年恰逢十周年，本届活动以“中国梦·中华魂·戏曲情”为主题，于9月29日至10月5日在园博园举办主会场活动，同步在宛平城、京内专业剧场及国内外城市设置分会场。</w:t>
      </w:r>
    </w:p>
    <w:p w14:paraId="43E305F2">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cs="宋体"/>
          <w:b/>
          <w:sz w:val="24"/>
          <w:szCs w:val="24"/>
        </w:rPr>
      </w:pPr>
      <w:r>
        <w:rPr>
          <w:rFonts w:hint="eastAsia" w:ascii="宋体" w:hAnsi="宋体" w:eastAsia="宋体" w:cs="宋体"/>
          <w:kern w:val="0"/>
          <w:sz w:val="24"/>
          <w:szCs w:val="24"/>
          <w:highlight w:val="none"/>
        </w:rPr>
        <w:t>本届戏曲文化周拟在宛平城设置分会场，举办十周年回顾展。展览场地为宛平城一处室内空间，包含主展厅及三合院，共计约300平方米。展览内容需系统回顾戏曲文化周十年发展历程，展示戏曲文化周对中国戏曲文化传承发展的积极贡献，并展望未来创新发展方向。</w:t>
      </w:r>
    </w:p>
    <w:p w14:paraId="5283E18F">
      <w:pPr>
        <w:pStyle w:val="7"/>
        <w:keepNext w:val="0"/>
        <w:keepLines w:val="0"/>
        <w:pageBreakBefore w:val="0"/>
        <w:widowControl w:val="0"/>
        <w:numPr>
          <w:ilvl w:val="0"/>
          <w:numId w:val="0"/>
        </w:numPr>
        <w:kinsoku/>
        <w:wordWrap/>
        <w:overflowPunct/>
        <w:topLinePunct w:val="0"/>
        <w:autoSpaceDE/>
        <w:autoSpaceDN/>
        <w:bidi w:val="0"/>
        <w:snapToGrid/>
        <w:spacing w:line="360" w:lineRule="auto"/>
        <w:ind w:leftChars="0"/>
        <w:contextualSpacing/>
        <w:textAlignment w:val="auto"/>
        <w:rPr>
          <w:rFonts w:hint="eastAsia" w:ascii="宋体" w:hAnsi="宋体" w:cs="宋体"/>
          <w:b/>
          <w:sz w:val="24"/>
          <w:szCs w:val="24"/>
        </w:rPr>
      </w:pPr>
      <w:r>
        <w:rPr>
          <w:rFonts w:hint="eastAsia" w:ascii="宋体" w:hAnsi="宋体" w:cs="宋体"/>
          <w:b/>
          <w:sz w:val="24"/>
          <w:szCs w:val="24"/>
          <w:lang w:val="en-US" w:eastAsia="zh-CN"/>
        </w:rPr>
        <w:t>二、</w:t>
      </w:r>
      <w:r>
        <w:rPr>
          <w:rFonts w:hint="eastAsia" w:ascii="宋体" w:hAnsi="宋体" w:cs="宋体"/>
          <w:b/>
          <w:sz w:val="24"/>
          <w:szCs w:val="24"/>
        </w:rPr>
        <w:t>商务要求</w:t>
      </w:r>
    </w:p>
    <w:p w14:paraId="3B64A180">
      <w:pPr>
        <w:keepNext w:val="0"/>
        <w:keepLines w:val="0"/>
        <w:pageBreakBefore w:val="0"/>
        <w:widowControl w:val="0"/>
        <w:kinsoku/>
        <w:wordWrap/>
        <w:overflowPunct/>
        <w:topLinePunct w:val="0"/>
        <w:autoSpaceDE/>
        <w:autoSpaceDN/>
        <w:bidi w:val="0"/>
        <w:snapToGrid/>
        <w:spacing w:line="360" w:lineRule="auto"/>
        <w:contextualSpacing/>
        <w:textAlignment w:val="auto"/>
        <w:rPr>
          <w:rFonts w:hint="eastAsia" w:ascii="宋体" w:hAnsi="宋体" w:cs="宋体"/>
          <w:i/>
          <w:sz w:val="24"/>
        </w:rPr>
      </w:pPr>
      <w:r>
        <w:rPr>
          <w:rFonts w:hint="eastAsia" w:ascii="宋体" w:hAnsi="宋体" w:cs="宋体"/>
          <w:sz w:val="24"/>
        </w:rPr>
        <w:t>1. 交付（实施）的时间（期限）和地点（范围）</w:t>
      </w:r>
    </w:p>
    <w:p w14:paraId="3C30FA4E">
      <w:pPr>
        <w:keepNext w:val="0"/>
        <w:keepLines w:val="0"/>
        <w:pageBreakBefore w:val="0"/>
        <w:widowControl w:val="0"/>
        <w:kinsoku/>
        <w:wordWrap/>
        <w:overflowPunct/>
        <w:topLinePunct w:val="0"/>
        <w:autoSpaceDE/>
        <w:autoSpaceDN/>
        <w:bidi w:val="0"/>
        <w:snapToGrid/>
        <w:spacing w:line="360" w:lineRule="auto"/>
        <w:contextualSpacing/>
        <w:textAlignment w:val="auto"/>
        <w:rPr>
          <w:rFonts w:hint="eastAsia" w:ascii="宋体" w:hAnsi="宋体" w:cs="宋体"/>
          <w:sz w:val="24"/>
          <w:highlight w:val="none"/>
        </w:rPr>
      </w:pPr>
      <w:r>
        <w:rPr>
          <w:rFonts w:hint="eastAsia" w:ascii="宋体" w:hAnsi="宋体" w:cs="宋体"/>
          <w:sz w:val="24"/>
        </w:rPr>
        <w:t>（1）</w:t>
      </w:r>
      <w:r>
        <w:rPr>
          <w:rFonts w:hint="eastAsia" w:ascii="宋体" w:hAnsi="宋体" w:cs="宋体"/>
          <w:sz w:val="24"/>
          <w:highlight w:val="none"/>
          <w:lang w:val="en-US" w:eastAsia="zh-CN"/>
        </w:rPr>
        <w:t>开展闭展时间：预计9月初至12月（具体执行时间已采购人计划为准）</w:t>
      </w:r>
      <w:r>
        <w:rPr>
          <w:rFonts w:hint="eastAsia" w:ascii="宋体" w:hAnsi="宋体" w:cs="宋体"/>
          <w:sz w:val="24"/>
          <w:highlight w:val="none"/>
        </w:rPr>
        <w:t>。</w:t>
      </w:r>
    </w:p>
    <w:p w14:paraId="1E87B794">
      <w:pPr>
        <w:keepNext w:val="0"/>
        <w:keepLines w:val="0"/>
        <w:pageBreakBefore w:val="0"/>
        <w:widowControl w:val="0"/>
        <w:kinsoku/>
        <w:wordWrap/>
        <w:overflowPunct/>
        <w:topLinePunct w:val="0"/>
        <w:autoSpaceDE/>
        <w:autoSpaceDN/>
        <w:bidi w:val="0"/>
        <w:snapToGrid/>
        <w:spacing w:line="360" w:lineRule="auto"/>
        <w:contextualSpacing/>
        <w:textAlignment w:val="auto"/>
        <w:rPr>
          <w:rFonts w:hint="eastAsia" w:ascii="宋体" w:hAnsi="宋体" w:cs="宋体"/>
          <w:sz w:val="24"/>
          <w:highlight w:val="none"/>
        </w:rPr>
      </w:pPr>
      <w:r>
        <w:rPr>
          <w:rFonts w:hint="eastAsia" w:ascii="宋体" w:hAnsi="宋体" w:cs="宋体"/>
          <w:sz w:val="24"/>
          <w:highlight w:val="none"/>
        </w:rPr>
        <w:t>（2）实施地点：北京市（采购人指定地点）。</w:t>
      </w:r>
    </w:p>
    <w:p w14:paraId="4DCB3D00">
      <w:pPr>
        <w:keepNext w:val="0"/>
        <w:keepLines w:val="0"/>
        <w:pageBreakBefore w:val="0"/>
        <w:widowControl w:val="0"/>
        <w:kinsoku/>
        <w:wordWrap/>
        <w:overflowPunct/>
        <w:topLinePunct w:val="0"/>
        <w:autoSpaceDE/>
        <w:autoSpaceDN/>
        <w:bidi w:val="0"/>
        <w:snapToGrid/>
        <w:spacing w:line="360" w:lineRule="auto"/>
        <w:contextualSpacing/>
        <w:textAlignment w:val="auto"/>
        <w:rPr>
          <w:rFonts w:hint="eastAsia" w:ascii="宋体" w:hAnsi="宋体" w:eastAsia="宋体" w:cs="宋体"/>
          <w:sz w:val="24"/>
          <w:highlight w:val="none"/>
          <w:lang w:eastAsia="zh-CN"/>
        </w:rPr>
      </w:pPr>
      <w:r>
        <w:rPr>
          <w:rFonts w:hint="eastAsia" w:ascii="宋体" w:hAnsi="宋体" w:cs="宋体"/>
          <w:sz w:val="24"/>
          <w:highlight w:val="none"/>
          <w:lang w:eastAsia="zh-CN"/>
        </w:rPr>
        <w:t>（</w:t>
      </w:r>
      <w:r>
        <w:rPr>
          <w:rFonts w:hint="eastAsia" w:ascii="宋体" w:hAnsi="宋体" w:cs="宋体"/>
          <w:sz w:val="24"/>
          <w:highlight w:val="none"/>
          <w:lang w:val="en-US" w:eastAsia="zh-CN"/>
        </w:rPr>
        <w:t>3</w:t>
      </w:r>
      <w:r>
        <w:rPr>
          <w:rFonts w:hint="eastAsia" w:ascii="宋体" w:hAnsi="宋体" w:cs="宋体"/>
          <w:sz w:val="24"/>
          <w:highlight w:val="none"/>
          <w:lang w:eastAsia="zh-CN"/>
        </w:rPr>
        <w:t>）合同履行期限：</w:t>
      </w:r>
      <w:r>
        <w:rPr>
          <w:rFonts w:hint="eastAsia" w:ascii="宋体" w:hAnsi="宋体" w:cs="宋体"/>
          <w:sz w:val="24"/>
          <w:highlight w:val="none"/>
          <w:lang w:val="en-US" w:eastAsia="zh-CN"/>
        </w:rPr>
        <w:t>预计9月初至12月（具体执行时间已采购人计划为准）</w:t>
      </w:r>
      <w:r>
        <w:rPr>
          <w:rFonts w:hint="eastAsia" w:ascii="宋体" w:hAnsi="宋体" w:cs="宋体"/>
          <w:sz w:val="24"/>
          <w:highlight w:val="none"/>
          <w:lang w:eastAsia="zh-CN"/>
        </w:rPr>
        <w:t>，其中展览搭建须在开展前5日内完成并验收合格。</w:t>
      </w:r>
    </w:p>
    <w:p w14:paraId="06B9F89F">
      <w:pPr>
        <w:keepNext w:val="0"/>
        <w:keepLines w:val="0"/>
        <w:pageBreakBefore w:val="0"/>
        <w:widowControl w:val="0"/>
        <w:kinsoku/>
        <w:wordWrap/>
        <w:overflowPunct/>
        <w:topLinePunct w:val="0"/>
        <w:autoSpaceDE/>
        <w:autoSpaceDN/>
        <w:bidi w:val="0"/>
        <w:snapToGrid/>
        <w:spacing w:line="360" w:lineRule="auto"/>
        <w:contextualSpacing/>
        <w:textAlignment w:val="auto"/>
        <w:rPr>
          <w:rFonts w:hint="eastAsia" w:ascii="宋体" w:hAnsi="宋体" w:cs="宋体"/>
          <w:b w:val="0"/>
          <w:bCs/>
          <w:i w:val="0"/>
          <w:iCs/>
          <w:sz w:val="24"/>
        </w:rPr>
      </w:pPr>
      <w:r>
        <w:rPr>
          <w:rFonts w:hint="eastAsia" w:ascii="宋体" w:hAnsi="宋体" w:cs="宋体"/>
          <w:b w:val="0"/>
          <w:bCs/>
          <w:i w:val="0"/>
          <w:iCs/>
          <w:sz w:val="24"/>
        </w:rPr>
        <w:t>2.付款方式：签订合同后</w:t>
      </w:r>
      <w:r>
        <w:rPr>
          <w:rFonts w:hint="eastAsia" w:ascii="宋体" w:hAnsi="宋体" w:cs="宋体"/>
          <w:b w:val="0"/>
          <w:bCs/>
          <w:i w:val="0"/>
          <w:iCs/>
          <w:sz w:val="24"/>
          <w:lang w:val="en-US" w:eastAsia="zh-CN"/>
        </w:rPr>
        <w:t>30</w:t>
      </w:r>
      <w:r>
        <w:rPr>
          <w:rFonts w:hint="eastAsia" w:ascii="宋体" w:hAnsi="宋体" w:cs="宋体"/>
          <w:b w:val="0"/>
          <w:bCs/>
          <w:i w:val="0"/>
          <w:iCs/>
          <w:sz w:val="24"/>
          <w:lang w:eastAsia="zh-CN"/>
        </w:rPr>
        <w:t>工作日</w:t>
      </w:r>
      <w:r>
        <w:rPr>
          <w:rFonts w:hint="eastAsia" w:ascii="宋体" w:hAnsi="宋体" w:cs="宋体"/>
          <w:b w:val="0"/>
          <w:bCs/>
          <w:i w:val="0"/>
          <w:iCs/>
          <w:sz w:val="24"/>
        </w:rPr>
        <w:t>内，甲方支付乙方项目费用总额的</w:t>
      </w:r>
      <w:r>
        <w:rPr>
          <w:rFonts w:hint="eastAsia" w:ascii="宋体" w:hAnsi="宋体" w:cs="宋体"/>
          <w:b w:val="0"/>
          <w:bCs/>
          <w:i w:val="0"/>
          <w:iCs/>
          <w:sz w:val="24"/>
          <w:lang w:val="en-US" w:eastAsia="zh-CN"/>
        </w:rPr>
        <w:t>6</w:t>
      </w:r>
      <w:r>
        <w:rPr>
          <w:rFonts w:hint="eastAsia" w:ascii="宋体" w:hAnsi="宋体" w:cs="宋体"/>
          <w:b w:val="0"/>
          <w:bCs/>
          <w:i w:val="0"/>
          <w:iCs/>
          <w:sz w:val="24"/>
        </w:rPr>
        <w:t>0%，；2026年</w:t>
      </w:r>
      <w:r>
        <w:rPr>
          <w:rFonts w:hint="eastAsia" w:ascii="宋体" w:hAnsi="宋体" w:cs="宋体"/>
          <w:b w:val="0"/>
          <w:bCs/>
          <w:i w:val="0"/>
          <w:iCs/>
          <w:sz w:val="24"/>
          <w:lang w:val="en-US" w:eastAsia="zh-CN"/>
        </w:rPr>
        <w:t>9</w:t>
      </w:r>
      <w:r>
        <w:rPr>
          <w:rFonts w:hint="eastAsia" w:ascii="宋体" w:hAnsi="宋体" w:cs="宋体"/>
          <w:b w:val="0"/>
          <w:bCs/>
          <w:i w:val="0"/>
          <w:iCs/>
          <w:sz w:val="24"/>
        </w:rPr>
        <w:t>月</w:t>
      </w:r>
      <w:r>
        <w:rPr>
          <w:rFonts w:hint="eastAsia" w:ascii="宋体" w:hAnsi="宋体" w:cs="宋体"/>
          <w:b w:val="0"/>
          <w:bCs/>
          <w:i w:val="0"/>
          <w:iCs/>
          <w:sz w:val="24"/>
          <w:lang w:val="en-US" w:eastAsia="zh-CN"/>
        </w:rPr>
        <w:t>30</w:t>
      </w:r>
      <w:r>
        <w:rPr>
          <w:rFonts w:hint="eastAsia" w:ascii="宋体" w:hAnsi="宋体" w:cs="宋体"/>
          <w:b w:val="0"/>
          <w:bCs/>
          <w:i w:val="0"/>
          <w:iCs/>
          <w:sz w:val="24"/>
        </w:rPr>
        <w:t>日前，甲方支付乙方项目费用总额的</w:t>
      </w:r>
      <w:r>
        <w:rPr>
          <w:rFonts w:hint="eastAsia" w:ascii="宋体" w:hAnsi="宋体" w:cs="宋体"/>
          <w:b w:val="0"/>
          <w:bCs/>
          <w:i w:val="0"/>
          <w:iCs/>
          <w:sz w:val="24"/>
          <w:lang w:val="en-US" w:eastAsia="zh-CN"/>
        </w:rPr>
        <w:t>3</w:t>
      </w:r>
      <w:r>
        <w:rPr>
          <w:rFonts w:hint="eastAsia" w:ascii="宋体" w:hAnsi="宋体" w:cs="宋体"/>
          <w:b w:val="0"/>
          <w:bCs/>
          <w:i w:val="0"/>
          <w:iCs/>
          <w:sz w:val="24"/>
        </w:rPr>
        <w:t>0%；乙方完全交付本合同约定项目且甲方验收合格后30个工作日内，甲方支付乙方项目剩余</w:t>
      </w:r>
      <w:r>
        <w:rPr>
          <w:rFonts w:hint="eastAsia" w:ascii="宋体" w:hAnsi="宋体" w:cs="宋体"/>
          <w:b w:val="0"/>
          <w:bCs/>
          <w:i w:val="0"/>
          <w:iCs/>
          <w:sz w:val="24"/>
          <w:lang w:val="en-US" w:eastAsia="zh-CN"/>
        </w:rPr>
        <w:t>1</w:t>
      </w:r>
      <w:r>
        <w:rPr>
          <w:rFonts w:hint="eastAsia" w:ascii="宋体" w:hAnsi="宋体" w:cs="宋体"/>
          <w:b w:val="0"/>
          <w:bCs/>
          <w:i w:val="0"/>
          <w:iCs/>
          <w:sz w:val="24"/>
        </w:rPr>
        <w:t>0%费用。</w:t>
      </w:r>
    </w:p>
    <w:p w14:paraId="28B90F7A">
      <w:pPr>
        <w:pStyle w:val="7"/>
        <w:keepNext w:val="0"/>
        <w:keepLines w:val="0"/>
        <w:pageBreakBefore w:val="0"/>
        <w:widowControl w:val="0"/>
        <w:numPr>
          <w:ilvl w:val="0"/>
          <w:numId w:val="0"/>
        </w:numPr>
        <w:kinsoku/>
        <w:wordWrap/>
        <w:overflowPunct/>
        <w:topLinePunct w:val="0"/>
        <w:autoSpaceDE/>
        <w:autoSpaceDN/>
        <w:bidi w:val="0"/>
        <w:snapToGrid/>
        <w:spacing w:line="360" w:lineRule="auto"/>
        <w:ind w:leftChars="0"/>
        <w:contextualSpacing/>
        <w:textAlignment w:val="auto"/>
        <w:rPr>
          <w:rFonts w:hint="eastAsia" w:ascii="宋体" w:hAnsi="宋体" w:cs="宋体"/>
          <w:b/>
          <w:sz w:val="24"/>
          <w:szCs w:val="24"/>
        </w:rPr>
      </w:pPr>
      <w:r>
        <w:rPr>
          <w:rFonts w:hint="eastAsia" w:ascii="宋体" w:hAnsi="宋体" w:cs="宋体"/>
          <w:b/>
          <w:sz w:val="24"/>
          <w:szCs w:val="24"/>
          <w:lang w:val="en-US" w:eastAsia="zh-CN"/>
        </w:rPr>
        <w:t>三、</w:t>
      </w:r>
      <w:r>
        <w:rPr>
          <w:rFonts w:hint="eastAsia" w:ascii="宋体" w:hAnsi="宋体" w:cs="宋体"/>
          <w:b/>
          <w:sz w:val="24"/>
          <w:szCs w:val="24"/>
        </w:rPr>
        <w:t>技术要求</w:t>
      </w:r>
    </w:p>
    <w:p w14:paraId="58879EAD">
      <w:pPr>
        <w:pStyle w:val="7"/>
        <w:keepNext w:val="0"/>
        <w:keepLines w:val="0"/>
        <w:pageBreakBefore w:val="0"/>
        <w:widowControl w:val="0"/>
        <w:kinsoku/>
        <w:wordWrap/>
        <w:overflowPunct/>
        <w:topLinePunct w:val="0"/>
        <w:autoSpaceDE/>
        <w:autoSpaceDN/>
        <w:bidi w:val="0"/>
        <w:adjustRightInd w:val="0"/>
        <w:snapToGrid/>
        <w:spacing w:line="360" w:lineRule="auto"/>
        <w:ind w:firstLine="0" w:firstLineChars="0"/>
        <w:contextualSpacing/>
        <w:jc w:val="left"/>
        <w:textAlignment w:val="auto"/>
        <w:rPr>
          <w:rFonts w:hint="eastAsia" w:ascii="宋体" w:hAnsi="宋体" w:cs="宋体"/>
          <w:b/>
          <w:bCs/>
          <w:color w:val="auto"/>
          <w:sz w:val="24"/>
          <w:szCs w:val="24"/>
        </w:rPr>
      </w:pPr>
      <w:r>
        <w:rPr>
          <w:rFonts w:hint="eastAsia" w:ascii="宋体" w:hAnsi="宋体" w:cs="宋体"/>
          <w:b/>
          <w:bCs/>
          <w:sz w:val="24"/>
          <w:szCs w:val="24"/>
        </w:rPr>
        <w:t>1.</w:t>
      </w:r>
      <w:r>
        <w:rPr>
          <w:rFonts w:hint="eastAsia" w:ascii="宋体" w:hAnsi="宋体" w:cs="宋体"/>
          <w:b/>
          <w:bCs/>
          <w:color w:val="auto"/>
          <w:sz w:val="24"/>
          <w:szCs w:val="24"/>
        </w:rPr>
        <w:t>服务内容：</w:t>
      </w:r>
    </w:p>
    <w:p w14:paraId="51FC5B0F">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3.1</w:t>
      </w:r>
      <w:r>
        <w:rPr>
          <w:rFonts w:hint="eastAsia" w:ascii="宋体" w:hAnsi="宋体" w:eastAsia="宋体" w:cs="宋体"/>
          <w:b/>
          <w:bCs/>
          <w:kern w:val="0"/>
          <w:sz w:val="24"/>
          <w:szCs w:val="24"/>
        </w:rPr>
        <w:t>素材整理与研究</w:t>
      </w:r>
    </w:p>
    <w:p w14:paraId="3A01A9B5">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负责系统收集、整理与研究中国戏曲文化周自首届以来各届活动的相关素材资料。素材范围应涵盖历届活动方案、总结报告、新闻报道、图片影像、统计数据、实物资料等。应对十年来戏曲文化周的核心主题、参展规模、参演剧种、演出场次、观众数量、传播数据等关键指标进行系统梳理与统计分析。应挖掘各届戏曲文化周的代表性内容、创新亮点及标志性事件。应关注稀有剧种在戏曲文化周中的参演记录与保护成果。素材整理成果应以数据库或系统化资料集的形式呈现，为后续展览策划与内容撰写提供基础支撑。方案中须明确素材收集的渠道、方法与工作流程。</w:t>
      </w:r>
    </w:p>
    <w:p w14:paraId="435F7D03">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3.2</w:t>
      </w:r>
      <w:r>
        <w:rPr>
          <w:rFonts w:hint="eastAsia" w:ascii="宋体" w:hAnsi="宋体" w:eastAsia="宋体" w:cs="宋体"/>
          <w:b/>
          <w:bCs/>
          <w:kern w:val="0"/>
          <w:sz w:val="24"/>
          <w:szCs w:val="24"/>
        </w:rPr>
        <w:t>展览策划</w:t>
      </w:r>
    </w:p>
    <w:p w14:paraId="354816E6">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明确展览主题及完整的展览策划方案。展览主题应紧扣“中国戏曲文化周十年回顾”的核心定位，具有较强的文化内涵与传播力。展览策划应具有清晰的叙事逻辑与主线。能够贯穿十届戏曲文化周的核心叙事线索，并以此组织展览内容结构。内容结构应逻辑清晰、层次分明。系统呈现中国戏曲文化周十年发展历程，突出各阶段重要节点与创新突破。充分展现戏曲文化周对中国戏曲文化传承发展做出的积极贡献，包括但不限于剧种保护与推广、戏曲人才培养与观众拓展、精品剧目创作与展示、国际文化交流等方面。将戏曲文化周十年发展置于中国文化发展的大背景下，以小见大，折射十年间中国传统文化传承发展的时代脉络，体现文化自信自强的时代主题。包含对未来戏曲文化创新发展方向的前瞻性呈现。</w:t>
      </w:r>
    </w:p>
    <w:p w14:paraId="1603EA1F">
      <w:pPr>
        <w:keepNext w:val="0"/>
        <w:keepLines w:val="0"/>
        <w:pageBreakBefore w:val="0"/>
        <w:widowControl w:val="0"/>
        <w:kinsoku/>
        <w:wordWrap/>
        <w:overflowPunct/>
        <w:topLinePunct w:val="0"/>
        <w:autoSpaceDE/>
        <w:autoSpaceDN/>
        <w:bidi w:val="0"/>
        <w:adjustRightInd/>
        <w:snapToGrid/>
        <w:spacing w:before="1"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并且</w:t>
      </w:r>
      <w:r>
        <w:rPr>
          <w:rFonts w:hint="eastAsia" w:ascii="宋体" w:hAnsi="宋体" w:eastAsia="宋体" w:cs="宋体"/>
          <w:kern w:val="0"/>
          <w:sz w:val="24"/>
          <w:szCs w:val="24"/>
        </w:rPr>
        <w:t>充分考虑展览空间条件（主展厅及三合院共计约300平方米），在有限空间内实现“小空间、大视野”的展陈效果。须明确展览的整体空间布局思路、各区域功能定位及参观动线规划。</w:t>
      </w:r>
    </w:p>
    <w:p w14:paraId="50CB98F0">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3.3</w:t>
      </w:r>
      <w:r>
        <w:rPr>
          <w:rFonts w:hint="eastAsia" w:ascii="宋体" w:hAnsi="宋体" w:eastAsia="宋体" w:cs="宋体"/>
          <w:b/>
          <w:bCs/>
          <w:kern w:val="0"/>
          <w:sz w:val="24"/>
          <w:szCs w:val="24"/>
        </w:rPr>
        <w:t>展陈大纲撰写</w:t>
      </w:r>
    </w:p>
    <w:p w14:paraId="04065055">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根据确定的展览策划方案，撰写完整的展陈大纲。展陈大纲须明确展览的整体结构框架、各板块主题、重点展示内容及展品配置建议。内容详实、板块划分合理，各板块之间应具有清晰的逻辑递进关系。以展览内容为核心，明确各板块需呈现的关键信息点。充分考虑图文展板、实物展品、多媒体内容、互动体验等不同展陈形式的合理搭配。</w:t>
      </w:r>
    </w:p>
    <w:p w14:paraId="0FC38142">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3.4</w:t>
      </w:r>
      <w:r>
        <w:rPr>
          <w:rFonts w:hint="eastAsia" w:ascii="宋体" w:hAnsi="宋体" w:eastAsia="宋体" w:cs="宋体"/>
          <w:b/>
          <w:bCs/>
          <w:kern w:val="0"/>
          <w:sz w:val="24"/>
          <w:szCs w:val="24"/>
        </w:rPr>
        <w:t>展陈设计</w:t>
      </w:r>
      <w:r>
        <w:rPr>
          <w:rFonts w:hint="eastAsia" w:ascii="宋体" w:hAnsi="宋体" w:eastAsia="宋体" w:cs="宋体"/>
          <w:b/>
          <w:bCs/>
          <w:kern w:val="0"/>
          <w:sz w:val="24"/>
          <w:szCs w:val="24"/>
          <w:lang w:val="en-US" w:eastAsia="zh-CN"/>
        </w:rPr>
        <w:t>方案</w:t>
      </w:r>
    </w:p>
    <w:p w14:paraId="0550E678">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空间设计：对主展厅及三合院进行整体空间规划设计，空间规划应合理利用现有场地条件，观展动线清晰顺畅，整体视觉风格统一，具备艺术性及感染力。</w:t>
      </w:r>
    </w:p>
    <w:p w14:paraId="641A2083">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主视觉设计：具有鲜明辨识度的展览主视觉形象，形成完整的视觉识别系统。</w:t>
      </w:r>
    </w:p>
    <w:p w14:paraId="6D6AC968">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展陈形式设计：应对不同展区进行差异化设计，包括图文展板设计、实物展陈方式设计、多媒体内容布局设计、互动体验区设计等。</w:t>
      </w:r>
    </w:p>
    <w:p w14:paraId="280A4D50">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灯光设计：应根据不同展区功能定位和展品特性，配置差异化的照明方案，在保证参观体验的同时突出展品特点。</w:t>
      </w:r>
    </w:p>
    <w:p w14:paraId="0C4F9598">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氛围设计：应通过色彩、材质、造型等设计语言营造与展览主题相匹配的空间氛围，各展区之间应形成节奏感和情绪变化。</w:t>
      </w:r>
    </w:p>
    <w:p w14:paraId="6E26DE8C">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导视系统设计：须设计完整的展览导视系统，包括入口导览、区域标识、参观指引等。</w:t>
      </w:r>
    </w:p>
    <w:p w14:paraId="211B6469">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室外及过渡区域设计：应对展览入口区域及三合院室外空间进行相应的氛围布置与功能设计，营造“入园即入展”的体验感。</w:t>
      </w:r>
    </w:p>
    <w:p w14:paraId="64D89554">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方案中提交空间设计效果图、平面布局图等设计成果。方案中须明确设计理念与各区域设计思路，体现设计的文化内涵与艺术水准。</w:t>
      </w:r>
    </w:p>
    <w:p w14:paraId="6F9DE2C8">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3.5</w:t>
      </w:r>
      <w:r>
        <w:rPr>
          <w:rFonts w:hint="eastAsia" w:ascii="宋体" w:hAnsi="宋体" w:eastAsia="宋体" w:cs="宋体"/>
          <w:b/>
          <w:bCs/>
          <w:kern w:val="0"/>
          <w:sz w:val="24"/>
          <w:szCs w:val="24"/>
        </w:rPr>
        <w:t>展览场地协调</w:t>
      </w:r>
    </w:p>
    <w:p w14:paraId="02514347">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在方案中明确场地协调方案，确保展览的顺利实施。服务内容应包括场地条件的现场踏勘与尺寸测量，根据场地实际条件对设计方案进行必要的适应性调整，以及协调落实场地使用时间、电力供应、安全保障等基础条件。充分考虑场地的历史建筑属性，在设计与施工中采取必要的保护措施。</w:t>
      </w:r>
    </w:p>
    <w:p w14:paraId="73D1DF61">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3.6</w:t>
      </w:r>
      <w:r>
        <w:rPr>
          <w:rFonts w:hint="eastAsia" w:ascii="宋体" w:hAnsi="宋体" w:eastAsia="宋体" w:cs="宋体"/>
          <w:b/>
          <w:bCs/>
          <w:kern w:val="0"/>
          <w:sz w:val="24"/>
          <w:szCs w:val="24"/>
        </w:rPr>
        <w:t>展览搭建</w:t>
      </w:r>
    </w:p>
    <w:p w14:paraId="6FCB7E9B">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须制定详细的展览搭建实施方案，包括施工组织计划、材料选用方案、安全措施等。搭建须保安全牢固、工艺精良、美观整洁，所有材料及工艺须符合消防、环保与安全标准。</w:t>
      </w:r>
    </w:p>
    <w:p w14:paraId="6D76FD7D">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搭建内容包括但不限于：展览基础搭架与造型结构制作、艺术装置制作与安装、配套电气及照明工程、平面美术制作与安装、展柜展台及各类展具制作与安装、多媒体设备安装与调试、导视系统制作与安装等。</w:t>
      </w:r>
    </w:p>
    <w:p w14:paraId="46CE91CA">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在方案中明确搭建工期安排、施工人员配置及质量控制措施。展览搭建须在开展前5日内全部完成并通过采购人验收。</w:t>
      </w:r>
      <w:r>
        <w:rPr>
          <w:rFonts w:hint="eastAsia" w:ascii="宋体" w:hAnsi="宋体" w:eastAsia="宋体" w:cs="宋体"/>
          <w:kern w:val="0"/>
          <w:sz w:val="24"/>
          <w:szCs w:val="24"/>
          <w:lang w:val="en-US" w:eastAsia="zh-CN"/>
        </w:rPr>
        <w:t>同时</w:t>
      </w:r>
      <w:r>
        <w:rPr>
          <w:rFonts w:hint="eastAsia" w:ascii="宋体" w:hAnsi="宋体" w:eastAsia="宋体" w:cs="宋体"/>
          <w:kern w:val="0"/>
          <w:sz w:val="24"/>
          <w:szCs w:val="24"/>
        </w:rPr>
        <w:t>负责展览期间的维护与保障，以及展后的撤展工作，撤展须做到安全有序、场地恢复整洁。</w:t>
      </w:r>
    </w:p>
    <w:p w14:paraId="15D69610">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3.7</w:t>
      </w:r>
      <w:r>
        <w:rPr>
          <w:rFonts w:hint="eastAsia" w:ascii="宋体" w:hAnsi="宋体" w:eastAsia="宋体" w:cs="宋体"/>
          <w:b/>
          <w:bCs/>
          <w:kern w:val="0"/>
          <w:sz w:val="24"/>
          <w:szCs w:val="24"/>
        </w:rPr>
        <w:t>新媒体内容制作</w:t>
      </w:r>
    </w:p>
    <w:p w14:paraId="320A4536">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制作展览线上推广所需的新媒体内容。内容形式可包括但不限于：短视频、图文推送、H5页面等。</w:t>
      </w:r>
      <w:r>
        <w:rPr>
          <w:rFonts w:hint="eastAsia" w:ascii="宋体" w:hAnsi="宋体" w:eastAsia="宋体" w:cs="宋体"/>
          <w:kern w:val="0"/>
          <w:sz w:val="24"/>
          <w:szCs w:val="24"/>
          <w:lang w:val="en-US" w:eastAsia="zh-CN"/>
        </w:rPr>
        <w:t>做到</w:t>
      </w:r>
      <w:r>
        <w:rPr>
          <w:rFonts w:hint="eastAsia" w:ascii="宋体" w:hAnsi="宋体" w:eastAsia="宋体" w:cs="宋体"/>
          <w:kern w:val="0"/>
          <w:sz w:val="24"/>
          <w:szCs w:val="24"/>
        </w:rPr>
        <w:t>线上线下联动的创新传播方案，扩大展览的社会影响力。</w:t>
      </w:r>
    </w:p>
    <w:p w14:paraId="5AEFF383">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3.8</w:t>
      </w:r>
      <w:r>
        <w:rPr>
          <w:rFonts w:hint="eastAsia" w:ascii="宋体" w:hAnsi="宋体" w:eastAsia="宋体" w:cs="宋体"/>
          <w:b/>
          <w:bCs/>
          <w:kern w:val="0"/>
          <w:sz w:val="24"/>
          <w:szCs w:val="24"/>
        </w:rPr>
        <w:t>开展仪式策划及实施</w:t>
      </w:r>
    </w:p>
    <w:p w14:paraId="37F905E1">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策划并执行展览开展仪式。开展仪式应简洁庄重，时长控制在合理范围内</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包括流程设计、现场布置方案、人员组织方案等。</w:t>
      </w:r>
      <w:r>
        <w:rPr>
          <w:rFonts w:hint="eastAsia" w:ascii="宋体" w:hAnsi="宋体" w:eastAsia="宋体" w:cs="宋体"/>
          <w:kern w:val="0"/>
          <w:sz w:val="24"/>
          <w:szCs w:val="24"/>
          <w:lang w:val="en-US" w:eastAsia="zh-CN"/>
        </w:rPr>
        <w:t>并且</w:t>
      </w:r>
      <w:r>
        <w:rPr>
          <w:rFonts w:hint="eastAsia" w:ascii="宋体" w:hAnsi="宋体" w:eastAsia="宋体" w:cs="宋体"/>
          <w:kern w:val="0"/>
          <w:sz w:val="24"/>
          <w:szCs w:val="24"/>
        </w:rPr>
        <w:t>负责开展仪式的现场执行与组织保障，确保仪式顺利进行。仪式地点为宛平城展览现场，供应商须充分考虑场地条件进行合理布置。</w:t>
      </w:r>
    </w:p>
    <w:p w14:paraId="3F7BFAFD">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3.9</w:t>
      </w:r>
      <w:r>
        <w:rPr>
          <w:rFonts w:hint="eastAsia" w:ascii="宋体" w:hAnsi="宋体" w:eastAsia="宋体" w:cs="宋体"/>
          <w:b/>
          <w:bCs/>
          <w:kern w:val="0"/>
          <w:sz w:val="24"/>
          <w:szCs w:val="24"/>
        </w:rPr>
        <w:t>展览服务与其他要求</w:t>
      </w:r>
    </w:p>
    <w:p w14:paraId="0661E336">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配备具备专业能力的工作人员，确保展览期间的正常运营与观众接待。针对展览安全保障制定完善的方案，包括安全制度、应急预案、人员配置等，确保活动安全有序。提供展品的征集、复制、借展、运输、保险等方面的服务方案。</w:t>
      </w:r>
    </w:p>
    <w:p w14:paraId="40DDB4E9">
      <w:pPr>
        <w:keepNext w:val="0"/>
        <w:keepLines w:val="0"/>
        <w:pageBreakBefore w:val="0"/>
        <w:widowControl w:val="0"/>
        <w:kinsoku/>
        <w:wordWrap/>
        <w:overflowPunct/>
        <w:topLinePunct w:val="0"/>
        <w:autoSpaceDE/>
        <w:autoSpaceDN/>
        <w:bidi w:val="0"/>
        <w:adjustRightInd/>
        <w:snapToGrid/>
        <w:spacing w:before="1"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质保期内（不少于6个月）的展览设施维护、多媒体设备维修等售后服务方案。</w:t>
      </w:r>
    </w:p>
    <w:p w14:paraId="0542C64F">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四、项目成果交付要求</w:t>
      </w:r>
    </w:p>
    <w:p w14:paraId="0E980888">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在合同履行期间向采购人交付以下成果：</w:t>
      </w:r>
    </w:p>
    <w:tbl>
      <w:tblPr>
        <w:tblStyle w:val="5"/>
        <w:tblW w:w="0" w:type="auto"/>
        <w:tblInd w:w="10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autofit"/>
        <w:tblCellMar>
          <w:top w:w="0" w:type="dxa"/>
          <w:left w:w="108" w:type="dxa"/>
          <w:bottom w:w="0" w:type="dxa"/>
          <w:right w:w="108" w:type="dxa"/>
        </w:tblCellMar>
      </w:tblPr>
      <w:tblGrid>
        <w:gridCol w:w="756"/>
        <w:gridCol w:w="4716"/>
        <w:gridCol w:w="2676"/>
      </w:tblGrid>
      <w:tr w14:paraId="3D790DC3">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top w:val="single" w:color="auto" w:sz="4" w:space="0"/>
              <w:left w:val="single" w:color="auto" w:sz="4" w:space="0"/>
              <w:bottom w:val="single" w:color="666666" w:sz="12" w:space="0"/>
            </w:tcBorders>
            <w:noWrap w:val="0"/>
            <w:vAlign w:val="top"/>
          </w:tcPr>
          <w:p w14:paraId="3DB4628B">
            <w:pPr>
              <w:keepNext w:val="0"/>
              <w:keepLines w:val="0"/>
              <w:pageBreakBefore w:val="0"/>
              <w:widowControl w:val="0"/>
              <w:kinsoku/>
              <w:wordWrap/>
              <w:overflowPunct/>
              <w:topLinePunct w:val="0"/>
              <w:autoSpaceDE/>
              <w:autoSpaceDN/>
              <w:bidi w:val="0"/>
              <w:adjustRightInd/>
              <w:snapToGrid/>
              <w:spacing w:before="1" w:line="360" w:lineRule="auto"/>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0" w:type="auto"/>
            <w:tcBorders>
              <w:top w:val="single" w:color="auto" w:sz="4" w:space="0"/>
              <w:bottom w:val="single" w:color="666666" w:sz="12" w:space="0"/>
            </w:tcBorders>
            <w:noWrap w:val="0"/>
            <w:vAlign w:val="top"/>
          </w:tcPr>
          <w:p w14:paraId="1382AA50">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成果名称</w:t>
            </w:r>
          </w:p>
        </w:tc>
        <w:tc>
          <w:tcPr>
            <w:tcW w:w="0" w:type="auto"/>
            <w:tcBorders>
              <w:top w:val="single" w:color="auto" w:sz="4" w:space="0"/>
              <w:bottom w:val="single" w:color="666666" w:sz="12" w:space="0"/>
              <w:right w:val="single" w:color="auto" w:sz="4" w:space="0"/>
            </w:tcBorders>
            <w:noWrap w:val="0"/>
            <w:vAlign w:val="top"/>
          </w:tcPr>
          <w:p w14:paraId="452C20FE">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交付时间要求</w:t>
            </w:r>
          </w:p>
        </w:tc>
      </w:tr>
      <w:tr w14:paraId="712A008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97" w:hRule="atLeast"/>
        </w:trPr>
        <w:tc>
          <w:tcPr>
            <w:tcW w:w="0" w:type="auto"/>
            <w:tcBorders>
              <w:left w:val="single" w:color="auto" w:sz="4" w:space="0"/>
            </w:tcBorders>
            <w:noWrap w:val="0"/>
            <w:vAlign w:val="top"/>
          </w:tcPr>
          <w:p w14:paraId="7F071384">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0" w:type="auto"/>
            <w:noWrap w:val="0"/>
            <w:vAlign w:val="top"/>
          </w:tcPr>
          <w:p w14:paraId="6D63AB79">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素材整理与研究数据库/资料集</w:t>
            </w:r>
          </w:p>
        </w:tc>
        <w:tc>
          <w:tcPr>
            <w:tcW w:w="0" w:type="auto"/>
            <w:tcBorders>
              <w:right w:val="single" w:color="auto" w:sz="4" w:space="0"/>
            </w:tcBorders>
            <w:noWrap w:val="0"/>
            <w:vAlign w:val="top"/>
          </w:tcPr>
          <w:p w14:paraId="0F1A3ECA">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合同签订后10日内</w:t>
            </w:r>
          </w:p>
        </w:tc>
      </w:tr>
      <w:tr w14:paraId="21B01C1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left w:val="single" w:color="auto" w:sz="4" w:space="0"/>
            </w:tcBorders>
            <w:noWrap w:val="0"/>
            <w:vAlign w:val="top"/>
          </w:tcPr>
          <w:p w14:paraId="2D52A271">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0" w:type="auto"/>
            <w:noWrap w:val="0"/>
            <w:vAlign w:val="top"/>
          </w:tcPr>
          <w:p w14:paraId="0F481C5D">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展览整体策划方案</w:t>
            </w:r>
          </w:p>
        </w:tc>
        <w:tc>
          <w:tcPr>
            <w:tcW w:w="0" w:type="auto"/>
            <w:tcBorders>
              <w:right w:val="single" w:color="auto" w:sz="4" w:space="0"/>
            </w:tcBorders>
            <w:noWrap w:val="0"/>
            <w:vAlign w:val="top"/>
          </w:tcPr>
          <w:p w14:paraId="0EC06245">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合同签订后15日内</w:t>
            </w:r>
          </w:p>
        </w:tc>
      </w:tr>
      <w:tr w14:paraId="3274EA8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left w:val="single" w:color="auto" w:sz="4" w:space="0"/>
            </w:tcBorders>
            <w:noWrap w:val="0"/>
            <w:vAlign w:val="top"/>
          </w:tcPr>
          <w:p w14:paraId="47578F1A">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0" w:type="auto"/>
            <w:noWrap w:val="0"/>
            <w:vAlign w:val="top"/>
          </w:tcPr>
          <w:p w14:paraId="40E41874">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展陈大纲</w:t>
            </w:r>
          </w:p>
        </w:tc>
        <w:tc>
          <w:tcPr>
            <w:tcW w:w="0" w:type="auto"/>
            <w:tcBorders>
              <w:right w:val="single" w:color="auto" w:sz="4" w:space="0"/>
            </w:tcBorders>
            <w:noWrap w:val="0"/>
            <w:vAlign w:val="top"/>
          </w:tcPr>
          <w:p w14:paraId="2D410130">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合同签订后20日内</w:t>
            </w:r>
          </w:p>
        </w:tc>
      </w:tr>
      <w:tr w14:paraId="7ADAE2A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left w:val="single" w:color="auto" w:sz="4" w:space="0"/>
            </w:tcBorders>
            <w:noWrap w:val="0"/>
            <w:vAlign w:val="top"/>
          </w:tcPr>
          <w:p w14:paraId="36208597">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0" w:type="auto"/>
            <w:noWrap w:val="0"/>
            <w:vAlign w:val="top"/>
          </w:tcPr>
          <w:p w14:paraId="5948A34C">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展陈设计方案（含效果图、施工图等）</w:t>
            </w:r>
          </w:p>
        </w:tc>
        <w:tc>
          <w:tcPr>
            <w:tcW w:w="0" w:type="auto"/>
            <w:tcBorders>
              <w:right w:val="single" w:color="auto" w:sz="4" w:space="0"/>
            </w:tcBorders>
            <w:noWrap w:val="0"/>
            <w:vAlign w:val="top"/>
          </w:tcPr>
          <w:p w14:paraId="42CCAC96">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合同签订后20日内</w:t>
            </w:r>
          </w:p>
        </w:tc>
      </w:tr>
      <w:tr w14:paraId="1582D68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left w:val="single" w:color="auto" w:sz="4" w:space="0"/>
            </w:tcBorders>
            <w:noWrap w:val="0"/>
            <w:vAlign w:val="top"/>
          </w:tcPr>
          <w:p w14:paraId="32CE32B4">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0" w:type="auto"/>
            <w:noWrap w:val="0"/>
            <w:vAlign w:val="top"/>
          </w:tcPr>
          <w:p w14:paraId="5FF9C726">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展览搭建及全部布展工作完成</w:t>
            </w:r>
          </w:p>
        </w:tc>
        <w:tc>
          <w:tcPr>
            <w:tcW w:w="0" w:type="auto"/>
            <w:tcBorders>
              <w:right w:val="single" w:color="auto" w:sz="4" w:space="0"/>
            </w:tcBorders>
            <w:noWrap w:val="0"/>
            <w:vAlign w:val="top"/>
          </w:tcPr>
          <w:p w14:paraId="0B4BF478">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开展前5日内</w:t>
            </w:r>
          </w:p>
        </w:tc>
      </w:tr>
      <w:tr w14:paraId="04D96D1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left w:val="single" w:color="auto" w:sz="4" w:space="0"/>
            </w:tcBorders>
            <w:noWrap w:val="0"/>
            <w:vAlign w:val="top"/>
          </w:tcPr>
          <w:p w14:paraId="3C0F836F">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0" w:type="auto"/>
            <w:noWrap w:val="0"/>
            <w:vAlign w:val="top"/>
          </w:tcPr>
          <w:p w14:paraId="4F633B0C">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多媒体及互动体验内容制作完成</w:t>
            </w:r>
          </w:p>
        </w:tc>
        <w:tc>
          <w:tcPr>
            <w:tcW w:w="0" w:type="auto"/>
            <w:tcBorders>
              <w:right w:val="single" w:color="auto" w:sz="4" w:space="0"/>
            </w:tcBorders>
            <w:noWrap w:val="0"/>
            <w:vAlign w:val="top"/>
          </w:tcPr>
          <w:p w14:paraId="5877511F">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开展前5日内</w:t>
            </w:r>
          </w:p>
        </w:tc>
      </w:tr>
      <w:tr w14:paraId="3B7CC4F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67" w:hRule="atLeast"/>
        </w:trPr>
        <w:tc>
          <w:tcPr>
            <w:tcW w:w="0" w:type="auto"/>
            <w:tcBorders>
              <w:left w:val="single" w:color="auto" w:sz="4" w:space="0"/>
            </w:tcBorders>
            <w:noWrap w:val="0"/>
            <w:vAlign w:val="top"/>
          </w:tcPr>
          <w:p w14:paraId="293B057B">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0" w:type="auto"/>
            <w:noWrap w:val="0"/>
            <w:vAlign w:val="top"/>
          </w:tcPr>
          <w:p w14:paraId="0DC086D2">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开展仪式实施</w:t>
            </w:r>
          </w:p>
        </w:tc>
        <w:tc>
          <w:tcPr>
            <w:tcW w:w="0" w:type="auto"/>
            <w:tcBorders>
              <w:right w:val="single" w:color="auto" w:sz="4" w:space="0"/>
            </w:tcBorders>
            <w:noWrap w:val="0"/>
            <w:vAlign w:val="top"/>
          </w:tcPr>
          <w:p w14:paraId="0C2D3780">
            <w:pPr>
              <w:keepNext w:val="0"/>
              <w:keepLines w:val="0"/>
              <w:pageBreakBefore w:val="0"/>
              <w:widowControl w:val="0"/>
              <w:kinsoku/>
              <w:wordWrap/>
              <w:overflowPunct/>
              <w:topLinePunct w:val="0"/>
              <w:autoSpaceDE/>
              <w:autoSpaceDN/>
              <w:bidi w:val="0"/>
              <w:adjustRightInd/>
              <w:snapToGrid/>
              <w:spacing w:before="1" w:line="360" w:lineRule="auto"/>
              <w:ind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戏曲文化周开幕当天</w:t>
            </w:r>
          </w:p>
        </w:tc>
      </w:tr>
      <w:tr w14:paraId="0D1DDF47">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trHeight w:val="478" w:hRule="atLeast"/>
        </w:trPr>
        <w:tc>
          <w:tcPr>
            <w:tcW w:w="0" w:type="auto"/>
            <w:tcBorders>
              <w:left w:val="single" w:color="auto" w:sz="4" w:space="0"/>
              <w:bottom w:val="single" w:color="auto" w:sz="4" w:space="0"/>
            </w:tcBorders>
            <w:noWrap w:val="0"/>
            <w:vAlign w:val="top"/>
          </w:tcPr>
          <w:p w14:paraId="3D7F9F41">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0" w:type="auto"/>
            <w:tcBorders>
              <w:bottom w:val="single" w:color="auto" w:sz="4" w:space="0"/>
            </w:tcBorders>
            <w:noWrap w:val="0"/>
            <w:vAlign w:val="top"/>
          </w:tcPr>
          <w:p w14:paraId="79A984A1">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项目总结报告及竣工资料</w:t>
            </w:r>
          </w:p>
        </w:tc>
        <w:tc>
          <w:tcPr>
            <w:tcW w:w="0" w:type="auto"/>
            <w:tcBorders>
              <w:bottom w:val="single" w:color="auto" w:sz="4" w:space="0"/>
              <w:right w:val="single" w:color="auto" w:sz="4" w:space="0"/>
            </w:tcBorders>
            <w:noWrap w:val="0"/>
            <w:vAlign w:val="top"/>
          </w:tcPr>
          <w:p w14:paraId="36433966">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展览结束后15日内</w:t>
            </w:r>
          </w:p>
        </w:tc>
      </w:tr>
    </w:tbl>
    <w:p w14:paraId="43F2C8E2">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五、知识产权要求</w:t>
      </w:r>
    </w:p>
    <w:p w14:paraId="473575C2">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供应商为履行本项目所产生的全部成果（包括但不限于策划方案、设计方案、展陈大纲、设计图纸、数字内容、多媒体内容等）的知识产权归采购人所有。供应商保证其提供的服务及成果不侵犯任何第三方的知识产权，如发生侵权纠纷，由供应商承担全部责任。</w:t>
      </w:r>
    </w:p>
    <w:p w14:paraId="0B1A794E">
      <w:pPr>
        <w:keepNext w:val="0"/>
        <w:keepLines w:val="0"/>
        <w:pageBreakBefore w:val="0"/>
        <w:widowControl w:val="0"/>
        <w:kinsoku/>
        <w:wordWrap/>
        <w:overflowPunct/>
        <w:topLinePunct w:val="0"/>
        <w:autoSpaceDE/>
        <w:autoSpaceDN/>
        <w:bidi w:val="0"/>
        <w:adjustRightInd/>
        <w:snapToGrid/>
        <w:spacing w:before="1" w:line="360" w:lineRule="auto"/>
        <w:ind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六、售后服务要求</w:t>
      </w:r>
    </w:p>
    <w:p w14:paraId="70CF93D8">
      <w:pPr>
        <w:keepNext w:val="0"/>
        <w:keepLines w:val="0"/>
        <w:pageBreakBefore w:val="0"/>
        <w:widowControl w:val="0"/>
        <w:kinsoku/>
        <w:wordWrap/>
        <w:overflowPunct/>
        <w:topLinePunct w:val="0"/>
        <w:autoSpaceDE/>
        <w:autoSpaceDN/>
        <w:bidi w:val="0"/>
        <w:adjustRightInd/>
        <w:snapToGrid/>
        <w:spacing w:before="1"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展览开幕后，供应商须提供不少于6个月的质保期，质保期内对展览设施、多媒体设备、灯光系统等进行免费维护和维修。质保期内，供应商须提供及时有效的应急响应服务，接到采购人通知后48小时内到达现场处理。质保期结束后，供应商须继续提供有偿的技术支持和维护服务</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不得高于市场价格</w:t>
      </w:r>
      <w:r>
        <w:rPr>
          <w:rFonts w:hint="eastAsia" w:ascii="宋体" w:hAnsi="宋体" w:eastAsia="宋体" w:cs="宋体"/>
          <w:kern w:val="0"/>
          <w:sz w:val="24"/>
          <w:szCs w:val="24"/>
          <w:lang w:eastAsia="zh-CN"/>
        </w:rPr>
        <w:t>）。</w:t>
      </w:r>
    </w:p>
    <w:p w14:paraId="360B58CF"/>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51DC4"/>
    <w:multiLevelType w:val="singleLevel"/>
    <w:tmpl w:val="CAD51DC4"/>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C735D"/>
    <w:rsid w:val="204C735D"/>
    <w:rsid w:val="4E1E76B5"/>
    <w:rsid w:val="7F561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customStyle="1" w:styleId="7">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2026-07-22T06:25:00Z</dcterms:created>
  <dc:creator>袁袁</dc:creator>
  <cp:lastModifiedBy>袁袁</cp:lastModifiedBy>
  <dcterms:modified xsi:type="dcterms:W3CDTF">2026-07-22T06:26:42Z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EAA375C820E8424FBBE9BF4EF3D0B642_13</vt:lpwstr>
  </property>
  <property fmtid="{D5CDD505-2E9C-101B-9397-08002B2CF9AE}" pid="4" name="KSOTemplateDocerSaveRecord">
    <vt:lpwstr>eyJoZGlkIjoiYTkxNGVlZGJkNmZjMDBkNmE2OTc3NmE1ZTA0NWY0NWYiLCJ1c2VySWQiOiI2NjUwODMwMzMifQ==</vt:lpwstr>
  </property>
</Properties>
</file>