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60756">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6F2E0960">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32A7FB79">
      <w:pPr>
        <w:pStyle w:val="32"/>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2026年互联网及数字专线链路服务（第二包重招）采购项目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7月15日</w:t>
      </w:r>
      <w:r>
        <w:rPr>
          <w:rFonts w:hint="eastAsia" w:ascii="仿宋" w:hAnsi="仿宋" w:eastAsia="仿宋" w:cs="仿宋"/>
          <w:color w:val="auto"/>
          <w:sz w:val="24"/>
          <w:szCs w:val="28"/>
          <w:highlight w:val="none"/>
          <w:lang w:eastAsia="zh-CN"/>
        </w:rPr>
        <w:t>上午9:30至</w:t>
      </w:r>
      <w:r>
        <w:rPr>
          <w:rFonts w:hint="eastAsia" w:ascii="仿宋" w:hAnsi="仿宋" w:eastAsia="仿宋" w:cs="仿宋"/>
          <w:color w:val="auto"/>
          <w:sz w:val="24"/>
          <w:szCs w:val="28"/>
          <w:highlight w:val="none"/>
          <w:lang w:val="en-US" w:eastAsia="zh-CN"/>
        </w:rPr>
        <w:t>7月21日</w:t>
      </w:r>
      <w:r>
        <w:rPr>
          <w:rFonts w:hint="eastAsia" w:ascii="仿宋" w:hAnsi="仿宋" w:eastAsia="仿宋" w:cs="仿宋"/>
          <w:color w:val="auto"/>
          <w:sz w:val="24"/>
          <w:szCs w:val="28"/>
          <w:highlight w:val="none"/>
          <w:lang w:eastAsia="zh-CN"/>
        </w:rPr>
        <w:t>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8月12日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37206AAB">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790"/>
      <w:bookmarkStart w:id="1" w:name="_Toc28359002"/>
      <w:bookmarkStart w:id="2" w:name="_Toc35393621"/>
      <w:bookmarkStart w:id="3" w:name="_Toc28359079"/>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0973BA68">
      <w:pPr>
        <w:pStyle w:val="32"/>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11011526210200033085-XM001</w:t>
      </w:r>
    </w:p>
    <w:p w14:paraId="27BF9C66">
      <w:pPr>
        <w:pStyle w:val="3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8"/>
        </w:rPr>
        <w:t>项目名称：</w:t>
      </w:r>
      <w:bookmarkEnd w:id="4"/>
      <w:r>
        <w:rPr>
          <w:rFonts w:hint="eastAsia" w:ascii="仿宋" w:hAnsi="仿宋" w:eastAsia="仿宋" w:cs="仿宋"/>
          <w:color w:val="auto"/>
          <w:sz w:val="24"/>
          <w:szCs w:val="24"/>
          <w:u w:val="none"/>
          <w:lang w:eastAsia="zh-CN"/>
        </w:rPr>
        <w:t>2026年互联网及数字专线链路服务（第二包重招）</w:t>
      </w:r>
    </w:p>
    <w:p w14:paraId="635965F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default" w:eastAsia="宋体"/>
          <w:sz w:val="24"/>
          <w:lang w:val="en-US" w:eastAsia="zh-CN"/>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val="en-US" w:eastAsia="zh-CN"/>
        </w:rPr>
        <w:t>346.2</w:t>
      </w:r>
      <w:r>
        <w:rPr>
          <w:rFonts w:hint="eastAsia" w:ascii="仿宋" w:hAnsi="仿宋" w:eastAsia="仿宋" w:cs="仿宋"/>
          <w:color w:val="auto"/>
          <w:sz w:val="24"/>
          <w:szCs w:val="24"/>
          <w:u w:val="none"/>
          <w:lang w:val="en-US" w:eastAsia="zh-CN"/>
        </w:rPr>
        <w:t>万元，</w:t>
      </w:r>
      <w:r>
        <w:rPr>
          <w:rFonts w:hint="eastAsia"/>
          <w:sz w:val="24"/>
          <w:lang w:val="en-US" w:eastAsia="zh-CN"/>
        </w:rPr>
        <w:t>其中第二包预算金额74万元，最高限价74万元。</w:t>
      </w:r>
    </w:p>
    <w:p w14:paraId="61D1EBDE">
      <w:pPr>
        <w:pStyle w:val="3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6381EF0D">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w:t>
      </w:r>
      <w:r>
        <w:rPr>
          <w:rFonts w:hint="eastAsia" w:ascii="仿宋" w:hAnsi="仿宋" w:eastAsia="仿宋" w:cs="仿宋"/>
          <w:color w:val="auto"/>
          <w:sz w:val="24"/>
          <w:szCs w:val="28"/>
          <w:highlight w:val="none"/>
          <w:u w:val="none"/>
        </w:rPr>
        <w:t>自合同签订之日起一年</w:t>
      </w:r>
    </w:p>
    <w:p w14:paraId="58B539DD">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03"/>
      <w:bookmarkStart w:id="6" w:name="_Toc35393791"/>
      <w:bookmarkStart w:id="7" w:name="_Toc35393622"/>
      <w:bookmarkStart w:id="8" w:name="_Toc28359080"/>
    </w:p>
    <w:p w14:paraId="711BDF80">
      <w:pPr>
        <w:pStyle w:val="2"/>
        <w:rPr>
          <w:rFonts w:hint="eastAsia"/>
        </w:rPr>
      </w:pPr>
    </w:p>
    <w:p w14:paraId="41BE9EA6">
      <w:pPr>
        <w:pStyle w:val="4"/>
        <w:pageBreakBefore w:val="0"/>
        <w:widowControl w:val="0"/>
        <w:kinsoku/>
        <w:wordWrap/>
        <w:overflowPunct/>
        <w:topLinePunct w:val="0"/>
        <w:bidi w:val="0"/>
        <w:snapToGrid/>
        <w:spacing w:line="240" w:lineRule="auto"/>
        <w:ind w:firstLine="480" w:firstLineChars="200"/>
        <w:rPr>
          <w:rFonts w:hint="eastAsia" w:ascii="仿宋" w:hAnsi="仿宋" w:eastAsia="仿宋" w:cs="仿宋"/>
          <w:b w:val="0"/>
          <w:bCs w:val="0"/>
          <w:color w:val="auto"/>
          <w:kern w:val="2"/>
          <w:sz w:val="24"/>
          <w:szCs w:val="28"/>
          <w:lang w:val="en-US" w:eastAsia="zh-CN" w:bidi="ar-SA"/>
        </w:rPr>
      </w:pPr>
      <w:r>
        <w:rPr>
          <w:rFonts w:hint="eastAsia" w:ascii="仿宋" w:hAnsi="仿宋" w:eastAsia="仿宋" w:cs="仿宋"/>
          <w:b w:val="0"/>
          <w:bCs w:val="0"/>
          <w:color w:val="auto"/>
          <w:kern w:val="2"/>
          <w:sz w:val="24"/>
          <w:szCs w:val="28"/>
          <w:lang w:val="en-US" w:eastAsia="zh-CN" w:bidi="ar-SA"/>
        </w:rPr>
        <w:t>本项目每个供应商只能中一包。如中标商已中过一包，则顺延下一名中标。</w:t>
      </w:r>
    </w:p>
    <w:p w14:paraId="0B1D3795">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1042CB25">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792"/>
      <w:bookmarkStart w:id="10" w:name="_Toc35393623"/>
      <w:bookmarkStart w:id="11" w:name="_Toc28359081"/>
      <w:bookmarkStart w:id="12" w:name="_Toc28359004"/>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12837C2B">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34C7AE30">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6FB8D230">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pacing w:val="-2"/>
          <w:sz w:val="24"/>
          <w:szCs w:val="24"/>
          <w:lang w:val="en-US" w:eastAsia="zh-CN"/>
        </w:rPr>
      </w:pPr>
      <w:r>
        <w:rPr>
          <w:rFonts w:hint="eastAsia" w:ascii="仿宋_GB2312" w:hAnsi="仿宋_GB2312" w:eastAsia="仿宋_GB2312" w:cs="仿宋_GB2312"/>
          <w:spacing w:val="-2"/>
          <w:sz w:val="24"/>
          <w:szCs w:val="24"/>
          <w:lang w:val="en-US" w:eastAsia="zh-CN"/>
        </w:rPr>
        <w:t>■本项目不专门面向中小企业预留采购份额。</w:t>
      </w:r>
    </w:p>
    <w:p w14:paraId="48BA04F3">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pacing w:val="-2"/>
          <w:sz w:val="24"/>
          <w:szCs w:val="24"/>
          <w:lang w:val="en-US" w:eastAsia="zh-CN"/>
        </w:rPr>
      </w:pPr>
      <w:r>
        <w:rPr>
          <w:rFonts w:hint="eastAsia" w:ascii="仿宋_GB2312" w:hAnsi="仿宋_GB2312" w:eastAsia="仿宋_GB2312" w:cs="仿宋_GB2312"/>
          <w:spacing w:val="-2"/>
          <w:sz w:val="24"/>
          <w:szCs w:val="24"/>
          <w:lang w:val="en-US" w:eastAsia="zh-CN"/>
        </w:rPr>
        <w:t>□本项目专门面向  □中小 □小微企业  采购。即：即提供的货物全部由符合政策要求的中小/小微企业制造、服务全部由符合政策要求的中小/小微企业承接。</w:t>
      </w:r>
    </w:p>
    <w:p w14:paraId="0E8D6E81">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宋体" w:cs="仿宋_GB2312"/>
          <w:spacing w:val="-2"/>
          <w:sz w:val="24"/>
          <w:szCs w:val="24"/>
          <w:lang w:eastAsia="zh-CN"/>
        </w:rPr>
      </w:pPr>
      <w:r>
        <w:rPr>
          <w:rFonts w:hint="eastAsia" w:ascii="仿宋_GB2312" w:hAnsi="仿宋_GB2312" w:eastAsia="仿宋_GB2312" w:cs="仿宋_GB2312"/>
          <w:spacing w:val="-2"/>
          <w:sz w:val="24"/>
          <w:szCs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rFonts w:hint="eastAsia"/>
          <w:sz w:val="24"/>
          <w:lang w:eastAsia="zh-CN"/>
        </w:rPr>
        <w:t>。</w:t>
      </w:r>
    </w:p>
    <w:p w14:paraId="730E2B48">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415CE4E8">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500056B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3DBC09ED">
      <w:pPr>
        <w:pStyle w:val="12"/>
        <w:keepNext w:val="0"/>
        <w:keepLines w:val="0"/>
        <w:pageBreakBefore w:val="0"/>
        <w:wordWrap/>
        <w:overflowPunct/>
        <w:topLinePunct w:val="0"/>
        <w:autoSpaceDE w:val="0"/>
        <w:autoSpaceDN w:val="0"/>
        <w:bidi w:val="0"/>
        <w:adjustRightInd w:val="0"/>
        <w:spacing w:line="360" w:lineRule="auto"/>
        <w:ind w:left="0" w:leftChars="0" w:right="0" w:firstLine="440" w:firstLineChars="182"/>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5"/>
          <w:sz w:val="24"/>
          <w:szCs w:val="24"/>
          <w:highlight w:val="none"/>
        </w:rPr>
        <w:t>否</w:t>
      </w:r>
    </w:p>
    <w:p w14:paraId="605A2494">
      <w:pPr>
        <w:pStyle w:val="12"/>
        <w:keepNext w:val="0"/>
        <w:keepLines w:val="0"/>
        <w:pageBreakBefore w:val="0"/>
        <w:wordWrap/>
        <w:overflowPunct/>
        <w:topLinePunct w:val="0"/>
        <w:autoSpaceDE w:val="0"/>
        <w:autoSpaceDN w:val="0"/>
        <w:bidi w:val="0"/>
        <w:adjustRightInd w:val="0"/>
        <w:spacing w:line="360" w:lineRule="auto"/>
        <w:ind w:left="0" w:leftChars="0" w:right="0" w:firstLine="434" w:firstLineChars="181"/>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48C74DC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4" w:firstLineChars="200"/>
        <w:jc w:val="left"/>
        <w:textAlignment w:val="baseline"/>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ascii="Calibri" w:hAnsi="Calibri" w:eastAsia="Calibri" w:cs="Times New Roman"/>
          <w:kern w:val="0"/>
          <w:sz w:val="24"/>
          <w:szCs w:val="22"/>
          <w:u w:val="single"/>
          <w:lang w:val="en-US" w:eastAsia="zh-CN" w:bidi="ar-SA"/>
        </w:rPr>
        <w:t xml:space="preserve">  </w:t>
      </w:r>
      <w:r>
        <w:rPr>
          <w:rFonts w:hint="eastAsia" w:ascii="仿宋_GB2312" w:hAnsi="仿宋_GB2312" w:eastAsia="仿宋_GB2312" w:cs="仿宋_GB2312"/>
          <w:spacing w:val="-4"/>
          <w:kern w:val="2"/>
          <w:sz w:val="24"/>
          <w:szCs w:val="24"/>
          <w:u w:val="single"/>
          <w:lang w:val="en-US" w:eastAsia="zh-CN" w:bidi="ar-SA"/>
        </w:rPr>
        <w:t>投标人需持有增值电信业务经营许可证。</w:t>
      </w:r>
    </w:p>
    <w:p w14:paraId="75280BF5">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303DE505">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2026年7月15日</w:t>
      </w:r>
      <w:r>
        <w:rPr>
          <w:rFonts w:hint="eastAsia" w:ascii="仿宋_GB2312" w:hAnsi="仿宋_GB2312" w:eastAsia="仿宋_GB2312" w:cs="仿宋_GB2312"/>
          <w:color w:val="auto"/>
          <w:w w:val="95"/>
          <w:sz w:val="24"/>
          <w:szCs w:val="24"/>
          <w:highlight w:val="none"/>
          <w:shd w:val="clear"/>
          <w:lang w:val="en-US" w:eastAsia="zh-CN"/>
        </w:rPr>
        <w:t>上午9:30至7月21日</w:t>
      </w:r>
      <w:r>
        <w:rPr>
          <w:rFonts w:hint="eastAsia" w:ascii="仿宋_GB2312" w:hAnsi="仿宋_GB2312" w:eastAsia="仿宋_GB2312" w:cs="仿宋_GB2312"/>
          <w:color w:val="auto"/>
          <w:w w:val="95"/>
          <w:sz w:val="24"/>
          <w:szCs w:val="24"/>
          <w:highlight w:val="none"/>
          <w:lang w:val="en-US" w:eastAsia="zh-CN"/>
        </w:rPr>
        <w:t>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099ED7D9">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79D89170">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3418E33B">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5C2FFEC6">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05"/>
      <w:bookmarkStart w:id="14" w:name="_Toc28359082"/>
      <w:bookmarkStart w:id="15" w:name="_Toc35393793"/>
      <w:bookmarkStart w:id="16" w:name="_Toc35393624"/>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793FA202">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8月12日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02FC5D28">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8月12日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B602A33">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439019EE">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84"/>
      <w:bookmarkStart w:id="18" w:name="_Toc35393794"/>
      <w:bookmarkStart w:id="19" w:name="_Toc35393625"/>
      <w:bookmarkStart w:id="20" w:name="_Toc28359007"/>
      <w:r>
        <w:rPr>
          <w:rFonts w:hint="eastAsia" w:ascii="仿宋" w:hAnsi="仿宋" w:eastAsia="仿宋" w:cs="Times New Roman"/>
          <w:b w:val="0"/>
          <w:bCs w:val="0"/>
          <w:color w:val="auto"/>
          <w:sz w:val="24"/>
          <w:szCs w:val="28"/>
        </w:rPr>
        <w:t>五、公告期限</w:t>
      </w:r>
      <w:bookmarkEnd w:id="17"/>
      <w:bookmarkEnd w:id="18"/>
      <w:bookmarkEnd w:id="19"/>
      <w:bookmarkEnd w:id="20"/>
    </w:p>
    <w:p w14:paraId="09A73C93">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7FAE2730">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7C6C9DDB">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5C05E46B">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0B210DCB">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44FC9D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1F4806E7">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6C0D2308">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1EDEDA81">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456A5B76">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3FF6342B">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54851BFB">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F05E1FF">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7734EE0B">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71CFD439">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63631FE4">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3842EB64">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16944A69">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0691DCA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31D9AF1B">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4FB80E7D">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71DB244">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53F55135">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081228BF">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8月12日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418893AA">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08"/>
      <w:bookmarkStart w:id="24" w:name="_Toc28359085"/>
      <w:bookmarkStart w:id="25" w:name="_Toc35393627"/>
      <w:bookmarkStart w:id="26" w:name="_Toc35393796"/>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472DB244">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689579C3">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北京市大兴区政务服务和数据管理局</w:t>
      </w:r>
    </w:p>
    <w:p w14:paraId="0251EC95">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w:t>
      </w:r>
      <w:r>
        <w:rPr>
          <w:rFonts w:hint="eastAsia" w:ascii="仿宋_GB2312" w:hAnsi="仿宋_GB2312" w:eastAsia="仿宋_GB2312" w:cs="仿宋_GB2312"/>
          <w:color w:val="auto"/>
          <w:kern w:val="2"/>
          <w:sz w:val="24"/>
          <w:szCs w:val="24"/>
          <w:lang w:val="en-US" w:eastAsia="zh-CN" w:bidi="ar-SA"/>
        </w:rPr>
        <w:t>北京市大兴区兴华大街三段15号</w:t>
      </w:r>
    </w:p>
    <w:p w14:paraId="120B9589">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联系人：高老师</w:t>
      </w:r>
      <w:bookmarkStart w:id="27" w:name="_GoBack"/>
      <w:bookmarkEnd w:id="27"/>
    </w:p>
    <w:p w14:paraId="07BD046C">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联系方式：81299232</w:t>
      </w:r>
    </w:p>
    <w:p w14:paraId="57A57C1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2D03AD3D">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8453287">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2A2E232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6D30036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208F1694">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项目联系人：王老师</w:t>
      </w:r>
      <w:r>
        <w:rPr>
          <w:rFonts w:hint="eastAsia" w:ascii="仿宋_GB2312" w:hAnsi="仿宋_GB2312" w:eastAsia="仿宋_GB2312" w:cs="仿宋_GB2312"/>
          <w:color w:val="auto"/>
          <w:kern w:val="2"/>
          <w:sz w:val="24"/>
          <w:szCs w:val="24"/>
          <w:lang w:val="en-US" w:eastAsia="zh-CN" w:bidi="ar-SA"/>
        </w:rPr>
        <w:tab/>
      </w:r>
    </w:p>
    <w:p w14:paraId="727BA058">
      <w:pPr>
        <w:pStyle w:val="19"/>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电话：010-69231333转201</w:t>
      </w:r>
    </w:p>
    <w:p w14:paraId="7566B957">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7FC05F10">
      <w:pPr>
        <w:widowControl/>
        <w:ind w:firstLine="4320" w:firstLineChars="1800"/>
        <w:jc w:val="left"/>
        <w:rPr>
          <w:rFonts w:ascii="仿宋" w:hAnsi="仿宋" w:eastAsia="仿宋"/>
          <w:color w:val="auto"/>
          <w:sz w:val="24"/>
          <w:szCs w:val="28"/>
        </w:rPr>
      </w:pPr>
    </w:p>
    <w:p w14:paraId="687FDDEA">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1AFA431F">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6年7月14日</w:t>
      </w:r>
    </w:p>
    <w:p w14:paraId="4422DCF4">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2DCE3FE9">
      <w:pPr>
        <w:jc w:val="center"/>
        <w:rPr>
          <w:rFonts w:hint="eastAsia" w:ascii="仿宋_GB2312" w:hAnsi="仿宋_GB2312" w:eastAsia="仿宋_GB2312" w:cs="仿宋_GB2312"/>
          <w:kern w:val="2"/>
          <w:sz w:val="32"/>
          <w:szCs w:val="32"/>
          <w:lang w:val="en-US" w:eastAsia="zh-CN" w:bidi="ar-SA"/>
        </w:rPr>
      </w:pPr>
      <w:r>
        <w:rPr>
          <w:rFonts w:hint="eastAsia" w:ascii="黑体" w:hAnsi="宋体" w:eastAsia="黑体" w:cs="宋体"/>
          <w:kern w:val="0"/>
          <w:sz w:val="36"/>
          <w:szCs w:val="36"/>
        </w:rPr>
        <w:t>采购需求</w:t>
      </w:r>
    </w:p>
    <w:p w14:paraId="6FBBEFD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本项目预算金额：346.2万元</w:t>
      </w:r>
    </w:p>
    <w:p w14:paraId="39C70CA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第2包：1000M互联网接入，预算金额74万元，最高限价74万元。</w:t>
      </w:r>
    </w:p>
    <w:p w14:paraId="18B3FD0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一、采购清单</w:t>
      </w:r>
    </w:p>
    <w:tbl>
      <w:tblPr>
        <w:tblStyle w:val="25"/>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960"/>
        <w:gridCol w:w="693"/>
        <w:gridCol w:w="3587"/>
        <w:gridCol w:w="1120"/>
        <w:gridCol w:w="1026"/>
      </w:tblGrid>
      <w:tr w14:paraId="6155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94" w:type="dxa"/>
            <w:noWrap w:val="0"/>
            <w:vAlign w:val="center"/>
          </w:tcPr>
          <w:p w14:paraId="46FC6B0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lang w:val="en-US" w:eastAsia="zh-CN"/>
              </w:rPr>
              <w:t>包</w:t>
            </w:r>
            <w:r>
              <w:rPr>
                <w:rFonts w:hint="eastAsia" w:ascii="仿宋_GB2312" w:hAnsi="仿宋_GB2312" w:eastAsia="仿宋_GB2312" w:cs="仿宋_GB2312"/>
                <w:b/>
                <w:color w:val="auto"/>
                <w:sz w:val="21"/>
                <w:szCs w:val="21"/>
                <w:highlight w:val="none"/>
              </w:rPr>
              <w:t>号</w:t>
            </w:r>
          </w:p>
        </w:tc>
        <w:tc>
          <w:tcPr>
            <w:tcW w:w="1960" w:type="dxa"/>
            <w:noWrap w:val="0"/>
            <w:vAlign w:val="center"/>
          </w:tcPr>
          <w:p w14:paraId="783B9E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服务名称</w:t>
            </w:r>
          </w:p>
        </w:tc>
        <w:tc>
          <w:tcPr>
            <w:tcW w:w="693" w:type="dxa"/>
            <w:noWrap w:val="0"/>
            <w:vAlign w:val="center"/>
          </w:tcPr>
          <w:p w14:paraId="044AF6C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b/>
                <w:color w:val="auto"/>
                <w:sz w:val="21"/>
                <w:szCs w:val="21"/>
                <w:highlight w:val="none"/>
              </w:rPr>
              <w:t>数量</w:t>
            </w:r>
          </w:p>
        </w:tc>
        <w:tc>
          <w:tcPr>
            <w:tcW w:w="3587" w:type="dxa"/>
            <w:noWrap w:val="0"/>
            <w:vAlign w:val="center"/>
          </w:tcPr>
          <w:p w14:paraId="3A60C37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kern w:val="2"/>
                <w:sz w:val="21"/>
                <w:szCs w:val="21"/>
                <w:highlight w:val="none"/>
                <w:lang w:val="en-US" w:eastAsia="zh-CN" w:bidi="ar-SA"/>
              </w:rPr>
            </w:pPr>
            <w:r>
              <w:rPr>
                <w:rFonts w:hint="eastAsia" w:ascii="仿宋_GB2312" w:hAnsi="仿宋_GB2312" w:eastAsia="仿宋_GB2312" w:cs="仿宋_GB2312"/>
                <w:b/>
                <w:color w:val="auto"/>
                <w:sz w:val="21"/>
                <w:szCs w:val="21"/>
                <w:highlight w:val="none"/>
                <w:lang w:val="en-US" w:eastAsia="zh-CN"/>
              </w:rPr>
              <w:t>服务内容</w:t>
            </w:r>
          </w:p>
        </w:tc>
        <w:tc>
          <w:tcPr>
            <w:tcW w:w="1120" w:type="dxa"/>
            <w:noWrap w:val="0"/>
            <w:vAlign w:val="center"/>
          </w:tcPr>
          <w:p w14:paraId="01A196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color w:val="auto"/>
                <w:sz w:val="21"/>
                <w:szCs w:val="21"/>
                <w:highlight w:val="none"/>
                <w:lang w:val="en-US" w:eastAsia="zh-CN"/>
              </w:rPr>
              <w:t>预算金额（万元）</w:t>
            </w:r>
          </w:p>
        </w:tc>
        <w:tc>
          <w:tcPr>
            <w:tcW w:w="1026" w:type="dxa"/>
            <w:noWrap w:val="0"/>
            <w:vAlign w:val="center"/>
          </w:tcPr>
          <w:p w14:paraId="3FC43AF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color w:val="auto"/>
                <w:sz w:val="21"/>
                <w:szCs w:val="21"/>
                <w:highlight w:val="none"/>
                <w:lang w:val="en-US" w:eastAsia="zh-CN"/>
              </w:rPr>
            </w:pPr>
            <w:r>
              <w:rPr>
                <w:rFonts w:hint="eastAsia" w:ascii="仿宋_GB2312" w:hAnsi="仿宋_GB2312" w:eastAsia="仿宋_GB2312" w:cs="仿宋_GB2312"/>
                <w:b/>
                <w:color w:val="auto"/>
                <w:sz w:val="21"/>
                <w:szCs w:val="21"/>
                <w:highlight w:val="none"/>
                <w:lang w:val="en-US" w:eastAsia="zh-CN"/>
              </w:rPr>
              <w:t>服务期</w:t>
            </w:r>
          </w:p>
        </w:tc>
      </w:tr>
      <w:tr w14:paraId="17C0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noWrap w:val="0"/>
            <w:vAlign w:val="center"/>
          </w:tcPr>
          <w:p w14:paraId="0ADD20D5">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2</w:t>
            </w:r>
          </w:p>
        </w:tc>
        <w:tc>
          <w:tcPr>
            <w:tcW w:w="1960" w:type="dxa"/>
            <w:noWrap w:val="0"/>
            <w:vAlign w:val="center"/>
          </w:tcPr>
          <w:p w14:paraId="642D1648">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bCs/>
                <w:color w:val="auto"/>
                <w:sz w:val="21"/>
                <w:szCs w:val="21"/>
                <w:highlight w:val="none"/>
                <w:lang w:val="en-US" w:eastAsia="zh-CN"/>
              </w:rPr>
              <w:t>1000M互联网接入</w:t>
            </w:r>
          </w:p>
        </w:tc>
        <w:tc>
          <w:tcPr>
            <w:tcW w:w="693" w:type="dxa"/>
            <w:noWrap w:val="0"/>
            <w:vAlign w:val="center"/>
          </w:tcPr>
          <w:p w14:paraId="2ED6DE30">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w:t>
            </w:r>
          </w:p>
        </w:tc>
        <w:tc>
          <w:tcPr>
            <w:tcW w:w="3587" w:type="dxa"/>
            <w:noWrap w:val="0"/>
            <w:vAlign w:val="center"/>
          </w:tcPr>
          <w:p w14:paraId="7DCC4C35">
            <w:pPr>
              <w:keepNext w:val="0"/>
              <w:keepLines w:val="0"/>
              <w:pageBreakBefore w:val="0"/>
              <w:widowControl w:val="0"/>
              <w:kinsoku/>
              <w:wordWrap/>
              <w:overflowPunct/>
              <w:topLinePunct w:val="0"/>
              <w:autoSpaceDE/>
              <w:autoSpaceDN/>
              <w:bidi w:val="0"/>
              <w:adjustRightInd/>
              <w:snapToGrid/>
              <w:spacing w:line="360" w:lineRule="auto"/>
              <w:ind w:left="0" w:leftChars="0"/>
              <w:jc w:val="left"/>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LAN方式接入，</w:t>
            </w:r>
            <w:r>
              <w:rPr>
                <w:rFonts w:hint="eastAsia" w:ascii="仿宋_GB2312" w:hAnsi="仿宋_GB2312" w:eastAsia="仿宋_GB2312" w:cs="仿宋_GB2312"/>
                <w:bCs/>
                <w:color w:val="auto"/>
                <w:sz w:val="21"/>
                <w:szCs w:val="21"/>
                <w:highlight w:val="none"/>
              </w:rPr>
              <w:t>为北京市大兴区提供</w:t>
            </w:r>
            <w:r>
              <w:rPr>
                <w:rFonts w:hint="eastAsia" w:ascii="仿宋_GB2312" w:hAnsi="仿宋_GB2312" w:eastAsia="仿宋_GB2312" w:cs="仿宋_GB2312"/>
                <w:bCs/>
                <w:color w:val="auto"/>
                <w:sz w:val="21"/>
                <w:szCs w:val="21"/>
                <w:highlight w:val="none"/>
                <w:lang w:val="en-US" w:eastAsia="zh-CN"/>
              </w:rPr>
              <w:t>不少于1000M</w:t>
            </w:r>
            <w:r>
              <w:rPr>
                <w:rFonts w:hint="eastAsia" w:ascii="仿宋_GB2312" w:hAnsi="仿宋_GB2312" w:eastAsia="仿宋_GB2312" w:cs="仿宋_GB2312"/>
                <w:bCs/>
                <w:color w:val="auto"/>
                <w:sz w:val="21"/>
                <w:szCs w:val="21"/>
                <w:highlight w:val="none"/>
              </w:rPr>
              <w:t>互联网</w:t>
            </w:r>
            <w:r>
              <w:rPr>
                <w:rFonts w:hint="eastAsia" w:ascii="仿宋_GB2312" w:hAnsi="仿宋_GB2312" w:eastAsia="仿宋_GB2312" w:cs="仿宋_GB2312"/>
                <w:bCs/>
                <w:color w:val="auto"/>
                <w:sz w:val="21"/>
                <w:szCs w:val="21"/>
                <w:highlight w:val="none"/>
                <w:lang w:val="en-US" w:eastAsia="zh-CN"/>
              </w:rPr>
              <w:t>带宽接入</w:t>
            </w:r>
            <w:r>
              <w:rPr>
                <w:rFonts w:hint="eastAsia" w:ascii="仿宋_GB2312" w:hAnsi="仿宋_GB2312" w:eastAsia="仿宋_GB2312" w:cs="仿宋_GB2312"/>
                <w:bCs/>
                <w:color w:val="auto"/>
                <w:sz w:val="21"/>
                <w:szCs w:val="21"/>
                <w:highlight w:val="none"/>
              </w:rPr>
              <w:t>服务</w:t>
            </w:r>
            <w:r>
              <w:rPr>
                <w:rFonts w:hint="eastAsia" w:ascii="仿宋_GB2312" w:hAnsi="仿宋_GB2312" w:eastAsia="仿宋_GB2312" w:cs="仿宋_GB2312"/>
                <w:bCs/>
                <w:color w:val="auto"/>
                <w:sz w:val="21"/>
                <w:szCs w:val="21"/>
                <w:highlight w:val="none"/>
                <w:lang w:eastAsia="zh-CN"/>
              </w:rPr>
              <w:t>。</w:t>
            </w:r>
          </w:p>
        </w:tc>
        <w:tc>
          <w:tcPr>
            <w:tcW w:w="1120" w:type="dxa"/>
            <w:noWrap w:val="0"/>
            <w:vAlign w:val="center"/>
          </w:tcPr>
          <w:p w14:paraId="367737AD">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74</w:t>
            </w:r>
          </w:p>
        </w:tc>
        <w:tc>
          <w:tcPr>
            <w:tcW w:w="1026" w:type="dxa"/>
            <w:noWrap w:val="0"/>
            <w:vAlign w:val="center"/>
          </w:tcPr>
          <w:p w14:paraId="0103DA8B">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12个月</w:t>
            </w:r>
          </w:p>
        </w:tc>
      </w:tr>
    </w:tbl>
    <w:p w14:paraId="35F33B3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b/>
          <w:color w:val="auto"/>
          <w:sz w:val="32"/>
          <w:szCs w:val="32"/>
          <w:lang w:val="en-US" w:eastAsia="zh-CN"/>
        </w:rPr>
      </w:pPr>
    </w:p>
    <w:p w14:paraId="5EAD144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二、项目背景或简况</w:t>
      </w:r>
    </w:p>
    <w:p w14:paraId="14B0B12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640" w:firstLineChars="20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保障大兴区政务外网互联网出口和移动政务平台业务的正常运行，我局需采购2026年互联网及数字专线链路服务，接入地点为北京市大兴区政务外网核心机房（位于大兴区经信局办公楼一层），接入方式为LAN方式接入，计划对北京市大兴区政务外网互联网出口及数字专线链路服务进行招标。中标人将为北京市大兴区政务服务和数据管理局提供互联网和数字专线链路接入服务。</w:t>
      </w:r>
    </w:p>
    <w:p w14:paraId="4B8EFFA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三、技术参数要求</w:t>
      </w:r>
    </w:p>
    <w:p w14:paraId="60BEFD40">
      <w:pPr>
        <w:keepNext w:val="0"/>
        <w:keepLines w:val="0"/>
        <w:pageBreakBefore w:val="0"/>
        <w:widowControl w:val="0"/>
        <w:kinsoku/>
        <w:wordWrap/>
        <w:overflowPunct/>
        <w:topLinePunct w:val="0"/>
        <w:autoSpaceDE/>
        <w:autoSpaceDN/>
        <w:bidi w:val="0"/>
        <w:adjustRightInd w:val="0"/>
        <w:snapToGrid/>
        <w:spacing w:line="360" w:lineRule="auto"/>
        <w:ind w:left="0" w:firstLine="482" w:firstLineChars="200"/>
        <w:jc w:val="left"/>
        <w:textAlignment w:val="baseline"/>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color w:val="auto"/>
          <w:sz w:val="24"/>
          <w:szCs w:val="24"/>
          <w:highlight w:val="none"/>
          <w:lang w:eastAsia="zh-CN"/>
        </w:rPr>
        <w:t>第</w:t>
      </w:r>
      <w:r>
        <w:rPr>
          <w:rFonts w:hint="eastAsia" w:ascii="仿宋_GB2312" w:hAnsi="仿宋_GB2312" w:eastAsia="仿宋_GB2312" w:cs="仿宋_GB2312"/>
          <w:b/>
          <w:color w:val="auto"/>
          <w:sz w:val="24"/>
          <w:szCs w:val="24"/>
          <w:highlight w:val="none"/>
          <w:lang w:val="en-US" w:eastAsia="zh-CN"/>
        </w:rPr>
        <w:t>1、2、3、4包均需满足技术参数要求（与数字专线相关需求不适用于第2包）具体如下：</w:t>
      </w:r>
    </w:p>
    <w:p w14:paraId="0718D847">
      <w:pPr>
        <w:pStyle w:val="24"/>
        <w:keepNext w:val="0"/>
        <w:keepLines w:val="0"/>
        <w:pageBreakBefore w:val="0"/>
        <w:widowControl w:val="0"/>
        <w:numPr>
          <w:ilvl w:val="0"/>
          <w:numId w:val="0"/>
        </w:numPr>
        <w:kinsoku/>
        <w:wordWrap/>
        <w:overflowPunct/>
        <w:topLinePunct w:val="0"/>
        <w:autoSpaceDE/>
        <w:autoSpaceDN/>
        <w:bidi w:val="0"/>
        <w:snapToGrid/>
        <w:spacing w:after="0" w:line="360" w:lineRule="auto"/>
        <w:ind w:left="0" w:leftChars="0" w:firstLine="482" w:firstLineChars="2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3.1.实施方案要求</w:t>
      </w:r>
    </w:p>
    <w:p w14:paraId="3E0FDF4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3.1.1针对客户现有办公环境网络现状具备可行且具体的实施方案，针对本项目提供专人进行商务及技术对接。</w:t>
      </w:r>
    </w:p>
    <w:p w14:paraId="377DD09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3.1.2有明确的实施步骤，完备的验收环节和严格的质量管理保障。</w:t>
      </w:r>
    </w:p>
    <w:p w14:paraId="254C2F0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3.1.3针对本项目有具体的项目团队，提供业务团队、施工团队、售后团队。</w:t>
      </w:r>
    </w:p>
    <w:p w14:paraId="41208DB6">
      <w:pPr>
        <w:pStyle w:val="24"/>
        <w:keepNext w:val="0"/>
        <w:keepLines w:val="0"/>
        <w:pageBreakBefore w:val="0"/>
        <w:widowControl w:val="0"/>
        <w:numPr>
          <w:ilvl w:val="0"/>
          <w:numId w:val="0"/>
        </w:numPr>
        <w:kinsoku/>
        <w:wordWrap/>
        <w:overflowPunct/>
        <w:topLinePunct w:val="0"/>
        <w:autoSpaceDE/>
        <w:autoSpaceDN/>
        <w:bidi w:val="0"/>
        <w:snapToGrid/>
        <w:spacing w:after="0" w:line="360" w:lineRule="auto"/>
        <w:ind w:left="0" w:leftChars="0" w:firstLine="482" w:firstLineChars="200"/>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3.2技术性能指标要求</w:t>
      </w:r>
    </w:p>
    <w:tbl>
      <w:tblPr>
        <w:tblStyle w:val="25"/>
        <w:tblW w:w="0" w:type="auto"/>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0" w:type="dxa"/>
          <w:bottom w:w="0" w:type="dxa"/>
          <w:right w:w="0" w:type="dxa"/>
        </w:tblCellMar>
      </w:tblPr>
      <w:tblGrid>
        <w:gridCol w:w="811"/>
        <w:gridCol w:w="1740"/>
        <w:gridCol w:w="5641"/>
      </w:tblGrid>
      <w:tr w14:paraId="6444478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6" w:hRule="atLeast"/>
          <w:jc w:val="center"/>
        </w:trPr>
        <w:tc>
          <w:tcPr>
            <w:tcW w:w="811" w:type="dxa"/>
            <w:noWrap/>
            <w:vAlign w:val="center"/>
          </w:tcPr>
          <w:p w14:paraId="2B02CCB0">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编号</w:t>
            </w:r>
          </w:p>
        </w:tc>
        <w:tc>
          <w:tcPr>
            <w:tcW w:w="1740" w:type="dxa"/>
            <w:noWrap w:val="0"/>
            <w:vAlign w:val="center"/>
          </w:tcPr>
          <w:p w14:paraId="06FF290A">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功 能</w:t>
            </w:r>
          </w:p>
        </w:tc>
        <w:tc>
          <w:tcPr>
            <w:tcW w:w="5641" w:type="dxa"/>
            <w:noWrap w:val="0"/>
            <w:vAlign w:val="center"/>
          </w:tcPr>
          <w:p w14:paraId="2B4BA7A8">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技术要求及指标</w:t>
            </w:r>
          </w:p>
        </w:tc>
      </w:tr>
      <w:tr w14:paraId="39CB85AB">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811" w:type="dxa"/>
            <w:noWrap w:val="0"/>
            <w:vAlign w:val="center"/>
          </w:tcPr>
          <w:p w14:paraId="63052E81">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c>
          <w:tcPr>
            <w:tcW w:w="1740" w:type="dxa"/>
            <w:noWrap w:val="0"/>
            <w:vAlign w:val="center"/>
          </w:tcPr>
          <w:p w14:paraId="3752AC90">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带宽</w:t>
            </w:r>
          </w:p>
        </w:tc>
        <w:tc>
          <w:tcPr>
            <w:tcW w:w="5641" w:type="dxa"/>
            <w:noWrap w:val="0"/>
            <w:vAlign w:val="center"/>
          </w:tcPr>
          <w:p w14:paraId="2D89241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投标人应能够提供上下行流量对称的独享带宽，并保证此线路具备双路由保护。提供持续时间不少于2小时的短期突发带宽，突发带宽至少为协议规定带宽的1</w:t>
            </w: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0%。</w:t>
            </w:r>
          </w:p>
        </w:tc>
      </w:tr>
      <w:tr w14:paraId="796DBC4A">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811" w:type="dxa"/>
            <w:noWrap w:val="0"/>
            <w:vAlign w:val="center"/>
          </w:tcPr>
          <w:p w14:paraId="780D8661">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p>
        </w:tc>
        <w:tc>
          <w:tcPr>
            <w:tcW w:w="1740" w:type="dxa"/>
            <w:noWrap w:val="0"/>
            <w:vAlign w:val="center"/>
          </w:tcPr>
          <w:p w14:paraId="2271A73F">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IP地址</w:t>
            </w:r>
          </w:p>
        </w:tc>
        <w:tc>
          <w:tcPr>
            <w:tcW w:w="5641" w:type="dxa"/>
            <w:noWrap w:val="0"/>
            <w:vAlign w:val="center"/>
          </w:tcPr>
          <w:p w14:paraId="08B593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投标人提供不少于</w:t>
            </w:r>
            <w:r>
              <w:rPr>
                <w:rFonts w:hint="eastAsia" w:ascii="仿宋_GB2312" w:hAnsi="仿宋_GB2312" w:eastAsia="仿宋_GB2312" w:cs="仿宋_GB2312"/>
                <w:color w:val="auto"/>
                <w:sz w:val="21"/>
                <w:szCs w:val="21"/>
                <w:highlight w:val="none"/>
                <w:lang w:val="en-US" w:eastAsia="zh-CN"/>
              </w:rPr>
              <w:t>1</w:t>
            </w:r>
            <w:r>
              <w:rPr>
                <w:rFonts w:hint="eastAsia" w:ascii="仿宋_GB2312" w:hAnsi="仿宋_GB2312" w:eastAsia="仿宋_GB2312" w:cs="仿宋_GB2312"/>
                <w:color w:val="auto"/>
                <w:sz w:val="21"/>
                <w:szCs w:val="21"/>
                <w:highlight w:val="none"/>
              </w:rPr>
              <w:t>个C</w:t>
            </w:r>
            <w:r>
              <w:rPr>
                <w:rFonts w:hint="eastAsia" w:ascii="仿宋_GB2312" w:hAnsi="仿宋_GB2312" w:eastAsia="仿宋_GB2312" w:cs="仿宋_GB2312"/>
                <w:color w:val="auto"/>
                <w:sz w:val="21"/>
                <w:szCs w:val="21"/>
                <w:highlight w:val="none"/>
                <w:lang w:val="en-US" w:eastAsia="zh-CN"/>
              </w:rPr>
              <w:t>类</w:t>
            </w:r>
            <w:r>
              <w:rPr>
                <w:rFonts w:hint="eastAsia" w:ascii="仿宋_GB2312" w:hAnsi="仿宋_GB2312" w:eastAsia="仿宋_GB2312" w:cs="仿宋_GB2312"/>
                <w:color w:val="auto"/>
                <w:sz w:val="21"/>
                <w:szCs w:val="21"/>
                <w:highlight w:val="none"/>
              </w:rPr>
              <w:t>的公网IPV4地址，同时承诺支持IPV6地址，并可按</w:t>
            </w:r>
            <w:r>
              <w:rPr>
                <w:rFonts w:hint="eastAsia" w:ascii="仿宋_GB2312" w:hAnsi="仿宋_GB2312" w:eastAsia="仿宋_GB2312" w:cs="仿宋_GB2312"/>
                <w:color w:val="auto"/>
                <w:sz w:val="21"/>
                <w:szCs w:val="21"/>
                <w:highlight w:val="none"/>
                <w:lang w:val="en-US" w:eastAsia="zh-CN"/>
              </w:rPr>
              <w:t>区政务服务和数据管理</w:t>
            </w:r>
            <w:r>
              <w:rPr>
                <w:rFonts w:hint="eastAsia" w:ascii="仿宋_GB2312" w:hAnsi="仿宋_GB2312" w:eastAsia="仿宋_GB2312" w:cs="仿宋_GB2312"/>
                <w:color w:val="auto"/>
                <w:sz w:val="21"/>
                <w:szCs w:val="21"/>
                <w:highlight w:val="none"/>
              </w:rPr>
              <w:t>局要求提供测试对接服务。</w:t>
            </w:r>
          </w:p>
        </w:tc>
      </w:tr>
      <w:tr w14:paraId="0011D9B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724" w:hRule="atLeast"/>
          <w:jc w:val="center"/>
        </w:trPr>
        <w:tc>
          <w:tcPr>
            <w:tcW w:w="811" w:type="dxa"/>
            <w:noWrap w:val="0"/>
            <w:vAlign w:val="center"/>
          </w:tcPr>
          <w:p w14:paraId="169899AB">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w:t>
            </w:r>
          </w:p>
        </w:tc>
        <w:tc>
          <w:tcPr>
            <w:tcW w:w="1740" w:type="dxa"/>
            <w:noWrap w:val="0"/>
            <w:vAlign w:val="center"/>
          </w:tcPr>
          <w:p w14:paraId="3752D3DD">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网络时延</w:t>
            </w:r>
          </w:p>
        </w:tc>
        <w:tc>
          <w:tcPr>
            <w:tcW w:w="5641" w:type="dxa"/>
            <w:noWrap w:val="0"/>
            <w:vAlign w:val="center"/>
          </w:tcPr>
          <w:p w14:paraId="06D61F5D">
            <w:pPr>
              <w:keepNext w:val="0"/>
              <w:keepLines w:val="0"/>
              <w:pageBreakBefore w:val="0"/>
              <w:widowControl w:val="0"/>
              <w:kinsoku/>
              <w:wordWrap/>
              <w:overflowPunct/>
              <w:topLinePunct w:val="0"/>
              <w:autoSpaceDE/>
              <w:autoSpaceDN/>
              <w:bidi w:val="0"/>
              <w:snapToGrid/>
              <w:spacing w:line="360" w:lineRule="auto"/>
              <w:ind w:left="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大兴区政务外网核心</w:t>
            </w:r>
            <w:r>
              <w:rPr>
                <w:rFonts w:hint="eastAsia" w:ascii="仿宋_GB2312" w:hAnsi="仿宋_GB2312" w:eastAsia="仿宋_GB2312" w:cs="仿宋_GB2312"/>
                <w:color w:val="auto"/>
                <w:sz w:val="21"/>
                <w:szCs w:val="21"/>
                <w:highlight w:val="none"/>
              </w:rPr>
              <w:t>机房网络设备端口到投标人局端网络设备网络时延≤5ms。</w:t>
            </w:r>
          </w:p>
        </w:tc>
      </w:tr>
      <w:tr w14:paraId="38CE850F">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623" w:hRule="atLeast"/>
          <w:jc w:val="center"/>
        </w:trPr>
        <w:tc>
          <w:tcPr>
            <w:tcW w:w="811" w:type="dxa"/>
            <w:noWrap w:val="0"/>
            <w:vAlign w:val="center"/>
          </w:tcPr>
          <w:p w14:paraId="3FB9ADC9">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4</w:t>
            </w:r>
          </w:p>
        </w:tc>
        <w:tc>
          <w:tcPr>
            <w:tcW w:w="1740" w:type="dxa"/>
            <w:noWrap w:val="0"/>
            <w:vAlign w:val="center"/>
          </w:tcPr>
          <w:p w14:paraId="300FD605">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丢包率</w:t>
            </w:r>
          </w:p>
        </w:tc>
        <w:tc>
          <w:tcPr>
            <w:tcW w:w="5641" w:type="dxa"/>
            <w:noWrap w:val="0"/>
            <w:vAlign w:val="center"/>
          </w:tcPr>
          <w:p w14:paraId="55FC1F68">
            <w:pPr>
              <w:keepNext w:val="0"/>
              <w:keepLines w:val="0"/>
              <w:pageBreakBefore w:val="0"/>
              <w:widowControl w:val="0"/>
              <w:kinsoku/>
              <w:wordWrap/>
              <w:overflowPunct/>
              <w:topLinePunct w:val="0"/>
              <w:autoSpaceDE/>
              <w:autoSpaceDN/>
              <w:bidi w:val="0"/>
              <w:snapToGrid/>
              <w:spacing w:line="360" w:lineRule="auto"/>
              <w:ind w:left="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在正常带宽负荷下（负荷小于70％）≤1%，时延≤50ms。</w:t>
            </w:r>
          </w:p>
        </w:tc>
      </w:tr>
      <w:tr w14:paraId="41F4D49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322" w:hRule="atLeast"/>
          <w:jc w:val="center"/>
        </w:trPr>
        <w:tc>
          <w:tcPr>
            <w:tcW w:w="811" w:type="dxa"/>
            <w:noWrap w:val="0"/>
            <w:vAlign w:val="center"/>
          </w:tcPr>
          <w:p w14:paraId="38345022">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w:t>
            </w:r>
          </w:p>
        </w:tc>
        <w:tc>
          <w:tcPr>
            <w:tcW w:w="1740" w:type="dxa"/>
            <w:noWrap w:val="0"/>
            <w:vAlign w:val="center"/>
          </w:tcPr>
          <w:p w14:paraId="5DB40A20">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骨干网络备份</w:t>
            </w:r>
          </w:p>
        </w:tc>
        <w:tc>
          <w:tcPr>
            <w:tcW w:w="5641" w:type="dxa"/>
            <w:noWrap w:val="0"/>
            <w:vAlign w:val="center"/>
          </w:tcPr>
          <w:p w14:paraId="25DE59A3">
            <w:pPr>
              <w:keepNext w:val="0"/>
              <w:keepLines w:val="0"/>
              <w:pageBreakBefore w:val="0"/>
              <w:widowControl w:val="0"/>
              <w:kinsoku/>
              <w:wordWrap/>
              <w:overflowPunct/>
              <w:topLinePunct w:val="0"/>
              <w:autoSpaceDE/>
              <w:autoSpaceDN/>
              <w:bidi w:val="0"/>
              <w:snapToGrid/>
              <w:spacing w:line="360" w:lineRule="auto"/>
              <w:ind w:left="0"/>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w w:val="100"/>
                <w:sz w:val="21"/>
                <w:szCs w:val="21"/>
                <w:highlight w:val="none"/>
              </w:rPr>
              <w:t>投标人应确保骨干链路及相关设备具有冗余备份功能</w:t>
            </w:r>
            <w:r>
              <w:rPr>
                <w:rFonts w:hint="eastAsia" w:ascii="仿宋_GB2312" w:hAnsi="仿宋_GB2312" w:eastAsia="仿宋_GB2312" w:cs="仿宋_GB2312"/>
                <w:color w:val="auto"/>
                <w:sz w:val="21"/>
                <w:szCs w:val="21"/>
                <w:highlight w:val="none"/>
              </w:rPr>
              <w:t>。</w:t>
            </w:r>
          </w:p>
        </w:tc>
      </w:tr>
      <w:tr w14:paraId="6020D892">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811" w:type="dxa"/>
            <w:noWrap w:val="0"/>
            <w:vAlign w:val="center"/>
          </w:tcPr>
          <w:p w14:paraId="3B4C2B35">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6</w:t>
            </w:r>
          </w:p>
        </w:tc>
        <w:tc>
          <w:tcPr>
            <w:tcW w:w="1740" w:type="dxa"/>
            <w:noWrap w:val="0"/>
            <w:vAlign w:val="center"/>
          </w:tcPr>
          <w:p w14:paraId="2FAFE5C6">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节点跳数</w:t>
            </w:r>
          </w:p>
        </w:tc>
        <w:tc>
          <w:tcPr>
            <w:tcW w:w="5641" w:type="dxa"/>
            <w:noWrap w:val="0"/>
            <w:vAlign w:val="center"/>
          </w:tcPr>
          <w:p w14:paraId="331DB28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从</w:t>
            </w:r>
            <w:r>
              <w:rPr>
                <w:rFonts w:hint="eastAsia" w:ascii="仿宋_GB2312" w:hAnsi="仿宋_GB2312" w:eastAsia="仿宋_GB2312" w:cs="仿宋_GB2312"/>
                <w:color w:val="auto"/>
                <w:sz w:val="21"/>
                <w:szCs w:val="21"/>
                <w:highlight w:val="none"/>
                <w:lang w:val="en-US" w:eastAsia="zh-CN"/>
              </w:rPr>
              <w:t>大兴区政务外网核心</w:t>
            </w:r>
            <w:r>
              <w:rPr>
                <w:rFonts w:hint="eastAsia" w:ascii="仿宋_GB2312" w:hAnsi="仿宋_GB2312" w:eastAsia="仿宋_GB2312" w:cs="仿宋_GB2312"/>
                <w:color w:val="auto"/>
                <w:sz w:val="21"/>
                <w:szCs w:val="21"/>
                <w:highlight w:val="none"/>
              </w:rPr>
              <w:t>机房接入路由器到投标人骨干网络节点的跳数≤3跳。</w:t>
            </w:r>
          </w:p>
        </w:tc>
      </w:tr>
      <w:tr w14:paraId="7F04C7D0">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811" w:type="dxa"/>
            <w:noWrap w:val="0"/>
            <w:vAlign w:val="center"/>
          </w:tcPr>
          <w:p w14:paraId="75BDC92E">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7</w:t>
            </w:r>
          </w:p>
        </w:tc>
        <w:tc>
          <w:tcPr>
            <w:tcW w:w="1740" w:type="dxa"/>
            <w:noWrap w:val="0"/>
            <w:vAlign w:val="center"/>
          </w:tcPr>
          <w:p w14:paraId="1D0304CA">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预警监控</w:t>
            </w:r>
          </w:p>
        </w:tc>
        <w:tc>
          <w:tcPr>
            <w:tcW w:w="5641" w:type="dxa"/>
            <w:noWrap w:val="0"/>
            <w:vAlign w:val="center"/>
          </w:tcPr>
          <w:p w14:paraId="394E1D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投标人应具备完善的、具有预警监控功能的网络管理平台和安全管理平台，能够提供实时网络异常流量监控，并对异常流量按照严重程度进行分级预警。</w:t>
            </w:r>
          </w:p>
        </w:tc>
      </w:tr>
      <w:tr w14:paraId="65D4457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907" w:hRule="atLeast"/>
          <w:jc w:val="center"/>
        </w:trPr>
        <w:tc>
          <w:tcPr>
            <w:tcW w:w="811" w:type="dxa"/>
            <w:noWrap w:val="0"/>
            <w:vAlign w:val="center"/>
          </w:tcPr>
          <w:p w14:paraId="6EEF5AA4">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8</w:t>
            </w:r>
          </w:p>
        </w:tc>
        <w:tc>
          <w:tcPr>
            <w:tcW w:w="1740" w:type="dxa"/>
            <w:noWrap w:val="0"/>
            <w:vAlign w:val="center"/>
          </w:tcPr>
          <w:p w14:paraId="65427936">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重点监控</w:t>
            </w:r>
          </w:p>
        </w:tc>
        <w:tc>
          <w:tcPr>
            <w:tcW w:w="5641" w:type="dxa"/>
            <w:noWrap w:val="0"/>
            <w:vAlign w:val="center"/>
          </w:tcPr>
          <w:p w14:paraId="2AA5AB65">
            <w:pPr>
              <w:keepNext w:val="0"/>
              <w:keepLines w:val="0"/>
              <w:pageBreakBefore w:val="0"/>
              <w:widowControl w:val="0"/>
              <w:kinsoku/>
              <w:wordWrap/>
              <w:overflowPunct/>
              <w:topLinePunct w:val="0"/>
              <w:autoSpaceDE/>
              <w:autoSpaceDN/>
              <w:bidi w:val="0"/>
              <w:adjustRightInd/>
              <w:snapToGrid/>
              <w:spacing w:line="360" w:lineRule="auto"/>
              <w:ind w:left="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需提供线路全程网元重点监控，出现故障或投诉时优先于其他客户进行处理。</w:t>
            </w:r>
          </w:p>
        </w:tc>
      </w:tr>
      <w:tr w14:paraId="3F5152F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295" w:hRule="atLeast"/>
          <w:jc w:val="center"/>
        </w:trPr>
        <w:tc>
          <w:tcPr>
            <w:tcW w:w="811" w:type="dxa"/>
            <w:noWrap w:val="0"/>
            <w:vAlign w:val="center"/>
          </w:tcPr>
          <w:p w14:paraId="15252C96">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9</w:t>
            </w:r>
          </w:p>
        </w:tc>
        <w:tc>
          <w:tcPr>
            <w:tcW w:w="1740" w:type="dxa"/>
            <w:noWrap w:val="0"/>
            <w:vAlign w:val="center"/>
          </w:tcPr>
          <w:p w14:paraId="4810A637">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安全服务</w:t>
            </w:r>
          </w:p>
        </w:tc>
        <w:tc>
          <w:tcPr>
            <w:tcW w:w="5641" w:type="dxa"/>
            <w:noWrap w:val="0"/>
            <w:vAlign w:val="center"/>
          </w:tcPr>
          <w:p w14:paraId="40C96D30">
            <w:pPr>
              <w:pStyle w:val="6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投标人需具备提供不限流量的DDOS安全防护服务及不限流量的境外流量拦截服务的能力。</w:t>
            </w:r>
          </w:p>
        </w:tc>
      </w:tr>
      <w:tr w14:paraId="3877E2F8">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0" w:type="dxa"/>
            <w:bottom w:w="0" w:type="dxa"/>
            <w:right w:w="0" w:type="dxa"/>
          </w:tblCellMar>
        </w:tblPrEx>
        <w:trPr>
          <w:trHeight w:val="1135" w:hRule="atLeast"/>
          <w:jc w:val="center"/>
        </w:trPr>
        <w:tc>
          <w:tcPr>
            <w:tcW w:w="811" w:type="dxa"/>
            <w:noWrap w:val="0"/>
            <w:vAlign w:val="center"/>
          </w:tcPr>
          <w:p w14:paraId="5B55EF18">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10</w:t>
            </w:r>
          </w:p>
        </w:tc>
        <w:tc>
          <w:tcPr>
            <w:tcW w:w="1740" w:type="dxa"/>
            <w:noWrap w:val="0"/>
            <w:vAlign w:val="center"/>
          </w:tcPr>
          <w:p w14:paraId="6E8DEB85">
            <w:pPr>
              <w:keepNext w:val="0"/>
              <w:keepLines w:val="0"/>
              <w:pageBreakBefore w:val="0"/>
              <w:widowControl w:val="0"/>
              <w:kinsoku/>
              <w:wordWrap/>
              <w:overflowPunct/>
              <w:topLinePunct w:val="0"/>
              <w:autoSpaceDE/>
              <w:autoSpaceDN/>
              <w:bidi w:val="0"/>
              <w:snapToGrid/>
              <w:spacing w:line="360" w:lineRule="auto"/>
              <w:ind w:left="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配套设备</w:t>
            </w:r>
          </w:p>
        </w:tc>
        <w:tc>
          <w:tcPr>
            <w:tcW w:w="5641" w:type="dxa"/>
            <w:noWrap w:val="0"/>
            <w:vAlign w:val="center"/>
          </w:tcPr>
          <w:p w14:paraId="16666C2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提供互联网专线接入端所需的所有设备，包含有线通讯线缆（光纤）、电源线、套管、</w:t>
            </w:r>
            <w:r>
              <w:rPr>
                <w:rFonts w:hint="eastAsia" w:ascii="仿宋_GB2312" w:hAnsi="仿宋_GB2312" w:eastAsia="仿宋_GB2312" w:cs="仿宋_GB2312"/>
                <w:color w:val="auto"/>
                <w:sz w:val="21"/>
                <w:szCs w:val="21"/>
                <w:highlight w:val="none"/>
                <w:lang w:val="en-US" w:eastAsia="zh-CN"/>
              </w:rPr>
              <w:t>双路由保护的</w:t>
            </w:r>
            <w:r>
              <w:rPr>
                <w:rFonts w:hint="eastAsia" w:ascii="仿宋_GB2312" w:hAnsi="仿宋_GB2312" w:eastAsia="仿宋_GB2312" w:cs="仿宋_GB2312"/>
                <w:color w:val="auto"/>
                <w:sz w:val="21"/>
                <w:szCs w:val="21"/>
                <w:highlight w:val="none"/>
              </w:rPr>
              <w:t>传输设备、网关等；并负责安装调试</w:t>
            </w:r>
            <w:r>
              <w:rPr>
                <w:rFonts w:hint="eastAsia" w:ascii="仿宋_GB2312" w:hAnsi="仿宋_GB2312" w:eastAsia="仿宋_GB2312" w:cs="仿宋_GB2312"/>
                <w:color w:val="auto"/>
                <w:sz w:val="21"/>
                <w:szCs w:val="21"/>
                <w:highlight w:val="none"/>
                <w:lang w:val="en-US" w:eastAsia="zh-CN"/>
              </w:rPr>
              <w:t>和运行维护</w:t>
            </w:r>
            <w:r>
              <w:rPr>
                <w:rFonts w:hint="eastAsia" w:ascii="仿宋_GB2312" w:hAnsi="仿宋_GB2312" w:eastAsia="仿宋_GB2312" w:cs="仿宋_GB2312"/>
                <w:color w:val="auto"/>
                <w:sz w:val="21"/>
                <w:szCs w:val="21"/>
                <w:highlight w:val="none"/>
              </w:rPr>
              <w:t>。</w:t>
            </w:r>
          </w:p>
        </w:tc>
      </w:tr>
    </w:tbl>
    <w:p w14:paraId="509301AC">
      <w:pPr>
        <w:pStyle w:val="2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3.3运维服务要求</w:t>
      </w:r>
    </w:p>
    <w:p w14:paraId="3B0444D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3.3.1提供运维支撑服务，承诺提供每周7×24小时不间断网络接入服务，尤其要保障重大活动期间及国庆节、春节等重点时期的业务连续性，提供每周7×24小时全天候技术支持响应，提供免费每周7×24技术支持电话及投诉处理电话。</w:t>
      </w:r>
    </w:p>
    <w:p w14:paraId="5AE79D0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3.3.2投标人应建立完善的应急机制和应急预案满足业务持续性要求，防止业务中断，保证关键通信畅通。</w:t>
      </w:r>
    </w:p>
    <w:p w14:paraId="1E5D7C21">
      <w:pPr>
        <w:pStyle w:val="2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3.4工期要求</w:t>
      </w:r>
    </w:p>
    <w:p w14:paraId="6CA6AE4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合理安排工期，确保在签订合同之日起7日内完成线路开通调测。</w:t>
      </w:r>
    </w:p>
    <w:p w14:paraId="4F02AE36">
      <w:pPr>
        <w:pStyle w:val="2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3.5对接方案要求</w:t>
      </w:r>
    </w:p>
    <w:p w14:paraId="5539E34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3.5.1充分了解、分析现有网络使用情况，实现网络对接，并且不对现有业务造成影响。</w:t>
      </w:r>
    </w:p>
    <w:p w14:paraId="5B1C463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3.5.2投标人应承诺网络对接过程中保证前端业务的连续性和稳定性，需详细制定切实可行的对接方案，并自行承担因网络切换发生的相关业务成本。</w:t>
      </w:r>
    </w:p>
    <w:p w14:paraId="02E4E4C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3.5.3因数字专线应用涉及基站信号覆盖质量问题的，投标人需承诺可协调基础电信运营商对大兴区域内信号覆盖进行优化，确保业务的可用性，相关成本由投标人自行承担。</w:t>
      </w:r>
    </w:p>
    <w:p w14:paraId="34B84035">
      <w:pPr>
        <w:pStyle w:val="2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3.6故障处理方案要求</w:t>
      </w:r>
    </w:p>
    <w:p w14:paraId="3E2EB10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3.6.1投标人需提供完整的服务流程和故障处理时限。</w:t>
      </w:r>
    </w:p>
    <w:p w14:paraId="1916CDB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3.6.2所提供的网络链路发生持续2分钟以上的中断后，在5分钟之内通知采购人。</w:t>
      </w:r>
    </w:p>
    <w:p w14:paraId="34E6D28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3.6.3投标人应承诺，在出现上述中断时，在10分钟内给出初步的故障判断报告，如需现场服务，在1小时内到达现场，在4小时内解决故障并向采购人通告故障处理情况。</w:t>
      </w:r>
    </w:p>
    <w:p w14:paraId="09FA5AA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479" w:leftChars="228" w:firstLine="0" w:firstLineChars="0"/>
        <w:jc w:val="left"/>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3.6.4对于超时解决的故障，投标人应分析导致故障超时解决的原因，提出改进建议和措施，并应在故障处理完毕1个工作日内向采购人提供《超时故障分析报告》。</w:t>
      </w:r>
    </w:p>
    <w:p w14:paraId="36B2E3D9">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C7B0377"/>
    <w:multiLevelType w:val="multilevel"/>
    <w:tmpl w:val="6C7B0377"/>
    <w:lvl w:ilvl="0" w:tentative="0">
      <w:start w:val="1"/>
      <w:numFmt w:val="decimal"/>
      <w:pStyle w:val="56"/>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1AA1AC9"/>
    <w:rsid w:val="020D2BD6"/>
    <w:rsid w:val="027C3F58"/>
    <w:rsid w:val="02E70380"/>
    <w:rsid w:val="03441120"/>
    <w:rsid w:val="03AF15E8"/>
    <w:rsid w:val="041400C8"/>
    <w:rsid w:val="047D089B"/>
    <w:rsid w:val="051B1C90"/>
    <w:rsid w:val="05525D17"/>
    <w:rsid w:val="056221F7"/>
    <w:rsid w:val="05DA19E4"/>
    <w:rsid w:val="061C58CD"/>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45E93"/>
    <w:rsid w:val="0CD5078C"/>
    <w:rsid w:val="0D82785A"/>
    <w:rsid w:val="0DEA5A80"/>
    <w:rsid w:val="0DF706C0"/>
    <w:rsid w:val="0E5D7E71"/>
    <w:rsid w:val="0EAA255A"/>
    <w:rsid w:val="0EBA2346"/>
    <w:rsid w:val="0ECA6A31"/>
    <w:rsid w:val="0EF14404"/>
    <w:rsid w:val="0F383867"/>
    <w:rsid w:val="0FE21939"/>
    <w:rsid w:val="10685515"/>
    <w:rsid w:val="10B574E7"/>
    <w:rsid w:val="11C750BC"/>
    <w:rsid w:val="11D279F6"/>
    <w:rsid w:val="11DD1597"/>
    <w:rsid w:val="120538FB"/>
    <w:rsid w:val="127E5268"/>
    <w:rsid w:val="13397399"/>
    <w:rsid w:val="13C86069"/>
    <w:rsid w:val="14422D9D"/>
    <w:rsid w:val="149B4377"/>
    <w:rsid w:val="14E54849"/>
    <w:rsid w:val="152D09DB"/>
    <w:rsid w:val="157911A1"/>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892470"/>
    <w:rsid w:val="1FDE5624"/>
    <w:rsid w:val="201B3873"/>
    <w:rsid w:val="20215D46"/>
    <w:rsid w:val="20631369"/>
    <w:rsid w:val="20E0409A"/>
    <w:rsid w:val="20F269E1"/>
    <w:rsid w:val="20FB74C6"/>
    <w:rsid w:val="210002E7"/>
    <w:rsid w:val="21D87F0D"/>
    <w:rsid w:val="224F234C"/>
    <w:rsid w:val="22615AB1"/>
    <w:rsid w:val="22D9594A"/>
    <w:rsid w:val="2305400E"/>
    <w:rsid w:val="23336466"/>
    <w:rsid w:val="24076518"/>
    <w:rsid w:val="24123A8F"/>
    <w:rsid w:val="241E7699"/>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4F637D"/>
    <w:rsid w:val="28BC340C"/>
    <w:rsid w:val="29283E39"/>
    <w:rsid w:val="2ABA0257"/>
    <w:rsid w:val="2AFD0BD7"/>
    <w:rsid w:val="2B1F711E"/>
    <w:rsid w:val="2B722EEE"/>
    <w:rsid w:val="2B80590A"/>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3E0CB7"/>
    <w:rsid w:val="31472883"/>
    <w:rsid w:val="319C2E91"/>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4D13A2"/>
    <w:rsid w:val="39A94DE8"/>
    <w:rsid w:val="3BA45DC3"/>
    <w:rsid w:val="3C521864"/>
    <w:rsid w:val="3CE06E98"/>
    <w:rsid w:val="3CEA1EDD"/>
    <w:rsid w:val="3D014D14"/>
    <w:rsid w:val="3DD661D1"/>
    <w:rsid w:val="3E3C2DB6"/>
    <w:rsid w:val="3E8C1689"/>
    <w:rsid w:val="3EBC0120"/>
    <w:rsid w:val="3EEC19A5"/>
    <w:rsid w:val="3EF82024"/>
    <w:rsid w:val="3F1F3324"/>
    <w:rsid w:val="3F3C0F93"/>
    <w:rsid w:val="3F4C7572"/>
    <w:rsid w:val="3F5E60B7"/>
    <w:rsid w:val="3F6D7CAD"/>
    <w:rsid w:val="3FCD0370"/>
    <w:rsid w:val="3FF379A5"/>
    <w:rsid w:val="40131301"/>
    <w:rsid w:val="404B6F42"/>
    <w:rsid w:val="40665214"/>
    <w:rsid w:val="408D1D98"/>
    <w:rsid w:val="40FF1BB1"/>
    <w:rsid w:val="415D69D9"/>
    <w:rsid w:val="418C21A2"/>
    <w:rsid w:val="41C36CF4"/>
    <w:rsid w:val="41C836BA"/>
    <w:rsid w:val="41D63B2C"/>
    <w:rsid w:val="41E462E6"/>
    <w:rsid w:val="42280F83"/>
    <w:rsid w:val="42407E9D"/>
    <w:rsid w:val="42F06B1A"/>
    <w:rsid w:val="42F75C15"/>
    <w:rsid w:val="4306320C"/>
    <w:rsid w:val="43081F14"/>
    <w:rsid w:val="43581D9C"/>
    <w:rsid w:val="439A4851"/>
    <w:rsid w:val="446E21B9"/>
    <w:rsid w:val="44A21D28"/>
    <w:rsid w:val="44A72BFD"/>
    <w:rsid w:val="44B073AF"/>
    <w:rsid w:val="45896108"/>
    <w:rsid w:val="45921FC5"/>
    <w:rsid w:val="462357E1"/>
    <w:rsid w:val="46467A3E"/>
    <w:rsid w:val="464A3E0F"/>
    <w:rsid w:val="468034B7"/>
    <w:rsid w:val="468528C4"/>
    <w:rsid w:val="46943F6D"/>
    <w:rsid w:val="46C547BD"/>
    <w:rsid w:val="476D2F68"/>
    <w:rsid w:val="48134247"/>
    <w:rsid w:val="48777ABF"/>
    <w:rsid w:val="48C26CF5"/>
    <w:rsid w:val="48EA0B18"/>
    <w:rsid w:val="49244297"/>
    <w:rsid w:val="49881965"/>
    <w:rsid w:val="49AE2E30"/>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1D106C4"/>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6BC40FB"/>
    <w:rsid w:val="574D64C3"/>
    <w:rsid w:val="57767EDB"/>
    <w:rsid w:val="57785CF4"/>
    <w:rsid w:val="57AB43E4"/>
    <w:rsid w:val="57E6319F"/>
    <w:rsid w:val="5807303D"/>
    <w:rsid w:val="58681980"/>
    <w:rsid w:val="5876144F"/>
    <w:rsid w:val="5886386C"/>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5F52031"/>
    <w:rsid w:val="661720C2"/>
    <w:rsid w:val="67133EC7"/>
    <w:rsid w:val="682364E1"/>
    <w:rsid w:val="685B6B8D"/>
    <w:rsid w:val="68677CD0"/>
    <w:rsid w:val="68757FAC"/>
    <w:rsid w:val="68795962"/>
    <w:rsid w:val="689F623C"/>
    <w:rsid w:val="68A30AF4"/>
    <w:rsid w:val="68AA736A"/>
    <w:rsid w:val="691A2C75"/>
    <w:rsid w:val="69C434A7"/>
    <w:rsid w:val="69CF70F6"/>
    <w:rsid w:val="69E05224"/>
    <w:rsid w:val="69E2008A"/>
    <w:rsid w:val="6A2A4A17"/>
    <w:rsid w:val="6AA64EED"/>
    <w:rsid w:val="6AEF2AFE"/>
    <w:rsid w:val="6B2F3761"/>
    <w:rsid w:val="6BBB38D5"/>
    <w:rsid w:val="6C713CF1"/>
    <w:rsid w:val="6C837C4E"/>
    <w:rsid w:val="6C8742D0"/>
    <w:rsid w:val="6CC55C96"/>
    <w:rsid w:val="6D5307FC"/>
    <w:rsid w:val="6D7E320D"/>
    <w:rsid w:val="6DD644F6"/>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93477"/>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AF6D5C"/>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2">
    <w:name w:val="index 1"/>
    <w:basedOn w:val="1"/>
    <w:next w:val="1"/>
    <w:unhideWhenUsed/>
    <w:qFormat/>
    <w:uiPriority w:val="99"/>
    <w:pPr>
      <w:framePr w:wrap="around" w:vAnchor="margin" w:hAnchor="text" w:y="1"/>
    </w:pPr>
    <w:rPr>
      <w:b/>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4">
    <w:name w:val="Body Text Indent"/>
    <w:basedOn w:val="1"/>
    <w:qFormat/>
    <w:uiPriority w:val="0"/>
    <w:pPr>
      <w:spacing w:line="360" w:lineRule="auto"/>
      <w:ind w:firstLine="570"/>
    </w:pPr>
    <w:rPr>
      <w:sz w:val="24"/>
    </w:rPr>
  </w:style>
  <w:style w:type="paragraph" w:styleId="15">
    <w:name w:val="List 2"/>
    <w:basedOn w:val="1"/>
    <w:qFormat/>
    <w:uiPriority w:val="0"/>
    <w:pPr>
      <w:ind w:left="100" w:leftChars="200" w:hanging="200" w:hangingChars="200"/>
    </w:pPr>
  </w:style>
  <w:style w:type="paragraph" w:styleId="16">
    <w:name w:val="Block Text"/>
    <w:basedOn w:val="1"/>
    <w:qFormat/>
    <w:uiPriority w:val="99"/>
    <w:pPr>
      <w:spacing w:after="120"/>
      <w:ind w:left="1440" w:leftChars="700" w:right="1440" w:rightChars="700"/>
    </w:pPr>
  </w:style>
  <w:style w:type="paragraph" w:styleId="17">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8">
    <w:name w:val="Plain Text"/>
    <w:basedOn w:val="1"/>
    <w:next w:val="1"/>
    <w:link w:val="36"/>
    <w:qFormat/>
    <w:uiPriority w:val="0"/>
    <w:rPr>
      <w:rFonts w:ascii="宋体" w:hAnsi="Courier New" w:eastAsia="等线" w:cs="黑体"/>
      <w:szCs w:val="22"/>
    </w:rPr>
  </w:style>
  <w:style w:type="paragraph" w:styleId="19">
    <w:name w:val="Body Text Indent 2"/>
    <w:basedOn w:val="1"/>
    <w:qFormat/>
    <w:uiPriority w:val="0"/>
    <w:pPr>
      <w:spacing w:after="120" w:line="480" w:lineRule="auto"/>
      <w:ind w:leftChars="200"/>
    </w:pPr>
    <w:rPr>
      <w:rFonts w:ascii="宋体" w:hAnsi="宋体"/>
      <w:sz w:val="21"/>
      <w:szCs w:val="20"/>
    </w:rPr>
  </w:style>
  <w:style w:type="paragraph" w:styleId="20">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21">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3">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paragraph" w:styleId="24">
    <w:name w:val="Body Text First Indent 2"/>
    <w:basedOn w:val="14"/>
    <w:qFormat/>
    <w:uiPriority w:val="0"/>
    <w:pPr>
      <w:spacing w:after="120" w:line="480" w:lineRule="exact"/>
      <w:ind w:left="420" w:leftChars="200" w:firstLine="420" w:firstLineChars="200"/>
    </w:pPr>
    <w:rPr>
      <w:szCs w:val="20"/>
    </w:rPr>
  </w:style>
  <w:style w:type="table" w:styleId="26">
    <w:name w:val="Table Grid"/>
    <w:basedOn w:val="2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Hyperlink"/>
    <w:basedOn w:val="27"/>
    <w:unhideWhenUsed/>
    <w:qFormat/>
    <w:uiPriority w:val="99"/>
    <w:rPr>
      <w:color w:val="0563C1"/>
      <w:u w:val="single"/>
    </w:rPr>
  </w:style>
  <w:style w:type="paragraph" w:customStyle="1" w:styleId="30">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31">
    <w:name w:val="List Paragraph"/>
    <w:basedOn w:val="1"/>
    <w:qFormat/>
    <w:uiPriority w:val="34"/>
    <w:pPr>
      <w:ind w:firstLine="420" w:firstLineChars="200"/>
    </w:pPr>
  </w:style>
  <w:style w:type="paragraph" w:customStyle="1" w:styleId="32">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3">
    <w:name w:val="标题 1 字符"/>
    <w:basedOn w:val="27"/>
    <w:link w:val="3"/>
    <w:qFormat/>
    <w:uiPriority w:val="9"/>
    <w:rPr>
      <w:rFonts w:ascii="Times New Roman" w:hAnsi="Times New Roman" w:eastAsia="宋体" w:cs="Times New Roman"/>
      <w:b/>
      <w:bCs/>
      <w:kern w:val="44"/>
      <w:sz w:val="44"/>
      <w:szCs w:val="44"/>
    </w:rPr>
  </w:style>
  <w:style w:type="character" w:customStyle="1" w:styleId="34">
    <w:name w:val="标题 2 字符"/>
    <w:basedOn w:val="27"/>
    <w:link w:val="4"/>
    <w:qFormat/>
    <w:uiPriority w:val="0"/>
    <w:rPr>
      <w:rFonts w:ascii="Arial" w:hAnsi="Arial" w:eastAsia="黑体" w:cs="Arial"/>
      <w:b/>
      <w:bCs/>
      <w:sz w:val="32"/>
      <w:szCs w:val="32"/>
    </w:rPr>
  </w:style>
  <w:style w:type="character" w:customStyle="1" w:styleId="35">
    <w:name w:val="纯文本 字符"/>
    <w:basedOn w:val="27"/>
    <w:semiHidden/>
    <w:qFormat/>
    <w:uiPriority w:val="99"/>
    <w:rPr>
      <w:rFonts w:ascii="等线" w:hAnsi="Courier New" w:cs="Courier New"/>
      <w:szCs w:val="21"/>
    </w:rPr>
  </w:style>
  <w:style w:type="character" w:customStyle="1" w:styleId="36">
    <w:name w:val="纯文本 字符1"/>
    <w:basedOn w:val="27"/>
    <w:link w:val="18"/>
    <w:qFormat/>
    <w:uiPriority w:val="0"/>
    <w:rPr>
      <w:rFonts w:ascii="宋体" w:hAnsi="Courier New"/>
    </w:rPr>
  </w:style>
  <w:style w:type="character" w:customStyle="1" w:styleId="37">
    <w:name w:val="font112"/>
    <w:qFormat/>
    <w:uiPriority w:val="0"/>
    <w:rPr>
      <w:rFonts w:hint="eastAsia" w:ascii="宋体" w:hAnsi="宋体" w:eastAsia="宋体" w:cs="宋体"/>
      <w:b/>
      <w:color w:val="000000"/>
      <w:sz w:val="22"/>
      <w:szCs w:val="22"/>
      <w:u w:val="none"/>
    </w:rPr>
  </w:style>
  <w:style w:type="character" w:customStyle="1" w:styleId="38">
    <w:name w:val="font121"/>
    <w:qFormat/>
    <w:uiPriority w:val="0"/>
    <w:rPr>
      <w:rFonts w:hint="eastAsia" w:ascii="宋体" w:hAnsi="宋体" w:eastAsia="宋体" w:cs="宋体"/>
      <w:color w:val="000000"/>
      <w:sz w:val="24"/>
      <w:szCs w:val="24"/>
      <w:u w:val="none"/>
    </w:rPr>
  </w:style>
  <w:style w:type="paragraph" w:customStyle="1" w:styleId="39">
    <w:name w:val="列出段落1"/>
    <w:basedOn w:val="1"/>
    <w:qFormat/>
    <w:uiPriority w:val="34"/>
    <w:pPr>
      <w:widowControl/>
      <w:ind w:firstLine="420" w:firstLineChars="200"/>
      <w:jc w:val="left"/>
    </w:pPr>
    <w:rPr>
      <w:rFonts w:eastAsia="宋体"/>
      <w:kern w:val="0"/>
      <w:sz w:val="22"/>
      <w:szCs w:val="22"/>
    </w:rPr>
  </w:style>
  <w:style w:type="paragraph" w:customStyle="1" w:styleId="40">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41">
    <w:name w:val="标题1"/>
    <w:basedOn w:val="23"/>
    <w:qFormat/>
    <w:uiPriority w:val="0"/>
    <w:pPr>
      <w:spacing w:after="240"/>
    </w:pPr>
    <w:rPr>
      <w:rFonts w:ascii="Arial" w:hAnsi="Arial" w:cs="Times New Roman"/>
      <w:bCs w:val="0"/>
      <w:spacing w:val="2"/>
      <w:sz w:val="24"/>
      <w:szCs w:val="20"/>
      <w:lang w:val="zh-CN"/>
    </w:rPr>
  </w:style>
  <w:style w:type="character" w:customStyle="1" w:styleId="42">
    <w:name w:val="标题 1 Char Char Char Char"/>
    <w:qFormat/>
    <w:uiPriority w:val="0"/>
    <w:rPr>
      <w:rFonts w:eastAsia="宋体"/>
      <w:b/>
      <w:bCs/>
      <w:kern w:val="44"/>
      <w:sz w:val="44"/>
      <w:szCs w:val="44"/>
      <w:lang w:val="en-US" w:eastAsia="zh-CN" w:bidi="ar-SA"/>
    </w:rPr>
  </w:style>
  <w:style w:type="paragraph" w:customStyle="1" w:styleId="43">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4">
    <w:name w:val="列表段落1"/>
    <w:basedOn w:val="1"/>
    <w:qFormat/>
    <w:uiPriority w:val="99"/>
    <w:pPr>
      <w:ind w:firstLine="420" w:firstLineChars="200"/>
    </w:pPr>
  </w:style>
  <w:style w:type="character" w:customStyle="1" w:styleId="45">
    <w:name w:val="font11"/>
    <w:basedOn w:val="27"/>
    <w:qFormat/>
    <w:uiPriority w:val="0"/>
    <w:rPr>
      <w:rFonts w:hint="eastAsia" w:ascii="宋体" w:hAnsi="宋体" w:eastAsia="宋体" w:cs="宋体"/>
      <w:color w:val="FF0000"/>
      <w:sz w:val="20"/>
      <w:szCs w:val="20"/>
      <w:u w:val="none"/>
    </w:rPr>
  </w:style>
  <w:style w:type="character" w:customStyle="1" w:styleId="46">
    <w:name w:val="font21"/>
    <w:basedOn w:val="27"/>
    <w:qFormat/>
    <w:uiPriority w:val="0"/>
    <w:rPr>
      <w:rFonts w:hint="eastAsia" w:ascii="宋体" w:hAnsi="宋体" w:eastAsia="宋体" w:cs="宋体"/>
      <w:color w:val="000000"/>
      <w:sz w:val="20"/>
      <w:szCs w:val="20"/>
      <w:u w:val="none"/>
    </w:rPr>
  </w:style>
  <w:style w:type="paragraph" w:customStyle="1" w:styleId="47">
    <w:name w:val="~S1实施方案正文"/>
    <w:basedOn w:val="1"/>
    <w:qFormat/>
    <w:uiPriority w:val="99"/>
    <w:pPr>
      <w:spacing w:line="360" w:lineRule="auto"/>
      <w:ind w:firstLine="200" w:firstLineChars="200"/>
      <w:jc w:val="left"/>
    </w:pPr>
    <w:rPr>
      <w:rFonts w:ascii="仿宋" w:eastAsia="仿宋"/>
      <w:sz w:val="30"/>
    </w:rPr>
  </w:style>
  <w:style w:type="paragraph" w:customStyle="1" w:styleId="48">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9">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50">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51">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3">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4">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5">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6">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7">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8">
    <w:name w:val="网格型1"/>
    <w:basedOn w:val="2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60">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61">
    <w:name w:val="标书正文1"/>
    <w:basedOn w:val="1"/>
    <w:qFormat/>
    <w:uiPriority w:val="0"/>
    <w:pPr>
      <w:spacing w:line="520" w:lineRule="exact"/>
      <w:ind w:firstLine="640" w:firstLineChars="200"/>
    </w:pPr>
  </w:style>
  <w:style w:type="table" w:customStyle="1" w:styleId="62">
    <w:name w:val="Table Normal"/>
    <w:qFormat/>
    <w:uiPriority w:val="0"/>
    <w:tblPr>
      <w:tblCellMar>
        <w:top w:w="0" w:type="dxa"/>
        <w:left w:w="0" w:type="dxa"/>
        <w:bottom w:w="0" w:type="dxa"/>
        <w:right w:w="0" w:type="dxa"/>
      </w:tblCellMar>
    </w:tblPr>
  </w:style>
  <w:style w:type="paragraph" w:customStyle="1" w:styleId="63">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4">
    <w:name w:val="列出段落2"/>
    <w:basedOn w:val="1"/>
    <w:qFormat/>
    <w:uiPriority w:val="99"/>
    <w:pPr>
      <w:ind w:firstLine="420" w:firstLineChars="200"/>
    </w:pPr>
    <w:rPr>
      <w:rFonts w:ascii="Calibri" w:hAnsi="Calibri"/>
      <w:szCs w:val="22"/>
    </w:rPr>
  </w:style>
  <w:style w:type="paragraph" w:customStyle="1" w:styleId="65">
    <w:name w:val="Table Text"/>
    <w:basedOn w:val="1"/>
    <w:semiHidden/>
    <w:qFormat/>
    <w:uiPriority w:val="0"/>
    <w:rPr>
      <w:rFonts w:ascii="Arial" w:hAnsi="Arial" w:eastAsia="Arial" w:cs="Arial"/>
      <w:sz w:val="21"/>
      <w:szCs w:val="21"/>
      <w:lang w:val="en-US" w:eastAsia="en-US" w:bidi="ar-SA"/>
    </w:rPr>
  </w:style>
  <w:style w:type="paragraph" w:customStyle="1" w:styleId="66">
    <w:name w:val="列表段落11"/>
    <w:basedOn w:val="1"/>
    <w:qFormat/>
    <w:uiPriority w:val="34"/>
    <w:pPr>
      <w:ind w:firstLine="420" w:firstLineChars="200"/>
    </w:pPr>
    <w:rPr>
      <w:rFonts w:ascii="Calibri" w:hAnsi="Calibri" w:cs="黑体"/>
      <w:szCs w:val="22"/>
    </w:rPr>
  </w:style>
  <w:style w:type="paragraph" w:customStyle="1" w:styleId="67">
    <w:name w:val="正文段落内容"/>
    <w:basedOn w:val="1"/>
    <w:qFormat/>
    <w:uiPriority w:val="0"/>
    <w:pPr>
      <w:ind w:firstLine="200" w:firstLineChars="200"/>
    </w:pPr>
    <w:rPr>
      <w:szCs w:val="24"/>
      <w:lang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3727</Words>
  <Characters>4073</Characters>
  <Lines>235</Lines>
  <Paragraphs>66</Paragraphs>
  <TotalTime>0</TotalTime>
  <ScaleCrop>false</ScaleCrop>
  <LinksUpToDate>false</LinksUpToDate>
  <CharactersWithSpaces>4219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洛上忘川</cp:lastModifiedBy>
  <dcterms:modified xsi:type="dcterms:W3CDTF">2026-07-14T03:09:17Z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2B5F4D5AE6EC424F87518F5E96370CC3_13</vt:lpwstr>
  </property>
  <property fmtid="{D5CDD505-2E9C-101B-9397-08002B2CF9AE}" pid="4" name="KSOTemplateDocerSaveRecord">
    <vt:lpwstr>eyJoZGlkIjoiYzhkM2YyZTY0MjRkOGZhZjI0MTA3MGNiNGFlMWFiYmEiLCJ1c2VySWQiOiI4MDQyNTMyMjMifQ==</vt:lpwstr>
  </property>
</Properties>
</file>