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outlineLvl w:val="0"/>
        <w:rPr>
          <w:sz w:val="24"/>
        </w:rPr>
      </w:pPr>
      <w:bookmarkStart w:id="0" w:name="_Toc97371945"/>
      <w:r>
        <w:rPr>
          <w:rFonts w:eastAsiaTheme="minorEastAsia"/>
          <w:b/>
          <w:sz w:val="36"/>
          <w:szCs w:val="36"/>
        </w:rPr>
        <w:t>第四章   采购需求</w:t>
      </w:r>
      <w:bookmarkEnd w:id="0"/>
      <w:bookmarkStart w:id="1" w:name="_Hlk168431603"/>
    </w:p>
    <w:bookmarkEnd w:id="1"/>
    <w:p>
      <w:pPr>
        <w:spacing w:line="360" w:lineRule="auto"/>
        <w:contextualSpacing/>
        <w:rPr>
          <w:rFonts w:eastAsiaTheme="minorEastAsia"/>
          <w:sz w:val="24"/>
        </w:rPr>
      </w:pPr>
    </w:p>
    <w:p>
      <w:pPr>
        <w:pStyle w:val="6"/>
        <w:numPr>
          <w:ilvl w:val="0"/>
          <w:numId w:val="1"/>
        </w:numPr>
        <w:spacing w:line="360" w:lineRule="auto"/>
        <w:ind w:firstLineChars="0"/>
        <w:contextualSpacing/>
        <w:rPr>
          <w:rFonts w:ascii="Times New Roman" w:hAnsi="Times New Roman" w:eastAsiaTheme="minorEastAsia"/>
          <w:b/>
          <w:sz w:val="24"/>
          <w:szCs w:val="24"/>
        </w:rPr>
      </w:pPr>
      <w:r>
        <w:rPr>
          <w:rFonts w:ascii="Times New Roman" w:hAnsi="Times New Roman" w:eastAsiaTheme="minorEastAsia"/>
          <w:b/>
          <w:sz w:val="24"/>
          <w:szCs w:val="24"/>
        </w:rPr>
        <w:t>采购标的</w:t>
      </w:r>
    </w:p>
    <w:p>
      <w:pPr>
        <w:spacing w:line="360" w:lineRule="auto"/>
        <w:contextualSpacing/>
        <w:rPr>
          <w:rFonts w:eastAsiaTheme="minorEastAsia"/>
          <w:bCs/>
          <w:sz w:val="24"/>
        </w:rPr>
      </w:pPr>
      <w:r>
        <w:rPr>
          <w:rFonts w:eastAsiaTheme="minorEastAsia"/>
          <w:bCs/>
          <w:sz w:val="24"/>
        </w:rPr>
        <w:t>1. 采购标的</w:t>
      </w:r>
    </w:p>
    <w:p>
      <w:pPr>
        <w:pStyle w:val="3"/>
        <w:numPr>
          <w:ilvl w:val="1"/>
          <w:numId w:val="2"/>
        </w:numPr>
        <w:spacing w:line="360" w:lineRule="auto"/>
        <w:rPr>
          <w:rFonts w:hint="default" w:ascii="Times New Roman" w:hAnsi="Times New Roman"/>
          <w:sz w:val="24"/>
          <w:szCs w:val="24"/>
        </w:rPr>
      </w:pPr>
      <w:r>
        <w:rPr>
          <w:rFonts w:ascii="Times New Roman" w:hAnsi="Times New Roman"/>
          <w:sz w:val="24"/>
          <w:szCs w:val="24"/>
        </w:rPr>
        <w:t>场地及周围情况</w:t>
      </w:r>
    </w:p>
    <w:p>
      <w:pPr>
        <w:pStyle w:val="3"/>
        <w:spacing w:line="360" w:lineRule="auto"/>
        <w:rPr>
          <w:rFonts w:hint="eastAsia" w:ascii="Times New Roman" w:hAnsi="Times New Roman" w:eastAsia="宋体"/>
          <w:sz w:val="24"/>
          <w:szCs w:val="24"/>
          <w:lang w:eastAsia="zh-CN"/>
        </w:rPr>
      </w:pPr>
      <w:r>
        <w:rPr>
          <w:rFonts w:ascii="Times New Roman" w:hAnsi="Times New Roman"/>
          <w:sz w:val="24"/>
          <w:szCs w:val="24"/>
        </w:rPr>
        <w:t>1.1.1本工程为</w:t>
      </w:r>
      <w:r>
        <w:rPr>
          <w:rFonts w:hint="eastAsia" w:ascii="Times New Roman" w:hAnsi="Times New Roman"/>
          <w:sz w:val="24"/>
          <w:szCs w:val="24"/>
          <w:lang w:eastAsia="zh-CN"/>
        </w:rPr>
        <w:t>怀柔镇东四村村口景观提升项目</w:t>
      </w:r>
    </w:p>
    <w:p>
      <w:pPr>
        <w:pStyle w:val="3"/>
        <w:spacing w:line="360" w:lineRule="auto"/>
        <w:rPr>
          <w:rFonts w:hint="default" w:ascii="Times New Roman" w:hAnsi="Times New Roman"/>
          <w:sz w:val="24"/>
          <w:szCs w:val="24"/>
        </w:rPr>
      </w:pPr>
      <w:r>
        <w:rPr>
          <w:rFonts w:ascii="Times New Roman" w:hAnsi="Times New Roman"/>
          <w:sz w:val="24"/>
          <w:szCs w:val="24"/>
        </w:rPr>
        <w:t>1.1.2建设地点：</w:t>
      </w:r>
      <w:r>
        <w:rPr>
          <w:rFonts w:hAnsi="宋体" w:cs="仿宋"/>
          <w:kern w:val="0"/>
          <w:sz w:val="24"/>
        </w:rPr>
        <w:t>北京市怀柔区</w:t>
      </w:r>
      <w:r>
        <w:rPr>
          <w:rFonts w:ascii="Times New Roman" w:hAnsi="Times New Roman"/>
          <w:sz w:val="24"/>
          <w:szCs w:val="24"/>
        </w:rPr>
        <w:t>；</w:t>
      </w:r>
    </w:p>
    <w:p>
      <w:pPr>
        <w:spacing w:line="360" w:lineRule="auto"/>
        <w:contextualSpacing/>
        <w:rPr>
          <w:rFonts w:eastAsiaTheme="minorEastAsia"/>
          <w:bCs/>
          <w:sz w:val="24"/>
        </w:rPr>
      </w:pPr>
      <w:r>
        <w:rPr>
          <w:sz w:val="24"/>
        </w:rPr>
        <w:t>资金情况：</w:t>
      </w:r>
      <w:r>
        <w:rPr>
          <w:rFonts w:hAnsi="宋体" w:cs="宋体"/>
          <w:sz w:val="24"/>
        </w:rPr>
        <w:t>本工程控制价为：</w:t>
      </w:r>
      <w:r>
        <w:rPr>
          <w:rFonts w:hint="eastAsia" w:hAnsi="宋体" w:cs="宋体"/>
          <w:sz w:val="24"/>
        </w:rPr>
        <w:t>2628920.02</w:t>
      </w:r>
      <w:r>
        <w:rPr>
          <w:rFonts w:hAnsi="宋体" w:cs="宋体"/>
          <w:sz w:val="24"/>
        </w:rPr>
        <w:t>元。</w:t>
      </w:r>
      <w:r>
        <w:rPr>
          <w:rFonts w:hAnsi="宋体" w:cs="宋体"/>
          <w:sz w:val="24"/>
        </w:rPr>
        <w:br w:type="textWrapping"/>
      </w:r>
      <w:r>
        <w:rPr>
          <w:rFonts w:hAnsi="宋体" w:cs="宋体"/>
          <w:sz w:val="24"/>
        </w:rPr>
        <w:t>其中：分部分项工程合价为：</w:t>
      </w:r>
      <w:r>
        <w:rPr>
          <w:rFonts w:hint="eastAsia" w:hAnsi="宋体" w:cs="宋体"/>
          <w:sz w:val="24"/>
        </w:rPr>
        <w:t>1980087.27</w:t>
      </w:r>
      <w:r>
        <w:rPr>
          <w:rFonts w:hAnsi="宋体" w:cs="宋体"/>
          <w:sz w:val="24"/>
        </w:rPr>
        <w:t>元； </w:t>
      </w:r>
      <w:r>
        <w:rPr>
          <w:rFonts w:hAnsi="宋体" w:cs="宋体"/>
          <w:sz w:val="24"/>
        </w:rPr>
        <w:br w:type="textWrapping"/>
      </w:r>
      <w:r>
        <w:rPr>
          <w:rFonts w:hAnsi="宋体" w:cs="宋体"/>
          <w:sz w:val="24"/>
        </w:rPr>
        <w:t>措施项目合价为：</w:t>
      </w:r>
      <w:r>
        <w:rPr>
          <w:rFonts w:hint="eastAsia" w:hAnsi="宋体" w:cs="宋体"/>
          <w:sz w:val="24"/>
        </w:rPr>
        <w:t>431765.96</w:t>
      </w:r>
      <w:r>
        <w:rPr>
          <w:rFonts w:hAnsi="宋体" w:cs="宋体"/>
          <w:sz w:val="24"/>
        </w:rPr>
        <w:t>元；</w:t>
      </w:r>
      <w:r>
        <w:rPr>
          <w:rFonts w:hAnsi="宋体" w:cs="宋体"/>
          <w:sz w:val="24"/>
        </w:rPr>
        <w:br w:type="textWrapping"/>
      </w:r>
      <w:r>
        <w:rPr>
          <w:rFonts w:hAnsi="宋体" w:cs="宋体"/>
          <w:sz w:val="24"/>
        </w:rPr>
        <w:t>其他项目合价为：</w:t>
      </w:r>
      <w:r>
        <w:rPr>
          <w:rFonts w:hint="eastAsia" w:hAnsi="宋体" w:cs="宋体"/>
          <w:sz w:val="24"/>
        </w:rPr>
        <w:t>0</w:t>
      </w:r>
      <w:r>
        <w:rPr>
          <w:rFonts w:hAnsi="宋体" w:cs="宋体"/>
          <w:sz w:val="24"/>
        </w:rPr>
        <w:t>元；</w:t>
      </w:r>
      <w:r>
        <w:rPr>
          <w:rFonts w:hAnsi="宋体" w:cs="宋体"/>
          <w:sz w:val="24"/>
        </w:rPr>
        <w:br w:type="textWrapping"/>
      </w:r>
      <w:r>
        <w:rPr>
          <w:rFonts w:hint="eastAsia" w:hAnsi="宋体" w:cs="宋体"/>
          <w:sz w:val="24"/>
          <w:lang w:val="en-US" w:eastAsia="zh-CN"/>
        </w:rPr>
        <w:t>增值税</w:t>
      </w:r>
      <w:r>
        <w:rPr>
          <w:rFonts w:hAnsi="宋体" w:cs="宋体"/>
          <w:sz w:val="24"/>
        </w:rPr>
        <w:t>的合价为：</w:t>
      </w:r>
      <w:r>
        <w:rPr>
          <w:rFonts w:hint="eastAsia" w:hAnsi="宋体" w:cs="宋体"/>
          <w:sz w:val="24"/>
        </w:rPr>
        <w:t>217066.79</w:t>
      </w:r>
      <w:r>
        <w:rPr>
          <w:rFonts w:hAnsi="宋体" w:cs="宋体"/>
          <w:sz w:val="24"/>
        </w:rPr>
        <w:t>元。</w:t>
      </w:r>
      <w:r>
        <w:rPr>
          <w:rFonts w:hAnsi="宋体" w:cs="宋体"/>
          <w:sz w:val="24"/>
        </w:rPr>
        <w:br w:type="textWrapping"/>
      </w:r>
      <w:r>
        <w:rPr>
          <w:rFonts w:hAnsi="宋体" w:cs="宋体"/>
          <w:sz w:val="24"/>
        </w:rPr>
        <w:t>其他说明：专业工程暂估价（含税）合计金额：0元；</w:t>
      </w:r>
      <w:r>
        <w:rPr>
          <w:rFonts w:hAnsi="宋体" w:cs="宋体"/>
          <w:sz w:val="24"/>
        </w:rPr>
        <w:br w:type="textWrapping"/>
      </w:r>
      <w:r>
        <w:rPr>
          <w:rFonts w:hAnsi="宋体" w:cs="宋体"/>
          <w:sz w:val="24"/>
        </w:rPr>
        <w:t>材料和工程设备暂估价(含税)合计金额：0元；</w:t>
      </w:r>
      <w:r>
        <w:rPr>
          <w:rFonts w:hAnsi="宋体" w:cs="宋体"/>
          <w:sz w:val="24"/>
        </w:rPr>
        <w:br w:type="textWrapping"/>
      </w:r>
      <w:r>
        <w:rPr>
          <w:rFonts w:hAnsi="宋体" w:cs="宋体"/>
          <w:sz w:val="24"/>
        </w:rPr>
        <w:t>暂列金额（不含计日工）（含税）合计金额：</w:t>
      </w:r>
      <w:r>
        <w:rPr>
          <w:rFonts w:hint="eastAsia" w:hAnsi="宋体" w:cs="宋体"/>
          <w:sz w:val="24"/>
        </w:rPr>
        <w:t>0</w:t>
      </w:r>
      <w:r>
        <w:rPr>
          <w:rFonts w:hAnsi="宋体" w:cs="宋体"/>
          <w:sz w:val="24"/>
        </w:rPr>
        <w:t>元；</w:t>
      </w:r>
      <w:r>
        <w:rPr>
          <w:rFonts w:hAnsi="宋体" w:cs="宋体"/>
          <w:sz w:val="24"/>
        </w:rPr>
        <w:br w:type="textWrapping"/>
      </w:r>
      <w:r>
        <w:rPr>
          <w:rFonts w:hAnsi="宋体" w:cs="宋体"/>
          <w:sz w:val="24"/>
        </w:rPr>
        <w:t>安全文明施工费（含税）合计金额：</w:t>
      </w:r>
      <w:r>
        <w:rPr>
          <w:rFonts w:hint="eastAsia" w:hAnsi="宋体" w:cs="宋体"/>
          <w:sz w:val="24"/>
          <w:lang w:val="en-US" w:eastAsia="zh-CN"/>
        </w:rPr>
        <w:t>112983.57</w:t>
      </w:r>
      <w:r>
        <w:rPr>
          <w:rFonts w:hAnsi="宋体" w:cs="宋体"/>
          <w:sz w:val="24"/>
        </w:rPr>
        <w:t>元；</w:t>
      </w:r>
      <w:r>
        <w:rPr>
          <w:rFonts w:hAnsi="宋体" w:cs="宋体"/>
          <w:sz w:val="24"/>
        </w:rPr>
        <w:br w:type="textWrapping"/>
      </w:r>
      <w:r>
        <w:rPr>
          <w:rFonts w:hAnsi="宋体" w:cs="宋体"/>
          <w:sz w:val="24"/>
        </w:rPr>
        <w:t>赶工增加费（含税）合计金额（如有）：0元；</w:t>
      </w:r>
    </w:p>
    <w:p>
      <w:pPr>
        <w:spacing w:line="360" w:lineRule="auto"/>
        <w:ind w:firstLine="482"/>
        <w:contextualSpacing/>
        <w:rPr>
          <w:rFonts w:eastAsiaTheme="minorEastAsia"/>
          <w:b/>
          <w:sz w:val="24"/>
        </w:rPr>
      </w:pPr>
    </w:p>
    <w:p>
      <w:pPr>
        <w:pStyle w:val="6"/>
        <w:numPr>
          <w:ilvl w:val="0"/>
          <w:numId w:val="1"/>
        </w:numPr>
        <w:spacing w:line="360" w:lineRule="auto"/>
        <w:ind w:firstLineChars="0"/>
        <w:contextualSpacing/>
        <w:rPr>
          <w:rFonts w:ascii="Times New Roman" w:hAnsi="Times New Roman" w:eastAsiaTheme="minorEastAsia"/>
          <w:b/>
          <w:sz w:val="24"/>
          <w:szCs w:val="24"/>
        </w:rPr>
      </w:pPr>
      <w:r>
        <w:rPr>
          <w:rFonts w:ascii="Times New Roman" w:hAnsi="Times New Roman" w:eastAsiaTheme="minorEastAsia"/>
          <w:b/>
          <w:sz w:val="24"/>
          <w:szCs w:val="24"/>
        </w:rPr>
        <w:t>商务要求</w:t>
      </w:r>
    </w:p>
    <w:p>
      <w:pPr>
        <w:spacing w:line="360" w:lineRule="auto"/>
        <w:contextualSpacing/>
        <w:rPr>
          <w:rFonts w:eastAsiaTheme="minorEastAsia"/>
          <w:i/>
          <w:sz w:val="24"/>
        </w:rPr>
      </w:pPr>
      <w:r>
        <w:rPr>
          <w:rFonts w:eastAsiaTheme="minorEastAsia"/>
          <w:sz w:val="24"/>
        </w:rPr>
        <w:t>1. 交付（实施）的时间（期限）和地点（范围）</w:t>
      </w:r>
    </w:p>
    <w:p>
      <w:pPr>
        <w:spacing w:line="360" w:lineRule="auto"/>
        <w:contextualSpacing/>
        <w:rPr>
          <w:iCs/>
          <w:sz w:val="24"/>
        </w:rPr>
      </w:pPr>
      <w:r>
        <w:rPr>
          <w:rFonts w:hint="eastAsia"/>
          <w:iCs/>
          <w:sz w:val="24"/>
        </w:rPr>
        <w:t>工期要求：45日历天；</w:t>
      </w:r>
    </w:p>
    <w:p>
      <w:pPr>
        <w:spacing w:line="360" w:lineRule="auto"/>
        <w:contextualSpacing/>
        <w:rPr>
          <w:iCs/>
          <w:sz w:val="24"/>
        </w:rPr>
      </w:pPr>
      <w:r>
        <w:rPr>
          <w:rFonts w:hint="eastAsia"/>
          <w:iCs/>
          <w:sz w:val="24"/>
        </w:rPr>
        <w:t>计划开工日期：2026年08月</w:t>
      </w:r>
      <w:r>
        <w:rPr>
          <w:rFonts w:hint="eastAsia"/>
          <w:iCs/>
          <w:sz w:val="24"/>
          <w:lang w:val="en-US" w:eastAsia="zh-CN"/>
        </w:rPr>
        <w:t>25</w:t>
      </w:r>
      <w:r>
        <w:rPr>
          <w:rFonts w:hint="eastAsia"/>
          <w:iCs/>
          <w:sz w:val="24"/>
        </w:rPr>
        <w:t>日</w:t>
      </w:r>
    </w:p>
    <w:p>
      <w:pPr>
        <w:spacing w:line="360" w:lineRule="auto"/>
        <w:contextualSpacing/>
        <w:rPr>
          <w:rFonts w:eastAsiaTheme="minorEastAsia"/>
          <w:i/>
          <w:sz w:val="24"/>
          <w:highlight w:val="none"/>
        </w:rPr>
      </w:pPr>
      <w:r>
        <w:rPr>
          <w:rFonts w:hint="eastAsia"/>
          <w:iCs/>
          <w:sz w:val="24"/>
        </w:rPr>
        <w:t>计划竣工日期</w:t>
      </w:r>
      <w:r>
        <w:rPr>
          <w:rFonts w:hint="eastAsia"/>
          <w:iCs/>
          <w:sz w:val="24"/>
          <w:highlight w:val="none"/>
        </w:rPr>
        <w:t>：2026年</w:t>
      </w:r>
      <w:r>
        <w:rPr>
          <w:rFonts w:hint="eastAsia"/>
          <w:iCs/>
          <w:sz w:val="24"/>
          <w:highlight w:val="none"/>
          <w:lang w:val="en-US" w:eastAsia="zh-CN"/>
        </w:rPr>
        <w:t>10</w:t>
      </w:r>
      <w:r>
        <w:rPr>
          <w:rFonts w:hint="eastAsia"/>
          <w:iCs/>
          <w:sz w:val="24"/>
          <w:highlight w:val="none"/>
        </w:rPr>
        <w:t>月</w:t>
      </w:r>
      <w:r>
        <w:rPr>
          <w:rFonts w:hint="eastAsia"/>
          <w:iCs/>
          <w:sz w:val="24"/>
          <w:highlight w:val="none"/>
          <w:lang w:val="en-US" w:eastAsia="zh-CN"/>
        </w:rPr>
        <w:t>08</w:t>
      </w:r>
      <w:r>
        <w:rPr>
          <w:rFonts w:hint="eastAsia"/>
          <w:iCs/>
          <w:sz w:val="24"/>
          <w:highlight w:val="none"/>
        </w:rPr>
        <w:t>日</w:t>
      </w:r>
    </w:p>
    <w:p>
      <w:pPr>
        <w:spacing w:line="360" w:lineRule="auto"/>
        <w:contextualSpacing/>
        <w:rPr>
          <w:rFonts w:eastAsiaTheme="minorEastAsia"/>
          <w:sz w:val="24"/>
          <w:highlight w:val="none"/>
        </w:rPr>
      </w:pPr>
      <w:r>
        <w:rPr>
          <w:rFonts w:eastAsiaTheme="minorEastAsia"/>
          <w:sz w:val="24"/>
          <w:highlight w:val="none"/>
        </w:rPr>
        <w:t>2. 付款条件（进度和方式）</w:t>
      </w:r>
    </w:p>
    <w:p>
      <w:pPr>
        <w:spacing w:line="360" w:lineRule="auto"/>
        <w:contextualSpacing/>
        <w:rPr>
          <w:rFonts w:hint="eastAsia"/>
          <w:bCs/>
          <w:sz w:val="24"/>
          <w:highlight w:val="none"/>
        </w:rPr>
      </w:pPr>
      <w:r>
        <w:rPr>
          <w:rFonts w:hint="eastAsia"/>
          <w:bCs/>
          <w:sz w:val="24"/>
          <w:highlight w:val="none"/>
        </w:rPr>
        <w:t>付款方式：工程款分两次支付，合同生效后，由承包人向发包人支付合同款的3%作为质保金，发包人支付合同价款30%的预付款，工程竣工验收合格后，经结算评审完成，按结算评审金额支付剩余工程款。2年缺陷责任期满后，双方确认无任何遗留质量问题，由承包人申请，发包人全额退回质保金。发包人付款前，承包人需提供应付金额等额发票，否则发包人有权拒绝付款。</w:t>
      </w:r>
    </w:p>
    <w:p>
      <w:pPr>
        <w:spacing w:line="360" w:lineRule="auto"/>
        <w:contextualSpacing/>
        <w:rPr>
          <w:rFonts w:eastAsiaTheme="minorEastAsia"/>
          <w:sz w:val="24"/>
          <w:highlight w:val="none"/>
        </w:rPr>
      </w:pPr>
      <w:r>
        <w:rPr>
          <w:rFonts w:eastAsiaTheme="minorEastAsia"/>
          <w:sz w:val="24"/>
          <w:highlight w:val="none"/>
        </w:rPr>
        <w:t>3. 包装和运输（如适用，须满足《关于印发&lt;商品包装政府采购需求标准（试行）&gt;、&lt;快递包装政府采购需求标准（试行）&gt;的通知》（财办库﹝2020﹞123号））</w:t>
      </w:r>
    </w:p>
    <w:p>
      <w:pPr>
        <w:spacing w:line="360" w:lineRule="auto"/>
        <w:contextualSpacing/>
        <w:rPr>
          <w:rFonts w:eastAsiaTheme="minorEastAsia"/>
          <w:sz w:val="24"/>
          <w:highlight w:val="none"/>
        </w:rPr>
      </w:pPr>
      <w:r>
        <w:rPr>
          <w:rFonts w:hint="eastAsia"/>
          <w:iCs/>
          <w:sz w:val="24"/>
          <w:highlight w:val="none"/>
        </w:rPr>
        <w:t>本项目不适用</w:t>
      </w:r>
    </w:p>
    <w:p>
      <w:pPr>
        <w:spacing w:line="360" w:lineRule="auto"/>
        <w:contextualSpacing/>
        <w:rPr>
          <w:rFonts w:eastAsiaTheme="minorEastAsia"/>
          <w:sz w:val="24"/>
        </w:rPr>
      </w:pPr>
      <w:r>
        <w:rPr>
          <w:rFonts w:eastAsiaTheme="minorEastAsia"/>
          <w:sz w:val="24"/>
        </w:rPr>
        <w:t>4. 售后服务（质保期）（如适用）</w:t>
      </w:r>
    </w:p>
    <w:p>
      <w:pPr>
        <w:spacing w:line="360" w:lineRule="auto"/>
        <w:contextualSpacing/>
        <w:rPr>
          <w:rFonts w:eastAsiaTheme="minorEastAsia"/>
          <w:sz w:val="24"/>
        </w:rPr>
      </w:pPr>
      <w:r>
        <w:rPr>
          <w:sz w:val="24"/>
        </w:rPr>
        <w:t>需执行的国家相关标准、行业标准、地方标准或者其他标准、规范</w:t>
      </w:r>
      <w:r>
        <w:rPr>
          <w:rFonts w:hint="eastAsia"/>
          <w:sz w:val="24"/>
        </w:rPr>
        <w:t>。</w:t>
      </w:r>
    </w:p>
    <w:p>
      <w:pPr>
        <w:spacing w:line="360" w:lineRule="auto"/>
        <w:contextualSpacing/>
        <w:rPr>
          <w:rFonts w:eastAsiaTheme="minorEastAsia"/>
          <w:sz w:val="24"/>
        </w:rPr>
      </w:pPr>
      <w:r>
        <w:rPr>
          <w:rFonts w:eastAsiaTheme="minorEastAsia"/>
          <w:sz w:val="24"/>
        </w:rPr>
        <w:t>5. 保险（如适用）</w:t>
      </w:r>
    </w:p>
    <w:p>
      <w:pPr>
        <w:spacing w:line="360" w:lineRule="auto"/>
        <w:contextualSpacing/>
        <w:rPr>
          <w:rFonts w:eastAsiaTheme="minorEastAsia"/>
          <w:b/>
          <w:i/>
          <w:sz w:val="24"/>
        </w:rPr>
      </w:pPr>
      <w:r>
        <w:rPr>
          <w:sz w:val="24"/>
        </w:rPr>
        <w:t>需执行的国家相关标准、行业标准、地方标准或者其他标准、规范</w:t>
      </w:r>
      <w:r>
        <w:rPr>
          <w:rFonts w:hint="eastAsia"/>
          <w:sz w:val="24"/>
        </w:rPr>
        <w:t>，包括但不限于农民工工伤保险等。</w:t>
      </w:r>
    </w:p>
    <w:p>
      <w:pPr>
        <w:spacing w:line="360" w:lineRule="auto"/>
        <w:contextualSpacing/>
        <w:rPr>
          <w:rFonts w:eastAsiaTheme="minorEastAsia"/>
          <w:b/>
          <w:i/>
          <w:sz w:val="24"/>
        </w:rPr>
      </w:pPr>
    </w:p>
    <w:p>
      <w:pPr>
        <w:pStyle w:val="6"/>
        <w:numPr>
          <w:ilvl w:val="0"/>
          <w:numId w:val="1"/>
        </w:numPr>
        <w:spacing w:line="360" w:lineRule="auto"/>
        <w:ind w:firstLineChars="0"/>
        <w:contextualSpacing/>
        <w:rPr>
          <w:rFonts w:ascii="Times New Roman" w:hAnsi="Times New Roman" w:eastAsiaTheme="minorEastAsia"/>
          <w:b/>
          <w:sz w:val="24"/>
          <w:szCs w:val="24"/>
        </w:rPr>
      </w:pPr>
      <w:r>
        <w:rPr>
          <w:rFonts w:ascii="Times New Roman" w:hAnsi="Times New Roman" w:eastAsiaTheme="minorEastAsia"/>
          <w:b/>
          <w:sz w:val="24"/>
          <w:szCs w:val="24"/>
        </w:rPr>
        <w:t>技术要求</w:t>
      </w:r>
    </w:p>
    <w:p>
      <w:pPr>
        <w:spacing w:line="360" w:lineRule="auto"/>
        <w:contextualSpacing/>
        <w:rPr>
          <w:rFonts w:eastAsiaTheme="minorEastAsia"/>
          <w:sz w:val="24"/>
        </w:rPr>
      </w:pPr>
      <w:r>
        <w:rPr>
          <w:rFonts w:eastAsiaTheme="minorEastAsia"/>
          <w:sz w:val="24"/>
        </w:rPr>
        <w:t xml:space="preserve">1. </w:t>
      </w:r>
      <w:r>
        <w:rPr>
          <w:rFonts w:hint="eastAsia" w:ascii="宋体" w:hAnsi="宋体" w:cs="宋体"/>
          <w:sz w:val="24"/>
        </w:rPr>
        <w:t>工程</w:t>
      </w:r>
      <w:r>
        <w:rPr>
          <w:rFonts w:hint="eastAsia" w:eastAsiaTheme="minorEastAsia"/>
          <w:sz w:val="24"/>
        </w:rPr>
        <w:t>范围</w:t>
      </w:r>
      <w:r>
        <w:rPr>
          <w:rFonts w:eastAsiaTheme="minorEastAsia"/>
          <w:sz w:val="24"/>
        </w:rPr>
        <w:t>及要求</w:t>
      </w:r>
    </w:p>
    <w:p>
      <w:pPr>
        <w:widowControl/>
        <w:spacing w:line="360" w:lineRule="auto"/>
        <w:ind w:firstLine="480" w:firstLineChars="200"/>
        <w:contextualSpacing/>
        <w:rPr>
          <w:rFonts w:eastAsiaTheme="minorEastAsia"/>
          <w:sz w:val="24"/>
        </w:rPr>
      </w:pPr>
      <w:r>
        <w:rPr>
          <w:rFonts w:hint="eastAsia" w:eastAsiaTheme="minorEastAsia"/>
          <w:sz w:val="24"/>
        </w:rPr>
        <w:t>1</w:t>
      </w:r>
      <w:r>
        <w:rPr>
          <w:rFonts w:eastAsiaTheme="minorEastAsia"/>
          <w:sz w:val="24"/>
        </w:rPr>
        <w:t>.1</w:t>
      </w:r>
      <w:r>
        <w:rPr>
          <w:rFonts w:hint="eastAsia" w:eastAsiaTheme="minorEastAsia"/>
          <w:sz w:val="24"/>
        </w:rPr>
        <w:t>工程招标范围：本项目为</w:t>
      </w:r>
      <w:r>
        <w:rPr>
          <w:rFonts w:hint="eastAsia"/>
          <w:sz w:val="24"/>
        </w:rPr>
        <w:t>环境综合整治</w:t>
      </w:r>
      <w:r>
        <w:rPr>
          <w:rFonts w:hint="eastAsia" w:eastAsiaTheme="minorEastAsia"/>
          <w:sz w:val="24"/>
        </w:rPr>
        <w:t>，包括不限于按图纸清单及工程规范的要求完成庭院工程、绿化工程、电气工程、灌溉工程等图纸范围内的全部工程，详见工程量清单。</w:t>
      </w:r>
    </w:p>
    <w:p>
      <w:pPr>
        <w:widowControl/>
        <w:spacing w:line="360" w:lineRule="auto"/>
        <w:ind w:firstLine="480" w:firstLineChars="200"/>
        <w:contextualSpacing/>
        <w:rPr>
          <w:rFonts w:eastAsiaTheme="minorEastAsia"/>
          <w:sz w:val="24"/>
        </w:rPr>
      </w:pPr>
      <w:r>
        <w:rPr>
          <w:rFonts w:hint="eastAsia" w:eastAsiaTheme="minorEastAsia"/>
          <w:sz w:val="24"/>
        </w:rPr>
        <w:t>1.2工程量清单编制依据</w:t>
      </w:r>
    </w:p>
    <w:p>
      <w:pPr>
        <w:pStyle w:val="6"/>
        <w:adjustRightInd w:val="0"/>
        <w:spacing w:line="360" w:lineRule="auto"/>
        <w:ind w:firstLine="424" w:firstLineChars="177"/>
        <w:contextualSpacing/>
        <w:jc w:val="left"/>
        <w:rPr>
          <w:rFonts w:hint="eastAsia" w:ascii="Times New Roman" w:hAnsi="Times New Roman" w:eastAsiaTheme="minorEastAsia"/>
          <w:sz w:val="24"/>
          <w:szCs w:val="24"/>
        </w:rPr>
      </w:pPr>
      <w:r>
        <w:rPr>
          <w:rFonts w:hint="eastAsia" w:ascii="Times New Roman" w:hAnsi="Times New Roman" w:eastAsiaTheme="minorEastAsia"/>
          <w:sz w:val="24"/>
          <w:szCs w:val="24"/>
          <w:lang w:val="en-US" w:eastAsia="zh-CN"/>
        </w:rPr>
        <w:t>1.2.1</w:t>
      </w:r>
      <w:r>
        <w:rPr>
          <w:rFonts w:hint="eastAsia" w:ascii="Times New Roman" w:hAnsi="Times New Roman" w:eastAsiaTheme="minorEastAsia"/>
          <w:sz w:val="24"/>
          <w:szCs w:val="24"/>
        </w:rPr>
        <w:t>北京北林地景园林规划设计院有限责任公司2026年05月设计的《怀柔镇东四村村口景观设计施工图》。</w:t>
      </w:r>
    </w:p>
    <w:p>
      <w:pPr>
        <w:pStyle w:val="6"/>
        <w:adjustRightInd w:val="0"/>
        <w:spacing w:line="360" w:lineRule="auto"/>
        <w:ind w:firstLine="424" w:firstLineChars="177"/>
        <w:contextualSpacing/>
        <w:jc w:val="left"/>
        <w:rPr>
          <w:rFonts w:hint="eastAsia" w:ascii="Times New Roman" w:hAnsi="Times New Roman" w:eastAsiaTheme="minorEastAsia"/>
          <w:sz w:val="24"/>
          <w:szCs w:val="24"/>
        </w:rPr>
      </w:pPr>
      <w:r>
        <w:rPr>
          <w:rFonts w:hint="eastAsia" w:ascii="Times New Roman" w:hAnsi="Times New Roman" w:eastAsiaTheme="minorEastAsia"/>
          <w:sz w:val="24"/>
          <w:szCs w:val="24"/>
          <w:lang w:val="en-US" w:eastAsia="zh-CN"/>
        </w:rPr>
        <w:t>1.2.2</w:t>
      </w:r>
      <w:r>
        <w:rPr>
          <w:rFonts w:hint="eastAsia" w:ascii="Times New Roman" w:hAnsi="Times New Roman" w:eastAsiaTheme="minorEastAsia"/>
          <w:sz w:val="24"/>
          <w:szCs w:val="24"/>
        </w:rPr>
        <w:t>《建设工程工程量清单计价标准》（GB/T 50500-2024）和配套的工程量计算标准（GB/T 50854-2024～GB/T 50862-2024）。</w:t>
      </w:r>
    </w:p>
    <w:p>
      <w:pPr>
        <w:pStyle w:val="6"/>
        <w:adjustRightInd w:val="0"/>
        <w:spacing w:line="360" w:lineRule="auto"/>
        <w:ind w:firstLine="424" w:firstLineChars="177"/>
        <w:contextualSpacing/>
        <w:jc w:val="left"/>
        <w:rPr>
          <w:rFonts w:hint="eastAsia" w:ascii="Times New Roman" w:hAnsi="Times New Roman" w:eastAsiaTheme="minorEastAsia"/>
          <w:sz w:val="24"/>
          <w:szCs w:val="24"/>
        </w:rPr>
      </w:pPr>
      <w:r>
        <w:rPr>
          <w:rFonts w:hint="eastAsia" w:ascii="Times New Roman" w:hAnsi="Times New Roman" w:eastAsiaTheme="minorEastAsia"/>
          <w:sz w:val="24"/>
          <w:szCs w:val="24"/>
          <w:lang w:val="en-US" w:eastAsia="zh-CN"/>
        </w:rPr>
        <w:t>1.2.3</w:t>
      </w:r>
      <w:r>
        <w:rPr>
          <w:rFonts w:hint="eastAsia" w:ascii="Times New Roman" w:hAnsi="Times New Roman" w:eastAsiaTheme="minorEastAsia"/>
          <w:sz w:val="24"/>
          <w:szCs w:val="24"/>
        </w:rPr>
        <w:t>与本工程有关的标准（包括标准图集）、规范、技术资料。</w:t>
      </w:r>
    </w:p>
    <w:p>
      <w:pPr>
        <w:pStyle w:val="6"/>
        <w:adjustRightInd w:val="0"/>
        <w:spacing w:line="360" w:lineRule="auto"/>
        <w:ind w:firstLine="424" w:firstLineChars="177"/>
        <w:contextualSpacing/>
        <w:jc w:val="left"/>
        <w:rPr>
          <w:rFonts w:hint="eastAsia" w:ascii="Times New Roman" w:hAnsi="Times New Roman" w:eastAsiaTheme="minorEastAsia"/>
          <w:sz w:val="24"/>
          <w:szCs w:val="24"/>
        </w:rPr>
      </w:pPr>
      <w:r>
        <w:rPr>
          <w:rFonts w:hint="eastAsia" w:ascii="Times New Roman" w:hAnsi="Times New Roman" w:eastAsiaTheme="minorEastAsia"/>
          <w:sz w:val="24"/>
          <w:szCs w:val="24"/>
          <w:lang w:val="en-US" w:eastAsia="zh-CN"/>
        </w:rPr>
        <w:t>1.2.4</w:t>
      </w:r>
      <w:r>
        <w:rPr>
          <w:rFonts w:hint="eastAsia" w:ascii="Times New Roman" w:hAnsi="Times New Roman" w:eastAsiaTheme="minorEastAsia"/>
          <w:sz w:val="24"/>
          <w:szCs w:val="24"/>
        </w:rPr>
        <w:t>本工程招标文件。</w:t>
      </w:r>
    </w:p>
    <w:p>
      <w:pPr>
        <w:pStyle w:val="6"/>
        <w:adjustRightInd w:val="0"/>
        <w:spacing w:line="360" w:lineRule="auto"/>
        <w:ind w:firstLine="424" w:firstLineChars="177"/>
        <w:contextualSpacing/>
        <w:jc w:val="left"/>
        <w:rPr>
          <w:rFonts w:ascii="Times New Roman" w:hAnsi="Times New Roman" w:eastAsiaTheme="minorEastAsia"/>
          <w:sz w:val="24"/>
          <w:szCs w:val="24"/>
        </w:rPr>
      </w:pPr>
      <w:r>
        <w:rPr>
          <w:rFonts w:hint="eastAsia" w:ascii="Times New Roman" w:hAnsi="Times New Roman" w:eastAsiaTheme="minorEastAsia"/>
          <w:sz w:val="24"/>
          <w:szCs w:val="24"/>
          <w:lang w:val="en-US" w:eastAsia="zh-CN"/>
        </w:rPr>
        <w:t>1.2.5</w:t>
      </w:r>
      <w:r>
        <w:rPr>
          <w:rFonts w:hint="eastAsia" w:ascii="Times New Roman" w:hAnsi="Times New Roman" w:eastAsiaTheme="minorEastAsia"/>
          <w:sz w:val="24"/>
          <w:szCs w:val="24"/>
        </w:rPr>
        <w:t>其他有关文件、资料。</w:t>
      </w:r>
    </w:p>
    <w:p>
      <w:pPr>
        <w:spacing w:line="360" w:lineRule="auto"/>
        <w:contextualSpacing/>
        <w:rPr>
          <w:rFonts w:eastAsiaTheme="minorEastAsia"/>
          <w:i/>
          <w:iCs/>
          <w:sz w:val="24"/>
        </w:rPr>
      </w:pPr>
      <w:r>
        <w:rPr>
          <w:rFonts w:hint="eastAsia" w:eastAsiaTheme="minorEastAsia"/>
          <w:sz w:val="24"/>
        </w:rPr>
        <w:t>2</w:t>
      </w:r>
      <w:r>
        <w:rPr>
          <w:rFonts w:eastAsiaTheme="minorEastAsia"/>
          <w:sz w:val="24"/>
        </w:rPr>
        <w:t xml:space="preserve">. </w:t>
      </w:r>
      <w:r>
        <w:rPr>
          <w:rFonts w:hint="eastAsia" w:eastAsiaTheme="minorEastAsia"/>
          <w:sz w:val="24"/>
        </w:rPr>
        <w:t>质量</w:t>
      </w:r>
      <w:r>
        <w:rPr>
          <w:rFonts w:eastAsiaTheme="minorEastAsia"/>
          <w:sz w:val="24"/>
        </w:rPr>
        <w:t>标准</w:t>
      </w:r>
    </w:p>
    <w:p>
      <w:pPr>
        <w:widowControl/>
        <w:spacing w:line="360" w:lineRule="auto"/>
        <w:ind w:firstLine="482"/>
        <w:contextualSpacing/>
        <w:rPr>
          <w:rFonts w:ascii="宋体" w:hAnsi="宋体"/>
          <w:sz w:val="24"/>
        </w:rPr>
      </w:pPr>
      <w:r>
        <w:rPr>
          <w:rFonts w:hint="eastAsia" w:eastAsiaTheme="minorEastAsia"/>
          <w:bCs/>
          <w:sz w:val="24"/>
        </w:rPr>
        <w:t>2.1</w:t>
      </w:r>
      <w:r>
        <w:rPr>
          <w:rFonts w:hint="eastAsia" w:ascii="宋体" w:hAnsi="宋体"/>
          <w:sz w:val="24"/>
        </w:rPr>
        <w:t>本工程安全生产标准化管理目标等级按“达标”考虑</w:t>
      </w:r>
    </w:p>
    <w:p>
      <w:pPr>
        <w:pStyle w:val="7"/>
        <w:ind w:firstLine="480"/>
        <w:rPr>
          <w:rFonts w:ascii="Times New Roman" w:hAnsi="Times New Roman" w:cs="Times New Roman" w:eastAsiaTheme="minorEastAsia"/>
          <w:bCs/>
          <w:sz w:val="24"/>
          <w:szCs w:val="24"/>
        </w:rPr>
      </w:pPr>
      <w:r>
        <w:rPr>
          <w:rFonts w:hint="eastAsia" w:ascii="Times New Roman" w:hAnsi="Times New Roman" w:cs="Times New Roman" w:eastAsiaTheme="minorEastAsia"/>
          <w:bCs/>
          <w:sz w:val="24"/>
          <w:szCs w:val="24"/>
        </w:rPr>
        <w:t>2.2本工程要求的质量标准为：合格，符合现行国家有关工程施工验收规范和标准的要求。</w:t>
      </w:r>
    </w:p>
    <w:p>
      <w:pPr>
        <w:spacing w:line="360" w:lineRule="auto"/>
        <w:contextualSpacing/>
        <w:rPr>
          <w:rFonts w:eastAsiaTheme="minorEastAsia"/>
          <w:sz w:val="24"/>
        </w:rPr>
      </w:pPr>
      <w:r>
        <w:rPr>
          <w:rFonts w:hint="eastAsia" w:eastAsiaTheme="minorEastAsia"/>
          <w:sz w:val="24"/>
        </w:rPr>
        <w:t>3</w:t>
      </w:r>
      <w:r>
        <w:rPr>
          <w:rFonts w:eastAsiaTheme="minorEastAsia"/>
          <w:sz w:val="24"/>
        </w:rPr>
        <w:t xml:space="preserve">. </w:t>
      </w:r>
      <w:r>
        <w:rPr>
          <w:rFonts w:hint="eastAsia" w:eastAsiaTheme="minorEastAsia"/>
          <w:sz w:val="24"/>
        </w:rPr>
        <w:t>适用规范和标准</w:t>
      </w:r>
    </w:p>
    <w:p>
      <w:pPr>
        <w:pStyle w:val="3"/>
        <w:spacing w:line="360" w:lineRule="auto"/>
        <w:ind w:firstLine="480" w:firstLineChars="200"/>
        <w:rPr>
          <w:rFonts w:hint="default" w:ascii="Times New Roman" w:hAnsi="Times New Roman"/>
          <w:sz w:val="24"/>
          <w:szCs w:val="24"/>
        </w:rPr>
      </w:pPr>
      <w:r>
        <w:rPr>
          <w:rFonts w:ascii="Times New Roman" w:hAnsi="Times New Roman"/>
          <w:sz w:val="24"/>
          <w:szCs w:val="24"/>
        </w:rPr>
        <w:t>包括但不限于以下规范及图集</w:t>
      </w:r>
    </w:p>
    <w:p>
      <w:pPr>
        <w:pStyle w:val="3"/>
        <w:spacing w:line="360" w:lineRule="auto"/>
        <w:ind w:firstLine="480" w:firstLineChars="200"/>
        <w:rPr>
          <w:rFonts w:hint="default" w:ascii="Times New Roman" w:hAnsi="Times New Roman"/>
          <w:sz w:val="24"/>
          <w:szCs w:val="24"/>
        </w:rPr>
      </w:pPr>
      <w:r>
        <w:rPr>
          <w:rFonts w:ascii="Times New Roman" w:hAnsi="Times New Roman"/>
          <w:sz w:val="24"/>
          <w:szCs w:val="24"/>
        </w:rPr>
        <w:t>3.1适用的规范、标准和规程</w:t>
      </w:r>
    </w:p>
    <w:p>
      <w:pPr>
        <w:pStyle w:val="3"/>
        <w:spacing w:line="360" w:lineRule="auto"/>
        <w:ind w:firstLine="480" w:firstLineChars="200"/>
        <w:rPr>
          <w:rFonts w:hint="default" w:ascii="Times New Roman" w:hAnsi="Times New Roman"/>
          <w:sz w:val="24"/>
          <w:szCs w:val="24"/>
        </w:rPr>
      </w:pPr>
      <w:r>
        <w:rPr>
          <w:rFonts w:ascii="Times New Roman" w:hAnsi="Times New Roman"/>
          <w:sz w:val="24"/>
          <w:szCs w:val="24"/>
        </w:rPr>
        <w:t>3.2除合同另有约定外，本工程适用现行国家、行业和地方规范、标准和规程。构成合同文件的任何内容与适用的规范、标准和规程之间出现矛盾，承包人应书面要求监理人予以澄清，除监理人有特别指示外，承包人应按照其中要求最严格的标准执行。</w:t>
      </w:r>
    </w:p>
    <w:p>
      <w:pPr>
        <w:pStyle w:val="3"/>
        <w:spacing w:line="360" w:lineRule="auto"/>
        <w:ind w:firstLine="480" w:firstLineChars="200"/>
        <w:rPr>
          <w:rFonts w:hint="default" w:ascii="Times New Roman" w:hAnsi="Times New Roman"/>
          <w:sz w:val="24"/>
          <w:szCs w:val="24"/>
        </w:rPr>
      </w:pPr>
      <w:r>
        <w:rPr>
          <w:rFonts w:ascii="Times New Roman" w:hAnsi="Times New Roman"/>
          <w:sz w:val="24"/>
          <w:szCs w:val="24"/>
        </w:rPr>
        <w:t>3.3除合同另有约定外，材料、施工工艺和本工程都应依照本技术标准和要求以及适用的现行规范、标准和规程的最新版本执行。若适用的现行规范、标准和规程的最新版本是在基准日后颁布的，且相应标准发生变更并成为合同文件中最严格的标准。</w:t>
      </w:r>
    </w:p>
    <w:p>
      <w:pPr>
        <w:pStyle w:val="3"/>
        <w:spacing w:line="360" w:lineRule="auto"/>
        <w:ind w:firstLine="480" w:firstLineChars="200"/>
        <w:rPr>
          <w:rFonts w:hint="default" w:ascii="Times New Roman" w:hAnsi="Times New Roman"/>
          <w:sz w:val="24"/>
          <w:szCs w:val="24"/>
        </w:rPr>
      </w:pPr>
      <w:r>
        <w:rPr>
          <w:rFonts w:ascii="Times New Roman" w:hAnsi="Times New Roman"/>
          <w:sz w:val="24"/>
          <w:szCs w:val="24"/>
        </w:rPr>
        <w:t>3.4国内目前可以直接引用其索引号的主要施工验收规范</w:t>
      </w:r>
    </w:p>
    <w:p>
      <w:pPr>
        <w:pStyle w:val="6"/>
        <w:adjustRightInd w:val="0"/>
        <w:spacing w:line="360" w:lineRule="auto"/>
        <w:ind w:firstLine="480"/>
        <w:contextualSpacing/>
        <w:jc w:val="left"/>
        <w:rPr>
          <w:rFonts w:ascii="Times New Roman" w:hAnsi="Times New Roman" w:eastAsiaTheme="minorEastAsia"/>
          <w:sz w:val="24"/>
          <w:szCs w:val="24"/>
        </w:rPr>
      </w:pPr>
      <w:r>
        <w:rPr>
          <w:rFonts w:ascii="Times New Roman" w:hAnsi="Times New Roman"/>
          <w:sz w:val="24"/>
          <w:szCs w:val="24"/>
        </w:rPr>
        <w:t>适用现行国家、行业和地方规范、标准和规程，按最新规范为准。</w:t>
      </w:r>
    </w:p>
    <w:p>
      <w:pPr>
        <w:pStyle w:val="6"/>
        <w:adjustRightInd w:val="0"/>
        <w:spacing w:line="360" w:lineRule="auto"/>
        <w:ind w:firstLine="480"/>
        <w:contextualSpacing/>
        <w:jc w:val="left"/>
        <w:rPr>
          <w:rFonts w:ascii="Times New Roman" w:hAnsi="Times New Roman" w:eastAsiaTheme="minorEastAsia"/>
          <w:sz w:val="24"/>
          <w:szCs w:val="24"/>
        </w:rPr>
      </w:pPr>
    </w:p>
    <w:p>
      <w:pPr>
        <w:spacing w:line="360" w:lineRule="auto"/>
        <w:rPr>
          <w:bCs/>
          <w:sz w:val="24"/>
        </w:rPr>
      </w:pPr>
      <w:r>
        <w:rPr>
          <w:rFonts w:hint="eastAsia"/>
          <w:bCs/>
          <w:sz w:val="24"/>
        </w:rPr>
        <w:t>4.相关责任与要求</w:t>
      </w:r>
    </w:p>
    <w:p>
      <w:pPr>
        <w:pStyle w:val="7"/>
        <w:spacing w:line="360" w:lineRule="auto"/>
        <w:ind w:firstLine="480"/>
        <w:rPr>
          <w:rFonts w:ascii="Times New Roman" w:hAnsi="Times New Roman" w:eastAsia="宋体" w:cs="宋体"/>
          <w:sz w:val="24"/>
          <w:szCs w:val="24"/>
        </w:rPr>
      </w:pPr>
      <w:r>
        <w:rPr>
          <w:rFonts w:hint="eastAsia" w:ascii="Times New Roman" w:hAnsi="Times New Roman" w:eastAsia="宋体" w:cs="宋体"/>
          <w:sz w:val="24"/>
          <w:szCs w:val="24"/>
        </w:rPr>
        <w:t>4.1相关责任</w:t>
      </w:r>
    </w:p>
    <w:p>
      <w:pPr>
        <w:pStyle w:val="7"/>
        <w:spacing w:line="360" w:lineRule="auto"/>
        <w:ind w:firstLine="480"/>
        <w:rPr>
          <w:rFonts w:ascii="Times New Roman" w:hAnsi="Times New Roman" w:eastAsia="宋体" w:cs="宋体"/>
          <w:sz w:val="24"/>
          <w:szCs w:val="24"/>
        </w:rPr>
      </w:pPr>
      <w:r>
        <w:rPr>
          <w:rFonts w:hint="eastAsia" w:ascii="Times New Roman" w:hAnsi="Times New Roman" w:eastAsia="宋体" w:cs="宋体"/>
          <w:sz w:val="24"/>
          <w:szCs w:val="24"/>
        </w:rPr>
        <w:t>4.2对承包人进行工作面的交接验收完成后，发生的质量问题，由成交人自行解决，费用不予增加、工期不予顺延；</w:t>
      </w:r>
    </w:p>
    <w:p>
      <w:pPr>
        <w:pStyle w:val="7"/>
        <w:spacing w:line="360" w:lineRule="auto"/>
        <w:ind w:firstLine="480"/>
        <w:rPr>
          <w:rFonts w:ascii="Times New Roman" w:hAnsi="Times New Roman" w:eastAsia="宋体" w:cs="宋体"/>
          <w:sz w:val="24"/>
          <w:szCs w:val="24"/>
        </w:rPr>
      </w:pPr>
      <w:r>
        <w:rPr>
          <w:rFonts w:hint="eastAsia" w:ascii="Times New Roman" w:hAnsi="Times New Roman" w:eastAsia="宋体" w:cs="宋体"/>
          <w:sz w:val="24"/>
          <w:szCs w:val="24"/>
        </w:rPr>
        <w:t>4.3成交人需对现场设备设施进行成品保护，负责对其作业面内所有的成品及半成品保护工作，并直至完成成品验收交接后为止；因成交人原因造成损失的，由成交人承担相应责任；</w:t>
      </w:r>
    </w:p>
    <w:p>
      <w:pPr>
        <w:pStyle w:val="7"/>
        <w:spacing w:line="360" w:lineRule="auto"/>
        <w:ind w:firstLine="480"/>
        <w:rPr>
          <w:rFonts w:ascii="Times New Roman" w:hAnsi="Times New Roman" w:eastAsia="宋体" w:cs="宋体"/>
          <w:sz w:val="24"/>
          <w:szCs w:val="24"/>
        </w:rPr>
      </w:pPr>
      <w:r>
        <w:rPr>
          <w:rFonts w:hint="eastAsia" w:ascii="Times New Roman" w:hAnsi="Times New Roman" w:eastAsia="宋体" w:cs="宋体"/>
          <w:sz w:val="24"/>
          <w:szCs w:val="24"/>
        </w:rPr>
        <w:t>4.4供应商投标前，应确认其投标书已全面理解且符合本磋商文件的内容和要求，响应文件一旦提交，采购人认为其报价已包括本磋商文件所包含的全部磋商范围内容。供应商应在现场踏勘时充分了解现场情况，响应文件中对现场差异情况除非有明确证明，否则采购人认为供应商在投标报价中已充分考虑到并不再进行调整。</w:t>
      </w:r>
    </w:p>
    <w:p>
      <w:pPr>
        <w:pStyle w:val="7"/>
        <w:spacing w:line="360" w:lineRule="auto"/>
        <w:ind w:firstLine="480"/>
        <w:rPr>
          <w:rFonts w:ascii="Times New Roman" w:hAnsi="Times New Roman" w:eastAsia="宋体" w:cs="宋体"/>
          <w:sz w:val="24"/>
          <w:szCs w:val="24"/>
        </w:rPr>
      </w:pPr>
      <w:r>
        <w:rPr>
          <w:rFonts w:hint="eastAsia" w:ascii="Times New Roman" w:hAnsi="Times New Roman" w:eastAsia="宋体" w:cs="宋体"/>
          <w:sz w:val="24"/>
          <w:szCs w:val="24"/>
        </w:rPr>
        <w:t>4.5洽商变更等变动必须以书面形式通知采购人各相关专业的负责人，同时在洽商变更中必须考虑好相关专业的工序和设备是否影响功能性要求，美观要求，是否能够实现。</w:t>
      </w:r>
    </w:p>
    <w:p>
      <w:pPr>
        <w:pStyle w:val="7"/>
        <w:spacing w:line="360" w:lineRule="auto"/>
        <w:ind w:firstLine="480"/>
        <w:rPr>
          <w:rFonts w:ascii="Times New Roman" w:hAnsi="Times New Roman" w:eastAsia="宋体" w:cs="宋体"/>
          <w:sz w:val="24"/>
          <w:szCs w:val="24"/>
        </w:rPr>
      </w:pPr>
      <w:r>
        <w:rPr>
          <w:rFonts w:hint="eastAsia" w:ascii="Times New Roman" w:hAnsi="Times New Roman" w:eastAsia="宋体" w:cs="宋体"/>
          <w:sz w:val="24"/>
          <w:szCs w:val="24"/>
        </w:rPr>
        <w:t>4.6资料的整理与规范填写，必须按实际日期填写，以免造成资料填写的日期时间前后颠倒。</w:t>
      </w:r>
    </w:p>
    <w:p>
      <w:pPr>
        <w:pStyle w:val="7"/>
        <w:spacing w:line="360" w:lineRule="auto"/>
        <w:ind w:firstLine="480"/>
        <w:rPr>
          <w:rFonts w:ascii="宋体" w:hAnsi="宋体" w:eastAsia="宋体" w:cs="宋体"/>
          <w:sz w:val="24"/>
          <w:szCs w:val="24"/>
        </w:rPr>
      </w:pPr>
      <w:r>
        <w:rPr>
          <w:rFonts w:hint="eastAsia" w:ascii="Times New Roman" w:hAnsi="Times New Roman" w:eastAsia="宋体" w:cs="宋体"/>
          <w:sz w:val="24"/>
          <w:szCs w:val="24"/>
        </w:rPr>
        <w:t>4.7装修所选用的材料必须符合图纸设计和图集的相关要求，满足相关的环保、防火要求，提供需要复试材料的检测报告（原件），保证验收的顺利通过。</w:t>
      </w:r>
    </w:p>
    <w:p>
      <w:pPr>
        <w:spacing w:line="360" w:lineRule="auto"/>
        <w:contextualSpacing/>
        <w:rPr>
          <w:sz w:val="24"/>
        </w:rPr>
      </w:pPr>
    </w:p>
    <w:p>
      <w:pPr>
        <w:spacing w:line="360" w:lineRule="auto"/>
        <w:contextualSpacing/>
        <w:rPr>
          <w:i/>
          <w:iCs/>
          <w:sz w:val="24"/>
        </w:rPr>
      </w:pPr>
      <w:r>
        <w:rPr>
          <w:rFonts w:hint="eastAsia"/>
          <w:sz w:val="24"/>
        </w:rPr>
        <w:t>5.</w:t>
      </w:r>
      <w:r>
        <w:rPr>
          <w:sz w:val="24"/>
        </w:rPr>
        <w:t>验收标准</w:t>
      </w:r>
    </w:p>
    <w:p>
      <w:pPr>
        <w:widowControl/>
        <w:spacing w:line="360" w:lineRule="auto"/>
        <w:ind w:firstLine="482"/>
        <w:contextualSpacing/>
        <w:rPr>
          <w:bCs/>
          <w:sz w:val="24"/>
        </w:rPr>
      </w:pPr>
      <w:r>
        <w:rPr>
          <w:rFonts w:hint="eastAsia"/>
          <w:bCs/>
          <w:sz w:val="24"/>
        </w:rPr>
        <w:t>本工程所使用的主要材料应满足国家规定。</w:t>
      </w:r>
    </w:p>
    <w:p>
      <w:pPr>
        <w:widowControl/>
        <w:spacing w:line="360" w:lineRule="auto"/>
        <w:ind w:firstLine="482"/>
        <w:contextualSpacing/>
        <w:rPr>
          <w:bCs/>
          <w:sz w:val="24"/>
        </w:rPr>
      </w:pPr>
      <w:r>
        <w:rPr>
          <w:rFonts w:hint="eastAsia"/>
          <w:bCs/>
          <w:sz w:val="24"/>
        </w:rPr>
        <w:t>材料验收</w:t>
      </w:r>
    </w:p>
    <w:p>
      <w:pPr>
        <w:widowControl/>
        <w:spacing w:line="360" w:lineRule="auto"/>
        <w:ind w:firstLine="482"/>
        <w:contextualSpacing/>
        <w:rPr>
          <w:bCs/>
          <w:sz w:val="24"/>
        </w:rPr>
      </w:pPr>
      <w:r>
        <w:rPr>
          <w:rFonts w:hint="eastAsia"/>
          <w:bCs/>
          <w:sz w:val="24"/>
        </w:rPr>
        <w:t>购买材料需满足以下条件：</w:t>
      </w:r>
    </w:p>
    <w:p>
      <w:pPr>
        <w:widowControl/>
        <w:spacing w:line="360" w:lineRule="auto"/>
        <w:ind w:firstLine="482"/>
        <w:contextualSpacing/>
        <w:rPr>
          <w:bCs/>
          <w:sz w:val="24"/>
        </w:rPr>
      </w:pPr>
      <w:r>
        <w:rPr>
          <w:rFonts w:hint="eastAsia"/>
          <w:bCs/>
          <w:sz w:val="24"/>
        </w:rPr>
        <w:t>（1）产品出厂合格证</w:t>
      </w:r>
    </w:p>
    <w:p>
      <w:pPr>
        <w:widowControl/>
        <w:spacing w:line="360" w:lineRule="auto"/>
        <w:ind w:firstLine="482"/>
        <w:contextualSpacing/>
        <w:rPr>
          <w:bCs/>
          <w:sz w:val="24"/>
        </w:rPr>
      </w:pPr>
      <w:r>
        <w:rPr>
          <w:rFonts w:hint="eastAsia"/>
          <w:bCs/>
          <w:sz w:val="24"/>
        </w:rPr>
        <w:t>（2）质量保证书</w:t>
      </w:r>
    </w:p>
    <w:p>
      <w:pPr>
        <w:widowControl/>
        <w:spacing w:line="360" w:lineRule="auto"/>
        <w:ind w:firstLine="482"/>
        <w:contextualSpacing/>
        <w:rPr>
          <w:bCs/>
          <w:sz w:val="24"/>
        </w:rPr>
      </w:pPr>
      <w:r>
        <w:rPr>
          <w:rFonts w:hint="eastAsia"/>
          <w:bCs/>
          <w:sz w:val="24"/>
        </w:rPr>
        <w:t>（3）出厂检测报告</w:t>
      </w:r>
    </w:p>
    <w:p>
      <w:pPr>
        <w:widowControl/>
        <w:spacing w:line="360" w:lineRule="auto"/>
        <w:ind w:firstLine="482"/>
        <w:contextualSpacing/>
        <w:rPr>
          <w:bCs/>
          <w:sz w:val="24"/>
        </w:rPr>
      </w:pPr>
      <w:r>
        <w:rPr>
          <w:rFonts w:hint="eastAsia"/>
          <w:bCs/>
          <w:sz w:val="24"/>
        </w:rPr>
        <w:t>（4）复检报告</w:t>
      </w:r>
    </w:p>
    <w:p>
      <w:pPr>
        <w:widowControl/>
        <w:spacing w:line="360" w:lineRule="auto"/>
        <w:ind w:firstLine="482"/>
        <w:contextualSpacing/>
        <w:rPr>
          <w:bCs/>
          <w:sz w:val="24"/>
        </w:rPr>
      </w:pPr>
      <w:r>
        <w:rPr>
          <w:rFonts w:hint="eastAsia"/>
          <w:bCs/>
          <w:sz w:val="24"/>
        </w:rPr>
        <w:t>（5）材料到场后，需有发包人现场对比和验收，对于不合格的及不满足条件的材料进行无条件退回。</w:t>
      </w:r>
    </w:p>
    <w:p>
      <w:pPr>
        <w:spacing w:line="360" w:lineRule="auto"/>
        <w:contextualSpacing/>
        <w:rPr>
          <w:sz w:val="24"/>
        </w:rPr>
      </w:pPr>
    </w:p>
    <w:p>
      <w:pPr>
        <w:spacing w:line="440" w:lineRule="exact"/>
        <w:rPr>
          <w:rFonts w:eastAsiaTheme="minorEastAsia"/>
          <w:bCs/>
          <w:sz w:val="24"/>
          <w:highlight w:val="none"/>
        </w:rPr>
      </w:pPr>
      <w:r>
        <w:rPr>
          <w:rFonts w:hint="eastAsia" w:eastAsiaTheme="minorEastAsia"/>
          <w:sz w:val="24"/>
          <w:highlight w:val="none"/>
        </w:rPr>
        <w:t>6</w:t>
      </w:r>
      <w:r>
        <w:rPr>
          <w:rFonts w:eastAsiaTheme="minorEastAsia"/>
          <w:bCs/>
          <w:sz w:val="24"/>
          <w:highlight w:val="none"/>
        </w:rPr>
        <w:t>. 图纸</w:t>
      </w:r>
      <w:r>
        <w:rPr>
          <w:rFonts w:hint="eastAsia" w:eastAsiaTheme="minorEastAsia"/>
          <w:bCs/>
          <w:sz w:val="24"/>
          <w:highlight w:val="none"/>
        </w:rPr>
        <w:t>（</w:t>
      </w:r>
      <w:r>
        <w:rPr>
          <w:rFonts w:hint="eastAsia" w:eastAsiaTheme="minorEastAsia"/>
          <w:bCs/>
          <w:sz w:val="24"/>
          <w:highlight w:val="none"/>
          <w:lang w:val="en-US" w:eastAsia="zh-CN"/>
        </w:rPr>
        <w:t>另附</w:t>
      </w:r>
      <w:r>
        <w:rPr>
          <w:rFonts w:hint="eastAsia" w:eastAsiaTheme="minorEastAsia"/>
          <w:bCs/>
          <w:sz w:val="24"/>
          <w:highlight w:val="none"/>
        </w:rPr>
        <w:t>）</w:t>
      </w:r>
    </w:p>
    <w:p>
      <w:pPr>
        <w:spacing w:line="440" w:lineRule="exact"/>
        <w:rPr>
          <w:rFonts w:eastAsiaTheme="minorEastAsia"/>
          <w:bCs/>
          <w:sz w:val="24"/>
        </w:rPr>
      </w:pPr>
    </w:p>
    <w:p>
      <w:r>
        <w:rPr>
          <w:rFonts w:hint="eastAsia" w:eastAsiaTheme="minorEastAsia"/>
          <w:bCs/>
          <w:sz w:val="24"/>
        </w:rPr>
        <w:t>7</w:t>
      </w:r>
      <w:r>
        <w:rPr>
          <w:rFonts w:eastAsiaTheme="minorEastAsia"/>
          <w:bCs/>
          <w:sz w:val="24"/>
        </w:rPr>
        <w:t>. 工程量清单</w:t>
      </w:r>
      <w:r>
        <w:rPr>
          <w:rFonts w:hint="eastAsia" w:eastAsiaTheme="minorEastAsia"/>
          <w:bCs/>
          <w:sz w:val="24"/>
        </w:rPr>
        <w:t>（</w:t>
      </w:r>
      <w:r>
        <w:rPr>
          <w:rFonts w:hint="eastAsia" w:eastAsiaTheme="minorEastAsia"/>
          <w:bCs/>
          <w:sz w:val="24"/>
          <w:lang w:val="en-US" w:eastAsia="zh-CN"/>
        </w:rPr>
        <w:t>另附</w:t>
      </w:r>
      <w:r>
        <w:rPr>
          <w:rFonts w:hint="eastAsia" w:eastAsiaTheme="minorEastAsia"/>
          <w:bCs/>
          <w:sz w:val="24"/>
        </w:rPr>
        <w:t>）</w:t>
      </w:r>
      <w:bookmarkStart w:id="2" w:name="_GoBack"/>
      <w:bookmarkEnd w:id="2"/>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3EFAFF"/>
    <w:multiLevelType w:val="multilevel"/>
    <w:tmpl w:val="013EFAFF"/>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
    <w:nsid w:val="13851098"/>
    <w:multiLevelType w:val="multilevel"/>
    <w:tmpl w:val="13851098"/>
    <w:lvl w:ilvl="0" w:tentative="0">
      <w:start w:val="1"/>
      <w:numFmt w:val="japaneseCounting"/>
      <w:lvlText w:val="%1、"/>
      <w:lvlJc w:val="left"/>
      <w:pPr>
        <w:ind w:left="500" w:hanging="5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9A3288"/>
    <w:rsid w:val="1F9A32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0"/>
    <w:pPr>
      <w:keepNext/>
      <w:keepLines/>
      <w:adjustRightInd w:val="0"/>
      <w:spacing w:before="280" w:after="290" w:line="376" w:lineRule="atLeast"/>
      <w:textAlignment w:val="baseline"/>
      <w:outlineLvl w:val="3"/>
    </w:pPr>
    <w:rPr>
      <w:rFonts w:ascii="Arial" w:hAnsi="Arial" w:eastAsia="黑体"/>
      <w:b/>
      <w:kern w:val="0"/>
      <w:sz w:val="28"/>
      <w:szCs w:val="20"/>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Plain Text"/>
    <w:basedOn w:val="1"/>
    <w:next w:val="1"/>
    <w:qFormat/>
    <w:uiPriority w:val="0"/>
    <w:rPr>
      <w:rFonts w:hint="eastAsia" w:ascii="宋体" w:hAnsi="Courier New"/>
      <w:szCs w:val="20"/>
    </w:rPr>
  </w:style>
  <w:style w:type="paragraph" w:customStyle="1" w:styleId="6">
    <w:name w:val="列表段落1"/>
    <w:basedOn w:val="1"/>
    <w:qFormat/>
    <w:uiPriority w:val="34"/>
    <w:pPr>
      <w:ind w:firstLine="420" w:firstLineChars="200"/>
    </w:pPr>
    <w:rPr>
      <w:rFonts w:ascii="Calibri" w:hAnsi="Calibri"/>
      <w:szCs w:val="22"/>
    </w:rPr>
  </w:style>
  <w:style w:type="paragraph" w:customStyle="1" w:styleId="7">
    <w:name w:val="公文"/>
    <w:basedOn w:val="1"/>
    <w:qFormat/>
    <w:uiPriority w:val="0"/>
    <w:pPr>
      <w:spacing w:line="560" w:lineRule="exact"/>
      <w:ind w:firstLine="200" w:firstLineChars="200"/>
    </w:pPr>
    <w:rPr>
      <w:rFonts w:ascii="Calibri" w:hAnsi="Calibri" w:eastAsia="仿宋_GB2312" w:cs="黑体"/>
      <w:sz w:val="32"/>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2026-07-30T08:31:00Z</dcterms:created>
  <dc:creator>丰晨</dc:creator>
  <cp:lastModifiedBy>丰晨</cp:lastModifiedBy>
  <dcterms:modified xsi:type="dcterms:W3CDTF">2026-07-30T08:31:43Z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D675C9B1A1B74974974F5ECF50BBAFDE</vt:lpwstr>
  </property>
</Properties>
</file>