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5C2FC">
      <w:pPr>
        <w:spacing w:line="360" w:lineRule="auto"/>
        <w:jc w:val="center"/>
        <w:outlineLvl w:val="0"/>
        <w:rPr>
          <w:sz w:val="32"/>
          <w:szCs w:val="32"/>
        </w:rPr>
      </w:pPr>
      <w:bookmarkStart w:id="0" w:name="_Toc99301419"/>
      <w:r>
        <w:rPr>
          <w:b/>
          <w:sz w:val="36"/>
          <w:szCs w:val="36"/>
        </w:rPr>
        <w:t>第一章   投标邀请</w:t>
      </w:r>
      <w:bookmarkEnd w:id="0"/>
    </w:p>
    <w:p w14:paraId="1DB00510">
      <w:pPr>
        <w:pStyle w:val="2"/>
        <w:spacing w:before="0" w:line="360" w:lineRule="auto"/>
        <w:jc w:val="left"/>
        <w:rPr>
          <w:rFonts w:ascii="Times New Roman" w:hAnsi="Times New Roman" w:eastAsia="宋体"/>
          <w:sz w:val="24"/>
          <w:szCs w:val="24"/>
          <w:highlight w:val="none"/>
        </w:rPr>
      </w:pPr>
      <w:bookmarkStart w:id="1" w:name="_Toc28359002"/>
      <w:bookmarkStart w:id="2" w:name="_Toc35393621"/>
      <w:bookmarkStart w:id="3" w:name="_Toc28359079"/>
      <w:bookmarkStart w:id="4" w:name="_Toc35393790"/>
      <w:bookmarkStart w:id="5" w:name="_Hlk24379207"/>
      <w:r>
        <w:rPr>
          <w:rFonts w:ascii="Times New Roman" w:hAnsi="Times New Roman" w:eastAsia="宋体"/>
          <w:sz w:val="24"/>
          <w:szCs w:val="24"/>
          <w:highlight w:val="none"/>
        </w:rPr>
        <w:t>一、项目基本情况</w:t>
      </w:r>
      <w:bookmarkEnd w:id="1"/>
      <w:bookmarkEnd w:id="2"/>
      <w:bookmarkEnd w:id="3"/>
      <w:bookmarkEnd w:id="4"/>
    </w:p>
    <w:p w14:paraId="6FF36691">
      <w:pPr>
        <w:spacing w:line="360" w:lineRule="auto"/>
        <w:ind w:firstLine="480" w:firstLineChars="200"/>
        <w:rPr>
          <w:sz w:val="24"/>
          <w:highlight w:val="none"/>
        </w:rPr>
      </w:pPr>
      <w:r>
        <w:rPr>
          <w:sz w:val="24"/>
          <w:highlight w:val="none"/>
        </w:rPr>
        <w:t>1.项目编号：</w:t>
      </w:r>
      <w:r>
        <w:rPr>
          <w:rFonts w:hint="eastAsia"/>
          <w:sz w:val="24"/>
          <w:highlight w:val="none"/>
        </w:rPr>
        <w:fldChar w:fldCharType="begin"/>
      </w:r>
      <w:r>
        <w:rPr>
          <w:rFonts w:hint="eastAsia"/>
          <w:sz w:val="24"/>
          <w:highlight w:val="none"/>
        </w:rPr>
        <w:instrText xml:space="preserve"> HYPERLINK "http://219.232.204.193:8080/frontend/plan/project_detail.html?projectUuid=036c8d2d-3680-4d32-8df5-a2d05a0dac74" </w:instrText>
      </w:r>
      <w:r>
        <w:rPr>
          <w:rFonts w:hint="eastAsia"/>
          <w:sz w:val="24"/>
          <w:highlight w:val="none"/>
        </w:rPr>
        <w:fldChar w:fldCharType="separate"/>
      </w:r>
      <w:r>
        <w:rPr>
          <w:rFonts w:hint="eastAsia"/>
          <w:sz w:val="24"/>
          <w:highlight w:val="none"/>
        </w:rPr>
        <w:t>11010626210200029618-XM001</w:t>
      </w:r>
      <w:r>
        <w:rPr>
          <w:rFonts w:hint="eastAsia"/>
          <w:sz w:val="24"/>
          <w:highlight w:val="none"/>
        </w:rPr>
        <w:fldChar w:fldCharType="end"/>
      </w:r>
    </w:p>
    <w:p w14:paraId="61E9DB6C">
      <w:pPr>
        <w:spacing w:line="360" w:lineRule="auto"/>
        <w:ind w:firstLine="480" w:firstLineChars="200"/>
        <w:rPr>
          <w:sz w:val="24"/>
          <w:highlight w:val="none"/>
        </w:rPr>
      </w:pPr>
      <w:r>
        <w:rPr>
          <w:sz w:val="24"/>
          <w:highlight w:val="none"/>
        </w:rPr>
        <w:t>2.项目名称：</w:t>
      </w:r>
      <w:r>
        <w:rPr>
          <w:rFonts w:hint="eastAsia"/>
          <w:sz w:val="24"/>
          <w:highlight w:val="none"/>
          <w:lang w:val="en-US" w:eastAsia="zh-CN"/>
        </w:rPr>
        <w:t>中国戏曲文化周补助02包</w:t>
      </w:r>
    </w:p>
    <w:bookmarkEnd w:id="5"/>
    <w:p w14:paraId="79539F82">
      <w:pPr>
        <w:spacing w:line="360" w:lineRule="auto"/>
        <w:ind w:firstLine="480" w:firstLineChars="200"/>
        <w:rPr>
          <w:sz w:val="24"/>
          <w:highlight w:val="none"/>
        </w:rPr>
      </w:pPr>
      <w:r>
        <w:rPr>
          <w:sz w:val="24"/>
          <w:highlight w:val="none"/>
        </w:rPr>
        <w:t>3.项目预算金额：</w:t>
      </w:r>
      <w:r>
        <w:rPr>
          <w:rFonts w:hint="eastAsia"/>
          <w:sz w:val="24"/>
          <w:highlight w:val="none"/>
          <w:lang w:val="en-US" w:eastAsia="zh-CN"/>
        </w:rPr>
        <w:t>270</w:t>
      </w:r>
      <w:r>
        <w:rPr>
          <w:sz w:val="24"/>
          <w:highlight w:val="none"/>
        </w:rPr>
        <w:t>万元、项目最高限价（如有）：</w:t>
      </w:r>
      <w:r>
        <w:rPr>
          <w:rFonts w:hint="eastAsia"/>
          <w:sz w:val="24"/>
          <w:highlight w:val="none"/>
          <w:lang w:val="en-US" w:eastAsia="zh-CN"/>
        </w:rPr>
        <w:t>270</w:t>
      </w:r>
      <w:r>
        <w:rPr>
          <w:sz w:val="24"/>
          <w:highlight w:val="none"/>
        </w:rPr>
        <w:t>万元</w:t>
      </w:r>
    </w:p>
    <w:p w14:paraId="486C0FBB">
      <w:pPr>
        <w:spacing w:line="360" w:lineRule="auto"/>
        <w:ind w:firstLine="480" w:firstLineChars="200"/>
        <w:rPr>
          <w:sz w:val="24"/>
          <w:highlight w:val="none"/>
        </w:rPr>
      </w:pPr>
      <w:r>
        <w:rPr>
          <w:sz w:val="24"/>
          <w:highlight w:val="none"/>
        </w:rPr>
        <w:t>4.采购需求：</w:t>
      </w:r>
    </w:p>
    <w:tbl>
      <w:tblPr>
        <w:tblStyle w:val="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0A17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5065EFDE">
            <w:pPr>
              <w:jc w:val="center"/>
              <w:rPr>
                <w:bCs/>
                <w:szCs w:val="21"/>
              </w:rPr>
            </w:pPr>
            <w:r>
              <w:rPr>
                <w:bCs/>
                <w:szCs w:val="21"/>
              </w:rPr>
              <w:t>包号</w:t>
            </w:r>
          </w:p>
        </w:tc>
        <w:tc>
          <w:tcPr>
            <w:tcW w:w="843" w:type="pct"/>
            <w:vAlign w:val="center"/>
          </w:tcPr>
          <w:p w14:paraId="690A4AF4">
            <w:pPr>
              <w:jc w:val="center"/>
              <w:rPr>
                <w:bCs/>
                <w:szCs w:val="21"/>
              </w:rPr>
            </w:pPr>
            <w:r>
              <w:rPr>
                <w:bCs/>
                <w:szCs w:val="21"/>
              </w:rPr>
              <w:t>标的名称</w:t>
            </w:r>
          </w:p>
        </w:tc>
        <w:tc>
          <w:tcPr>
            <w:tcW w:w="921" w:type="pct"/>
            <w:vAlign w:val="center"/>
          </w:tcPr>
          <w:p w14:paraId="72E2668C">
            <w:pPr>
              <w:jc w:val="center"/>
              <w:rPr>
                <w:bCs/>
                <w:szCs w:val="21"/>
              </w:rPr>
            </w:pPr>
            <w:r>
              <w:rPr>
                <w:bCs/>
                <w:szCs w:val="21"/>
              </w:rPr>
              <w:t>采购包</w:t>
            </w:r>
          </w:p>
          <w:p w14:paraId="302017CE">
            <w:pPr>
              <w:jc w:val="center"/>
              <w:rPr>
                <w:bCs/>
                <w:szCs w:val="21"/>
              </w:rPr>
            </w:pPr>
            <w:r>
              <w:rPr>
                <w:bCs/>
                <w:szCs w:val="21"/>
              </w:rPr>
              <w:t>预算金额</w:t>
            </w:r>
          </w:p>
          <w:p w14:paraId="098EE6B5">
            <w:pPr>
              <w:jc w:val="center"/>
              <w:rPr>
                <w:bCs/>
                <w:szCs w:val="21"/>
              </w:rPr>
            </w:pPr>
            <w:r>
              <w:rPr>
                <w:bCs/>
                <w:szCs w:val="21"/>
              </w:rPr>
              <w:t>（万元）</w:t>
            </w:r>
          </w:p>
        </w:tc>
        <w:tc>
          <w:tcPr>
            <w:tcW w:w="540" w:type="pct"/>
            <w:vAlign w:val="center"/>
          </w:tcPr>
          <w:p w14:paraId="35349994">
            <w:pPr>
              <w:jc w:val="center"/>
              <w:rPr>
                <w:bCs/>
                <w:szCs w:val="21"/>
              </w:rPr>
            </w:pPr>
            <w:r>
              <w:rPr>
                <w:bCs/>
                <w:szCs w:val="21"/>
              </w:rPr>
              <w:t>数量</w:t>
            </w:r>
          </w:p>
        </w:tc>
        <w:tc>
          <w:tcPr>
            <w:tcW w:w="2314" w:type="pct"/>
            <w:vAlign w:val="center"/>
          </w:tcPr>
          <w:p w14:paraId="4C1A8E59">
            <w:pPr>
              <w:jc w:val="center"/>
              <w:rPr>
                <w:szCs w:val="21"/>
              </w:rPr>
            </w:pPr>
            <w:r>
              <w:rPr>
                <w:szCs w:val="21"/>
              </w:rPr>
              <w:t>简要技术需求或服务要求</w:t>
            </w:r>
          </w:p>
        </w:tc>
      </w:tr>
      <w:tr w14:paraId="708B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380" w:type="pct"/>
            <w:vAlign w:val="center"/>
          </w:tcPr>
          <w:p w14:paraId="0819E9F3">
            <w:pPr>
              <w:jc w:val="center"/>
              <w:rPr>
                <w:rFonts w:hint="eastAsia" w:eastAsia="宋体"/>
                <w:bCs/>
                <w:szCs w:val="21"/>
                <w:lang w:eastAsia="zh-CN"/>
              </w:rPr>
            </w:pPr>
            <w:r>
              <w:rPr>
                <w:bCs/>
                <w:szCs w:val="21"/>
              </w:rPr>
              <w:t>0</w:t>
            </w:r>
            <w:r>
              <w:rPr>
                <w:rFonts w:hint="eastAsia"/>
                <w:bCs/>
                <w:szCs w:val="21"/>
                <w:lang w:val="en-US" w:eastAsia="zh-CN"/>
              </w:rPr>
              <w:t>2</w:t>
            </w:r>
          </w:p>
        </w:tc>
        <w:tc>
          <w:tcPr>
            <w:tcW w:w="843" w:type="pct"/>
            <w:vAlign w:val="center"/>
          </w:tcPr>
          <w:p w14:paraId="718CDD8A">
            <w:pPr>
              <w:jc w:val="center"/>
              <w:rPr>
                <w:bCs/>
                <w:szCs w:val="21"/>
              </w:rPr>
            </w:pPr>
            <w:r>
              <w:rPr>
                <w:rFonts w:hint="eastAsia"/>
                <w:bCs/>
                <w:szCs w:val="21"/>
                <w:highlight w:val="none"/>
                <w:lang w:val="en-US" w:eastAsia="zh-CN"/>
              </w:rPr>
              <w:t>中国戏曲文化周补助02包</w:t>
            </w:r>
          </w:p>
        </w:tc>
        <w:tc>
          <w:tcPr>
            <w:tcW w:w="921" w:type="pct"/>
            <w:vAlign w:val="center"/>
          </w:tcPr>
          <w:p w14:paraId="6D5B236E">
            <w:pPr>
              <w:jc w:val="center"/>
              <w:rPr>
                <w:rFonts w:hint="default" w:eastAsia="宋体"/>
                <w:bCs/>
                <w:szCs w:val="21"/>
                <w:lang w:val="en-US" w:eastAsia="zh-CN"/>
              </w:rPr>
            </w:pPr>
            <w:r>
              <w:rPr>
                <w:rFonts w:hint="eastAsia"/>
                <w:bCs/>
                <w:szCs w:val="21"/>
                <w:lang w:val="en-US" w:eastAsia="zh-CN"/>
              </w:rPr>
              <w:t>270</w:t>
            </w:r>
          </w:p>
        </w:tc>
        <w:tc>
          <w:tcPr>
            <w:tcW w:w="540" w:type="pct"/>
            <w:vAlign w:val="center"/>
          </w:tcPr>
          <w:p w14:paraId="346BFBDD">
            <w:pPr>
              <w:jc w:val="center"/>
              <w:rPr>
                <w:rFonts w:hint="default" w:eastAsia="宋体"/>
                <w:bCs/>
                <w:szCs w:val="21"/>
                <w:lang w:val="en-US" w:eastAsia="zh-CN"/>
              </w:rPr>
            </w:pPr>
            <w:r>
              <w:rPr>
                <w:rFonts w:hint="eastAsia"/>
                <w:bCs/>
                <w:szCs w:val="21"/>
                <w:lang w:val="en-US" w:eastAsia="zh-CN"/>
              </w:rPr>
              <w:t>1</w:t>
            </w:r>
          </w:p>
        </w:tc>
        <w:tc>
          <w:tcPr>
            <w:tcW w:w="2314" w:type="pct"/>
            <w:vAlign w:val="center"/>
          </w:tcPr>
          <w:p w14:paraId="6FE1AE70">
            <w:pPr>
              <w:jc w:val="left"/>
              <w:rPr>
                <w:kern w:val="0"/>
                <w:szCs w:val="21"/>
              </w:rPr>
            </w:pPr>
            <w:r>
              <w:rPr>
                <w:rFonts w:hint="eastAsia"/>
                <w:kern w:val="0"/>
                <w:szCs w:val="21"/>
                <w:lang w:val="en-US" w:eastAsia="zh-CN"/>
              </w:rPr>
              <w:t>策划统筹第十届中国戏曲文化周总体方向性运营规划方案，为活动整体提供顶层定位、体系框架与运营方向指引；完成“园林实景演艺”板块全案落地执行，依托特色展园打造沉浸式戏曲文化生活体验场景；推进戏曲AI智能体成果落地，实现戏曲艺术数字化活态传承；同时完成对应场景营造、演出运营、互动执行、现场运维、安全保障及采购人要求的其他相关工作。</w:t>
            </w:r>
          </w:p>
        </w:tc>
      </w:tr>
    </w:tbl>
    <w:p w14:paraId="2A214589">
      <w:pPr>
        <w:spacing w:line="360" w:lineRule="auto"/>
        <w:ind w:firstLine="480" w:firstLineChars="200"/>
        <w:rPr>
          <w:sz w:val="24"/>
          <w:highlight w:val="yellow"/>
          <w:u w:val="single"/>
        </w:rPr>
      </w:pPr>
      <w:r>
        <w:rPr>
          <w:sz w:val="24"/>
          <w:highlight w:val="none"/>
        </w:rPr>
        <w:t>5.合同履行期限：</w:t>
      </w:r>
      <w:r>
        <w:rPr>
          <w:rFonts w:hint="eastAsia"/>
          <w:sz w:val="24"/>
          <w:highlight w:val="none"/>
          <w:lang w:val="en-US" w:eastAsia="zh-CN"/>
        </w:rPr>
        <w:t>自合同签订起至2026年10月31日（执行时间已甲方计划为准）</w:t>
      </w:r>
    </w:p>
    <w:p w14:paraId="0945A30C">
      <w:pPr>
        <w:spacing w:line="360" w:lineRule="auto"/>
        <w:ind w:firstLine="480" w:firstLineChars="200"/>
        <w:rPr>
          <w:sz w:val="24"/>
        </w:rPr>
      </w:pPr>
      <w:r>
        <w:rPr>
          <w:sz w:val="24"/>
        </w:rPr>
        <w:t xml:space="preserve">6.本项目是否接受联合体投标：□是 </w:t>
      </w:r>
      <w:r>
        <w:rPr>
          <w:rFonts w:hint="eastAsia" w:asciiTheme="minorEastAsia" w:hAnsiTheme="minorEastAsia" w:eastAsiaTheme="minorEastAsia" w:cstheme="minorEastAsia"/>
          <w:spacing w:val="8"/>
          <w:sz w:val="24"/>
        </w:rPr>
        <w:t>■</w:t>
      </w:r>
      <w:r>
        <w:rPr>
          <w:sz w:val="24"/>
        </w:rPr>
        <w:t>否。</w:t>
      </w:r>
    </w:p>
    <w:p w14:paraId="1FDC444B">
      <w:pPr>
        <w:pStyle w:val="2"/>
        <w:spacing w:before="0" w:line="360" w:lineRule="auto"/>
        <w:jc w:val="left"/>
        <w:rPr>
          <w:rFonts w:ascii="Times New Roman" w:hAnsi="Times New Roman" w:eastAsia="宋体"/>
          <w:sz w:val="24"/>
          <w:szCs w:val="24"/>
        </w:rPr>
      </w:pPr>
      <w:bookmarkStart w:id="6" w:name="_Toc28359003"/>
      <w:bookmarkStart w:id="7" w:name="_Toc28359080"/>
      <w:bookmarkStart w:id="8" w:name="_Toc35393791"/>
      <w:bookmarkStart w:id="9" w:name="_Toc35393622"/>
      <w:r>
        <w:rPr>
          <w:rFonts w:ascii="Times New Roman" w:hAnsi="Times New Roman" w:eastAsia="宋体"/>
          <w:sz w:val="24"/>
          <w:szCs w:val="24"/>
        </w:rPr>
        <w:t>二、申请人的资格要求（须同时满足）</w:t>
      </w:r>
      <w:bookmarkEnd w:id="6"/>
      <w:bookmarkEnd w:id="7"/>
      <w:bookmarkEnd w:id="8"/>
      <w:bookmarkEnd w:id="9"/>
    </w:p>
    <w:p w14:paraId="5F72DA45">
      <w:pPr>
        <w:spacing w:line="360" w:lineRule="auto"/>
        <w:ind w:firstLine="480" w:firstLineChars="200"/>
        <w:rPr>
          <w:sz w:val="24"/>
        </w:rPr>
      </w:pPr>
      <w:r>
        <w:rPr>
          <w:sz w:val="24"/>
        </w:rPr>
        <w:t>1.满足《中华人民共和国政府采购法》第二十二条规定；</w:t>
      </w:r>
    </w:p>
    <w:p w14:paraId="6528587B">
      <w:pPr>
        <w:spacing w:line="360" w:lineRule="auto"/>
        <w:ind w:firstLine="480" w:firstLineChars="200"/>
        <w:rPr>
          <w:sz w:val="24"/>
        </w:rPr>
      </w:pPr>
      <w:bookmarkStart w:id="10" w:name="_Toc28359004"/>
      <w:bookmarkStart w:id="11" w:name="_Toc28359081"/>
      <w:r>
        <w:rPr>
          <w:sz w:val="24"/>
        </w:rPr>
        <w:t>2.落实政府采购政策需满足的资格要求：</w:t>
      </w:r>
    </w:p>
    <w:p w14:paraId="0783D79E">
      <w:pPr>
        <w:spacing w:line="360" w:lineRule="auto"/>
        <w:ind w:firstLine="480" w:firstLineChars="200"/>
        <w:rPr>
          <w:sz w:val="24"/>
        </w:rPr>
      </w:pPr>
      <w:r>
        <w:rPr>
          <w:sz w:val="24"/>
        </w:rPr>
        <w:t>2.1 中小企业政策</w:t>
      </w:r>
    </w:p>
    <w:p w14:paraId="336DA419">
      <w:pPr>
        <w:spacing w:line="360" w:lineRule="auto"/>
        <w:ind w:firstLine="480" w:firstLineChars="200"/>
        <w:rPr>
          <w:sz w:val="24"/>
        </w:rPr>
      </w:pPr>
      <w:r>
        <w:rPr>
          <w:sz w:val="24"/>
        </w:rPr>
        <w:t>□本项目不专门面向中小企业预留采购份额。</w:t>
      </w:r>
    </w:p>
    <w:p w14:paraId="60547566">
      <w:pPr>
        <w:spacing w:line="360" w:lineRule="auto"/>
        <w:ind w:firstLine="512" w:firstLineChars="200"/>
        <w:rPr>
          <w:sz w:val="24"/>
        </w:rPr>
      </w:pPr>
      <w:r>
        <w:rPr>
          <w:rFonts w:hint="eastAsia" w:asciiTheme="minorEastAsia" w:hAnsiTheme="minorEastAsia" w:eastAsiaTheme="minorEastAsia" w:cstheme="minorEastAsia"/>
          <w:spacing w:val="8"/>
          <w:sz w:val="24"/>
        </w:rPr>
        <w:t>■</w:t>
      </w:r>
      <w:r>
        <w:rPr>
          <w:sz w:val="24"/>
        </w:rPr>
        <w:t xml:space="preserve">本项目专门面向  </w:t>
      </w:r>
      <w:r>
        <w:rPr>
          <w:rFonts w:hint="eastAsia" w:asciiTheme="minorEastAsia" w:hAnsiTheme="minorEastAsia" w:eastAsiaTheme="minorEastAsia" w:cstheme="minorEastAsia"/>
          <w:spacing w:val="8"/>
          <w:sz w:val="24"/>
        </w:rPr>
        <w:t>■</w:t>
      </w:r>
      <w:r>
        <w:rPr>
          <w:sz w:val="24"/>
        </w:rPr>
        <w:t>中小</w:t>
      </w:r>
      <w:r>
        <w:rPr>
          <w:rFonts w:hint="eastAsia" w:asciiTheme="minorEastAsia" w:hAnsiTheme="minorEastAsia" w:eastAsiaTheme="minorEastAsia" w:cstheme="minorEastAsia"/>
          <w:spacing w:val="8"/>
          <w:sz w:val="24"/>
        </w:rPr>
        <w:t>■</w:t>
      </w:r>
      <w:r>
        <w:rPr>
          <w:sz w:val="24"/>
        </w:rPr>
        <w:t>小微企业  采购。即：提供的货物全部由符合政策要求的中小/小微企业制造、服务全部由符合政策要求的中小/小微企业承接。</w:t>
      </w:r>
    </w:p>
    <w:p w14:paraId="3D79E897">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w:t>
      </w:r>
      <w:r>
        <w:rPr>
          <w:sz w:val="24"/>
        </w:rPr>
        <w:t>。</w:t>
      </w:r>
    </w:p>
    <w:p w14:paraId="3F4535ED">
      <w:pPr>
        <w:spacing w:line="360" w:lineRule="auto"/>
        <w:ind w:firstLine="480" w:firstLineChars="200"/>
        <w:rPr>
          <w:sz w:val="24"/>
        </w:rPr>
      </w:pPr>
      <w:r>
        <w:rPr>
          <w:sz w:val="24"/>
        </w:rPr>
        <w:t>2.2 其它落实政府采购政策的资格要求（如有）：</w:t>
      </w:r>
      <w:r>
        <w:rPr>
          <w:rFonts w:hint="eastAsia"/>
          <w:sz w:val="24"/>
        </w:rPr>
        <w:t>/</w:t>
      </w:r>
      <w:r>
        <w:rPr>
          <w:sz w:val="24"/>
        </w:rPr>
        <w:t>。</w:t>
      </w:r>
    </w:p>
    <w:p w14:paraId="08E98F94">
      <w:pPr>
        <w:spacing w:line="360" w:lineRule="auto"/>
        <w:ind w:firstLine="480" w:firstLineChars="200"/>
        <w:rPr>
          <w:i/>
          <w:iCs/>
          <w:sz w:val="24"/>
          <w:u w:val="single"/>
        </w:rPr>
      </w:pPr>
      <w:r>
        <w:rPr>
          <w:sz w:val="24"/>
        </w:rPr>
        <w:t>3.本项目的特定</w:t>
      </w:r>
      <w:r>
        <w:rPr>
          <w:sz w:val="24"/>
          <w:highlight w:val="none"/>
        </w:rPr>
        <w:t>资格要求：</w:t>
      </w:r>
      <w:r>
        <w:rPr>
          <w:rFonts w:hint="eastAsia" w:ascii="宋体" w:hAnsi="宋体" w:cs="宋体"/>
          <w:sz w:val="24"/>
          <w:highlight w:val="none"/>
          <w:lang w:val="en-US" w:eastAsia="zh-CN"/>
        </w:rPr>
        <w:t>/</w:t>
      </w:r>
      <w:r>
        <w:rPr>
          <w:rFonts w:hint="eastAsia" w:ascii="宋体" w:hAnsi="宋体" w:cs="宋体"/>
          <w:sz w:val="24"/>
          <w:highlight w:val="none"/>
        </w:rPr>
        <w:t>。</w:t>
      </w:r>
    </w:p>
    <w:p w14:paraId="7F16048A">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0EF10D46">
      <w:pPr>
        <w:tabs>
          <w:tab w:val="left" w:pos="900"/>
          <w:tab w:val="left" w:pos="1134"/>
          <w:tab w:val="left" w:pos="1589"/>
          <w:tab w:val="left" w:pos="5521"/>
        </w:tabs>
        <w:snapToGrid w:val="0"/>
        <w:spacing w:line="360" w:lineRule="auto"/>
        <w:ind w:left="991" w:leftChars="472" w:firstLine="2"/>
        <w:rPr>
          <w:sz w:val="24"/>
        </w:rPr>
      </w:pPr>
      <w:r>
        <w:rPr>
          <w:rFonts w:hint="eastAsia" w:asciiTheme="minorEastAsia" w:hAnsiTheme="minorEastAsia" w:eastAsiaTheme="minorEastAsia" w:cstheme="minorEastAsia"/>
          <w:spacing w:val="8"/>
          <w:sz w:val="24"/>
        </w:rPr>
        <w:t>■</w:t>
      </w:r>
      <w:r>
        <w:rPr>
          <w:sz w:val="24"/>
        </w:rPr>
        <w:t>否</w:t>
      </w:r>
    </w:p>
    <w:p w14:paraId="29F7D106">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221717CC">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p>
    <w:p w14:paraId="04299E34">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信用信息查询记录（供应商的信用记录应符合财库[2016]125号文规定。近三年被“信用中国”网站、“中国政府采购网”网站列入失信被执行人、重大税收违法案件当事人名单、政府采购严重违法失信行为记录名单的，不得参加本次项目的招标，供应商无需提供，由采购代理机构到国家规定网站查询打印）；</w:t>
      </w:r>
    </w:p>
    <w:p w14:paraId="5DDEE09E">
      <w:pPr>
        <w:tabs>
          <w:tab w:val="left" w:pos="900"/>
          <w:tab w:val="left" w:pos="1134"/>
          <w:tab w:val="left" w:pos="1589"/>
          <w:tab w:val="left" w:pos="5521"/>
        </w:tabs>
        <w:snapToGrid w:val="0"/>
        <w:spacing w:line="360" w:lineRule="auto"/>
        <w:ind w:firstLine="480" w:firstLineChars="200"/>
        <w:rPr>
          <w:i/>
          <w:iCs/>
          <w:sz w:val="24"/>
          <w:u w:val="single"/>
        </w:rPr>
      </w:pPr>
      <w:r>
        <w:rPr>
          <w:rFonts w:hint="eastAsia" w:ascii="宋体" w:hAnsi="宋体" w:cs="宋体"/>
          <w:sz w:val="24"/>
        </w:rPr>
        <w:t>（</w:t>
      </w:r>
      <w:r>
        <w:rPr>
          <w:rFonts w:hint="eastAsia" w:ascii="宋体" w:hAnsi="宋体" w:cs="宋体"/>
          <w:sz w:val="24"/>
          <w:lang w:val="en-US" w:eastAsia="zh-CN"/>
        </w:rPr>
        <w:t>2</w:t>
      </w:r>
      <w:r>
        <w:rPr>
          <w:rFonts w:hint="eastAsia" w:ascii="宋体" w:hAnsi="宋体" w:cs="宋体"/>
          <w:sz w:val="24"/>
        </w:rPr>
        <w:t>）单位负责人为同一人或者存在直接控股、管理关系的不同供应商，不得参加同一合同项下的政府采购活动。除单一来源采购项目外，为采购项目提供整体设计、规范编制或者项目管理、检测等服务的供应商，不得再参加该采购项目的其他采购活动。</w:t>
      </w:r>
    </w:p>
    <w:bookmarkEnd w:id="10"/>
    <w:bookmarkEnd w:id="11"/>
    <w:p w14:paraId="66049B47">
      <w:pPr>
        <w:pStyle w:val="2"/>
        <w:widowControl/>
        <w:spacing w:before="0" w:line="360" w:lineRule="auto"/>
        <w:jc w:val="left"/>
        <w:rPr>
          <w:rFonts w:ascii="Times New Roman" w:hAnsi="Times New Roman" w:eastAsia="宋体"/>
          <w:sz w:val="24"/>
          <w:szCs w:val="24"/>
        </w:rPr>
      </w:pPr>
      <w:bookmarkStart w:id="12" w:name="_Toc35393792"/>
      <w:bookmarkStart w:id="13" w:name="_Toc35393623"/>
      <w:r>
        <w:rPr>
          <w:rFonts w:ascii="Times New Roman" w:hAnsi="Times New Roman" w:eastAsia="宋体"/>
          <w:sz w:val="24"/>
          <w:szCs w:val="24"/>
        </w:rPr>
        <w:t>三、获取招标文件</w:t>
      </w:r>
      <w:bookmarkEnd w:id="12"/>
      <w:bookmarkEnd w:id="13"/>
    </w:p>
    <w:p w14:paraId="24253466">
      <w:pPr>
        <w:adjustRightInd w:val="0"/>
        <w:snapToGrid w:val="0"/>
        <w:spacing w:line="360" w:lineRule="auto"/>
        <w:ind w:firstLine="480" w:firstLineChars="200"/>
        <w:rPr>
          <w:sz w:val="24"/>
          <w:lang w:bidi="ar"/>
        </w:rPr>
      </w:pPr>
      <w:r>
        <w:rPr>
          <w:sz w:val="24"/>
          <w:lang w:bidi="ar"/>
        </w:rPr>
        <w:t>1.时间</w:t>
      </w:r>
      <w:r>
        <w:rPr>
          <w:sz w:val="24"/>
          <w:highlight w:val="none"/>
          <w:lang w:bidi="ar"/>
        </w:rPr>
        <w:t>：</w:t>
      </w:r>
      <w:r>
        <w:rPr>
          <w:rFonts w:hint="eastAsia" w:asciiTheme="minorEastAsia" w:hAnsiTheme="minorEastAsia" w:eastAsiaTheme="minorEastAsia" w:cstheme="minorEastAsia"/>
          <w:spacing w:val="-9"/>
          <w:sz w:val="24"/>
          <w:highlight w:val="none"/>
        </w:rPr>
        <w:t>2026年</w:t>
      </w:r>
      <w:r>
        <w:rPr>
          <w:rFonts w:hint="eastAsia" w:asciiTheme="minorEastAsia" w:hAnsiTheme="minorEastAsia" w:eastAsiaTheme="minorEastAsia" w:cstheme="minorEastAsia"/>
          <w:spacing w:val="-9"/>
          <w:sz w:val="24"/>
          <w:highlight w:val="none"/>
          <w:lang w:val="en-US" w:eastAsia="zh-CN"/>
        </w:rPr>
        <w:t>7</w:t>
      </w:r>
      <w:r>
        <w:rPr>
          <w:rFonts w:hint="eastAsia" w:asciiTheme="minorEastAsia" w:hAnsiTheme="minorEastAsia" w:eastAsiaTheme="minorEastAsia" w:cstheme="minorEastAsia"/>
          <w:spacing w:val="-9"/>
          <w:sz w:val="24"/>
          <w:highlight w:val="none"/>
        </w:rPr>
        <w:t>月</w:t>
      </w:r>
      <w:r>
        <w:rPr>
          <w:rFonts w:hint="eastAsia" w:asciiTheme="minorEastAsia" w:hAnsiTheme="minorEastAsia" w:eastAsiaTheme="minorEastAsia" w:cstheme="minorEastAsia"/>
          <w:spacing w:val="-9"/>
          <w:sz w:val="24"/>
          <w:highlight w:val="none"/>
          <w:lang w:val="en-US" w:eastAsia="zh-CN"/>
        </w:rPr>
        <w:t>27</w:t>
      </w:r>
      <w:r>
        <w:rPr>
          <w:rFonts w:hint="eastAsia" w:asciiTheme="minorEastAsia" w:hAnsiTheme="minorEastAsia" w:eastAsiaTheme="minorEastAsia" w:cstheme="minorEastAsia"/>
          <w:spacing w:val="-9"/>
          <w:sz w:val="24"/>
          <w:highlight w:val="none"/>
        </w:rPr>
        <w:t>日至2026年</w:t>
      </w:r>
      <w:r>
        <w:rPr>
          <w:rFonts w:hint="eastAsia" w:asciiTheme="minorEastAsia" w:hAnsiTheme="minorEastAsia" w:eastAsiaTheme="minorEastAsia" w:cstheme="minorEastAsia"/>
          <w:spacing w:val="-9"/>
          <w:sz w:val="24"/>
          <w:highlight w:val="none"/>
          <w:lang w:val="en-US" w:eastAsia="zh-CN"/>
        </w:rPr>
        <w:t>7</w:t>
      </w:r>
      <w:r>
        <w:rPr>
          <w:rFonts w:hint="eastAsia" w:asciiTheme="minorEastAsia" w:hAnsiTheme="minorEastAsia" w:eastAsiaTheme="minorEastAsia" w:cstheme="minorEastAsia"/>
          <w:spacing w:val="-9"/>
          <w:sz w:val="24"/>
          <w:highlight w:val="none"/>
        </w:rPr>
        <w:t>月</w:t>
      </w:r>
      <w:r>
        <w:rPr>
          <w:rFonts w:hint="eastAsia" w:asciiTheme="minorEastAsia" w:hAnsiTheme="minorEastAsia" w:eastAsiaTheme="minorEastAsia" w:cstheme="minorEastAsia"/>
          <w:spacing w:val="-9"/>
          <w:sz w:val="24"/>
          <w:highlight w:val="none"/>
          <w:lang w:val="en-US" w:eastAsia="zh-CN"/>
        </w:rPr>
        <w:t>31</w:t>
      </w:r>
      <w:r>
        <w:rPr>
          <w:rFonts w:hint="eastAsia" w:asciiTheme="minorEastAsia" w:hAnsiTheme="minorEastAsia" w:eastAsiaTheme="minorEastAsia" w:cstheme="minorEastAsia"/>
          <w:spacing w:val="-9"/>
          <w:sz w:val="24"/>
          <w:highlight w:val="none"/>
        </w:rPr>
        <w:t>日，</w:t>
      </w:r>
      <w:r>
        <w:rPr>
          <w:rFonts w:hint="eastAsia" w:asciiTheme="minorEastAsia" w:hAnsiTheme="minorEastAsia" w:eastAsiaTheme="minorEastAsia"/>
          <w:sz w:val="24"/>
          <w:highlight w:val="none"/>
        </w:rPr>
        <w:t>每天上</w:t>
      </w:r>
      <w:r>
        <w:rPr>
          <w:rFonts w:hint="eastAsia" w:asciiTheme="minorEastAsia" w:hAnsiTheme="minorEastAsia" w:eastAsiaTheme="minorEastAsia"/>
          <w:sz w:val="24"/>
        </w:rPr>
        <w:t>午9:00至12:00，下午12:00至17:00（北京时间，法定节假日除外）</w:t>
      </w:r>
      <w:r>
        <w:rPr>
          <w:sz w:val="24"/>
          <w:lang w:bidi="ar"/>
        </w:rPr>
        <w:t>。</w:t>
      </w:r>
    </w:p>
    <w:p w14:paraId="1603D53C">
      <w:pPr>
        <w:adjustRightInd w:val="0"/>
        <w:snapToGrid w:val="0"/>
        <w:spacing w:line="360" w:lineRule="auto"/>
        <w:ind w:firstLine="480" w:firstLineChars="200"/>
        <w:rPr>
          <w:sz w:val="24"/>
        </w:rPr>
      </w:pPr>
      <w:r>
        <w:rPr>
          <w:sz w:val="24"/>
          <w:lang w:bidi="ar"/>
        </w:rPr>
        <w:t>2.地点：北京市政府采购电子交易平台</w:t>
      </w:r>
    </w:p>
    <w:p w14:paraId="3D7C7DB6">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23A77426">
      <w:pPr>
        <w:widowControl/>
        <w:adjustRightInd w:val="0"/>
        <w:snapToGrid w:val="0"/>
        <w:spacing w:line="360" w:lineRule="auto"/>
        <w:ind w:firstLine="480" w:firstLineChars="200"/>
        <w:jc w:val="left"/>
        <w:rPr>
          <w:sz w:val="24"/>
        </w:rPr>
      </w:pPr>
      <w:r>
        <w:rPr>
          <w:sz w:val="24"/>
          <w:lang w:bidi="ar"/>
        </w:rPr>
        <w:t>4.售价：0元。</w:t>
      </w:r>
    </w:p>
    <w:p w14:paraId="538D0CB6">
      <w:pPr>
        <w:pStyle w:val="2"/>
        <w:widowControl/>
        <w:spacing w:before="0" w:line="360" w:lineRule="auto"/>
        <w:jc w:val="left"/>
        <w:rPr>
          <w:rFonts w:ascii="Times New Roman" w:hAnsi="Times New Roman" w:eastAsia="宋体"/>
          <w:sz w:val="24"/>
          <w:szCs w:val="24"/>
        </w:rPr>
      </w:pPr>
      <w:bookmarkStart w:id="14" w:name="_Toc28359082"/>
      <w:bookmarkStart w:id="15" w:name="_Toc28359005"/>
      <w:bookmarkStart w:id="16" w:name="_Toc35393624"/>
      <w:bookmarkStart w:id="17" w:name="_Toc35393793"/>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094ABC5B">
      <w:pPr>
        <w:spacing w:line="360" w:lineRule="auto"/>
        <w:ind w:firstLine="480" w:firstLineChars="200"/>
        <w:rPr>
          <w:bCs/>
          <w:sz w:val="24"/>
          <w:highlight w:val="yellow"/>
          <w:u w:val="single"/>
        </w:rPr>
      </w:pPr>
      <w:r>
        <w:rPr>
          <w:sz w:val="24"/>
          <w:highlight w:val="none"/>
          <w:lang w:bidi="ar"/>
        </w:rPr>
        <w:t>投标截止时间、开标时间：</w:t>
      </w:r>
      <w:r>
        <w:rPr>
          <w:rFonts w:hint="eastAsia" w:asciiTheme="minorEastAsia" w:hAnsiTheme="minorEastAsia" w:eastAsiaTheme="minorEastAsia" w:cstheme="minorEastAsia"/>
          <w:spacing w:val="-10"/>
          <w:sz w:val="24"/>
          <w:highlight w:val="none"/>
        </w:rPr>
        <w:t>2026年</w:t>
      </w:r>
      <w:r>
        <w:rPr>
          <w:rFonts w:hint="eastAsia" w:asciiTheme="minorEastAsia" w:hAnsiTheme="minorEastAsia" w:eastAsiaTheme="minorEastAsia" w:cstheme="minorEastAsia"/>
          <w:spacing w:val="-10"/>
          <w:sz w:val="24"/>
          <w:highlight w:val="none"/>
          <w:lang w:val="en-US" w:eastAsia="zh-CN"/>
        </w:rPr>
        <w:t>8</w:t>
      </w:r>
      <w:r>
        <w:rPr>
          <w:rFonts w:hint="eastAsia" w:asciiTheme="minorEastAsia" w:hAnsiTheme="minorEastAsia" w:eastAsiaTheme="minorEastAsia" w:cstheme="minorEastAsia"/>
          <w:spacing w:val="-10"/>
          <w:sz w:val="24"/>
          <w:highlight w:val="none"/>
        </w:rPr>
        <w:t>月</w:t>
      </w:r>
      <w:r>
        <w:rPr>
          <w:rFonts w:hint="eastAsia" w:asciiTheme="minorEastAsia" w:hAnsiTheme="minorEastAsia" w:eastAsiaTheme="minorEastAsia" w:cstheme="minorEastAsia"/>
          <w:spacing w:val="-10"/>
          <w:sz w:val="24"/>
          <w:highlight w:val="none"/>
          <w:lang w:val="en-US" w:eastAsia="zh-CN"/>
        </w:rPr>
        <w:t>17</w:t>
      </w:r>
      <w:r>
        <w:rPr>
          <w:rFonts w:hint="eastAsia" w:asciiTheme="minorEastAsia" w:hAnsiTheme="minorEastAsia" w:eastAsiaTheme="minorEastAsia" w:cstheme="minorEastAsia"/>
          <w:spacing w:val="-10"/>
          <w:sz w:val="24"/>
          <w:highlight w:val="none"/>
        </w:rPr>
        <w:t>日</w:t>
      </w:r>
      <w:r>
        <w:rPr>
          <w:rFonts w:hint="eastAsia" w:asciiTheme="minorEastAsia" w:hAnsiTheme="minorEastAsia" w:eastAsiaTheme="minorEastAsia" w:cstheme="minorEastAsia"/>
          <w:spacing w:val="-10"/>
          <w:sz w:val="24"/>
          <w:highlight w:val="none"/>
          <w:lang w:val="en-US" w:eastAsia="zh-CN"/>
        </w:rPr>
        <w:t>9</w:t>
      </w:r>
      <w:r>
        <w:rPr>
          <w:rFonts w:hint="eastAsia" w:asciiTheme="minorEastAsia" w:hAnsiTheme="minorEastAsia" w:eastAsiaTheme="minorEastAsia" w:cstheme="minorEastAsia"/>
          <w:spacing w:val="-10"/>
          <w:sz w:val="24"/>
          <w:highlight w:val="none"/>
        </w:rPr>
        <w:t>点</w:t>
      </w:r>
      <w:r>
        <w:rPr>
          <w:rFonts w:hint="eastAsia" w:asciiTheme="minorEastAsia" w:hAnsiTheme="minorEastAsia" w:eastAsiaTheme="minorEastAsia" w:cstheme="minorEastAsia"/>
          <w:spacing w:val="-10"/>
          <w:sz w:val="24"/>
          <w:highlight w:val="none"/>
          <w:lang w:val="en-US" w:eastAsia="zh-CN"/>
        </w:rPr>
        <w:t>00</w:t>
      </w:r>
      <w:r>
        <w:rPr>
          <w:rFonts w:hint="eastAsia" w:asciiTheme="minorEastAsia" w:hAnsiTheme="minorEastAsia" w:eastAsiaTheme="minorEastAsia" w:cstheme="minorEastAsia"/>
          <w:spacing w:val="-10"/>
          <w:sz w:val="24"/>
          <w:highlight w:val="none"/>
        </w:rPr>
        <w:t>分（北京时间）。</w:t>
      </w:r>
    </w:p>
    <w:p w14:paraId="52DC8977">
      <w:pPr>
        <w:spacing w:line="360" w:lineRule="auto"/>
        <w:ind w:firstLine="480" w:firstLineChars="200"/>
        <w:rPr>
          <w:bCs/>
          <w:sz w:val="24"/>
          <w:u w:val="single"/>
        </w:rPr>
      </w:pPr>
      <w:r>
        <w:rPr>
          <w:sz w:val="24"/>
          <w:lang w:bidi="ar"/>
        </w:rPr>
        <w:t>地点：北京市政府采购电子交易平台</w:t>
      </w:r>
      <w:r>
        <w:rPr>
          <w:sz w:val="24"/>
          <w:lang w:val="zh-TW" w:bidi="ar"/>
        </w:rPr>
        <w:t>。</w:t>
      </w:r>
    </w:p>
    <w:p w14:paraId="635E6ED6">
      <w:pPr>
        <w:pStyle w:val="2"/>
        <w:spacing w:before="0" w:line="360" w:lineRule="auto"/>
        <w:jc w:val="left"/>
        <w:rPr>
          <w:rFonts w:ascii="Times New Roman" w:hAnsi="Times New Roman" w:eastAsia="宋体"/>
          <w:sz w:val="24"/>
          <w:szCs w:val="24"/>
        </w:rPr>
      </w:pPr>
      <w:bookmarkStart w:id="18" w:name="_Toc35393794"/>
      <w:bookmarkStart w:id="19" w:name="_Toc28359084"/>
      <w:bookmarkStart w:id="20" w:name="_Toc28359007"/>
      <w:bookmarkStart w:id="21" w:name="_Toc35393625"/>
      <w:r>
        <w:rPr>
          <w:rFonts w:ascii="Times New Roman" w:hAnsi="Times New Roman" w:eastAsia="宋体"/>
          <w:sz w:val="24"/>
          <w:szCs w:val="24"/>
        </w:rPr>
        <w:t>五、公告期限</w:t>
      </w:r>
      <w:bookmarkEnd w:id="18"/>
      <w:bookmarkEnd w:id="19"/>
      <w:bookmarkEnd w:id="20"/>
      <w:bookmarkEnd w:id="21"/>
    </w:p>
    <w:p w14:paraId="73E398BD">
      <w:pPr>
        <w:spacing w:line="360" w:lineRule="auto"/>
        <w:ind w:firstLine="480" w:firstLineChars="200"/>
        <w:rPr>
          <w:kern w:val="0"/>
          <w:sz w:val="24"/>
        </w:rPr>
      </w:pPr>
      <w:r>
        <w:rPr>
          <w:kern w:val="0"/>
          <w:sz w:val="24"/>
        </w:rPr>
        <w:t>自本公告发布之日起5个工作日。</w:t>
      </w:r>
    </w:p>
    <w:p w14:paraId="3A8CA6A6">
      <w:pPr>
        <w:pStyle w:val="2"/>
        <w:spacing w:before="0" w:line="360" w:lineRule="auto"/>
        <w:jc w:val="left"/>
        <w:rPr>
          <w:rFonts w:ascii="Times New Roman" w:hAnsi="Times New Roman" w:eastAsia="宋体"/>
          <w:sz w:val="24"/>
          <w:szCs w:val="24"/>
        </w:rPr>
      </w:pPr>
      <w:bookmarkStart w:id="22" w:name="_Toc35393626"/>
      <w:bookmarkStart w:id="23" w:name="_Toc35393795"/>
      <w:r>
        <w:rPr>
          <w:rFonts w:ascii="Times New Roman" w:hAnsi="Times New Roman" w:eastAsia="宋体"/>
          <w:sz w:val="24"/>
          <w:szCs w:val="24"/>
        </w:rPr>
        <w:t>六、其他补充事宜</w:t>
      </w:r>
      <w:bookmarkEnd w:id="22"/>
      <w:bookmarkEnd w:id="23"/>
    </w:p>
    <w:p w14:paraId="5CB52B91">
      <w:pPr>
        <w:widowControl/>
        <w:kinsoku w:val="0"/>
        <w:autoSpaceDE w:val="0"/>
        <w:autoSpaceDN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pacing w:val="-1"/>
          <w:sz w:val="24"/>
        </w:rPr>
      </w:pPr>
      <w:r>
        <w:rPr>
          <w:sz w:val="24"/>
        </w:rPr>
        <w:t>1.本项目需要落实的政府采购政策：</w:t>
      </w:r>
      <w:r>
        <w:rPr>
          <w:rFonts w:hint="eastAsia" w:asciiTheme="minorEastAsia" w:hAnsiTheme="minorEastAsia" w:eastAsiaTheme="minorEastAsia"/>
          <w:sz w:val="24"/>
          <w:lang w:bidi="ar"/>
        </w:rPr>
        <w:t>本项目落实政府采购促进中小企业发展、政府采购促进残疾人就业、政府采购信用担保、节能产品、环境标志产品优先采购等政府采购政策</w:t>
      </w:r>
      <w:r>
        <w:rPr>
          <w:rFonts w:hint="eastAsia" w:asciiTheme="minorEastAsia" w:hAnsiTheme="minorEastAsia" w:eastAsiaTheme="minorEastAsia" w:cstheme="minorEastAsia"/>
          <w:spacing w:val="-1"/>
          <w:sz w:val="24"/>
        </w:rPr>
        <w:t xml:space="preserve"> 。       </w:t>
      </w:r>
    </w:p>
    <w:p w14:paraId="34C21D71">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176B856">
      <w:pPr>
        <w:adjustRightInd w:val="0"/>
        <w:snapToGrid w:val="0"/>
        <w:spacing w:line="360" w:lineRule="auto"/>
        <w:ind w:firstLine="480" w:firstLineChars="200"/>
        <w:rPr>
          <w:sz w:val="24"/>
          <w:lang w:bidi="ar"/>
        </w:rPr>
      </w:pPr>
      <w:r>
        <w:rPr>
          <w:sz w:val="24"/>
          <w:lang w:bidi="ar"/>
        </w:rPr>
        <w:t>CA数字证书服务热线 010-58511086</w:t>
      </w:r>
    </w:p>
    <w:p w14:paraId="34CAA3F6">
      <w:pPr>
        <w:adjustRightInd w:val="0"/>
        <w:snapToGrid w:val="0"/>
        <w:spacing w:line="360" w:lineRule="auto"/>
        <w:ind w:firstLine="480" w:firstLineChars="200"/>
        <w:rPr>
          <w:sz w:val="24"/>
        </w:rPr>
      </w:pPr>
      <w:r>
        <w:rPr>
          <w:sz w:val="24"/>
          <w:lang w:bidi="ar"/>
        </w:rPr>
        <w:t>电子营业执照服务热线 400-699-7000</w:t>
      </w:r>
    </w:p>
    <w:p w14:paraId="508E776F">
      <w:pPr>
        <w:adjustRightInd w:val="0"/>
        <w:snapToGrid w:val="0"/>
        <w:spacing w:line="360" w:lineRule="auto"/>
        <w:ind w:firstLine="480" w:firstLineChars="200"/>
        <w:rPr>
          <w:sz w:val="24"/>
        </w:rPr>
      </w:pPr>
      <w:r>
        <w:rPr>
          <w:sz w:val="24"/>
          <w:lang w:bidi="ar"/>
        </w:rPr>
        <w:t>技术支持服务热线</w:t>
      </w:r>
      <w:r>
        <w:rPr>
          <w:rFonts w:hint="eastAsia"/>
          <w:sz w:val="24"/>
          <w:lang w:bidi="ar"/>
        </w:rPr>
        <w:t xml:space="preserve"> </w:t>
      </w:r>
      <w:r>
        <w:rPr>
          <w:sz w:val="24"/>
          <w:lang w:bidi="ar"/>
        </w:rPr>
        <w:t>010-86483801</w:t>
      </w:r>
    </w:p>
    <w:p w14:paraId="01159058">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2B18279D">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6F6EE07F">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2F591064">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8E0E5B5">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24F16154">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9F1B411">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20397B73">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5097E612">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B1A9EEF">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C53C72A">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5D65E51F">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322FAC3B">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0AF75865">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588C78EC">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741DC749">
      <w:pPr>
        <w:spacing w:line="360" w:lineRule="auto"/>
        <w:ind w:firstLine="480" w:firstLineChars="200"/>
        <w:rPr>
          <w:sz w:val="24"/>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2ADD0F47">
      <w:pPr>
        <w:pStyle w:val="2"/>
        <w:spacing w:before="0" w:line="360" w:lineRule="auto"/>
        <w:jc w:val="left"/>
        <w:rPr>
          <w:rFonts w:ascii="Times New Roman" w:hAnsi="Times New Roman" w:eastAsia="宋体"/>
          <w:sz w:val="24"/>
          <w:szCs w:val="24"/>
        </w:rPr>
      </w:pPr>
      <w:bookmarkStart w:id="24" w:name="_Toc28359008"/>
      <w:bookmarkStart w:id="25" w:name="_Toc35393796"/>
      <w:bookmarkStart w:id="26" w:name="_Toc28359085"/>
      <w:bookmarkStart w:id="27" w:name="_Toc35393627"/>
      <w:r>
        <w:rPr>
          <w:rFonts w:ascii="Times New Roman" w:hAnsi="Times New Roman" w:eastAsia="宋体"/>
          <w:sz w:val="24"/>
          <w:szCs w:val="24"/>
        </w:rPr>
        <w:t>七、对本次招标提出询问，请按以下方式联系。</w:t>
      </w:r>
      <w:bookmarkEnd w:id="24"/>
      <w:bookmarkEnd w:id="25"/>
      <w:bookmarkEnd w:id="26"/>
      <w:bookmarkEnd w:id="27"/>
    </w:p>
    <w:p w14:paraId="5689DDA8">
      <w:pPr>
        <w:spacing w:line="360" w:lineRule="auto"/>
        <w:ind w:left="1080" w:leftChars="371" w:hanging="301" w:hangingChars="125"/>
        <w:jc w:val="left"/>
        <w:rPr>
          <w:b/>
          <w:sz w:val="24"/>
        </w:rPr>
      </w:pPr>
      <w:r>
        <w:rPr>
          <w:b/>
          <w:sz w:val="24"/>
        </w:rPr>
        <w:t>1.采购人信息</w:t>
      </w:r>
    </w:p>
    <w:p w14:paraId="5F5C5856">
      <w:pPr>
        <w:spacing w:line="360" w:lineRule="auto"/>
        <w:ind w:left="1079" w:leftChars="371" w:hanging="300" w:hangingChars="125"/>
        <w:jc w:val="left"/>
        <w:rPr>
          <w:sz w:val="24"/>
          <w:highlight w:val="none"/>
        </w:rPr>
      </w:pPr>
      <w:bookmarkStart w:id="28" w:name="_Toc28359009"/>
      <w:bookmarkStart w:id="29" w:name="_Toc28359086"/>
      <w:r>
        <w:rPr>
          <w:sz w:val="24"/>
          <w:highlight w:val="none"/>
        </w:rPr>
        <w:t>名    称：</w:t>
      </w:r>
      <w:r>
        <w:rPr>
          <w:rFonts w:hint="eastAsia"/>
          <w:sz w:val="24"/>
          <w:highlight w:val="none"/>
        </w:rPr>
        <w:t>北京市丰台区</w:t>
      </w:r>
      <w:r>
        <w:rPr>
          <w:rFonts w:hint="eastAsia"/>
          <w:sz w:val="24"/>
          <w:highlight w:val="none"/>
          <w:lang w:eastAsia="zh-CN"/>
        </w:rPr>
        <w:t>文化和旅游局</w:t>
      </w:r>
    </w:p>
    <w:p w14:paraId="1F38C321">
      <w:pPr>
        <w:spacing w:line="360" w:lineRule="auto"/>
        <w:ind w:left="1079" w:leftChars="371" w:hanging="300" w:hangingChars="125"/>
        <w:jc w:val="left"/>
        <w:rPr>
          <w:rFonts w:hint="default" w:eastAsia="宋体"/>
          <w:sz w:val="24"/>
          <w:highlight w:val="none"/>
          <w:lang w:val="en-US" w:eastAsia="zh-CN"/>
        </w:rPr>
      </w:pPr>
      <w:r>
        <w:rPr>
          <w:sz w:val="24"/>
          <w:highlight w:val="none"/>
        </w:rPr>
        <w:t>地    址：</w:t>
      </w:r>
      <w:r>
        <w:rPr>
          <w:rFonts w:hint="eastAsia"/>
          <w:sz w:val="24"/>
          <w:highlight w:val="none"/>
          <w:lang w:eastAsia="zh-CN"/>
        </w:rPr>
        <w:t>北京市丰台区南苑</w:t>
      </w:r>
      <w:r>
        <w:rPr>
          <w:rFonts w:hint="eastAsia"/>
          <w:sz w:val="24"/>
          <w:highlight w:val="none"/>
          <w:lang w:val="en-US" w:eastAsia="zh-CN"/>
        </w:rPr>
        <w:t>7号</w:t>
      </w:r>
    </w:p>
    <w:p w14:paraId="0F3705D8">
      <w:pPr>
        <w:spacing w:line="360" w:lineRule="auto"/>
        <w:ind w:left="1079" w:leftChars="371" w:hanging="300" w:hangingChars="125"/>
        <w:jc w:val="left"/>
        <w:rPr>
          <w:rFonts w:hint="default" w:eastAsia="宋体"/>
          <w:sz w:val="24"/>
          <w:highlight w:val="none"/>
          <w:lang w:val="en-US" w:eastAsia="zh-CN"/>
        </w:rPr>
      </w:pPr>
      <w:r>
        <w:rPr>
          <w:sz w:val="24"/>
          <w:highlight w:val="none"/>
        </w:rPr>
        <w:t>联系方式：</w:t>
      </w:r>
      <w:r>
        <w:rPr>
          <w:rFonts w:hint="eastAsia"/>
          <w:sz w:val="24"/>
          <w:highlight w:val="none"/>
          <w:lang w:val="en-US" w:eastAsia="zh-CN"/>
        </w:rPr>
        <w:t>牛老师010-87017242</w:t>
      </w:r>
    </w:p>
    <w:p w14:paraId="01EDA10C">
      <w:pPr>
        <w:spacing w:line="360" w:lineRule="auto"/>
        <w:ind w:left="1080" w:leftChars="371" w:hanging="301" w:hangingChars="125"/>
        <w:jc w:val="left"/>
        <w:rPr>
          <w:b/>
          <w:sz w:val="24"/>
        </w:rPr>
      </w:pPr>
      <w:r>
        <w:rPr>
          <w:b/>
          <w:sz w:val="24"/>
        </w:rPr>
        <w:t>2.采购代理机构信息</w:t>
      </w:r>
      <w:bookmarkEnd w:id="28"/>
      <w:bookmarkEnd w:id="29"/>
    </w:p>
    <w:p w14:paraId="1C348EEE">
      <w:pPr>
        <w:spacing w:line="360" w:lineRule="auto"/>
        <w:ind w:left="1079" w:leftChars="371" w:hanging="300" w:hangingChars="125"/>
        <w:jc w:val="left"/>
        <w:rPr>
          <w:bCs/>
          <w:sz w:val="24"/>
        </w:rPr>
      </w:pPr>
      <w:bookmarkStart w:id="30" w:name="_Toc28359087"/>
      <w:bookmarkStart w:id="31" w:name="_Toc28359010"/>
      <w:r>
        <w:rPr>
          <w:rFonts w:hint="eastAsia"/>
          <w:bCs/>
          <w:sz w:val="24"/>
        </w:rPr>
        <w:t>名称：北京东方宏正工程管理有限公司</w:t>
      </w:r>
    </w:p>
    <w:p w14:paraId="410BFE50">
      <w:pPr>
        <w:spacing w:line="360" w:lineRule="auto"/>
        <w:ind w:left="1079" w:leftChars="371" w:hanging="300" w:hangingChars="125"/>
        <w:jc w:val="left"/>
        <w:rPr>
          <w:bCs/>
          <w:sz w:val="24"/>
        </w:rPr>
      </w:pPr>
      <w:r>
        <w:rPr>
          <w:rFonts w:hint="eastAsia"/>
          <w:bCs/>
          <w:sz w:val="24"/>
        </w:rPr>
        <w:t>地址：北京市丰台区汽车博物馆东路盈坤世纪G座902A</w:t>
      </w:r>
    </w:p>
    <w:p w14:paraId="37C0EADB">
      <w:pPr>
        <w:spacing w:line="360" w:lineRule="auto"/>
        <w:ind w:left="1079" w:leftChars="371" w:hanging="300" w:hangingChars="125"/>
        <w:jc w:val="left"/>
        <w:rPr>
          <w:bCs/>
          <w:sz w:val="24"/>
        </w:rPr>
      </w:pPr>
      <w:r>
        <w:rPr>
          <w:rFonts w:hint="eastAsia"/>
          <w:bCs/>
          <w:sz w:val="24"/>
        </w:rPr>
        <w:t>联系方式：010-63727291</w:t>
      </w:r>
    </w:p>
    <w:p w14:paraId="0C04DDA6">
      <w:pPr>
        <w:spacing w:line="360" w:lineRule="auto"/>
        <w:ind w:left="1080" w:leftChars="371" w:hanging="301" w:hangingChars="125"/>
        <w:jc w:val="left"/>
        <w:rPr>
          <w:b/>
          <w:sz w:val="24"/>
          <w:u w:val="single"/>
        </w:rPr>
      </w:pPr>
      <w:r>
        <w:rPr>
          <w:b/>
          <w:sz w:val="24"/>
        </w:rPr>
        <w:t>3.项目联系方式</w:t>
      </w:r>
      <w:bookmarkEnd w:id="30"/>
      <w:bookmarkEnd w:id="31"/>
    </w:p>
    <w:p w14:paraId="736032C2">
      <w:pPr>
        <w:spacing w:line="360" w:lineRule="auto"/>
        <w:ind w:firstLine="720" w:firstLineChars="300"/>
        <w:jc w:val="left"/>
        <w:rPr>
          <w:rFonts w:hint="eastAsia" w:asciiTheme="minorEastAsia" w:hAnsiTheme="minorEastAsia" w:eastAsiaTheme="minorEastAsia"/>
          <w:sz w:val="24"/>
        </w:rPr>
      </w:pPr>
      <w:r>
        <w:rPr>
          <w:rFonts w:asciiTheme="minorEastAsia" w:hAnsiTheme="minorEastAsia" w:eastAsiaTheme="minorEastAsia"/>
          <w:sz w:val="24"/>
        </w:rPr>
        <w:t>项目联系人：</w:t>
      </w:r>
      <w:r>
        <w:rPr>
          <w:rFonts w:hint="eastAsia" w:asciiTheme="minorEastAsia" w:hAnsiTheme="minorEastAsia" w:eastAsiaTheme="minorEastAsia"/>
          <w:sz w:val="24"/>
        </w:rPr>
        <w:t>陶韩、朱艾、王振洋、马阿曼、赵彦朝</w:t>
      </w:r>
    </w:p>
    <w:p w14:paraId="1D5AEA7B">
      <w:pPr>
        <w:pStyle w:val="3"/>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rPr>
        <w:t>电话：</w:t>
      </w:r>
      <w:bookmarkStart w:id="32" w:name="OLE_LINK1"/>
      <w:r>
        <w:rPr>
          <w:rFonts w:asciiTheme="minorEastAsia" w:hAnsiTheme="minorEastAsia" w:eastAsiaTheme="minorEastAsia"/>
          <w:sz w:val="24"/>
        </w:rPr>
        <w:t>010-63727291</w:t>
      </w:r>
      <w:bookmarkEnd w:id="32"/>
    </w:p>
    <w:p w14:paraId="5A2A4485">
      <w:r>
        <w:br w:type="page"/>
      </w:r>
    </w:p>
    <w:p w14:paraId="0CF6E44F">
      <w:pPr>
        <w:numPr>
          <w:ilvl w:val="0"/>
          <w:numId w:val="1"/>
        </w:numPr>
        <w:spacing w:line="360" w:lineRule="auto"/>
        <w:jc w:val="center"/>
        <w:outlineLvl w:val="0"/>
        <w:rPr>
          <w:b/>
          <w:sz w:val="36"/>
          <w:szCs w:val="36"/>
        </w:rPr>
      </w:pPr>
      <w:r>
        <w:rPr>
          <w:b/>
          <w:sz w:val="36"/>
          <w:szCs w:val="36"/>
        </w:rPr>
        <w:t xml:space="preserve">  采购需求</w:t>
      </w:r>
    </w:p>
    <w:p w14:paraId="4BF793FC">
      <w:pPr>
        <w:pStyle w:val="2"/>
        <w:keepNext w:val="0"/>
        <w:keepLines w:val="0"/>
        <w:pageBreakBefore w:val="0"/>
        <w:widowControl/>
        <w:numPr>
          <w:ilvl w:val="1"/>
          <w:numId w:val="0"/>
        </w:numPr>
        <w:kinsoku w:val="0"/>
        <w:wordWrap/>
        <w:overflowPunct/>
        <w:topLinePunct w:val="0"/>
        <w:autoSpaceDE w:val="0"/>
        <w:autoSpaceDN w:val="0"/>
        <w:bidi w:val="0"/>
        <w:adjustRightInd w:val="0"/>
        <w:snapToGrid w:val="0"/>
        <w:spacing w:before="120" w:beforeAutospacing="0" w:afterAutospacing="0" w:line="360" w:lineRule="auto"/>
        <w:ind w:leftChars="0"/>
        <w:jc w:val="left"/>
        <w:textAlignment w:val="baseline"/>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一、项目背景</w:t>
      </w:r>
    </w:p>
    <w:p w14:paraId="2F71DB97">
      <w:pPr>
        <w:keepNext w:val="0"/>
        <w:keepLines w:val="0"/>
        <w:pageBreakBefore w:val="0"/>
        <w:widowControl/>
        <w:kinsoku w:val="0"/>
        <w:wordWrap/>
        <w:overflowPunct/>
        <w:topLinePunct w:val="0"/>
        <w:autoSpaceDE w:val="0"/>
        <w:autoSpaceDN w:val="0"/>
        <w:bidi w:val="0"/>
        <w:adjustRightInd w:val="0"/>
        <w:snapToGrid w:val="0"/>
        <w:spacing w:before="120" w:line="360" w:lineRule="auto"/>
        <w:ind w:left="0" w:right="0" w:firstLine="468" w:firstLineChars="200"/>
        <w:jc w:val="left"/>
        <w:textAlignment w:val="baseline"/>
        <w:rPr>
          <w:rFonts w:hint="eastAsia" w:asciiTheme="minorEastAsia" w:hAnsiTheme="minorEastAsia" w:eastAsiaTheme="minorEastAsia" w:cstheme="minorEastAsia"/>
          <w:b w:val="0"/>
          <w:bCs w:val="0"/>
          <w:spacing w:val="-3"/>
          <w:sz w:val="24"/>
          <w:szCs w:val="24"/>
          <w:lang w:val="en-US" w:eastAsia="zh-CN"/>
        </w:rPr>
      </w:pPr>
      <w:r>
        <w:rPr>
          <w:rFonts w:hint="eastAsia" w:asciiTheme="minorEastAsia" w:hAnsiTheme="minorEastAsia" w:eastAsiaTheme="minorEastAsia" w:cstheme="minorEastAsia"/>
          <w:b w:val="0"/>
          <w:bCs w:val="0"/>
          <w:spacing w:val="-3"/>
          <w:sz w:val="24"/>
          <w:szCs w:val="24"/>
          <w:lang w:val="en-US" w:eastAsia="zh-CN"/>
        </w:rPr>
        <w:t>中国戏曲文化周是由文化和旅游部、北京市政府主办，北京市文旅局、丰台区委区政府等单位承办的国家级群众性戏曲文化活动。2026年恰逢十周年，本届活动以“中国梦·中华魂·戏曲情”为主题，于9月29日至10月5日在园博园举办主会场活动，同步在宛平城、京内专业剧场及国内外城市设置分会场。</w:t>
      </w:r>
    </w:p>
    <w:p w14:paraId="221C492D">
      <w:pPr>
        <w:keepNext w:val="0"/>
        <w:keepLines w:val="0"/>
        <w:pageBreakBefore w:val="0"/>
        <w:widowControl/>
        <w:kinsoku w:val="0"/>
        <w:wordWrap/>
        <w:overflowPunct/>
        <w:topLinePunct w:val="0"/>
        <w:autoSpaceDE w:val="0"/>
        <w:autoSpaceDN w:val="0"/>
        <w:bidi w:val="0"/>
        <w:adjustRightInd w:val="0"/>
        <w:snapToGrid w:val="0"/>
        <w:spacing w:before="120" w:line="360" w:lineRule="auto"/>
        <w:ind w:left="0" w:right="0" w:firstLine="468" w:firstLineChars="200"/>
        <w:jc w:val="left"/>
        <w:textAlignment w:val="baseline"/>
        <w:rPr>
          <w:rFonts w:hint="eastAsia" w:asciiTheme="minorEastAsia" w:hAnsiTheme="minorEastAsia" w:eastAsiaTheme="minorEastAsia" w:cstheme="minorEastAsia"/>
          <w:b w:val="0"/>
          <w:bCs w:val="0"/>
          <w:spacing w:val="-3"/>
          <w:sz w:val="24"/>
          <w:szCs w:val="24"/>
          <w:lang w:val="en-US" w:eastAsia="zh-CN"/>
        </w:rPr>
      </w:pPr>
      <w:r>
        <w:rPr>
          <w:rFonts w:hint="eastAsia" w:asciiTheme="minorEastAsia" w:hAnsiTheme="minorEastAsia" w:eastAsiaTheme="minorEastAsia" w:cstheme="minorEastAsia"/>
          <w:b w:val="0"/>
          <w:bCs w:val="0"/>
          <w:spacing w:val="-3"/>
          <w:sz w:val="24"/>
          <w:szCs w:val="24"/>
          <w:lang w:val="en-US" w:eastAsia="zh-CN"/>
        </w:rPr>
        <w:t>本项目核心工作包括：策划统筹第十届中国戏曲文化周总体方向性运营规划方案，为活动整体提供顶层定位、体系框架与运营方向指引；完成“园林实景演艺”板块全案落地执行，依托特色展园打造沉浸式戏曲文化生活体验场景；推进戏曲AI智能体成果落地，实现戏曲艺术数字化活态传承；同时完成对应场景营造、演出运营、互动执行、现场运维、</w:t>
      </w:r>
      <w:r>
        <w:rPr>
          <w:rFonts w:hint="eastAsia" w:asciiTheme="minorEastAsia" w:hAnsiTheme="minorEastAsia" w:eastAsiaTheme="minorEastAsia" w:cstheme="minorEastAsia"/>
          <w:b w:val="0"/>
          <w:bCs w:val="0"/>
          <w:spacing w:val="-3"/>
          <w:sz w:val="24"/>
          <w:szCs w:val="24"/>
          <w:highlight w:val="none"/>
          <w:lang w:val="en-US" w:eastAsia="zh-CN"/>
        </w:rPr>
        <w:t>安全保障</w:t>
      </w:r>
      <w:r>
        <w:rPr>
          <w:rFonts w:hint="eastAsia" w:asciiTheme="minorEastAsia" w:hAnsiTheme="minorEastAsia" w:eastAsiaTheme="minorEastAsia" w:cstheme="minorEastAsia"/>
          <w:b w:val="0"/>
          <w:bCs w:val="0"/>
          <w:spacing w:val="-3"/>
          <w:sz w:val="24"/>
          <w:szCs w:val="24"/>
          <w:lang w:val="en-US" w:eastAsia="zh-CN"/>
        </w:rPr>
        <w:t>及采购人要求的其他相关工作。</w:t>
      </w:r>
    </w:p>
    <w:p w14:paraId="79D0C3C3">
      <w:pPr>
        <w:pStyle w:val="6"/>
        <w:keepNext w:val="0"/>
        <w:keepLines w:val="0"/>
        <w:pageBreakBefore w:val="0"/>
        <w:numPr>
          <w:ilvl w:val="0"/>
          <w:numId w:val="0"/>
        </w:numPr>
        <w:wordWrap/>
        <w:overflowPunct/>
        <w:topLinePunct w:val="0"/>
        <w:bidi w:val="0"/>
        <w:spacing w:line="360" w:lineRule="auto"/>
        <w:ind w:leftChars="0"/>
        <w:contextualSpacing/>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商务要求</w:t>
      </w:r>
    </w:p>
    <w:p w14:paraId="55BEC28A">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i/>
          <w:sz w:val="24"/>
          <w:szCs w:val="24"/>
          <w:highlight w:val="none"/>
        </w:rPr>
      </w:pPr>
      <w:r>
        <w:rPr>
          <w:rFonts w:hint="eastAsia" w:asciiTheme="minorEastAsia" w:hAnsiTheme="minorEastAsia" w:eastAsiaTheme="minorEastAsia" w:cstheme="minorEastAsia"/>
          <w:sz w:val="24"/>
          <w:szCs w:val="24"/>
          <w:highlight w:val="none"/>
        </w:rPr>
        <w:t>1. 交付（实施）的时间（期限）和地点（范围）</w:t>
      </w:r>
    </w:p>
    <w:p w14:paraId="322497F7">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）实施地点：北京市园博园及采购人指定地点</w:t>
      </w:r>
    </w:p>
    <w:p w14:paraId="6518D09E">
      <w:pPr>
        <w:keepNext w:val="0"/>
        <w:keepLines w:val="0"/>
        <w:pageBreakBefore w:val="0"/>
        <w:wordWrap/>
        <w:overflowPunct/>
        <w:topLinePunct w:val="0"/>
        <w:bidi w:val="0"/>
        <w:spacing w:line="360" w:lineRule="auto"/>
        <w:contextualSpacing/>
        <w:jc w:val="lef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b w:val="0"/>
          <w:bCs w:val="0"/>
          <w:spacing w:val="-3"/>
          <w:sz w:val="24"/>
          <w:szCs w:val="24"/>
          <w:lang w:val="en-US" w:eastAsia="zh-CN"/>
        </w:rPr>
        <w:t>第十届中国戏曲文化周举办时间：9月29号至10月5号</w:t>
      </w:r>
    </w:p>
    <w:p w14:paraId="526DB088">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）合同履行期限：</w:t>
      </w:r>
      <w:r>
        <w:rPr>
          <w:rFonts w:hint="eastAsia"/>
          <w:sz w:val="24"/>
          <w:highlight w:val="none"/>
          <w:lang w:val="en-US" w:eastAsia="zh-CN"/>
        </w:rPr>
        <w:t>自合同签订起至2026年10月31日（执行时间已甲方计划为准）</w:t>
      </w:r>
    </w:p>
    <w:p w14:paraId="2FF832DA">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b/>
          <w:bCs/>
          <w:spacing w:val="-3"/>
          <w:sz w:val="24"/>
          <w:szCs w:val="24"/>
          <w:highlight w:val="none"/>
          <w:lang w:val="en-US" w:eastAsia="zh-CN"/>
        </w:rPr>
      </w:pPr>
      <w:r>
        <w:rPr>
          <w:rFonts w:hint="eastAsia" w:asciiTheme="minorEastAsia" w:hAnsiTheme="minorEastAsia" w:eastAsiaTheme="minorEastAsia" w:cstheme="minorEastAsia"/>
          <w:b w:val="0"/>
          <w:bCs/>
          <w:i w:val="0"/>
          <w:iCs/>
          <w:sz w:val="24"/>
          <w:szCs w:val="24"/>
          <w:highlight w:val="none"/>
        </w:rPr>
        <w:t>2.付款方式：签订合同后</w:t>
      </w:r>
      <w:r>
        <w:rPr>
          <w:rFonts w:hint="eastAsia" w:asciiTheme="minorEastAsia" w:hAnsiTheme="minorEastAsia" w:eastAsiaTheme="minorEastAsia" w:cstheme="minorEastAsia"/>
          <w:b w:val="0"/>
          <w:bCs/>
          <w:i w:val="0"/>
          <w:iCs/>
          <w:sz w:val="24"/>
          <w:szCs w:val="24"/>
          <w:highlight w:val="none"/>
          <w:lang w:val="en-US" w:eastAsia="zh-CN"/>
        </w:rPr>
        <w:t>30</w:t>
      </w:r>
      <w:r>
        <w:rPr>
          <w:rFonts w:hint="eastAsia" w:asciiTheme="minorEastAsia" w:hAnsiTheme="minorEastAsia" w:eastAsiaTheme="minorEastAsia" w:cstheme="minorEastAsia"/>
          <w:b w:val="0"/>
          <w:bCs/>
          <w:i w:val="0"/>
          <w:iCs/>
          <w:sz w:val="24"/>
          <w:szCs w:val="24"/>
          <w:highlight w:val="none"/>
          <w:lang w:eastAsia="zh-CN"/>
        </w:rPr>
        <w:t>工作日</w:t>
      </w:r>
      <w:r>
        <w:rPr>
          <w:rFonts w:hint="eastAsia" w:asciiTheme="minorEastAsia" w:hAnsiTheme="minorEastAsia" w:eastAsiaTheme="minorEastAsia" w:cstheme="minorEastAsia"/>
          <w:b w:val="0"/>
          <w:bCs/>
          <w:i w:val="0"/>
          <w:iCs/>
          <w:sz w:val="24"/>
          <w:szCs w:val="24"/>
          <w:highlight w:val="none"/>
        </w:rPr>
        <w:t>内，甲方支付乙方项目费用总额的</w:t>
      </w:r>
      <w:r>
        <w:rPr>
          <w:rFonts w:hint="eastAsia" w:asciiTheme="minorEastAsia" w:hAnsiTheme="minorEastAsia" w:eastAsiaTheme="minorEastAsia" w:cstheme="minorEastAsia"/>
          <w:b w:val="0"/>
          <w:bCs/>
          <w:i w:val="0"/>
          <w:iCs/>
          <w:sz w:val="24"/>
          <w:szCs w:val="24"/>
          <w:highlight w:val="none"/>
          <w:lang w:val="en-US" w:eastAsia="zh-CN"/>
        </w:rPr>
        <w:t>6</w:t>
      </w:r>
      <w:r>
        <w:rPr>
          <w:rFonts w:hint="eastAsia" w:asciiTheme="minorEastAsia" w:hAnsiTheme="minorEastAsia" w:eastAsiaTheme="minorEastAsia" w:cstheme="minorEastAsia"/>
          <w:b w:val="0"/>
          <w:bCs/>
          <w:i w:val="0"/>
          <w:iCs/>
          <w:sz w:val="24"/>
          <w:szCs w:val="24"/>
          <w:highlight w:val="none"/>
        </w:rPr>
        <w:t>0%；2026年</w:t>
      </w:r>
      <w:r>
        <w:rPr>
          <w:rFonts w:hint="eastAsia" w:asciiTheme="minorEastAsia" w:hAnsiTheme="minorEastAsia" w:eastAsiaTheme="minorEastAsia" w:cstheme="minorEastAsia"/>
          <w:b w:val="0"/>
          <w:bCs/>
          <w:i w:val="0"/>
          <w:iCs/>
          <w:sz w:val="24"/>
          <w:szCs w:val="24"/>
          <w:highlight w:val="none"/>
          <w:lang w:val="en-US" w:eastAsia="zh-CN"/>
        </w:rPr>
        <w:t>9</w:t>
      </w:r>
      <w:r>
        <w:rPr>
          <w:rFonts w:hint="eastAsia" w:asciiTheme="minorEastAsia" w:hAnsiTheme="minorEastAsia" w:eastAsiaTheme="minorEastAsia" w:cstheme="minorEastAsia"/>
          <w:b w:val="0"/>
          <w:bCs/>
          <w:i w:val="0"/>
          <w:iCs/>
          <w:sz w:val="24"/>
          <w:szCs w:val="24"/>
          <w:highlight w:val="none"/>
        </w:rPr>
        <w:t>月</w:t>
      </w:r>
      <w:r>
        <w:rPr>
          <w:rFonts w:hint="eastAsia" w:asciiTheme="minorEastAsia" w:hAnsiTheme="minorEastAsia" w:eastAsiaTheme="minorEastAsia" w:cstheme="minorEastAsia"/>
          <w:b w:val="0"/>
          <w:bCs/>
          <w:i w:val="0"/>
          <w:iCs/>
          <w:sz w:val="24"/>
          <w:szCs w:val="24"/>
          <w:highlight w:val="none"/>
          <w:lang w:val="en-US" w:eastAsia="zh-CN"/>
        </w:rPr>
        <w:t>30</w:t>
      </w:r>
      <w:r>
        <w:rPr>
          <w:rFonts w:hint="eastAsia" w:asciiTheme="minorEastAsia" w:hAnsiTheme="minorEastAsia" w:eastAsiaTheme="minorEastAsia" w:cstheme="minorEastAsia"/>
          <w:b w:val="0"/>
          <w:bCs/>
          <w:i w:val="0"/>
          <w:iCs/>
          <w:sz w:val="24"/>
          <w:szCs w:val="24"/>
          <w:highlight w:val="none"/>
        </w:rPr>
        <w:t>日前，甲方支付乙方项目费用总额的</w:t>
      </w:r>
      <w:r>
        <w:rPr>
          <w:rFonts w:hint="eastAsia" w:asciiTheme="minorEastAsia" w:hAnsiTheme="minorEastAsia" w:eastAsiaTheme="minorEastAsia" w:cstheme="minorEastAsia"/>
          <w:b w:val="0"/>
          <w:bCs/>
          <w:i w:val="0"/>
          <w:iCs/>
          <w:sz w:val="24"/>
          <w:szCs w:val="24"/>
          <w:highlight w:val="none"/>
          <w:lang w:val="en-US" w:eastAsia="zh-CN"/>
        </w:rPr>
        <w:t>3</w:t>
      </w:r>
      <w:r>
        <w:rPr>
          <w:rFonts w:hint="eastAsia" w:asciiTheme="minorEastAsia" w:hAnsiTheme="minorEastAsia" w:eastAsiaTheme="minorEastAsia" w:cstheme="minorEastAsia"/>
          <w:b w:val="0"/>
          <w:bCs/>
          <w:i w:val="0"/>
          <w:iCs/>
          <w:sz w:val="24"/>
          <w:szCs w:val="24"/>
          <w:highlight w:val="none"/>
        </w:rPr>
        <w:t>0%；乙方完全交付本合同约定项目且甲方验收合格后30个工作日内，甲方支付乙方项目剩余</w:t>
      </w:r>
      <w:r>
        <w:rPr>
          <w:rFonts w:hint="eastAsia" w:asciiTheme="minorEastAsia" w:hAnsiTheme="minorEastAsia" w:eastAsiaTheme="minorEastAsia" w:cstheme="minorEastAsia"/>
          <w:b w:val="0"/>
          <w:bCs/>
          <w:i w:val="0"/>
          <w:iCs/>
          <w:sz w:val="24"/>
          <w:szCs w:val="24"/>
          <w:highlight w:val="none"/>
          <w:lang w:val="en-US" w:eastAsia="zh-CN"/>
        </w:rPr>
        <w:t>1</w:t>
      </w:r>
      <w:r>
        <w:rPr>
          <w:rFonts w:hint="eastAsia" w:asciiTheme="minorEastAsia" w:hAnsiTheme="minorEastAsia" w:eastAsiaTheme="minorEastAsia" w:cstheme="minorEastAsia"/>
          <w:b w:val="0"/>
          <w:bCs/>
          <w:i w:val="0"/>
          <w:iCs/>
          <w:sz w:val="24"/>
          <w:szCs w:val="24"/>
          <w:highlight w:val="none"/>
        </w:rPr>
        <w:t>0%费用。</w:t>
      </w:r>
    </w:p>
    <w:p w14:paraId="035BBF6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outlineLvl w:val="1"/>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三、技术要求</w:t>
      </w:r>
    </w:p>
    <w:p w14:paraId="63643DA2">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0" w:line="360" w:lineRule="auto"/>
        <w:ind w:left="-400" w:leftChars="0" w:right="0" w:firstLine="400" w:firstLineChars="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5"/>
          <w:sz w:val="24"/>
          <w:szCs w:val="24"/>
        </w:rPr>
        <w:t>基本要求</w:t>
      </w:r>
    </w:p>
    <w:p w14:paraId="4B58E5F6">
      <w:pPr>
        <w:keepNext w:val="0"/>
        <w:keepLines w:val="0"/>
        <w:pageBreakBefore w:val="0"/>
        <w:widowControl/>
        <w:kinsoku w:val="0"/>
        <w:wordWrap/>
        <w:overflowPunct/>
        <w:topLinePunct w:val="0"/>
        <w:autoSpaceDE w:val="0"/>
        <w:autoSpaceDN w:val="0"/>
        <w:bidi w:val="0"/>
        <w:adjustRightInd w:val="0"/>
        <w:snapToGrid w:val="0"/>
        <w:spacing w:before="120" w:line="360" w:lineRule="auto"/>
        <w:ind w:left="0" w:right="0" w:firstLine="468" w:firstLineChars="200"/>
        <w:jc w:val="left"/>
        <w:textAlignment w:val="baseline"/>
        <w:rPr>
          <w:rFonts w:hint="eastAsia" w:asciiTheme="minorEastAsia" w:hAnsiTheme="minorEastAsia" w:eastAsiaTheme="minorEastAsia" w:cstheme="minorEastAsia"/>
          <w:b w:val="0"/>
          <w:bCs w:val="0"/>
          <w:spacing w:val="-3"/>
          <w:sz w:val="24"/>
          <w:szCs w:val="24"/>
        </w:rPr>
      </w:pPr>
      <w:r>
        <w:rPr>
          <w:rFonts w:hint="eastAsia" w:asciiTheme="minorEastAsia" w:hAnsiTheme="minorEastAsia" w:eastAsiaTheme="minorEastAsia" w:cstheme="minorEastAsia"/>
          <w:b w:val="0"/>
          <w:bCs w:val="0"/>
          <w:spacing w:val="-3"/>
          <w:sz w:val="24"/>
          <w:szCs w:val="24"/>
        </w:rPr>
        <w:t>本项目服务需紧扣第十届中国戏曲文化周整体定位，活动策划与内容设计需符合中华优秀传统文化传承发展要求，契合北京市及丰台区文旅发展重点工作方向，与戏曲周整体活动调性、视觉体系统一。</w:t>
      </w:r>
      <w:r>
        <w:rPr>
          <w:rFonts w:hint="eastAsia" w:asciiTheme="minorEastAsia" w:hAnsiTheme="minorEastAsia" w:eastAsiaTheme="minorEastAsia" w:cstheme="minorEastAsia"/>
          <w:b w:val="0"/>
          <w:bCs w:val="0"/>
          <w:spacing w:val="-3"/>
          <w:sz w:val="24"/>
          <w:szCs w:val="24"/>
          <w:lang w:val="en-US" w:eastAsia="zh-CN"/>
        </w:rPr>
        <w:t>同时，</w:t>
      </w:r>
      <w:r>
        <w:rPr>
          <w:rFonts w:hint="eastAsia" w:asciiTheme="minorEastAsia" w:hAnsiTheme="minorEastAsia" w:eastAsiaTheme="minorEastAsia" w:cstheme="minorEastAsia"/>
          <w:b w:val="0"/>
          <w:bCs w:val="0"/>
          <w:spacing w:val="-3"/>
          <w:sz w:val="24"/>
          <w:szCs w:val="24"/>
        </w:rPr>
        <w:t>项目需兼顾戏曲艺术专业性与大众参与性，实现“专业有高度、大众有共鸣、传播有热度”的实施效果，打造可</w:t>
      </w:r>
      <w:r>
        <w:rPr>
          <w:rFonts w:hint="eastAsia" w:asciiTheme="minorEastAsia" w:hAnsiTheme="minorEastAsia" w:eastAsiaTheme="minorEastAsia" w:cstheme="minorEastAsia"/>
          <w:b w:val="0"/>
          <w:bCs w:val="0"/>
          <w:spacing w:val="-3"/>
          <w:sz w:val="24"/>
          <w:szCs w:val="24"/>
          <w:lang w:val="en-US" w:eastAsia="zh-CN"/>
        </w:rPr>
        <w:t>长效运营</w:t>
      </w:r>
      <w:r>
        <w:rPr>
          <w:rFonts w:hint="eastAsia" w:asciiTheme="minorEastAsia" w:hAnsiTheme="minorEastAsia" w:eastAsiaTheme="minorEastAsia" w:cstheme="minorEastAsia"/>
          <w:b w:val="0"/>
          <w:bCs w:val="0"/>
          <w:spacing w:val="-3"/>
          <w:sz w:val="24"/>
          <w:szCs w:val="24"/>
        </w:rPr>
        <w:t>的戏曲文旅融合体验模式。项目实施全过程需严格遵循国家及地方关于营业性演出、大型群众性活动、安全生产、意识形态工作、文物与场地保护等相关</w:t>
      </w:r>
      <w:r>
        <w:rPr>
          <w:rFonts w:hint="eastAsia" w:asciiTheme="minorEastAsia" w:hAnsiTheme="minorEastAsia" w:eastAsiaTheme="minorEastAsia" w:cstheme="minorEastAsia"/>
          <w:b w:val="0"/>
          <w:bCs w:val="0"/>
          <w:spacing w:val="-3"/>
          <w:sz w:val="24"/>
          <w:szCs w:val="24"/>
          <w:lang w:eastAsia="zh-CN"/>
        </w:rPr>
        <w:t>国家标准与</w:t>
      </w:r>
      <w:r>
        <w:rPr>
          <w:rFonts w:hint="eastAsia" w:asciiTheme="minorEastAsia" w:hAnsiTheme="minorEastAsia" w:eastAsiaTheme="minorEastAsia" w:cstheme="minorEastAsia"/>
          <w:b w:val="0"/>
          <w:bCs w:val="0"/>
          <w:spacing w:val="-3"/>
          <w:sz w:val="24"/>
          <w:szCs w:val="24"/>
        </w:rPr>
        <w:t>行业规范，服从园博园场地管理方的各项管理规定。</w:t>
      </w:r>
    </w:p>
    <w:p w14:paraId="63A6CEB1">
      <w:pPr>
        <w:keepNext w:val="0"/>
        <w:keepLines w:val="0"/>
        <w:pageBreakBefore w:val="0"/>
        <w:widowControl/>
        <w:kinsoku w:val="0"/>
        <w:wordWrap/>
        <w:overflowPunct/>
        <w:topLinePunct w:val="0"/>
        <w:autoSpaceDE w:val="0"/>
        <w:autoSpaceDN w:val="0"/>
        <w:bidi w:val="0"/>
        <w:adjustRightInd w:val="0"/>
        <w:snapToGrid w:val="0"/>
        <w:spacing w:before="120" w:line="360" w:lineRule="auto"/>
        <w:ind w:left="0" w:right="0" w:firstLine="468" w:firstLineChars="200"/>
        <w:jc w:val="left"/>
        <w:textAlignment w:val="baseline"/>
        <w:rPr>
          <w:rFonts w:hint="eastAsia" w:asciiTheme="minorEastAsia" w:hAnsiTheme="minorEastAsia" w:eastAsiaTheme="minorEastAsia" w:cstheme="minorEastAsia"/>
          <w:b w:val="0"/>
          <w:bCs w:val="0"/>
          <w:spacing w:val="-3"/>
          <w:sz w:val="24"/>
          <w:szCs w:val="24"/>
        </w:rPr>
      </w:pPr>
    </w:p>
    <w:p w14:paraId="292F5B7C">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0" w:line="360" w:lineRule="auto"/>
        <w:ind w:left="-400" w:leftChars="0" w:right="0" w:rightChars="0" w:firstLine="400" w:firstLineChars="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4"/>
          <w:sz w:val="24"/>
          <w:szCs w:val="24"/>
        </w:rPr>
        <w:t>服务内容及要求</w:t>
      </w:r>
    </w:p>
    <w:p w14:paraId="1F5B6659">
      <w:pPr>
        <w:keepNext w:val="0"/>
        <w:keepLines w:val="0"/>
        <w:pageBreakBefore w:val="0"/>
        <w:widowControl/>
        <w:numPr>
          <w:ilvl w:val="0"/>
          <w:numId w:val="3"/>
        </w:numPr>
        <w:suppressLineNumbers w:val="0"/>
        <w:wordWrap/>
        <w:overflowPunct/>
        <w:topLinePunct w:val="0"/>
        <w:bidi w:val="0"/>
        <w:spacing w:line="360" w:lineRule="auto"/>
        <w:ind w:left="425" w:leftChars="0" w:hanging="425"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bCs/>
          <w:snapToGrid w:val="0"/>
          <w:color w:val="000000"/>
          <w:kern w:val="0"/>
          <w:sz w:val="24"/>
          <w:szCs w:val="24"/>
          <w:lang w:val="en-US" w:eastAsia="zh-CN" w:bidi="ar"/>
        </w:rPr>
        <w:t>总体策划统筹服务</w:t>
      </w:r>
    </w:p>
    <w:p w14:paraId="6C0C0D8A">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负责编制第十届中国戏曲文化周整体方向性运营规划方案，完成活动顶层定位梳理、整体活动体系框架设计、核心板块内容方向指引、整体运营逻辑与实施路径规划，明确活动核心价值、目标客群与整体文化调性，形成完整的规划成果文件，为整体活动提供顶层方向指引与策划依据。</w:t>
      </w:r>
    </w:p>
    <w:p w14:paraId="327971B1">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统筹制定活动整体策划方向、内容调性标准与运营基本原则，针对各板块落地实施提供方向性策划建议，统一各板块的文化定位与风格要求，保障戏曲周整体活动体系完整、风格协同、定位统一。</w:t>
      </w:r>
    </w:p>
    <w:p w14:paraId="009FA720">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配合完成规划方案的报审、汇报与优化调整工作，根据反馈对方案方向与内容进行修订完善。</w:t>
      </w:r>
    </w:p>
    <w:p w14:paraId="6487E59E">
      <w:pPr>
        <w:keepNext w:val="0"/>
        <w:keepLines w:val="0"/>
        <w:pageBreakBefore w:val="0"/>
        <w:widowControl/>
        <w:numPr>
          <w:ilvl w:val="0"/>
          <w:numId w:val="3"/>
        </w:numPr>
        <w:suppressLineNumbers w:val="0"/>
        <w:wordWrap/>
        <w:overflowPunct/>
        <w:topLinePunct w:val="0"/>
        <w:bidi w:val="0"/>
        <w:spacing w:line="360" w:lineRule="auto"/>
        <w:ind w:left="425" w:leftChars="0" w:hanging="425" w:firstLineChars="0"/>
        <w:jc w:val="left"/>
        <w:rPr>
          <w:rFonts w:hint="eastAsia" w:asciiTheme="minorEastAsia" w:hAnsiTheme="minorEastAsia" w:eastAsiaTheme="minorEastAsia" w:cstheme="minorEastAsia"/>
          <w:b/>
          <w:bCs/>
          <w:snapToGrid w:val="0"/>
          <w:color w:val="000000"/>
          <w:kern w:val="0"/>
          <w:sz w:val="24"/>
          <w:szCs w:val="24"/>
          <w:lang w:val="en-US" w:eastAsia="zh-CN" w:bidi="ar"/>
        </w:rPr>
      </w:pPr>
      <w:r>
        <w:rPr>
          <w:rFonts w:hint="eastAsia" w:asciiTheme="minorEastAsia" w:hAnsiTheme="minorEastAsia" w:eastAsiaTheme="minorEastAsia" w:cstheme="minorEastAsia"/>
          <w:b/>
          <w:bCs/>
          <w:snapToGrid w:val="0"/>
          <w:color w:val="000000"/>
          <w:kern w:val="0"/>
          <w:sz w:val="24"/>
          <w:szCs w:val="24"/>
          <w:lang w:val="en-US" w:eastAsia="zh-CN" w:bidi="ar"/>
        </w:rPr>
        <w:t>“园林实景演艺”板块策划运营执行</w:t>
      </w:r>
    </w:p>
    <w:p w14:paraId="733195D9">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提供本板块全案承接服务，工作内容包括地方展园整体活动内容策划、体验动线设计、演出排期规划、业态布局规划、运营方案编制等。以闽园、江苏园以及北京园三个地方展园为核心，分别打造不同朝代文化主题的沉浸互动体验场景，场景内容包含不限于专业戏曲表演、特色民间表演、中国传统特色互动游戏、活动场景氛围搭建、NPC演员互动等体验方式，形成主题统一、特色鲜明、动线流畅的一体化体验体系，打造具有生活感的戏曲特色主题园林体验场景。</w:t>
      </w:r>
    </w:p>
    <w:p w14:paraId="5FBD5653">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负责活动中专业戏曲表演的统筹执行，根据不同展园的地方属性提出专业戏曲演出的剧目选择方向，如闽园对应闽剧表演，北京园对应京剧表演等，具体执行剧目内容以演出单位沟通后的实际安排为准。同时负责对专业戏曲剧目、民间特色表演内容的相关演出单位进行线上筛选、线下邀约，以及对活动演出时间进行排期。演出内容应适配园林场地空间条件，兼顾艺术专业性与大众观赏性，保障演出质量与场次完成率。</w:t>
      </w:r>
    </w:p>
    <w:p w14:paraId="69FE96A8">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负责活动中NPC沉浸式互动、非遗体验、主题游乐、消费业态等内容的设计与落地运营。NPC需具备完整角色设定与标准化互动话术，自然串联游览动线；非遗体验与互动项目配备专业运营人员，具体人员数量可由采购方根据活动提出要求，确保游客参与体验质量。同时市集业态统一管理，符合活动整体文化调性。</w:t>
      </w:r>
    </w:p>
    <w:p w14:paraId="0B50297D">
      <w:pPr>
        <w:keepNext w:val="0"/>
        <w:keepLines w:val="0"/>
        <w:pageBreakBefore w:val="0"/>
        <w:widowControl/>
        <w:numPr>
          <w:ilvl w:val="0"/>
          <w:numId w:val="0"/>
        </w:numPr>
        <w:suppressLineNumbers w:val="0"/>
        <w:wordWrap/>
        <w:overflowPunct/>
        <w:topLinePunct w:val="0"/>
        <w:bidi w:val="0"/>
        <w:spacing w:line="360" w:lineRule="auto"/>
        <w:ind w:left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p>
    <w:p w14:paraId="1110EA7E">
      <w:pPr>
        <w:keepNext w:val="0"/>
        <w:keepLines w:val="0"/>
        <w:pageBreakBefore w:val="0"/>
        <w:widowControl/>
        <w:numPr>
          <w:ilvl w:val="0"/>
          <w:numId w:val="0"/>
        </w:numPr>
        <w:suppressLineNumbers w:val="0"/>
        <w:wordWrap/>
        <w:overflowPunct/>
        <w:topLinePunct w:val="0"/>
        <w:bidi w:val="0"/>
        <w:spacing w:line="360" w:lineRule="auto"/>
        <w:ind w:left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p>
    <w:p w14:paraId="64F3E0A0">
      <w:pPr>
        <w:keepNext w:val="0"/>
        <w:keepLines w:val="0"/>
        <w:pageBreakBefore w:val="0"/>
        <w:widowControl/>
        <w:numPr>
          <w:ilvl w:val="0"/>
          <w:numId w:val="3"/>
        </w:numPr>
        <w:suppressLineNumbers w:val="0"/>
        <w:wordWrap/>
        <w:overflowPunct/>
        <w:topLinePunct w:val="0"/>
        <w:bidi w:val="0"/>
        <w:spacing w:line="360" w:lineRule="auto"/>
        <w:ind w:left="425" w:leftChars="0" w:hanging="425" w:firstLineChars="0"/>
        <w:jc w:val="left"/>
        <w:rPr>
          <w:rFonts w:hint="eastAsia" w:asciiTheme="minorEastAsia" w:hAnsiTheme="minorEastAsia" w:eastAsiaTheme="minorEastAsia" w:cstheme="minorEastAsia"/>
          <w:b/>
          <w:bCs/>
          <w:snapToGrid w:val="0"/>
          <w:color w:val="000000"/>
          <w:kern w:val="0"/>
          <w:sz w:val="24"/>
          <w:szCs w:val="24"/>
          <w:lang w:val="en-US" w:eastAsia="zh-CN" w:bidi="ar"/>
        </w:rPr>
      </w:pPr>
      <w:r>
        <w:rPr>
          <w:rFonts w:hint="eastAsia" w:asciiTheme="minorEastAsia" w:hAnsiTheme="minorEastAsia" w:eastAsiaTheme="minorEastAsia" w:cstheme="minorEastAsia"/>
          <w:b/>
          <w:bCs/>
          <w:snapToGrid w:val="0"/>
          <w:color w:val="000000"/>
          <w:kern w:val="0"/>
          <w:sz w:val="24"/>
          <w:szCs w:val="24"/>
          <w:lang w:val="en-US" w:eastAsia="zh-CN" w:bidi="ar"/>
        </w:rPr>
        <w:t>“戏曲AI智能体”成果转化与落地</w:t>
      </w:r>
    </w:p>
    <w:p w14:paraId="02303BB7">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依托中国戏曲学院丰富的戏曲资源背景，完成“戏曲AI智能体”适配本次活动的整体方案设计与统筹实施。实现对戏曲核心艺术资源的数字化处理与智能调用，形成以现代智能科技应用为载体的“戏曲AI智能体”，包括现场互动、动态展演、戏曲知识科普等一系列交互功能。在此基础上，推进数字化成果向文旅体验场景转化，统筹完成现场智能终端的部署，营造兼具科技感与文化氛围的数字戏曲体验空间，定向应用于第十届中国戏曲文化周的现场体验与配套传播具体功能模块、技术路径、终端类型、数量、部署方案及交互形式等，由采购人与供应商、中国戏曲学院根据活动实际需求、现场条件、预算安排及技术条件协商确定。</w:t>
      </w:r>
    </w:p>
    <w:p w14:paraId="272CCE43">
      <w:pPr>
        <w:keepNext w:val="0"/>
        <w:keepLines w:val="0"/>
        <w:pageBreakBefore w:val="0"/>
        <w:widowControl/>
        <w:numPr>
          <w:ilvl w:val="0"/>
          <w:numId w:val="0"/>
        </w:numPr>
        <w:suppressLineNumbers w:val="0"/>
        <w:wordWrap/>
        <w:overflowPunct/>
        <w:topLinePunct w:val="0"/>
        <w:bidi w:val="0"/>
        <w:spacing w:line="360" w:lineRule="auto"/>
        <w:ind w:left="720" w:leftChars="0" w:hanging="720" w:hangingChars="300"/>
        <w:jc w:val="left"/>
        <w:rPr>
          <w:rFonts w:hint="eastAsia" w:asciiTheme="minorEastAsia" w:hAnsiTheme="minorEastAsia" w:eastAsiaTheme="minorEastAsia" w:cstheme="minorEastAsia"/>
          <w:b/>
          <w:bCs/>
          <w:spacing w:val="-2"/>
          <w:sz w:val="24"/>
          <w:szCs w:val="24"/>
          <w:highlight w:val="yellow"/>
        </w:rPr>
      </w:pPr>
      <w:r>
        <w:rPr>
          <w:rFonts w:hint="eastAsia" w:asciiTheme="minorEastAsia" w:hAnsiTheme="minorEastAsia" w:eastAsiaTheme="minorEastAsia" w:cstheme="minorEastAsia"/>
          <w:b w:val="0"/>
          <w:bCs w:val="0"/>
          <w:snapToGrid w:val="0"/>
          <w:color w:val="000000"/>
          <w:kern w:val="0"/>
          <w:sz w:val="24"/>
          <w:szCs w:val="24"/>
          <w:lang w:val="en-US" w:eastAsia="zh-CN" w:bidi="ar"/>
        </w:rPr>
        <w:t>3.2  活动期间统筹配备专业技术运维团队驻场，负责日常调试、运行监测、故障排查与应急修复；同步安排体验引导人员，负责游客操作指引与秩序维护，全程保障体验质量与设备稳定运行。</w:t>
      </w:r>
      <w:r>
        <w:rPr>
          <w:rFonts w:hint="eastAsia" w:asciiTheme="minorEastAsia" w:hAnsiTheme="minorEastAsia" w:eastAsiaTheme="minorEastAsia" w:cstheme="minorEastAsia"/>
          <w:b w:val="0"/>
          <w:bCs w:val="0"/>
          <w:snapToGrid w:val="0"/>
          <w:color w:val="000000"/>
          <w:kern w:val="0"/>
          <w:sz w:val="24"/>
          <w:szCs w:val="24"/>
          <w:highlight w:val="none"/>
          <w:lang w:val="en-US" w:eastAsia="zh-CN" w:bidi="ar"/>
        </w:rPr>
        <w:t>具体人员数量及岗位配置根据实际需求协商调整。</w:t>
      </w:r>
    </w:p>
    <w:p w14:paraId="21D985A2">
      <w:pPr>
        <w:keepNext w:val="0"/>
        <w:keepLines w:val="0"/>
        <w:pageBreakBefore w:val="0"/>
        <w:widowControl/>
        <w:numPr>
          <w:ilvl w:val="0"/>
          <w:numId w:val="3"/>
        </w:numPr>
        <w:suppressLineNumbers w:val="0"/>
        <w:wordWrap/>
        <w:overflowPunct/>
        <w:topLinePunct w:val="0"/>
        <w:bidi w:val="0"/>
        <w:spacing w:line="360" w:lineRule="auto"/>
        <w:ind w:left="425" w:leftChars="0" w:hanging="425"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rPr>
        <w:t>项目宣传要求</w:t>
      </w:r>
    </w:p>
    <w:p w14:paraId="6673E14A">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napToGrid w:val="0"/>
          <w:color w:val="000000"/>
          <w:kern w:val="0"/>
          <w:sz w:val="24"/>
          <w:szCs w:val="24"/>
          <w:lang w:val="en-US" w:eastAsia="zh-CN" w:bidi="ar"/>
        </w:rPr>
        <w:t>需配合戏曲周整体宣传推广节奏，提供本板块的宣传亮点、内容素材、采访配合等支持，配合官方媒体、直播拍摄等宣传工作。</w:t>
      </w:r>
    </w:p>
    <w:p w14:paraId="33DB3E4F">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napToGrid w:val="0"/>
          <w:color w:val="000000"/>
          <w:kern w:val="0"/>
          <w:sz w:val="24"/>
          <w:szCs w:val="24"/>
          <w:lang w:val="en-US" w:eastAsia="zh-CN" w:bidi="ar"/>
        </w:rPr>
        <w:t>负责本板块现场影像素材的拍摄记录，按要求提供优质图片、视频素材，适配官方传播矩阵使用。</w:t>
      </w:r>
    </w:p>
    <w:p w14:paraId="6AC60C86">
      <w:pPr>
        <w:keepNext w:val="0"/>
        <w:keepLines w:val="0"/>
        <w:pageBreakBefore w:val="0"/>
        <w:widowControl/>
        <w:numPr>
          <w:ilvl w:val="0"/>
          <w:numId w:val="3"/>
        </w:numPr>
        <w:suppressLineNumbers w:val="0"/>
        <w:wordWrap/>
        <w:overflowPunct/>
        <w:topLinePunct w:val="0"/>
        <w:bidi w:val="0"/>
        <w:spacing w:line="360" w:lineRule="auto"/>
        <w:ind w:left="425" w:leftChars="0" w:hanging="425" w:firstLineChars="0"/>
        <w:jc w:val="left"/>
        <w:rPr>
          <w:rFonts w:hint="eastAsia" w:asciiTheme="minorEastAsia" w:hAnsiTheme="minorEastAsia" w:eastAsiaTheme="minorEastAsia" w:cstheme="minorEastAsia"/>
          <w:b/>
          <w:bCs/>
          <w:spacing w:val="-2"/>
          <w:sz w:val="24"/>
          <w:szCs w:val="24"/>
        </w:rPr>
      </w:pPr>
      <w:r>
        <w:rPr>
          <w:rFonts w:hint="eastAsia" w:asciiTheme="minorEastAsia" w:hAnsiTheme="minorEastAsia" w:eastAsiaTheme="minorEastAsia" w:cstheme="minorEastAsia"/>
          <w:b/>
          <w:bCs/>
          <w:spacing w:val="-2"/>
          <w:sz w:val="24"/>
          <w:szCs w:val="24"/>
          <w:lang w:val="en-US" w:eastAsia="zh-CN"/>
        </w:rPr>
        <w:t>结项报告与成果归档</w:t>
      </w:r>
    </w:p>
    <w:p w14:paraId="31124E69">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napToGrid w:val="0"/>
          <w:color w:val="000000"/>
          <w:kern w:val="0"/>
          <w:sz w:val="24"/>
          <w:szCs w:val="24"/>
          <w:lang w:val="en-US" w:eastAsia="zh-CN" w:bidi="ar"/>
        </w:rPr>
      </w:pPr>
      <w:r>
        <w:rPr>
          <w:rFonts w:hint="eastAsia" w:asciiTheme="minorEastAsia" w:hAnsiTheme="minorEastAsia" w:eastAsiaTheme="minorEastAsia" w:cstheme="minorEastAsia"/>
          <w:b w:val="0"/>
          <w:bCs w:val="0"/>
          <w:snapToGrid w:val="0"/>
          <w:color w:val="000000"/>
          <w:kern w:val="0"/>
          <w:sz w:val="24"/>
          <w:szCs w:val="24"/>
          <w:lang w:val="en-US" w:eastAsia="zh-CN" w:bidi="ar"/>
        </w:rPr>
        <w:t>服务结束后按要求编制提交项目结项报告，全面梳理工作完成情况、运营数据、宣传成效、安全执行情况与项目亮点，满足履约验收及政务汇报要求。</w:t>
      </w:r>
    </w:p>
    <w:p w14:paraId="4017A79E">
      <w:pPr>
        <w:keepNext w:val="0"/>
        <w:keepLines w:val="0"/>
        <w:pageBreakBefore w:val="0"/>
        <w:widowControl/>
        <w:numPr>
          <w:ilvl w:val="1"/>
          <w:numId w:val="3"/>
        </w:numPr>
        <w:suppressLineNumbers w:val="0"/>
        <w:wordWrap/>
        <w:overflowPunct/>
        <w:topLinePunct w:val="0"/>
        <w:bidi w:val="0"/>
        <w:spacing w:line="360" w:lineRule="auto"/>
        <w:ind w:left="567" w:leftChars="0" w:hanging="567" w:firstLineChars="0"/>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napToGrid w:val="0"/>
          <w:color w:val="000000"/>
          <w:kern w:val="0"/>
          <w:sz w:val="24"/>
          <w:szCs w:val="24"/>
          <w:lang w:val="en-US" w:eastAsia="zh-CN" w:bidi="ar"/>
        </w:rPr>
        <w:t>同步整理交付项目成果资料，包括活动影像素材、宣传报道合集、相关工作记录等，分类归档后移交。</w:t>
      </w:r>
    </w:p>
    <w:p w14:paraId="20BF29CF">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0" w:line="360" w:lineRule="auto"/>
        <w:ind w:left="-400" w:leftChars="0" w:right="0" w:rightChars="0" w:firstLine="400" w:firstLineChars="0"/>
        <w:jc w:val="left"/>
        <w:textAlignment w:val="baseline"/>
        <w:rPr>
          <w:rFonts w:hint="eastAsia" w:asciiTheme="minorEastAsia" w:hAnsiTheme="minorEastAsia" w:eastAsiaTheme="minorEastAsia" w:cstheme="minorEastAsia"/>
          <w:b/>
          <w:bCs/>
          <w:spacing w:val="-4"/>
          <w:sz w:val="24"/>
          <w:szCs w:val="24"/>
        </w:rPr>
      </w:pPr>
      <w:r>
        <w:rPr>
          <w:rFonts w:hint="eastAsia" w:asciiTheme="minorEastAsia" w:hAnsiTheme="minorEastAsia" w:eastAsiaTheme="minorEastAsia" w:cstheme="minorEastAsia"/>
          <w:b/>
          <w:bCs/>
          <w:spacing w:val="-4"/>
          <w:sz w:val="24"/>
          <w:szCs w:val="24"/>
        </w:rPr>
        <w:t>履约验收</w:t>
      </w:r>
    </w:p>
    <w:p w14:paraId="03566CEB">
      <w:pPr>
        <w:keepNext w:val="0"/>
        <w:keepLines w:val="0"/>
        <w:pageBreakBefore w:val="0"/>
        <w:widowControl/>
        <w:suppressLineNumbers w:val="0"/>
        <w:wordWrap/>
        <w:overflowPunct/>
        <w:topLinePunct w:val="0"/>
        <w:bidi w:val="0"/>
        <w:spacing w:line="360" w:lineRule="auto"/>
        <w:ind w:firstLine="460" w:firstLineChars="200"/>
        <w:jc w:val="left"/>
        <w:rPr>
          <w:rFonts w:hint="eastAsia" w:asciiTheme="minorEastAsia" w:hAnsiTheme="minorEastAsia" w:eastAsiaTheme="minorEastAsia" w:cstheme="minorEastAsia"/>
          <w:b w:val="0"/>
          <w:bCs w:val="0"/>
          <w:spacing w:val="-5"/>
          <w:sz w:val="24"/>
          <w:szCs w:val="24"/>
        </w:rPr>
      </w:pPr>
      <w:r>
        <w:rPr>
          <w:rFonts w:hint="eastAsia" w:asciiTheme="minorEastAsia" w:hAnsiTheme="minorEastAsia" w:eastAsiaTheme="minorEastAsia" w:cstheme="minorEastAsia"/>
          <w:b w:val="0"/>
          <w:bCs w:val="0"/>
          <w:spacing w:val="-5"/>
          <w:sz w:val="24"/>
          <w:szCs w:val="24"/>
        </w:rPr>
        <w:t>在项目服务期完成前，依据活动的策划方案</w:t>
      </w:r>
      <w:r>
        <w:rPr>
          <w:rFonts w:hint="eastAsia" w:asciiTheme="minorEastAsia" w:hAnsiTheme="minorEastAsia" w:eastAsiaTheme="minorEastAsia" w:cstheme="minorEastAsia"/>
          <w:b w:val="0"/>
          <w:bCs w:val="0"/>
          <w:snapToGrid w:val="0"/>
          <w:color w:val="000000"/>
          <w:kern w:val="0"/>
          <w:sz w:val="24"/>
          <w:szCs w:val="24"/>
          <w:lang w:val="en-US" w:eastAsia="zh-CN" w:bidi="ar"/>
        </w:rPr>
        <w:t>、</w:t>
      </w:r>
      <w:r>
        <w:rPr>
          <w:rFonts w:hint="eastAsia" w:asciiTheme="minorEastAsia" w:hAnsiTheme="minorEastAsia" w:eastAsiaTheme="minorEastAsia" w:cstheme="minorEastAsia"/>
          <w:b w:val="0"/>
          <w:bCs w:val="0"/>
          <w:spacing w:val="-5"/>
          <w:sz w:val="24"/>
          <w:szCs w:val="24"/>
        </w:rPr>
        <w:t>宣传</w:t>
      </w:r>
      <w:r>
        <w:rPr>
          <w:rFonts w:hint="eastAsia" w:asciiTheme="minorEastAsia" w:hAnsiTheme="minorEastAsia" w:eastAsiaTheme="minorEastAsia" w:cstheme="minorEastAsia"/>
          <w:b w:val="0"/>
          <w:bCs w:val="0"/>
          <w:spacing w:val="-5"/>
          <w:sz w:val="24"/>
          <w:szCs w:val="24"/>
          <w:lang w:val="en-US" w:eastAsia="zh-CN"/>
        </w:rPr>
        <w:t>营销</w:t>
      </w:r>
      <w:r>
        <w:rPr>
          <w:rFonts w:hint="eastAsia" w:asciiTheme="minorEastAsia" w:hAnsiTheme="minorEastAsia" w:eastAsiaTheme="minorEastAsia" w:cstheme="minorEastAsia"/>
          <w:b w:val="0"/>
          <w:bCs w:val="0"/>
          <w:spacing w:val="-5"/>
          <w:sz w:val="24"/>
          <w:szCs w:val="24"/>
        </w:rPr>
        <w:t>方案</w:t>
      </w:r>
      <w:r>
        <w:rPr>
          <w:rFonts w:hint="eastAsia" w:asciiTheme="minorEastAsia" w:hAnsiTheme="minorEastAsia" w:eastAsiaTheme="minorEastAsia" w:cstheme="minorEastAsia"/>
          <w:b w:val="0"/>
          <w:bCs w:val="0"/>
          <w:spacing w:val="-5"/>
          <w:sz w:val="24"/>
          <w:szCs w:val="24"/>
          <w:lang w:eastAsia="zh-CN"/>
        </w:rPr>
        <w:t>、</w:t>
      </w:r>
      <w:r>
        <w:rPr>
          <w:rFonts w:hint="eastAsia" w:asciiTheme="minorEastAsia" w:hAnsiTheme="minorEastAsia" w:eastAsiaTheme="minorEastAsia" w:cstheme="minorEastAsia"/>
          <w:b w:val="0"/>
          <w:bCs w:val="0"/>
          <w:snapToGrid w:val="0"/>
          <w:color w:val="000000"/>
          <w:kern w:val="0"/>
          <w:sz w:val="24"/>
          <w:szCs w:val="24"/>
          <w:lang w:val="en-US" w:eastAsia="zh-CN" w:bidi="ar"/>
        </w:rPr>
        <w:t>现场执行记录</w:t>
      </w:r>
      <w:r>
        <w:rPr>
          <w:rFonts w:hint="eastAsia" w:asciiTheme="minorEastAsia" w:hAnsiTheme="minorEastAsia" w:eastAsiaTheme="minorEastAsia" w:cstheme="minorEastAsia"/>
          <w:b w:val="0"/>
          <w:bCs w:val="0"/>
          <w:spacing w:val="-5"/>
          <w:sz w:val="24"/>
          <w:szCs w:val="24"/>
        </w:rPr>
        <w:t>等材料</w:t>
      </w:r>
      <w:r>
        <w:rPr>
          <w:rFonts w:hint="eastAsia" w:asciiTheme="minorEastAsia" w:hAnsiTheme="minorEastAsia" w:eastAsiaTheme="minorEastAsia" w:cstheme="minorEastAsia"/>
          <w:b w:val="0"/>
          <w:bCs w:val="0"/>
          <w:spacing w:val="-5"/>
          <w:sz w:val="24"/>
          <w:szCs w:val="24"/>
          <w:lang w:eastAsia="zh-CN"/>
        </w:rPr>
        <w:t>进行</w:t>
      </w:r>
      <w:r>
        <w:rPr>
          <w:rFonts w:hint="eastAsia" w:asciiTheme="minorEastAsia" w:hAnsiTheme="minorEastAsia" w:eastAsiaTheme="minorEastAsia" w:cstheme="minorEastAsia"/>
          <w:b w:val="0"/>
          <w:bCs w:val="0"/>
          <w:spacing w:val="-5"/>
          <w:sz w:val="24"/>
          <w:szCs w:val="24"/>
        </w:rPr>
        <w:t>验收。</w:t>
      </w:r>
    </w:p>
    <w:p w14:paraId="15013685">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0" w:line="360" w:lineRule="auto"/>
        <w:ind w:left="-400" w:leftChars="0" w:right="0" w:rightChars="0" w:firstLine="400" w:firstLineChars="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5"/>
          <w:sz w:val="24"/>
          <w:szCs w:val="24"/>
        </w:rPr>
        <w:t>保密要求</w:t>
      </w:r>
    </w:p>
    <w:p w14:paraId="1E18C32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spacing w:val="-3"/>
          <w:sz w:val="24"/>
          <w:szCs w:val="24"/>
          <w:lang w:val="en-US" w:eastAsia="zh-CN"/>
        </w:rPr>
        <w:t>1.</w:t>
      </w:r>
      <w:r>
        <w:rPr>
          <w:rFonts w:hint="eastAsia" w:asciiTheme="minorEastAsia" w:hAnsiTheme="minorEastAsia" w:eastAsiaTheme="minorEastAsia" w:cstheme="minorEastAsia"/>
          <w:b w:val="0"/>
          <w:bCs w:val="0"/>
          <w:spacing w:val="-3"/>
          <w:sz w:val="24"/>
          <w:szCs w:val="24"/>
          <w:lang w:eastAsia="zh-CN"/>
        </w:rPr>
        <w:t>供应商应对各项服务内容以及一切相关资料、数据承担保密义务，妥善保管相关内容，未经采购人书面同意，不得向第三方泄露。供应商的保密义务为永久生效条款，不因合同终止而解除，否则有权追究供应商相应的法律责任。</w:t>
      </w:r>
    </w:p>
    <w:p w14:paraId="5CA2D36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outlineLvl w:val="1"/>
        <w:rPr>
          <w:rFonts w:hint="eastAsia" w:asciiTheme="minorEastAsia" w:hAnsiTheme="minorEastAsia" w:eastAsiaTheme="minorEastAsia" w:cstheme="minorEastAsia"/>
          <w:b w:val="0"/>
          <w:bCs w:val="0"/>
          <w:spacing w:val="-3"/>
          <w:sz w:val="24"/>
          <w:szCs w:val="24"/>
        </w:rPr>
      </w:pPr>
      <w:r>
        <w:rPr>
          <w:rFonts w:hint="eastAsia" w:asciiTheme="minorEastAsia" w:hAnsiTheme="minorEastAsia" w:eastAsiaTheme="minorEastAsia" w:cstheme="minorEastAsia"/>
          <w:b w:val="0"/>
          <w:bCs w:val="0"/>
          <w:spacing w:val="-3"/>
          <w:sz w:val="24"/>
          <w:szCs w:val="24"/>
          <w:lang w:val="en-US" w:eastAsia="zh-CN"/>
        </w:rPr>
        <w:t>2.</w:t>
      </w:r>
      <w:r>
        <w:rPr>
          <w:rFonts w:hint="eastAsia" w:asciiTheme="minorEastAsia" w:hAnsiTheme="minorEastAsia" w:eastAsiaTheme="minorEastAsia" w:cstheme="minorEastAsia"/>
          <w:b w:val="0"/>
          <w:bCs w:val="0"/>
          <w:spacing w:val="-3"/>
          <w:sz w:val="24"/>
          <w:szCs w:val="24"/>
        </w:rPr>
        <w:t>供应商参与该项目的全部人员均应签署保密协议书。</w:t>
      </w:r>
    </w:p>
    <w:p w14:paraId="013C5D8F">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20" w:line="360" w:lineRule="auto"/>
        <w:ind w:left="-400" w:leftChars="0" w:right="0" w:rightChars="0" w:firstLine="400" w:firstLineChars="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5"/>
          <w:sz w:val="24"/>
          <w:szCs w:val="24"/>
        </w:rPr>
        <w:t>团队要求</w:t>
      </w:r>
    </w:p>
    <w:p w14:paraId="0B93D5E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spacing w:val="-2"/>
          <w:sz w:val="24"/>
          <w:szCs w:val="24"/>
          <w:lang w:val="en-US" w:eastAsia="zh-CN"/>
        </w:rPr>
        <w:t>1.</w:t>
      </w:r>
      <w:r>
        <w:rPr>
          <w:rFonts w:hint="eastAsia" w:asciiTheme="minorEastAsia" w:hAnsiTheme="minorEastAsia" w:eastAsiaTheme="minorEastAsia" w:cstheme="minorEastAsia"/>
          <w:b w:val="0"/>
          <w:bCs w:val="0"/>
          <w:spacing w:val="-2"/>
          <w:sz w:val="24"/>
          <w:szCs w:val="24"/>
          <w:lang w:eastAsia="zh-CN"/>
        </w:rPr>
        <w:t>供应商应拥有文化</w:t>
      </w:r>
      <w:r>
        <w:rPr>
          <w:rFonts w:hint="eastAsia" w:asciiTheme="minorEastAsia" w:hAnsiTheme="minorEastAsia" w:eastAsiaTheme="minorEastAsia" w:cstheme="minorEastAsia"/>
          <w:b w:val="0"/>
          <w:bCs w:val="0"/>
          <w:spacing w:val="-2"/>
          <w:sz w:val="24"/>
          <w:szCs w:val="24"/>
          <w:lang w:val="en-US" w:eastAsia="zh-CN"/>
        </w:rPr>
        <w:t>创意</w:t>
      </w:r>
      <w:r>
        <w:rPr>
          <w:rFonts w:hint="eastAsia" w:asciiTheme="minorEastAsia" w:hAnsiTheme="minorEastAsia" w:eastAsiaTheme="minorEastAsia" w:cstheme="minorEastAsia"/>
          <w:b w:val="0"/>
          <w:bCs w:val="0"/>
          <w:spacing w:val="-2"/>
          <w:sz w:val="24"/>
          <w:szCs w:val="24"/>
          <w:lang w:eastAsia="zh-CN"/>
        </w:rPr>
        <w:t>活动策划和执行领域的相关经验</w:t>
      </w:r>
      <w:r>
        <w:rPr>
          <w:rFonts w:hint="eastAsia" w:asciiTheme="minorEastAsia" w:hAnsiTheme="minorEastAsia" w:eastAsiaTheme="minorEastAsia" w:cstheme="minorEastAsia"/>
          <w:b w:val="0"/>
          <w:bCs w:val="0"/>
          <w:spacing w:val="-3"/>
          <w:sz w:val="24"/>
          <w:szCs w:val="24"/>
          <w:lang w:eastAsia="zh-CN"/>
        </w:rPr>
        <w:t>。拟派1名项目负责人负责本项目整体实施与对接，项目负责人需具有同类大型文化文旅活动的项目管理经验。</w:t>
      </w:r>
    </w:p>
    <w:p w14:paraId="3FD2089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outlineLvl w:val="1"/>
        <w:rPr>
          <w:rFonts w:hint="eastAsia" w:asciiTheme="minorEastAsia" w:hAnsiTheme="minorEastAsia" w:eastAsiaTheme="minorEastAsia" w:cstheme="minorEastAsia"/>
          <w:b w:val="0"/>
          <w:bCs w:val="0"/>
          <w:spacing w:val="-3"/>
          <w:sz w:val="24"/>
          <w:szCs w:val="24"/>
        </w:rPr>
      </w:pPr>
      <w:r>
        <w:rPr>
          <w:rFonts w:hint="eastAsia" w:asciiTheme="minorEastAsia" w:hAnsiTheme="minorEastAsia" w:eastAsiaTheme="minorEastAsia" w:cstheme="minorEastAsia"/>
          <w:b w:val="0"/>
          <w:bCs w:val="0"/>
          <w:spacing w:val="-3"/>
          <w:sz w:val="24"/>
          <w:szCs w:val="24"/>
          <w:lang w:val="en-US" w:eastAsia="zh-CN"/>
        </w:rPr>
        <w:t>2.</w:t>
      </w:r>
      <w:r>
        <w:rPr>
          <w:rFonts w:hint="eastAsia" w:asciiTheme="minorEastAsia" w:hAnsiTheme="minorEastAsia" w:eastAsiaTheme="minorEastAsia" w:cstheme="minorEastAsia"/>
          <w:b w:val="0"/>
          <w:bCs w:val="0"/>
          <w:spacing w:val="-3"/>
          <w:sz w:val="24"/>
          <w:szCs w:val="24"/>
        </w:rPr>
        <w:t>供应商须具备</w:t>
      </w:r>
      <w:r>
        <w:rPr>
          <w:rFonts w:hint="eastAsia" w:asciiTheme="minorEastAsia" w:hAnsiTheme="minorEastAsia" w:eastAsiaTheme="minorEastAsia" w:cstheme="minorEastAsia"/>
          <w:sz w:val="24"/>
          <w:szCs w:val="24"/>
        </w:rPr>
        <w:t>专业的活动</w:t>
      </w:r>
      <w:r>
        <w:rPr>
          <w:rFonts w:hint="eastAsia" w:asciiTheme="minorEastAsia" w:hAnsiTheme="minorEastAsia" w:eastAsiaTheme="minorEastAsia" w:cstheme="minorEastAsia"/>
          <w:sz w:val="24"/>
          <w:szCs w:val="24"/>
          <w:lang w:val="en-US" w:eastAsia="zh-CN"/>
        </w:rPr>
        <w:t>内容与</w:t>
      </w:r>
      <w:r>
        <w:rPr>
          <w:rFonts w:hint="eastAsia" w:asciiTheme="minorEastAsia" w:hAnsiTheme="minorEastAsia" w:eastAsiaTheme="minorEastAsia" w:cstheme="minorEastAsia"/>
          <w:sz w:val="24"/>
          <w:szCs w:val="24"/>
        </w:rPr>
        <w:t>策划能力</w:t>
      </w:r>
      <w:r>
        <w:rPr>
          <w:rFonts w:hint="eastAsia" w:asciiTheme="minorEastAsia" w:hAnsiTheme="minorEastAsia" w:eastAsiaTheme="minorEastAsia" w:cstheme="minorEastAsia"/>
          <w:b w:val="0"/>
          <w:bCs w:val="0"/>
          <w:spacing w:val="-3"/>
          <w:sz w:val="24"/>
          <w:szCs w:val="24"/>
        </w:rPr>
        <w:t>，</w:t>
      </w:r>
      <w:r>
        <w:rPr>
          <w:rFonts w:hint="eastAsia" w:asciiTheme="minorEastAsia" w:hAnsiTheme="minorEastAsia" w:eastAsiaTheme="minorEastAsia" w:cstheme="minorEastAsia"/>
          <w:b w:val="0"/>
          <w:bCs w:val="0"/>
          <w:spacing w:val="-3"/>
          <w:sz w:val="24"/>
          <w:szCs w:val="24"/>
          <w:lang w:val="en-US" w:eastAsia="zh-CN"/>
        </w:rPr>
        <w:t>有相关</w:t>
      </w:r>
      <w:r>
        <w:rPr>
          <w:rFonts w:hint="eastAsia" w:asciiTheme="minorEastAsia" w:hAnsiTheme="minorEastAsia" w:eastAsiaTheme="minorEastAsia" w:cstheme="minorEastAsia"/>
          <w:b w:val="0"/>
          <w:bCs w:val="0"/>
          <w:spacing w:val="-3"/>
          <w:sz w:val="24"/>
          <w:szCs w:val="24"/>
        </w:rPr>
        <w:t>文化活动、沉浸式体验项目的成功案例。</w:t>
      </w:r>
    </w:p>
    <w:p w14:paraId="6982076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outlineLvl w:val="1"/>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pacing w:val="-3"/>
          <w:sz w:val="24"/>
          <w:szCs w:val="24"/>
          <w:lang w:val="en-US" w:eastAsia="zh-CN"/>
        </w:rPr>
        <w:t>3.</w:t>
      </w:r>
      <w:r>
        <w:rPr>
          <w:rFonts w:hint="eastAsia" w:asciiTheme="minorEastAsia" w:hAnsiTheme="minorEastAsia" w:eastAsiaTheme="minorEastAsia" w:cstheme="minorEastAsia"/>
          <w:b w:val="0"/>
          <w:bCs w:val="0"/>
          <w:spacing w:val="-3"/>
          <w:sz w:val="24"/>
          <w:szCs w:val="24"/>
        </w:rPr>
        <w:t>供应商须配备专业成熟的执行团队，</w:t>
      </w:r>
      <w:r>
        <w:rPr>
          <w:rFonts w:hint="eastAsia" w:asciiTheme="minorEastAsia" w:hAnsiTheme="minorEastAsia" w:eastAsiaTheme="minorEastAsia" w:cstheme="minorEastAsia"/>
          <w:b w:val="0"/>
          <w:bCs w:val="0"/>
          <w:spacing w:val="-3"/>
          <w:sz w:val="24"/>
          <w:szCs w:val="24"/>
          <w:lang w:eastAsia="zh-CN"/>
        </w:rPr>
        <w:t>覆盖</w:t>
      </w:r>
      <w:r>
        <w:rPr>
          <w:rFonts w:hint="eastAsia" w:asciiTheme="minorEastAsia" w:hAnsiTheme="minorEastAsia" w:eastAsiaTheme="minorEastAsia" w:cstheme="minorEastAsia"/>
          <w:b w:val="0"/>
          <w:bCs w:val="0"/>
          <w:spacing w:val="-3"/>
          <w:sz w:val="24"/>
          <w:szCs w:val="24"/>
        </w:rPr>
        <w:t>策划、</w:t>
      </w:r>
      <w:r>
        <w:rPr>
          <w:rFonts w:hint="eastAsia" w:asciiTheme="minorEastAsia" w:hAnsiTheme="minorEastAsia" w:eastAsiaTheme="minorEastAsia" w:cstheme="minorEastAsia"/>
          <w:b w:val="0"/>
          <w:bCs w:val="0"/>
          <w:spacing w:val="-3"/>
          <w:sz w:val="24"/>
          <w:szCs w:val="24"/>
          <w:lang w:val="en-US" w:eastAsia="zh-CN"/>
        </w:rPr>
        <w:t>活动</w:t>
      </w:r>
      <w:r>
        <w:rPr>
          <w:rFonts w:hint="eastAsia" w:asciiTheme="minorEastAsia" w:hAnsiTheme="minorEastAsia" w:eastAsiaTheme="minorEastAsia" w:cstheme="minorEastAsia"/>
          <w:b w:val="0"/>
          <w:bCs w:val="0"/>
          <w:spacing w:val="-3"/>
          <w:sz w:val="24"/>
          <w:szCs w:val="24"/>
        </w:rPr>
        <w:t>运营、场景工程、现场运维等岗位，建立完善的沟通机制，制定合理的进度计划，确保项目</w:t>
      </w:r>
      <w:r>
        <w:rPr>
          <w:rFonts w:hint="eastAsia" w:asciiTheme="minorEastAsia" w:hAnsiTheme="minorEastAsia" w:eastAsiaTheme="minorEastAsia" w:cstheme="minorEastAsia"/>
          <w:b w:val="0"/>
          <w:bCs w:val="0"/>
          <w:spacing w:val="-3"/>
          <w:sz w:val="24"/>
          <w:szCs w:val="24"/>
          <w:lang w:val="en-US" w:eastAsia="zh-CN"/>
        </w:rPr>
        <w:t>顺利</w:t>
      </w:r>
      <w:r>
        <w:rPr>
          <w:rFonts w:hint="eastAsia" w:asciiTheme="minorEastAsia" w:hAnsiTheme="minorEastAsia" w:eastAsiaTheme="minorEastAsia" w:cstheme="minorEastAsia"/>
          <w:b w:val="0"/>
          <w:bCs w:val="0"/>
          <w:spacing w:val="-3"/>
          <w:sz w:val="24"/>
          <w:szCs w:val="24"/>
        </w:rPr>
        <w:t>完成。</w:t>
      </w:r>
    </w:p>
    <w:p w14:paraId="50AD4BAD">
      <w:pPr>
        <w:pStyle w:val="2"/>
        <w:keepNext w:val="0"/>
        <w:keepLines w:val="0"/>
        <w:pageBreakBefore w:val="0"/>
        <w:widowControl/>
        <w:numPr>
          <w:ilvl w:val="1"/>
          <w:numId w:val="0"/>
        </w:numPr>
        <w:kinsoku w:val="0"/>
        <w:wordWrap/>
        <w:overflowPunct/>
        <w:topLinePunct w:val="0"/>
        <w:autoSpaceDE w:val="0"/>
        <w:autoSpaceDN w:val="0"/>
        <w:bidi w:val="0"/>
        <w:adjustRightInd w:val="0"/>
        <w:snapToGrid w:val="0"/>
        <w:spacing w:before="120" w:beforeAutospacing="0" w:afterAutospacing="0" w:line="360" w:lineRule="auto"/>
        <w:ind w:leftChars="0"/>
        <w:jc w:val="left"/>
        <w:textAlignment w:val="baseline"/>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三、其他服务要求</w:t>
      </w:r>
    </w:p>
    <w:p w14:paraId="080E3DD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rPr>
          <w:rFonts w:hint="eastAsia" w:asciiTheme="minorEastAsia" w:hAnsiTheme="minorEastAsia" w:eastAsiaTheme="minorEastAsia" w:cstheme="minorEastAsia"/>
          <w:b w:val="0"/>
          <w:bCs w:val="0"/>
          <w:spacing w:val="-3"/>
          <w:sz w:val="24"/>
          <w:szCs w:val="24"/>
        </w:rPr>
      </w:pPr>
      <w:r>
        <w:rPr>
          <w:rFonts w:hint="eastAsia" w:asciiTheme="minorEastAsia" w:hAnsiTheme="minorEastAsia" w:eastAsiaTheme="minorEastAsia" w:cstheme="minorEastAsia"/>
          <w:b w:val="0"/>
          <w:bCs w:val="0"/>
          <w:spacing w:val="-3"/>
          <w:sz w:val="24"/>
          <w:szCs w:val="24"/>
          <w:lang w:val="en-US" w:eastAsia="zh-CN"/>
        </w:rPr>
        <w:t>1.除上述列明的工作外，还需配合做好本项目执行过程中突发状况的应对工作，制定安全生产应急预案、风险防控预案，明确安全责任人，做好日常安全管理与相关人员培训。活动实施过程严格按照方案执行，坚守安全第一原则，保障人员、场地、设备的全方位安全，确保活动顺利开展。</w:t>
      </w:r>
    </w:p>
    <w:p w14:paraId="4B51ED2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rPr>
          <w:rFonts w:hint="eastAsia" w:asciiTheme="minorEastAsia" w:hAnsiTheme="minorEastAsia" w:eastAsiaTheme="minorEastAsia" w:cstheme="minorEastAsia"/>
          <w:b w:val="0"/>
          <w:bCs w:val="0"/>
          <w:spacing w:val="-3"/>
          <w:sz w:val="24"/>
          <w:szCs w:val="24"/>
        </w:rPr>
      </w:pPr>
      <w:r>
        <w:rPr>
          <w:rFonts w:hint="eastAsia" w:asciiTheme="minorEastAsia" w:hAnsiTheme="minorEastAsia" w:eastAsiaTheme="minorEastAsia" w:cstheme="minorEastAsia"/>
          <w:b w:val="0"/>
          <w:bCs w:val="0"/>
          <w:spacing w:val="-3"/>
          <w:sz w:val="24"/>
          <w:szCs w:val="24"/>
          <w:lang w:val="en-US" w:eastAsia="zh-CN"/>
        </w:rPr>
        <w:t>2.如因活动内容调整提出调整要求，供应商应及时给出合理化建议供采购人决策，积极配合方案调整与优化。</w:t>
      </w:r>
    </w:p>
    <w:p w14:paraId="60C21A7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rPr>
          <w:rFonts w:hint="eastAsia" w:asciiTheme="minorEastAsia" w:hAnsiTheme="minorEastAsia" w:eastAsiaTheme="minorEastAsia" w:cstheme="minorEastAsia"/>
          <w:b w:val="0"/>
          <w:bCs w:val="0"/>
          <w:spacing w:val="-3"/>
          <w:sz w:val="24"/>
          <w:szCs w:val="24"/>
        </w:rPr>
      </w:pPr>
      <w:r>
        <w:rPr>
          <w:rFonts w:hint="eastAsia" w:asciiTheme="minorEastAsia" w:hAnsiTheme="minorEastAsia" w:eastAsiaTheme="minorEastAsia" w:cstheme="minorEastAsia"/>
          <w:b w:val="0"/>
          <w:bCs w:val="0"/>
          <w:spacing w:val="-3"/>
          <w:sz w:val="24"/>
          <w:szCs w:val="24"/>
          <w:lang w:val="en-US" w:eastAsia="zh-CN"/>
        </w:rPr>
        <w:t>3.活动期间需配备相关现场服务人员，保障游客体验与现场秩序，配合园博园整体的客流疏导与管理工作。</w:t>
      </w:r>
    </w:p>
    <w:p w14:paraId="1825CE3D">
      <w:pPr>
        <w:pStyle w:val="2"/>
        <w:keepNext w:val="0"/>
        <w:keepLines w:val="0"/>
        <w:pageBreakBefore w:val="0"/>
        <w:widowControl/>
        <w:numPr>
          <w:ilvl w:val="0"/>
          <w:numId w:val="4"/>
        </w:numPr>
        <w:kinsoku w:val="0"/>
        <w:wordWrap/>
        <w:overflowPunct/>
        <w:topLinePunct w:val="0"/>
        <w:autoSpaceDE w:val="0"/>
        <w:autoSpaceDN w:val="0"/>
        <w:bidi w:val="0"/>
        <w:adjustRightInd w:val="0"/>
        <w:snapToGrid w:val="0"/>
        <w:spacing w:before="120" w:beforeAutospacing="0" w:afterAutospacing="0" w:line="360" w:lineRule="auto"/>
        <w:ind w:leftChars="0"/>
        <w:jc w:val="left"/>
        <w:textAlignment w:val="baseline"/>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相关说明</w:t>
      </w:r>
    </w:p>
    <w:p w14:paraId="69000E4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rPr>
          <w:rFonts w:hint="eastAsia" w:asciiTheme="minorEastAsia" w:hAnsiTheme="minorEastAsia" w:eastAsiaTheme="minorEastAsia" w:cstheme="minorEastAsia"/>
          <w:b w:val="0"/>
          <w:bCs w:val="0"/>
          <w:spacing w:val="-3"/>
          <w:sz w:val="24"/>
          <w:szCs w:val="24"/>
          <w:lang w:val="en-US" w:eastAsia="zh-CN"/>
        </w:rPr>
      </w:pPr>
      <w:r>
        <w:rPr>
          <w:rFonts w:hint="eastAsia" w:asciiTheme="minorEastAsia" w:hAnsiTheme="minorEastAsia" w:eastAsiaTheme="minorEastAsia" w:cstheme="minorEastAsia"/>
          <w:b w:val="0"/>
          <w:bCs w:val="0"/>
          <w:spacing w:val="-3"/>
          <w:sz w:val="24"/>
          <w:szCs w:val="24"/>
          <w:lang w:val="en-US" w:eastAsia="zh-CN"/>
        </w:rPr>
        <w:t>1.供应商需按照策划方案文本内容提供对应的服务和技术支持。</w:t>
      </w:r>
    </w:p>
    <w:p w14:paraId="370717F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rPr>
          <w:rFonts w:hint="eastAsia" w:asciiTheme="minorEastAsia" w:hAnsiTheme="minorEastAsia" w:eastAsiaTheme="minorEastAsia" w:cstheme="minorEastAsia"/>
          <w:b w:val="0"/>
          <w:bCs w:val="0"/>
          <w:spacing w:val="-3"/>
          <w:sz w:val="24"/>
          <w:szCs w:val="24"/>
          <w:lang w:val="en-US" w:eastAsia="zh-CN"/>
        </w:rPr>
      </w:pPr>
      <w:r>
        <w:rPr>
          <w:rFonts w:hint="eastAsia" w:asciiTheme="minorEastAsia" w:hAnsiTheme="minorEastAsia" w:eastAsiaTheme="minorEastAsia" w:cstheme="minorEastAsia"/>
          <w:b w:val="0"/>
          <w:bCs w:val="0"/>
          <w:spacing w:val="-3"/>
          <w:sz w:val="24"/>
          <w:szCs w:val="24"/>
          <w:lang w:val="en-US" w:eastAsia="zh-CN"/>
        </w:rPr>
        <w:t>2.供应商应以人民币报出本次采购全部服务及相关货物的总价。</w:t>
      </w:r>
    </w:p>
    <w:p w14:paraId="539DA98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line="360" w:lineRule="auto"/>
        <w:ind w:leftChars="0" w:right="0" w:rightChars="0"/>
        <w:jc w:val="left"/>
        <w:textAlignment w:val="baseline"/>
      </w:pPr>
      <w:r>
        <w:rPr>
          <w:rFonts w:hint="eastAsia" w:asciiTheme="minorEastAsia" w:hAnsiTheme="minorEastAsia" w:eastAsiaTheme="minorEastAsia" w:cstheme="minorEastAsia"/>
          <w:b w:val="0"/>
          <w:bCs w:val="0"/>
          <w:spacing w:val="-3"/>
          <w:sz w:val="24"/>
          <w:szCs w:val="24"/>
          <w:lang w:val="en-US" w:eastAsia="zh-CN"/>
        </w:rPr>
        <w:t>3.报本项目现场交货价，包含所有税费及安装。</w:t>
      </w:r>
    </w:p>
    <w:p w14:paraId="2B5029A2">
      <w:bookmarkStart w:id="33" w:name="_GoBack"/>
      <w:bookmarkEnd w:id="33"/>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6B319"/>
    <w:multiLevelType w:val="multilevel"/>
    <w:tmpl w:val="9B86B319"/>
    <w:lvl w:ilvl="0" w:tentative="0">
      <w:start w:val="1"/>
      <w:numFmt w:val="chineseCounting"/>
      <w:suff w:val="nothing"/>
      <w:lvlText w:val="（%1）"/>
      <w:lvlJc w:val="left"/>
      <w:pPr>
        <w:ind w:left="-400" w:firstLine="400"/>
      </w:pPr>
      <w:rPr>
        <w:rFonts w:hint="eastAsia"/>
        <w:b/>
        <w:bCs/>
      </w:rPr>
    </w:lvl>
    <w:lvl w:ilvl="1" w:tentative="0">
      <w:start w:val="1"/>
      <w:numFmt w:val="decimal"/>
      <w:suff w:val="nothing"/>
      <w:lvlText w:val="%2．"/>
      <w:lvlJc w:val="left"/>
      <w:pPr>
        <w:ind w:left="-400" w:firstLine="400"/>
      </w:pPr>
      <w:rPr>
        <w:rFonts w:hint="eastAsia"/>
      </w:rPr>
    </w:lvl>
    <w:lvl w:ilvl="2" w:tentative="0">
      <w:start w:val="1"/>
      <w:numFmt w:val="decimal"/>
      <w:suff w:val="nothing"/>
      <w:lvlText w:val="（%3）"/>
      <w:lvlJc w:val="left"/>
      <w:pPr>
        <w:ind w:left="-400" w:firstLine="402"/>
      </w:pPr>
      <w:rPr>
        <w:rFonts w:hint="eastAsia"/>
      </w:rPr>
    </w:lvl>
    <w:lvl w:ilvl="3" w:tentative="0">
      <w:start w:val="1"/>
      <w:numFmt w:val="decimalEnclosedCircleChinese"/>
      <w:suff w:val="nothing"/>
      <w:lvlText w:val="%4 "/>
      <w:lvlJc w:val="left"/>
      <w:pPr>
        <w:ind w:left="-400" w:firstLine="402"/>
      </w:pPr>
      <w:rPr>
        <w:rFonts w:hint="eastAsia"/>
      </w:rPr>
    </w:lvl>
    <w:lvl w:ilvl="4" w:tentative="0">
      <w:start w:val="1"/>
      <w:numFmt w:val="decimal"/>
      <w:suff w:val="nothing"/>
      <w:lvlText w:val="%5）"/>
      <w:lvlJc w:val="left"/>
      <w:pPr>
        <w:ind w:left="-400" w:firstLine="402"/>
      </w:pPr>
      <w:rPr>
        <w:rFonts w:hint="eastAsia"/>
      </w:rPr>
    </w:lvl>
    <w:lvl w:ilvl="5" w:tentative="0">
      <w:start w:val="1"/>
      <w:numFmt w:val="upperLetter"/>
      <w:suff w:val="nothing"/>
      <w:lvlText w:val="%6．"/>
      <w:lvlJc w:val="left"/>
      <w:pPr>
        <w:ind w:left="-400" w:firstLine="402"/>
      </w:pPr>
      <w:rPr>
        <w:rFonts w:hint="eastAsia"/>
      </w:rPr>
    </w:lvl>
    <w:lvl w:ilvl="6" w:tentative="0">
      <w:start w:val="1"/>
      <w:numFmt w:val="lowerLetter"/>
      <w:suff w:val="nothing"/>
      <w:lvlText w:val="%7．"/>
      <w:lvlJc w:val="left"/>
      <w:pPr>
        <w:ind w:left="-400" w:firstLine="402"/>
      </w:pPr>
      <w:rPr>
        <w:rFonts w:hint="eastAsia"/>
      </w:rPr>
    </w:lvl>
    <w:lvl w:ilvl="7" w:tentative="0">
      <w:start w:val="1"/>
      <w:numFmt w:val="lowerLetter"/>
      <w:suff w:val="nothing"/>
      <w:lvlText w:val="%8）"/>
      <w:lvlJc w:val="left"/>
      <w:pPr>
        <w:ind w:left="-400" w:firstLine="402"/>
      </w:pPr>
      <w:rPr>
        <w:rFonts w:hint="eastAsia"/>
      </w:rPr>
    </w:lvl>
    <w:lvl w:ilvl="8" w:tentative="0">
      <w:start w:val="1"/>
      <w:numFmt w:val="lowerRoman"/>
      <w:suff w:val="nothing"/>
      <w:lvlText w:val="%9．"/>
      <w:lvlJc w:val="left"/>
      <w:pPr>
        <w:ind w:left="-400" w:firstLine="402"/>
      </w:pPr>
      <w:rPr>
        <w:rFonts w:hint="eastAsia"/>
      </w:rPr>
    </w:lvl>
  </w:abstractNum>
  <w:abstractNum w:abstractNumId="1">
    <w:nsid w:val="CAD51DC4"/>
    <w:multiLevelType w:val="singleLevel"/>
    <w:tmpl w:val="CAD51DC4"/>
    <w:lvl w:ilvl="0" w:tentative="0">
      <w:start w:val="5"/>
      <w:numFmt w:val="chineseCounting"/>
      <w:suff w:val="space"/>
      <w:lvlText w:val="第%1章"/>
      <w:lvlJc w:val="left"/>
      <w:rPr>
        <w:rFonts w:hint="eastAsia"/>
      </w:rPr>
    </w:lvl>
  </w:abstractNum>
  <w:abstractNum w:abstractNumId="2">
    <w:nsid w:val="DFC29AC6"/>
    <w:multiLevelType w:val="singleLevel"/>
    <w:tmpl w:val="DFC29AC6"/>
    <w:lvl w:ilvl="0" w:tentative="0">
      <w:start w:val="4"/>
      <w:numFmt w:val="chineseCounting"/>
      <w:suff w:val="nothing"/>
      <w:lvlText w:val="%1、"/>
      <w:lvlJc w:val="left"/>
      <w:rPr>
        <w:rFonts w:hint="eastAsia"/>
      </w:rPr>
    </w:lvl>
  </w:abstractNum>
  <w:abstractNum w:abstractNumId="3">
    <w:nsid w:val="FFDE2716"/>
    <w:multiLevelType w:val="multilevel"/>
    <w:tmpl w:val="FFDE2716"/>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b w:val="0"/>
        <w:bCs w:val="0"/>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935B5"/>
    <w:rsid w:val="0A31167E"/>
    <w:rsid w:val="181B5077"/>
    <w:rsid w:val="1A815789"/>
    <w:rsid w:val="2FE931A8"/>
    <w:rsid w:val="3F9935B5"/>
    <w:rsid w:val="7F561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 w:type="paragraph" w:customStyle="1" w:styleId="6">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2932</Words>
  <Characters>3226</Characters>
  <Lines>0</Lines>
  <Paragraphs>0</Paragraphs>
  <TotalTime>0</TotalTime>
  <ScaleCrop>false</ScaleCrop>
  <LinksUpToDate>false</LinksUpToDate>
  <CharactersWithSpaces>3260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2026-07-24T02:00:00Z</dcterms:created>
  <dc:creator>袁袁</dc:creator>
  <cp:lastModifiedBy>袁袁</cp:lastModifiedBy>
  <dcterms:modified xsi:type="dcterms:W3CDTF">2026-07-24T03:14:35Z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954DA63E7BE04BFC85E06DF8AF726129_13</vt:lpwstr>
  </property>
  <property fmtid="{D5CDD505-2E9C-101B-9397-08002B2CF9AE}" pid="4" name="KSOTemplateDocerSaveRecord">
    <vt:lpwstr>eyJoZGlkIjoiYTkxNGVlZGJkNmZjMDBkNmE2OTc3NmE1ZTA0NWY0NWYiLCJ1c2VySWQiOiI2NjUwODMwMzMifQ==</vt:lpwstr>
  </property>
</Properties>
</file>