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4063D7">
      <w:pPr>
        <w:spacing w:line="360" w:lineRule="auto"/>
        <w:jc w:val="center"/>
        <w:outlineLvl w:val="0"/>
        <w:rPr>
          <w:rFonts w:ascii="仿宋" w:hAnsi="仿宋" w:eastAsia="仿宋" w:cs="仿宋"/>
          <w:b/>
          <w:sz w:val="36"/>
          <w:szCs w:val="36"/>
        </w:rPr>
      </w:pPr>
      <w:bookmarkStart w:id="0" w:name="_Toc99301424"/>
      <w:r>
        <w:rPr>
          <w:rFonts w:hint="eastAsia" w:ascii="仿宋" w:hAnsi="仿宋" w:eastAsia="仿宋" w:cs="仿宋"/>
          <w:b/>
          <w:sz w:val="36"/>
          <w:szCs w:val="36"/>
        </w:rPr>
        <w:t>第五章   采购需求</w:t>
      </w:r>
      <w:bookmarkEnd w:id="0"/>
      <w:bookmarkStart w:id="1" w:name="_GoBack"/>
      <w:bookmarkEnd w:id="1"/>
    </w:p>
    <w:p w14:paraId="02C02812">
      <w:pPr>
        <w:widowControl w:val="0"/>
        <w:numPr>
          <w:ilvl w:val="0"/>
          <w:numId w:val="1"/>
        </w:numPr>
        <w:spacing w:line="360" w:lineRule="auto"/>
        <w:ind w:left="500" w:hanging="500" w:firstLineChars="0"/>
        <w:contextualSpacing/>
        <w:jc w:val="both"/>
        <w:rPr>
          <w:rFonts w:hint="eastAsia" w:ascii="仿宋" w:hAnsi="仿宋" w:eastAsia="仿宋" w:cs="仿宋"/>
          <w:b/>
          <w:kern w:val="2"/>
          <w:sz w:val="24"/>
          <w:szCs w:val="24"/>
          <w:highlight w:val="none"/>
          <w:lang w:val="en-US" w:eastAsia="zh-CN" w:bidi="ar-SA"/>
        </w:rPr>
      </w:pPr>
      <w:r>
        <w:rPr>
          <w:rFonts w:hint="eastAsia" w:ascii="仿宋" w:hAnsi="仿宋" w:eastAsia="仿宋" w:cs="仿宋"/>
          <w:b/>
          <w:kern w:val="2"/>
          <w:sz w:val="24"/>
          <w:szCs w:val="24"/>
          <w:highlight w:val="none"/>
          <w:lang w:val="en-US" w:eastAsia="zh-CN" w:bidi="ar-SA"/>
        </w:rPr>
        <w:t>采购标的</w:t>
      </w:r>
    </w:p>
    <w:p w14:paraId="65772085">
      <w:pPr>
        <w:spacing w:line="360" w:lineRule="auto"/>
        <w:contextualSpacing/>
        <w:rPr>
          <w:rFonts w:hint="eastAsia" w:ascii="仿宋" w:hAnsi="仿宋" w:eastAsia="仿宋" w:cs="仿宋"/>
          <w:bCs/>
          <w:sz w:val="24"/>
          <w:szCs w:val="24"/>
          <w:highlight w:val="none"/>
        </w:rPr>
      </w:pPr>
      <w:r>
        <w:rPr>
          <w:rFonts w:hint="eastAsia" w:ascii="仿宋" w:hAnsi="仿宋" w:eastAsia="仿宋" w:cs="仿宋"/>
          <w:bCs/>
          <w:sz w:val="24"/>
          <w:szCs w:val="24"/>
          <w:highlight w:val="none"/>
        </w:rPr>
        <w:t>1. 采购标的</w:t>
      </w: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4"/>
        <w:gridCol w:w="827"/>
        <w:gridCol w:w="2613"/>
        <w:gridCol w:w="1863"/>
        <w:gridCol w:w="1138"/>
        <w:gridCol w:w="2303"/>
      </w:tblGrid>
      <w:tr w14:paraId="7B50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93" w:type="pct"/>
            <w:shd w:val="clear" w:color="auto" w:fill="auto"/>
            <w:vAlign w:val="center"/>
          </w:tcPr>
          <w:p w14:paraId="718146FD">
            <w:pPr>
              <w:keepNext w:val="0"/>
              <w:keepLines w:val="0"/>
              <w:widowControl/>
              <w:suppressLineNumbers w:val="0"/>
              <w:spacing w:before="0" w:beforeAutospacing="0" w:after="0" w:afterAutospacing="0"/>
              <w:ind w:left="0" w:right="0"/>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包号</w:t>
            </w:r>
          </w:p>
        </w:tc>
        <w:tc>
          <w:tcPr>
            <w:tcW w:w="445" w:type="pct"/>
            <w:shd w:val="clear" w:color="auto" w:fill="auto"/>
            <w:vAlign w:val="center"/>
          </w:tcPr>
          <w:p w14:paraId="2CC06F4E">
            <w:pPr>
              <w:keepNext w:val="0"/>
              <w:keepLines w:val="0"/>
              <w:widowControl/>
              <w:suppressLineNumbers w:val="0"/>
              <w:spacing w:before="0" w:beforeAutospacing="0" w:after="0" w:afterAutospacing="0"/>
              <w:ind w:left="0" w:right="0"/>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品目号</w:t>
            </w:r>
          </w:p>
        </w:tc>
        <w:tc>
          <w:tcPr>
            <w:tcW w:w="1406" w:type="pct"/>
            <w:shd w:val="clear" w:color="auto" w:fill="auto"/>
            <w:vAlign w:val="center"/>
          </w:tcPr>
          <w:p w14:paraId="1C19AD23">
            <w:pPr>
              <w:keepNext w:val="0"/>
              <w:keepLines w:val="0"/>
              <w:widowControl/>
              <w:suppressLineNumbers w:val="0"/>
              <w:spacing w:before="0" w:beforeAutospacing="0" w:after="0" w:afterAutospacing="0"/>
              <w:ind w:left="0" w:right="0"/>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标的名称</w:t>
            </w:r>
          </w:p>
        </w:tc>
        <w:tc>
          <w:tcPr>
            <w:tcW w:w="1002" w:type="pct"/>
            <w:vAlign w:val="center"/>
          </w:tcPr>
          <w:p w14:paraId="20680EE9">
            <w:pPr>
              <w:keepNext w:val="0"/>
              <w:keepLines w:val="0"/>
              <w:widowControl/>
              <w:suppressLineNumbers w:val="0"/>
              <w:spacing w:before="0" w:beforeAutospacing="0" w:after="0" w:afterAutospacing="0"/>
              <w:ind w:left="0" w:right="0"/>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数量</w:t>
            </w:r>
          </w:p>
        </w:tc>
        <w:tc>
          <w:tcPr>
            <w:tcW w:w="612" w:type="pct"/>
            <w:vAlign w:val="center"/>
          </w:tcPr>
          <w:p w14:paraId="7932F8DF">
            <w:pPr>
              <w:keepNext w:val="0"/>
              <w:keepLines w:val="0"/>
              <w:widowControl/>
              <w:suppressLineNumbers w:val="0"/>
              <w:spacing w:before="0" w:beforeAutospacing="0" w:after="0" w:afterAutospacing="0"/>
              <w:ind w:left="0" w:right="0"/>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单位</w:t>
            </w:r>
          </w:p>
        </w:tc>
        <w:tc>
          <w:tcPr>
            <w:tcW w:w="1239" w:type="pct"/>
            <w:shd w:val="clear" w:color="auto" w:fill="auto"/>
            <w:vAlign w:val="center"/>
          </w:tcPr>
          <w:p w14:paraId="20030399">
            <w:pPr>
              <w:keepNext w:val="0"/>
              <w:keepLines w:val="0"/>
              <w:widowControl/>
              <w:suppressLineNumbers w:val="0"/>
              <w:spacing w:before="0" w:beforeAutospacing="0" w:after="0" w:afterAutospacing="0"/>
              <w:ind w:left="0" w:right="0"/>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是否接受进口产品</w:t>
            </w:r>
          </w:p>
        </w:tc>
      </w:tr>
      <w:tr w14:paraId="4621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93" w:type="pct"/>
            <w:vMerge w:val="restart"/>
            <w:shd w:val="clear" w:color="auto" w:fill="auto"/>
            <w:noWrap/>
            <w:vAlign w:val="center"/>
          </w:tcPr>
          <w:p w14:paraId="0CF3A558">
            <w:pPr>
              <w:keepNext w:val="0"/>
              <w:keepLines w:val="0"/>
              <w:suppressLineNumbers w:val="0"/>
              <w:autoSpaceDE w:val="0"/>
              <w:autoSpaceDN w:val="0"/>
              <w:adjustRightInd w:val="0"/>
              <w:spacing w:before="0" w:beforeAutospacing="0" w:after="0" w:afterAutospacing="0" w:line="520" w:lineRule="exact"/>
              <w:ind w:left="0" w:right="0"/>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w:t>
            </w:r>
          </w:p>
        </w:tc>
        <w:tc>
          <w:tcPr>
            <w:tcW w:w="445" w:type="pct"/>
            <w:shd w:val="clear" w:color="auto" w:fill="auto"/>
            <w:noWrap/>
            <w:vAlign w:val="center"/>
          </w:tcPr>
          <w:p w14:paraId="15C4B2E5">
            <w:pPr>
              <w:keepNext w:val="0"/>
              <w:keepLines w:val="0"/>
              <w:suppressLineNumbers w:val="0"/>
              <w:autoSpaceDE w:val="0"/>
              <w:autoSpaceDN w:val="0"/>
              <w:adjustRightInd w:val="0"/>
              <w:spacing w:before="0" w:beforeAutospacing="0" w:after="0" w:afterAutospacing="0" w:line="520" w:lineRule="exact"/>
              <w:ind w:left="0" w:right="0"/>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1-1</w:t>
            </w:r>
          </w:p>
        </w:tc>
        <w:tc>
          <w:tcPr>
            <w:tcW w:w="1406" w:type="pct"/>
            <w:shd w:val="clear" w:color="000000" w:fill="FFFFFF"/>
            <w:vAlign w:val="center"/>
          </w:tcPr>
          <w:p w14:paraId="24E6E64D">
            <w:pPr>
              <w:keepNext w:val="0"/>
              <w:keepLines w:val="0"/>
              <w:suppressLineNumbers w:val="0"/>
              <w:autoSpaceDE w:val="0"/>
              <w:autoSpaceDN w:val="0"/>
              <w:adjustRightInd w:val="0"/>
              <w:spacing w:before="0" w:beforeAutospacing="0" w:after="0" w:afterAutospacing="0" w:line="520" w:lineRule="exact"/>
              <w:ind w:left="0" w:right="0"/>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瓶装气体</w:t>
            </w:r>
          </w:p>
        </w:tc>
        <w:tc>
          <w:tcPr>
            <w:tcW w:w="1002" w:type="pct"/>
            <w:vAlign w:val="center"/>
          </w:tcPr>
          <w:p w14:paraId="7D8C8478">
            <w:pPr>
              <w:keepNext w:val="0"/>
              <w:keepLines w:val="0"/>
              <w:suppressLineNumbers w:val="0"/>
              <w:autoSpaceDE w:val="0"/>
              <w:autoSpaceDN w:val="0"/>
              <w:adjustRightInd w:val="0"/>
              <w:spacing w:before="0" w:beforeAutospacing="0" w:after="0" w:afterAutospacing="0" w:line="520" w:lineRule="exact"/>
              <w:ind w:left="0" w:right="0"/>
              <w:jc w:val="center"/>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1572</w:t>
            </w:r>
          </w:p>
        </w:tc>
        <w:tc>
          <w:tcPr>
            <w:tcW w:w="612" w:type="pct"/>
            <w:vAlign w:val="center"/>
          </w:tcPr>
          <w:p w14:paraId="6C8FD742">
            <w:pPr>
              <w:keepNext w:val="0"/>
              <w:keepLines w:val="0"/>
              <w:suppressLineNumbers w:val="0"/>
              <w:autoSpaceDE w:val="0"/>
              <w:autoSpaceDN w:val="0"/>
              <w:adjustRightInd w:val="0"/>
              <w:spacing w:before="0" w:beforeAutospacing="0" w:after="0" w:afterAutospacing="0" w:line="520" w:lineRule="exact"/>
              <w:ind w:left="0" w:right="0"/>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瓶</w:t>
            </w:r>
          </w:p>
        </w:tc>
        <w:tc>
          <w:tcPr>
            <w:tcW w:w="1239" w:type="pct"/>
            <w:shd w:val="clear" w:color="auto" w:fill="auto"/>
            <w:noWrap/>
            <w:vAlign w:val="center"/>
          </w:tcPr>
          <w:p w14:paraId="52899267">
            <w:pPr>
              <w:keepNext w:val="0"/>
              <w:keepLines w:val="0"/>
              <w:widowControl/>
              <w:suppressLineNumbers w:val="0"/>
              <w:spacing w:before="0" w:beforeAutospacing="0" w:after="0" w:afterAutospacing="0"/>
              <w:ind w:left="0" w:right="0"/>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否</w:t>
            </w:r>
          </w:p>
        </w:tc>
      </w:tr>
      <w:tr w14:paraId="3206E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93" w:type="pct"/>
            <w:vMerge w:val="continue"/>
            <w:shd w:val="clear" w:color="auto" w:fill="auto"/>
            <w:noWrap/>
            <w:vAlign w:val="center"/>
          </w:tcPr>
          <w:p w14:paraId="69DC2999">
            <w:pPr>
              <w:keepNext w:val="0"/>
              <w:keepLines w:val="0"/>
              <w:suppressLineNumbers w:val="0"/>
              <w:autoSpaceDE w:val="0"/>
              <w:autoSpaceDN w:val="0"/>
              <w:adjustRightInd w:val="0"/>
              <w:spacing w:before="0" w:beforeAutospacing="0" w:after="0" w:afterAutospacing="0" w:line="520" w:lineRule="exact"/>
              <w:ind w:left="0" w:right="0"/>
              <w:jc w:val="center"/>
              <w:rPr>
                <w:rFonts w:hint="eastAsia" w:ascii="仿宋" w:hAnsi="仿宋" w:eastAsia="仿宋" w:cs="仿宋"/>
                <w:color w:val="000000"/>
                <w:sz w:val="24"/>
                <w:szCs w:val="24"/>
              </w:rPr>
            </w:pPr>
          </w:p>
        </w:tc>
        <w:tc>
          <w:tcPr>
            <w:tcW w:w="445" w:type="pct"/>
            <w:shd w:val="clear" w:color="auto" w:fill="auto"/>
            <w:noWrap/>
            <w:vAlign w:val="center"/>
          </w:tcPr>
          <w:p w14:paraId="458E06DE">
            <w:pPr>
              <w:keepNext w:val="0"/>
              <w:keepLines w:val="0"/>
              <w:suppressLineNumbers w:val="0"/>
              <w:autoSpaceDE w:val="0"/>
              <w:autoSpaceDN w:val="0"/>
              <w:adjustRightInd w:val="0"/>
              <w:spacing w:before="0" w:beforeAutospacing="0" w:after="0" w:afterAutospacing="0" w:line="520" w:lineRule="exact"/>
              <w:ind w:left="0" w:right="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1-2</w:t>
            </w:r>
          </w:p>
        </w:tc>
        <w:tc>
          <w:tcPr>
            <w:tcW w:w="1406" w:type="pct"/>
            <w:shd w:val="clear" w:color="000000" w:fill="FFFFFF"/>
            <w:vAlign w:val="center"/>
          </w:tcPr>
          <w:p w14:paraId="7E8D3510">
            <w:pPr>
              <w:keepNext w:val="0"/>
              <w:keepLines w:val="0"/>
              <w:suppressLineNumbers w:val="0"/>
              <w:autoSpaceDE w:val="0"/>
              <w:autoSpaceDN w:val="0"/>
              <w:adjustRightInd w:val="0"/>
              <w:spacing w:before="0" w:beforeAutospacing="0" w:after="0" w:afterAutospacing="0" w:line="520" w:lineRule="exact"/>
              <w:ind w:left="0" w:right="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医用液氧</w:t>
            </w:r>
          </w:p>
        </w:tc>
        <w:tc>
          <w:tcPr>
            <w:tcW w:w="1002" w:type="pct"/>
            <w:vAlign w:val="center"/>
          </w:tcPr>
          <w:p w14:paraId="32828733">
            <w:pPr>
              <w:keepNext w:val="0"/>
              <w:keepLines w:val="0"/>
              <w:suppressLineNumbers w:val="0"/>
              <w:autoSpaceDE w:val="0"/>
              <w:autoSpaceDN w:val="0"/>
              <w:adjustRightInd w:val="0"/>
              <w:spacing w:before="0" w:beforeAutospacing="0" w:after="0" w:afterAutospacing="0" w:line="520" w:lineRule="exact"/>
              <w:ind w:left="0" w:right="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662</w:t>
            </w:r>
          </w:p>
        </w:tc>
        <w:tc>
          <w:tcPr>
            <w:tcW w:w="612" w:type="pct"/>
            <w:vAlign w:val="center"/>
          </w:tcPr>
          <w:p w14:paraId="4837F7CD">
            <w:pPr>
              <w:keepNext w:val="0"/>
              <w:keepLines w:val="0"/>
              <w:suppressLineNumbers w:val="0"/>
              <w:autoSpaceDE w:val="0"/>
              <w:autoSpaceDN w:val="0"/>
              <w:adjustRightInd w:val="0"/>
              <w:spacing w:before="0" w:beforeAutospacing="0" w:after="0" w:afterAutospacing="0" w:line="520" w:lineRule="exact"/>
              <w:ind w:left="0" w:right="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吨</w:t>
            </w:r>
          </w:p>
        </w:tc>
        <w:tc>
          <w:tcPr>
            <w:tcW w:w="1239" w:type="pct"/>
            <w:shd w:val="clear" w:color="auto" w:fill="auto"/>
            <w:noWrap/>
            <w:vAlign w:val="center"/>
          </w:tcPr>
          <w:p w14:paraId="26146C39">
            <w:pPr>
              <w:keepNext w:val="0"/>
              <w:keepLines w:val="0"/>
              <w:widowControl/>
              <w:suppressLineNumbers w:val="0"/>
              <w:spacing w:before="0" w:beforeAutospacing="0" w:after="0" w:afterAutospacing="0"/>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rPr>
              <w:t>否</w:t>
            </w:r>
          </w:p>
        </w:tc>
      </w:tr>
    </w:tbl>
    <w:p w14:paraId="54F85861">
      <w:pPr>
        <w:widowControl w:val="0"/>
        <w:snapToGrid/>
        <w:spacing w:before="120" w:beforeLines="50" w:line="360" w:lineRule="auto"/>
        <w:ind w:left="-208" w:firstLine="0"/>
        <w:jc w:val="both"/>
        <w:rPr>
          <w:rFonts w:hint="eastAsia" w:ascii="仿宋" w:hAnsi="仿宋" w:eastAsia="仿宋" w:cs="仿宋"/>
          <w:b/>
          <w:kern w:val="2"/>
          <w:sz w:val="24"/>
          <w:szCs w:val="24"/>
          <w:lang w:val="en-US" w:eastAsia="zh-CN" w:bidi="ar-SA"/>
        </w:rPr>
      </w:pPr>
      <w:r>
        <w:rPr>
          <w:rFonts w:hint="eastAsia" w:ascii="仿宋" w:hAnsi="仿宋" w:eastAsia="仿宋" w:cs="仿宋"/>
          <w:b/>
          <w:kern w:val="2"/>
          <w:sz w:val="24"/>
          <w:szCs w:val="24"/>
          <w:lang w:val="en-US" w:eastAsia="zh-CN" w:bidi="ar-SA"/>
        </w:rPr>
        <w:t>品目1-1瓶装气体详细清单：</w:t>
      </w:r>
    </w:p>
    <w:tbl>
      <w:tblPr>
        <w:tblStyle w:val="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0"/>
        <w:gridCol w:w="1088"/>
        <w:gridCol w:w="625"/>
        <w:gridCol w:w="1042"/>
        <w:gridCol w:w="1345"/>
        <w:gridCol w:w="1474"/>
        <w:gridCol w:w="2132"/>
        <w:gridCol w:w="971"/>
      </w:tblGrid>
      <w:tr w14:paraId="1F874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6" w:hRule="atLeast"/>
        </w:trPr>
        <w:tc>
          <w:tcPr>
            <w:tcW w:w="328" w:type="pct"/>
            <w:vAlign w:val="center"/>
          </w:tcPr>
          <w:p w14:paraId="220C5284">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序号</w:t>
            </w:r>
          </w:p>
        </w:tc>
        <w:tc>
          <w:tcPr>
            <w:tcW w:w="585" w:type="pct"/>
            <w:vAlign w:val="center"/>
          </w:tcPr>
          <w:p w14:paraId="62AE7097">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产品名称</w:t>
            </w:r>
          </w:p>
        </w:tc>
        <w:tc>
          <w:tcPr>
            <w:tcW w:w="336" w:type="pct"/>
            <w:vAlign w:val="center"/>
          </w:tcPr>
          <w:p w14:paraId="48EF35E1">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单位</w:t>
            </w:r>
          </w:p>
        </w:tc>
        <w:tc>
          <w:tcPr>
            <w:tcW w:w="560" w:type="pct"/>
            <w:vAlign w:val="center"/>
          </w:tcPr>
          <w:p w14:paraId="02F0CD57">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规格</w:t>
            </w:r>
          </w:p>
        </w:tc>
        <w:tc>
          <w:tcPr>
            <w:tcW w:w="724" w:type="pct"/>
            <w:vAlign w:val="center"/>
          </w:tcPr>
          <w:p w14:paraId="0A4944C1">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纯度</w:t>
            </w:r>
          </w:p>
        </w:tc>
        <w:tc>
          <w:tcPr>
            <w:tcW w:w="794" w:type="pct"/>
            <w:vAlign w:val="center"/>
          </w:tcPr>
          <w:p w14:paraId="380CA74D">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气体压力</w:t>
            </w:r>
          </w:p>
        </w:tc>
        <w:tc>
          <w:tcPr>
            <w:tcW w:w="1147" w:type="pct"/>
            <w:vAlign w:val="center"/>
          </w:tcPr>
          <w:p w14:paraId="03CE170B">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最高限价(含税)</w:t>
            </w:r>
          </w:p>
        </w:tc>
        <w:tc>
          <w:tcPr>
            <w:tcW w:w="522" w:type="pct"/>
            <w:vAlign w:val="center"/>
          </w:tcPr>
          <w:p w14:paraId="4C0C3029">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年采购预估量</w:t>
            </w:r>
          </w:p>
        </w:tc>
      </w:tr>
      <w:tr w14:paraId="7A4E3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328" w:type="pct"/>
            <w:vMerge w:val="restart"/>
            <w:vAlign w:val="center"/>
          </w:tcPr>
          <w:p w14:paraId="2E06743B">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w:t>
            </w:r>
          </w:p>
        </w:tc>
        <w:tc>
          <w:tcPr>
            <w:tcW w:w="585" w:type="pct"/>
            <w:vMerge w:val="restart"/>
            <w:vAlign w:val="center"/>
          </w:tcPr>
          <w:p w14:paraId="51123C7E">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lang w:eastAsia="zh-CN"/>
              </w:rPr>
            </w:pPr>
            <w:r>
              <w:rPr>
                <w:rFonts w:hint="eastAsia" w:ascii="仿宋" w:hAnsi="仿宋" w:eastAsia="仿宋" w:cs="仿宋"/>
                <w:kern w:val="0"/>
                <w:szCs w:val="21"/>
                <w:lang w:eastAsia="zh-CN"/>
              </w:rPr>
              <w:t>医用氧</w:t>
            </w:r>
          </w:p>
          <w:p w14:paraId="5DC8173D">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lang w:eastAsia="zh-CN"/>
              </w:rPr>
            </w:pPr>
            <w:r>
              <w:rPr>
                <w:rFonts w:hint="eastAsia" w:ascii="仿宋" w:hAnsi="仿宋" w:eastAsia="仿宋" w:cs="仿宋"/>
                <w:kern w:val="0"/>
                <w:szCs w:val="21"/>
                <w:lang w:eastAsia="zh-CN"/>
              </w:rPr>
              <w:t>气态</w:t>
            </w:r>
          </w:p>
        </w:tc>
        <w:tc>
          <w:tcPr>
            <w:tcW w:w="336" w:type="pct"/>
            <w:vAlign w:val="center"/>
          </w:tcPr>
          <w:p w14:paraId="195FC7B5">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瓶</w:t>
            </w:r>
          </w:p>
        </w:tc>
        <w:tc>
          <w:tcPr>
            <w:tcW w:w="560" w:type="pct"/>
            <w:vAlign w:val="center"/>
          </w:tcPr>
          <w:p w14:paraId="2BEADDB8">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3升</w:t>
            </w:r>
          </w:p>
        </w:tc>
        <w:tc>
          <w:tcPr>
            <w:tcW w:w="724" w:type="pct"/>
            <w:vAlign w:val="center"/>
          </w:tcPr>
          <w:p w14:paraId="340A8C03">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≥99.5%</w:t>
            </w:r>
          </w:p>
        </w:tc>
        <w:tc>
          <w:tcPr>
            <w:tcW w:w="794" w:type="pct"/>
            <w:vAlign w:val="center"/>
          </w:tcPr>
          <w:p w14:paraId="77B08AC3">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14.7MPa</w:t>
            </w:r>
          </w:p>
        </w:tc>
        <w:tc>
          <w:tcPr>
            <w:tcW w:w="1147" w:type="pct"/>
            <w:vAlign w:val="center"/>
          </w:tcPr>
          <w:p w14:paraId="55508C88">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lang w:val="en-US" w:eastAsia="zh-CN"/>
              </w:rPr>
              <w:t>36</w:t>
            </w:r>
            <w:r>
              <w:rPr>
                <w:rFonts w:hint="eastAsia" w:ascii="仿宋" w:hAnsi="仿宋" w:eastAsia="仿宋" w:cs="仿宋"/>
                <w:kern w:val="0"/>
                <w:szCs w:val="21"/>
              </w:rPr>
              <w:t>元/瓶</w:t>
            </w:r>
          </w:p>
        </w:tc>
        <w:tc>
          <w:tcPr>
            <w:tcW w:w="522" w:type="pct"/>
            <w:vAlign w:val="center"/>
          </w:tcPr>
          <w:p w14:paraId="18CCC547">
            <w:pPr>
              <w:keepNext w:val="0"/>
              <w:keepLines w:val="0"/>
              <w:widowControl/>
              <w:suppressLineNumbers w:val="0"/>
              <w:spacing w:before="0" w:beforeAutospacing="0" w:after="0" w:afterAutospacing="0"/>
              <w:ind w:left="0" w:right="0"/>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10</w:t>
            </w:r>
          </w:p>
        </w:tc>
      </w:tr>
      <w:tr w14:paraId="6018C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328" w:type="pct"/>
            <w:vMerge w:val="continue"/>
            <w:vAlign w:val="center"/>
          </w:tcPr>
          <w:p w14:paraId="56811A5E">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p>
        </w:tc>
        <w:tc>
          <w:tcPr>
            <w:tcW w:w="585" w:type="pct"/>
            <w:vMerge w:val="continue"/>
            <w:vAlign w:val="center"/>
          </w:tcPr>
          <w:p w14:paraId="4CDE4B5D">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p>
        </w:tc>
        <w:tc>
          <w:tcPr>
            <w:tcW w:w="336" w:type="pct"/>
            <w:vAlign w:val="center"/>
          </w:tcPr>
          <w:p w14:paraId="019B8B7A">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瓶</w:t>
            </w:r>
          </w:p>
        </w:tc>
        <w:tc>
          <w:tcPr>
            <w:tcW w:w="560" w:type="pct"/>
            <w:vAlign w:val="center"/>
          </w:tcPr>
          <w:p w14:paraId="03475B67">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40升</w:t>
            </w:r>
          </w:p>
        </w:tc>
        <w:tc>
          <w:tcPr>
            <w:tcW w:w="724" w:type="pct"/>
            <w:vAlign w:val="center"/>
          </w:tcPr>
          <w:p w14:paraId="68929C9C">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≥99.5%</w:t>
            </w:r>
          </w:p>
        </w:tc>
        <w:tc>
          <w:tcPr>
            <w:tcW w:w="794" w:type="pct"/>
            <w:vAlign w:val="center"/>
          </w:tcPr>
          <w:p w14:paraId="73A9BFF9">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14.7MPa</w:t>
            </w:r>
          </w:p>
        </w:tc>
        <w:tc>
          <w:tcPr>
            <w:tcW w:w="1147" w:type="pct"/>
            <w:vAlign w:val="center"/>
          </w:tcPr>
          <w:p w14:paraId="279FE91C">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lang w:val="en-US" w:eastAsia="zh-CN"/>
              </w:rPr>
              <w:t>55</w:t>
            </w:r>
            <w:r>
              <w:rPr>
                <w:rFonts w:hint="eastAsia" w:ascii="仿宋" w:hAnsi="仿宋" w:eastAsia="仿宋" w:cs="仿宋"/>
              </w:rPr>
              <w:t>元/瓶</w:t>
            </w:r>
          </w:p>
        </w:tc>
        <w:tc>
          <w:tcPr>
            <w:tcW w:w="522" w:type="pct"/>
            <w:vAlign w:val="center"/>
          </w:tcPr>
          <w:p w14:paraId="2C43A747">
            <w:pPr>
              <w:keepNext w:val="0"/>
              <w:keepLines w:val="0"/>
              <w:widowControl/>
              <w:suppressLineNumbers w:val="0"/>
              <w:spacing w:before="0" w:beforeAutospacing="0" w:after="0" w:afterAutospacing="0"/>
              <w:ind w:left="0" w:right="0"/>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1480</w:t>
            </w:r>
          </w:p>
        </w:tc>
      </w:tr>
      <w:tr w14:paraId="69FE1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328" w:type="pct"/>
            <w:vMerge w:val="restart"/>
            <w:vAlign w:val="center"/>
          </w:tcPr>
          <w:p w14:paraId="31CDEC70">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w:t>
            </w:r>
          </w:p>
        </w:tc>
        <w:tc>
          <w:tcPr>
            <w:tcW w:w="585" w:type="pct"/>
            <w:vMerge w:val="restart"/>
            <w:vAlign w:val="center"/>
          </w:tcPr>
          <w:p w14:paraId="6AEA4B05">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高纯二氧化碳</w:t>
            </w:r>
          </w:p>
        </w:tc>
        <w:tc>
          <w:tcPr>
            <w:tcW w:w="336" w:type="pct"/>
            <w:tcBorders>
              <w:bottom w:val="single" w:color="auto" w:sz="4" w:space="0"/>
            </w:tcBorders>
            <w:vAlign w:val="center"/>
          </w:tcPr>
          <w:p w14:paraId="09A07769">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瓶</w:t>
            </w:r>
          </w:p>
        </w:tc>
        <w:tc>
          <w:tcPr>
            <w:tcW w:w="560" w:type="pct"/>
            <w:vAlign w:val="center"/>
          </w:tcPr>
          <w:p w14:paraId="7EB78E60">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8升</w:t>
            </w:r>
          </w:p>
        </w:tc>
        <w:tc>
          <w:tcPr>
            <w:tcW w:w="724" w:type="pct"/>
            <w:vAlign w:val="center"/>
          </w:tcPr>
          <w:p w14:paraId="1969209D">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≥99.999%</w:t>
            </w:r>
          </w:p>
        </w:tc>
        <w:tc>
          <w:tcPr>
            <w:tcW w:w="794" w:type="pct"/>
            <w:vAlign w:val="center"/>
          </w:tcPr>
          <w:p w14:paraId="4352C73C">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6.1-6.2MPa</w:t>
            </w:r>
          </w:p>
        </w:tc>
        <w:tc>
          <w:tcPr>
            <w:tcW w:w="1147" w:type="pct"/>
            <w:vAlign w:val="center"/>
          </w:tcPr>
          <w:p w14:paraId="0C80C353">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lang w:val="en-US" w:eastAsia="zh-CN"/>
              </w:rPr>
              <w:t>810</w:t>
            </w:r>
            <w:r>
              <w:rPr>
                <w:rFonts w:hint="eastAsia" w:ascii="仿宋" w:hAnsi="仿宋" w:eastAsia="仿宋" w:cs="仿宋"/>
              </w:rPr>
              <w:t>元/瓶</w:t>
            </w:r>
          </w:p>
        </w:tc>
        <w:tc>
          <w:tcPr>
            <w:tcW w:w="522" w:type="pct"/>
            <w:vAlign w:val="center"/>
          </w:tcPr>
          <w:p w14:paraId="3F406E43">
            <w:pPr>
              <w:keepNext w:val="0"/>
              <w:keepLines w:val="0"/>
              <w:widowControl/>
              <w:suppressLineNumbers w:val="0"/>
              <w:spacing w:before="0" w:beforeAutospacing="0" w:after="0" w:afterAutospacing="0"/>
              <w:ind w:left="0" w:right="0"/>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24</w:t>
            </w:r>
          </w:p>
        </w:tc>
      </w:tr>
      <w:tr w14:paraId="17F80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28" w:type="pct"/>
            <w:vMerge w:val="continue"/>
            <w:tcBorders>
              <w:bottom w:val="single" w:color="auto" w:sz="4" w:space="0"/>
            </w:tcBorders>
            <w:vAlign w:val="center"/>
          </w:tcPr>
          <w:p w14:paraId="636CE348">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p>
        </w:tc>
        <w:tc>
          <w:tcPr>
            <w:tcW w:w="585" w:type="pct"/>
            <w:vMerge w:val="continue"/>
            <w:tcBorders>
              <w:bottom w:val="single" w:color="auto" w:sz="4" w:space="0"/>
            </w:tcBorders>
            <w:vAlign w:val="center"/>
          </w:tcPr>
          <w:p w14:paraId="6AB9C182">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p>
        </w:tc>
        <w:tc>
          <w:tcPr>
            <w:tcW w:w="336" w:type="pct"/>
            <w:vAlign w:val="center"/>
          </w:tcPr>
          <w:p w14:paraId="08BCE7C0">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瓶</w:t>
            </w:r>
          </w:p>
        </w:tc>
        <w:tc>
          <w:tcPr>
            <w:tcW w:w="560" w:type="pct"/>
            <w:vAlign w:val="center"/>
          </w:tcPr>
          <w:p w14:paraId="4B5A7171">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40升</w:t>
            </w:r>
          </w:p>
        </w:tc>
        <w:tc>
          <w:tcPr>
            <w:tcW w:w="724" w:type="pct"/>
            <w:vAlign w:val="center"/>
          </w:tcPr>
          <w:p w14:paraId="5EB12A34">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≥99.999%</w:t>
            </w:r>
          </w:p>
        </w:tc>
        <w:tc>
          <w:tcPr>
            <w:tcW w:w="794" w:type="pct"/>
            <w:vAlign w:val="center"/>
          </w:tcPr>
          <w:p w14:paraId="3253A3C4">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6.1-6.2MPa</w:t>
            </w:r>
          </w:p>
        </w:tc>
        <w:tc>
          <w:tcPr>
            <w:tcW w:w="1147" w:type="pct"/>
            <w:vAlign w:val="center"/>
          </w:tcPr>
          <w:p w14:paraId="44E6DC04">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lang w:val="en-US" w:eastAsia="zh-CN"/>
              </w:rPr>
              <w:t>860</w:t>
            </w:r>
            <w:r>
              <w:rPr>
                <w:rFonts w:hint="eastAsia" w:ascii="仿宋" w:hAnsi="仿宋" w:eastAsia="仿宋" w:cs="仿宋"/>
              </w:rPr>
              <w:t>元/瓶</w:t>
            </w:r>
          </w:p>
        </w:tc>
        <w:tc>
          <w:tcPr>
            <w:tcW w:w="522" w:type="pct"/>
            <w:tcBorders>
              <w:right w:val="single" w:color="auto" w:sz="4" w:space="0"/>
            </w:tcBorders>
            <w:vAlign w:val="center"/>
          </w:tcPr>
          <w:p w14:paraId="5D792140">
            <w:pPr>
              <w:keepNext w:val="0"/>
              <w:keepLines w:val="0"/>
              <w:widowControl/>
              <w:suppressLineNumbers w:val="0"/>
              <w:spacing w:before="0" w:beforeAutospacing="0" w:after="0" w:afterAutospacing="0"/>
              <w:ind w:left="0" w:right="0"/>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24</w:t>
            </w:r>
          </w:p>
        </w:tc>
      </w:tr>
      <w:tr w14:paraId="5E080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328" w:type="pct"/>
            <w:tcBorders>
              <w:top w:val="single" w:color="auto" w:sz="4" w:space="0"/>
            </w:tcBorders>
            <w:vAlign w:val="center"/>
          </w:tcPr>
          <w:p w14:paraId="7285E4A4">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w:t>
            </w:r>
          </w:p>
        </w:tc>
        <w:tc>
          <w:tcPr>
            <w:tcW w:w="585" w:type="pct"/>
            <w:tcBorders>
              <w:top w:val="single" w:color="auto" w:sz="4" w:space="0"/>
            </w:tcBorders>
            <w:vAlign w:val="center"/>
          </w:tcPr>
          <w:p w14:paraId="00692451">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液氮</w:t>
            </w:r>
          </w:p>
        </w:tc>
        <w:tc>
          <w:tcPr>
            <w:tcW w:w="336" w:type="pct"/>
            <w:vAlign w:val="center"/>
          </w:tcPr>
          <w:p w14:paraId="461278BC">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lang w:eastAsia="zh-CN"/>
              </w:rPr>
            </w:pPr>
            <w:r>
              <w:rPr>
                <w:rFonts w:hint="eastAsia" w:ascii="仿宋" w:hAnsi="仿宋" w:eastAsia="仿宋" w:cs="仿宋"/>
                <w:kern w:val="0"/>
                <w:szCs w:val="21"/>
                <w:lang w:eastAsia="zh-CN"/>
              </w:rPr>
              <w:t>升</w:t>
            </w:r>
          </w:p>
        </w:tc>
        <w:tc>
          <w:tcPr>
            <w:tcW w:w="560" w:type="pct"/>
            <w:vAlign w:val="center"/>
          </w:tcPr>
          <w:p w14:paraId="1E10FA5A">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lang w:eastAsia="zh-CN"/>
              </w:rPr>
            </w:pPr>
            <w:r>
              <w:rPr>
                <w:rFonts w:hint="eastAsia" w:ascii="仿宋" w:hAnsi="仿宋" w:eastAsia="仿宋" w:cs="仿宋"/>
                <w:kern w:val="0"/>
                <w:szCs w:val="21"/>
                <w:lang w:eastAsia="zh-CN"/>
              </w:rPr>
              <w:t>升</w:t>
            </w:r>
          </w:p>
        </w:tc>
        <w:tc>
          <w:tcPr>
            <w:tcW w:w="724" w:type="pct"/>
            <w:vAlign w:val="center"/>
          </w:tcPr>
          <w:p w14:paraId="59045C69">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≥99.999%</w:t>
            </w:r>
          </w:p>
        </w:tc>
        <w:tc>
          <w:tcPr>
            <w:tcW w:w="794" w:type="pct"/>
            <w:vAlign w:val="center"/>
          </w:tcPr>
          <w:p w14:paraId="53FFD665">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p>
        </w:tc>
        <w:tc>
          <w:tcPr>
            <w:tcW w:w="1147" w:type="pct"/>
            <w:vAlign w:val="center"/>
          </w:tcPr>
          <w:p w14:paraId="4E3F73B6">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lang w:eastAsia="zh-CN"/>
              </w:rPr>
            </w:pPr>
            <w:r>
              <w:rPr>
                <w:rFonts w:hint="eastAsia" w:ascii="仿宋" w:hAnsi="仿宋" w:eastAsia="仿宋" w:cs="仿宋"/>
                <w:kern w:val="0"/>
                <w:szCs w:val="21"/>
                <w:lang w:val="en-US" w:eastAsia="zh-CN"/>
              </w:rPr>
              <w:t>10</w:t>
            </w:r>
            <w:r>
              <w:rPr>
                <w:rFonts w:hint="eastAsia" w:ascii="仿宋" w:hAnsi="仿宋" w:eastAsia="仿宋" w:cs="仿宋"/>
                <w:kern w:val="0"/>
                <w:szCs w:val="21"/>
              </w:rPr>
              <w:t>元/</w:t>
            </w:r>
            <w:r>
              <w:rPr>
                <w:rFonts w:hint="eastAsia" w:ascii="仿宋" w:hAnsi="仿宋" w:eastAsia="仿宋" w:cs="仿宋"/>
                <w:kern w:val="0"/>
                <w:szCs w:val="21"/>
                <w:lang w:eastAsia="zh-CN"/>
              </w:rPr>
              <w:t>升</w:t>
            </w:r>
          </w:p>
        </w:tc>
        <w:tc>
          <w:tcPr>
            <w:tcW w:w="522" w:type="pct"/>
            <w:vAlign w:val="center"/>
          </w:tcPr>
          <w:p w14:paraId="7B4E1AE7">
            <w:pPr>
              <w:keepNext w:val="0"/>
              <w:keepLines w:val="0"/>
              <w:widowControl/>
              <w:suppressLineNumbers w:val="0"/>
              <w:spacing w:before="0" w:beforeAutospacing="0" w:after="0" w:afterAutospacing="0"/>
              <w:ind w:left="0" w:right="0"/>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360</w:t>
            </w:r>
          </w:p>
        </w:tc>
      </w:tr>
      <w:tr w14:paraId="06DCC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4" w:hRule="atLeast"/>
        </w:trPr>
        <w:tc>
          <w:tcPr>
            <w:tcW w:w="328" w:type="pct"/>
            <w:tcBorders>
              <w:bottom w:val="single" w:color="auto" w:sz="4" w:space="0"/>
            </w:tcBorders>
            <w:vAlign w:val="center"/>
          </w:tcPr>
          <w:p w14:paraId="0B730456">
            <w:pPr>
              <w:keepNext w:val="0"/>
              <w:keepLines w:val="0"/>
              <w:widowControl/>
              <w:suppressLineNumbers w:val="0"/>
              <w:spacing w:before="0" w:beforeAutospacing="0" w:after="0" w:afterAutospacing="0"/>
              <w:ind w:left="0" w:right="0"/>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4</w:t>
            </w:r>
          </w:p>
        </w:tc>
        <w:tc>
          <w:tcPr>
            <w:tcW w:w="585" w:type="pct"/>
            <w:tcBorders>
              <w:bottom w:val="single" w:color="auto" w:sz="4" w:space="0"/>
            </w:tcBorders>
            <w:vAlign w:val="center"/>
          </w:tcPr>
          <w:p w14:paraId="5BA4978D">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高纯氮</w:t>
            </w:r>
          </w:p>
        </w:tc>
        <w:tc>
          <w:tcPr>
            <w:tcW w:w="336" w:type="pct"/>
            <w:vAlign w:val="center"/>
          </w:tcPr>
          <w:p w14:paraId="4FC2CA70">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瓶</w:t>
            </w:r>
          </w:p>
        </w:tc>
        <w:tc>
          <w:tcPr>
            <w:tcW w:w="560" w:type="pct"/>
            <w:vAlign w:val="center"/>
          </w:tcPr>
          <w:p w14:paraId="1205B7F7">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40升</w:t>
            </w:r>
          </w:p>
        </w:tc>
        <w:tc>
          <w:tcPr>
            <w:tcW w:w="724" w:type="pct"/>
            <w:vAlign w:val="center"/>
          </w:tcPr>
          <w:p w14:paraId="0CBA7A7D">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≥99.999%</w:t>
            </w:r>
          </w:p>
        </w:tc>
        <w:tc>
          <w:tcPr>
            <w:tcW w:w="794" w:type="pct"/>
            <w:vAlign w:val="center"/>
          </w:tcPr>
          <w:p w14:paraId="06EC15B3">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14.7MPa</w:t>
            </w:r>
          </w:p>
        </w:tc>
        <w:tc>
          <w:tcPr>
            <w:tcW w:w="1147" w:type="pct"/>
            <w:vAlign w:val="center"/>
          </w:tcPr>
          <w:p w14:paraId="6A182233">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lang w:val="en-US" w:eastAsia="zh-CN"/>
              </w:rPr>
              <w:t>85</w:t>
            </w:r>
            <w:r>
              <w:rPr>
                <w:rFonts w:hint="eastAsia" w:ascii="仿宋" w:hAnsi="仿宋" w:eastAsia="仿宋" w:cs="仿宋"/>
              </w:rPr>
              <w:t>元/瓶</w:t>
            </w:r>
          </w:p>
        </w:tc>
        <w:tc>
          <w:tcPr>
            <w:tcW w:w="522" w:type="pct"/>
            <w:vAlign w:val="center"/>
          </w:tcPr>
          <w:p w14:paraId="26EE7E26">
            <w:pPr>
              <w:keepNext w:val="0"/>
              <w:keepLines w:val="0"/>
              <w:widowControl/>
              <w:suppressLineNumbers w:val="0"/>
              <w:spacing w:before="0" w:beforeAutospacing="0" w:after="0" w:afterAutospacing="0"/>
              <w:ind w:left="0" w:right="0"/>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24</w:t>
            </w:r>
          </w:p>
        </w:tc>
      </w:tr>
      <w:tr w14:paraId="75210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4" w:hRule="atLeast"/>
        </w:trPr>
        <w:tc>
          <w:tcPr>
            <w:tcW w:w="328" w:type="pct"/>
            <w:vAlign w:val="center"/>
          </w:tcPr>
          <w:p w14:paraId="2C31A73D">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5</w:t>
            </w:r>
          </w:p>
        </w:tc>
        <w:tc>
          <w:tcPr>
            <w:tcW w:w="585" w:type="pct"/>
            <w:vAlign w:val="center"/>
          </w:tcPr>
          <w:p w14:paraId="40BC7E55">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lang w:eastAsia="zh-CN"/>
              </w:rPr>
            </w:pPr>
            <w:r>
              <w:rPr>
                <w:rFonts w:hint="eastAsia" w:ascii="仿宋" w:hAnsi="仿宋" w:eastAsia="仿宋" w:cs="仿宋"/>
                <w:kern w:val="0"/>
                <w:szCs w:val="21"/>
                <w:lang w:eastAsia="zh-CN"/>
              </w:rPr>
              <w:t>医用笑气</w:t>
            </w:r>
          </w:p>
        </w:tc>
        <w:tc>
          <w:tcPr>
            <w:tcW w:w="336" w:type="pct"/>
            <w:vAlign w:val="center"/>
          </w:tcPr>
          <w:p w14:paraId="1E725AD6">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瓶</w:t>
            </w:r>
          </w:p>
        </w:tc>
        <w:tc>
          <w:tcPr>
            <w:tcW w:w="560" w:type="pct"/>
            <w:vAlign w:val="center"/>
          </w:tcPr>
          <w:p w14:paraId="25782136">
            <w:pPr>
              <w:keepNext w:val="0"/>
              <w:keepLines w:val="0"/>
              <w:widowControl/>
              <w:suppressLineNumbers w:val="0"/>
              <w:spacing w:before="0" w:beforeAutospacing="0" w:after="0" w:afterAutospacing="0"/>
              <w:ind w:left="0" w:right="0"/>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40升</w:t>
            </w:r>
          </w:p>
        </w:tc>
        <w:tc>
          <w:tcPr>
            <w:tcW w:w="724" w:type="pct"/>
            <w:vAlign w:val="center"/>
          </w:tcPr>
          <w:p w14:paraId="04A5EB49">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kern w:val="0"/>
                <w:szCs w:val="21"/>
              </w:rPr>
              <w:t>≥99.99%</w:t>
            </w:r>
          </w:p>
        </w:tc>
        <w:tc>
          <w:tcPr>
            <w:tcW w:w="794" w:type="pct"/>
            <w:vAlign w:val="center"/>
          </w:tcPr>
          <w:p w14:paraId="619143AA">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p>
        </w:tc>
        <w:tc>
          <w:tcPr>
            <w:tcW w:w="1147" w:type="pct"/>
            <w:vAlign w:val="center"/>
          </w:tcPr>
          <w:p w14:paraId="3ECD3F93">
            <w:pPr>
              <w:keepNext w:val="0"/>
              <w:keepLines w:val="0"/>
              <w:widowControl/>
              <w:suppressLineNumbers w:val="0"/>
              <w:spacing w:before="0" w:beforeAutospacing="0" w:after="0" w:afterAutospacing="0"/>
              <w:ind w:left="0" w:right="0"/>
              <w:jc w:val="center"/>
              <w:rPr>
                <w:rFonts w:hint="eastAsia" w:ascii="仿宋" w:hAnsi="仿宋" w:eastAsia="仿宋" w:cs="仿宋"/>
                <w:kern w:val="0"/>
                <w:szCs w:val="21"/>
              </w:rPr>
            </w:pPr>
            <w:r>
              <w:rPr>
                <w:rFonts w:hint="eastAsia" w:ascii="仿宋" w:hAnsi="仿宋" w:eastAsia="仿宋" w:cs="仿宋"/>
                <w:lang w:val="en-US" w:eastAsia="zh-CN"/>
              </w:rPr>
              <w:t>1250</w:t>
            </w:r>
            <w:r>
              <w:rPr>
                <w:rFonts w:hint="eastAsia" w:ascii="仿宋" w:hAnsi="仿宋" w:eastAsia="仿宋" w:cs="仿宋"/>
              </w:rPr>
              <w:t>元/瓶</w:t>
            </w:r>
          </w:p>
        </w:tc>
        <w:tc>
          <w:tcPr>
            <w:tcW w:w="522" w:type="pct"/>
            <w:vAlign w:val="center"/>
          </w:tcPr>
          <w:p w14:paraId="3664DAF5">
            <w:pPr>
              <w:keepNext w:val="0"/>
              <w:keepLines w:val="0"/>
              <w:widowControl/>
              <w:suppressLineNumbers w:val="0"/>
              <w:spacing w:before="0" w:beforeAutospacing="0" w:after="0" w:afterAutospacing="0"/>
              <w:ind w:left="0" w:right="0"/>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10</w:t>
            </w:r>
          </w:p>
        </w:tc>
      </w:tr>
    </w:tbl>
    <w:p w14:paraId="0487E07D">
      <w:pPr>
        <w:widowControl w:val="0"/>
        <w:snapToGrid/>
        <w:spacing w:before="120" w:beforeLines="50" w:line="360" w:lineRule="auto"/>
        <w:ind w:left="-208" w:firstLine="0"/>
        <w:jc w:val="both"/>
        <w:rPr>
          <w:rFonts w:hint="eastAsia" w:ascii="仿宋" w:hAnsi="仿宋" w:eastAsia="仿宋" w:cs="仿宋"/>
          <w:b/>
          <w:kern w:val="2"/>
          <w:sz w:val="24"/>
          <w:szCs w:val="24"/>
          <w:lang w:val="en-US" w:eastAsia="zh-CN" w:bidi="ar-SA"/>
        </w:rPr>
      </w:pPr>
      <w:r>
        <w:rPr>
          <w:rFonts w:hint="eastAsia" w:ascii="仿宋" w:hAnsi="仿宋" w:eastAsia="仿宋" w:cs="仿宋"/>
          <w:b/>
          <w:kern w:val="2"/>
          <w:sz w:val="24"/>
          <w:szCs w:val="24"/>
          <w:lang w:val="en-US" w:eastAsia="zh-CN" w:bidi="ar-SA"/>
        </w:rPr>
        <w:t>品目1-2医用液氧详细清单：</w:t>
      </w:r>
    </w:p>
    <w:tbl>
      <w:tblPr>
        <w:tblStyle w:val="2"/>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86"/>
        <w:gridCol w:w="857"/>
        <w:gridCol w:w="992"/>
        <w:gridCol w:w="1296"/>
        <w:gridCol w:w="1256"/>
        <w:gridCol w:w="1842"/>
        <w:gridCol w:w="1276"/>
      </w:tblGrid>
      <w:tr w14:paraId="3345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17" w:type="dxa"/>
            <w:vAlign w:val="center"/>
          </w:tcPr>
          <w:p w14:paraId="19B0288C">
            <w:pPr>
              <w:keepNext w:val="0"/>
              <w:keepLines w:val="0"/>
              <w:suppressLineNumbers w:val="0"/>
              <w:spacing w:before="0" w:beforeAutospacing="0" w:after="0" w:afterAutospacing="0" w:line="240" w:lineRule="auto"/>
              <w:ind w:left="0" w:right="0"/>
              <w:jc w:val="center"/>
              <w:rPr>
                <w:rFonts w:hint="eastAsia" w:ascii="仿宋" w:hAnsi="仿宋" w:eastAsia="仿宋" w:cs="仿宋"/>
                <w:bCs/>
                <w:sz w:val="24"/>
              </w:rPr>
            </w:pPr>
            <w:r>
              <w:rPr>
                <w:rFonts w:hint="eastAsia" w:ascii="仿宋" w:hAnsi="仿宋" w:eastAsia="仿宋" w:cs="仿宋"/>
                <w:bCs/>
                <w:sz w:val="24"/>
              </w:rPr>
              <w:t>序号</w:t>
            </w:r>
          </w:p>
        </w:tc>
        <w:tc>
          <w:tcPr>
            <w:tcW w:w="986" w:type="dxa"/>
            <w:vAlign w:val="center"/>
          </w:tcPr>
          <w:p w14:paraId="457A6201">
            <w:pPr>
              <w:keepNext w:val="0"/>
              <w:keepLines w:val="0"/>
              <w:suppressLineNumbers w:val="0"/>
              <w:spacing w:before="0" w:beforeAutospacing="0" w:after="0" w:afterAutospacing="0" w:line="240" w:lineRule="auto"/>
              <w:ind w:left="0" w:right="0"/>
              <w:jc w:val="center"/>
              <w:rPr>
                <w:rFonts w:hint="eastAsia" w:ascii="仿宋" w:hAnsi="仿宋" w:eastAsia="仿宋" w:cs="仿宋"/>
                <w:bCs/>
                <w:sz w:val="24"/>
              </w:rPr>
            </w:pPr>
            <w:r>
              <w:rPr>
                <w:rFonts w:hint="eastAsia" w:ascii="仿宋" w:hAnsi="仿宋" w:eastAsia="仿宋" w:cs="仿宋"/>
                <w:bCs/>
                <w:sz w:val="24"/>
              </w:rPr>
              <w:t>产品名称</w:t>
            </w:r>
          </w:p>
        </w:tc>
        <w:tc>
          <w:tcPr>
            <w:tcW w:w="857" w:type="dxa"/>
            <w:vAlign w:val="center"/>
          </w:tcPr>
          <w:p w14:paraId="7DBF3378">
            <w:pPr>
              <w:keepNext w:val="0"/>
              <w:keepLines w:val="0"/>
              <w:suppressLineNumbers w:val="0"/>
              <w:spacing w:before="0" w:beforeAutospacing="0" w:after="0" w:afterAutospacing="0" w:line="240" w:lineRule="auto"/>
              <w:ind w:left="0" w:right="0"/>
              <w:jc w:val="center"/>
              <w:rPr>
                <w:rFonts w:hint="eastAsia" w:ascii="仿宋" w:hAnsi="仿宋" w:eastAsia="仿宋" w:cs="仿宋"/>
                <w:bCs/>
                <w:sz w:val="24"/>
              </w:rPr>
            </w:pPr>
            <w:r>
              <w:rPr>
                <w:rFonts w:hint="eastAsia" w:ascii="仿宋" w:hAnsi="仿宋" w:eastAsia="仿宋" w:cs="仿宋"/>
                <w:bCs/>
                <w:sz w:val="24"/>
              </w:rPr>
              <w:t>单位</w:t>
            </w:r>
          </w:p>
        </w:tc>
        <w:tc>
          <w:tcPr>
            <w:tcW w:w="992" w:type="dxa"/>
            <w:vAlign w:val="center"/>
          </w:tcPr>
          <w:p w14:paraId="5860CC87">
            <w:pPr>
              <w:keepNext w:val="0"/>
              <w:keepLines w:val="0"/>
              <w:suppressLineNumbers w:val="0"/>
              <w:spacing w:before="0" w:beforeAutospacing="0" w:after="0" w:afterAutospacing="0" w:line="240" w:lineRule="auto"/>
              <w:ind w:left="0" w:right="0"/>
              <w:jc w:val="center"/>
              <w:rPr>
                <w:rFonts w:hint="eastAsia" w:ascii="仿宋" w:hAnsi="仿宋" w:eastAsia="仿宋" w:cs="仿宋"/>
                <w:bCs/>
                <w:sz w:val="24"/>
              </w:rPr>
            </w:pPr>
            <w:r>
              <w:rPr>
                <w:rFonts w:hint="eastAsia" w:ascii="仿宋" w:hAnsi="仿宋" w:eastAsia="仿宋" w:cs="仿宋"/>
                <w:bCs/>
                <w:sz w:val="24"/>
              </w:rPr>
              <w:t>纯度</w:t>
            </w:r>
          </w:p>
        </w:tc>
        <w:tc>
          <w:tcPr>
            <w:tcW w:w="1296" w:type="dxa"/>
            <w:vAlign w:val="center"/>
          </w:tcPr>
          <w:p w14:paraId="66B92B46">
            <w:pPr>
              <w:keepNext w:val="0"/>
              <w:keepLines w:val="0"/>
              <w:suppressLineNumbers w:val="0"/>
              <w:spacing w:before="0" w:beforeAutospacing="0" w:after="0" w:afterAutospacing="0" w:line="240" w:lineRule="auto"/>
              <w:ind w:left="0" w:right="0"/>
              <w:jc w:val="center"/>
              <w:rPr>
                <w:rFonts w:hint="eastAsia" w:ascii="仿宋" w:hAnsi="仿宋" w:eastAsia="仿宋" w:cs="仿宋"/>
                <w:bCs/>
                <w:sz w:val="24"/>
              </w:rPr>
            </w:pPr>
            <w:r>
              <w:rPr>
                <w:rFonts w:hint="eastAsia" w:ascii="仿宋" w:hAnsi="仿宋" w:eastAsia="仿宋" w:cs="仿宋"/>
                <w:bCs/>
                <w:sz w:val="24"/>
              </w:rPr>
              <w:t>执行标准</w:t>
            </w:r>
          </w:p>
        </w:tc>
        <w:tc>
          <w:tcPr>
            <w:tcW w:w="1256" w:type="dxa"/>
            <w:vAlign w:val="center"/>
          </w:tcPr>
          <w:p w14:paraId="71F49800">
            <w:pPr>
              <w:keepNext w:val="0"/>
              <w:keepLines w:val="0"/>
              <w:suppressLineNumbers w:val="0"/>
              <w:spacing w:before="0" w:beforeAutospacing="0" w:after="0" w:afterAutospacing="0" w:line="240" w:lineRule="auto"/>
              <w:ind w:left="0" w:right="0"/>
              <w:jc w:val="center"/>
              <w:rPr>
                <w:rFonts w:hint="eastAsia" w:ascii="仿宋" w:hAnsi="仿宋" w:eastAsia="仿宋" w:cs="仿宋"/>
                <w:bCs/>
                <w:sz w:val="24"/>
              </w:rPr>
            </w:pPr>
            <w:r>
              <w:rPr>
                <w:rFonts w:hint="eastAsia" w:ascii="仿宋" w:hAnsi="仿宋" w:eastAsia="仿宋" w:cs="仿宋"/>
                <w:bCs/>
                <w:sz w:val="24"/>
              </w:rPr>
              <w:t>备注</w:t>
            </w:r>
          </w:p>
        </w:tc>
        <w:tc>
          <w:tcPr>
            <w:tcW w:w="1842" w:type="dxa"/>
            <w:vAlign w:val="center"/>
          </w:tcPr>
          <w:p w14:paraId="4E8DE90E">
            <w:pPr>
              <w:keepNext w:val="0"/>
              <w:keepLines w:val="0"/>
              <w:suppressLineNumbers w:val="0"/>
              <w:spacing w:before="0" w:beforeAutospacing="0" w:after="0" w:afterAutospacing="0" w:line="240" w:lineRule="auto"/>
              <w:ind w:left="0" w:right="0"/>
              <w:jc w:val="center"/>
              <w:rPr>
                <w:rFonts w:hint="eastAsia" w:ascii="仿宋" w:hAnsi="仿宋" w:eastAsia="仿宋" w:cs="仿宋"/>
                <w:bCs/>
                <w:sz w:val="24"/>
              </w:rPr>
            </w:pPr>
            <w:r>
              <w:rPr>
                <w:rFonts w:hint="eastAsia" w:ascii="仿宋" w:hAnsi="仿宋" w:eastAsia="仿宋" w:cs="仿宋"/>
                <w:bCs/>
                <w:sz w:val="24"/>
              </w:rPr>
              <w:t>产品单价 (含税即最高限价)</w:t>
            </w:r>
          </w:p>
        </w:tc>
        <w:tc>
          <w:tcPr>
            <w:tcW w:w="1276" w:type="dxa"/>
            <w:vAlign w:val="center"/>
          </w:tcPr>
          <w:p w14:paraId="008DDD7F">
            <w:pPr>
              <w:keepNext w:val="0"/>
              <w:keepLines w:val="0"/>
              <w:suppressLineNumbers w:val="0"/>
              <w:spacing w:before="0" w:beforeAutospacing="0" w:after="0" w:afterAutospacing="0" w:line="240" w:lineRule="auto"/>
              <w:ind w:left="0" w:right="0"/>
              <w:jc w:val="center"/>
              <w:rPr>
                <w:rFonts w:hint="eastAsia" w:ascii="仿宋" w:hAnsi="仿宋" w:eastAsia="仿宋" w:cs="仿宋"/>
                <w:bCs/>
                <w:sz w:val="24"/>
              </w:rPr>
            </w:pPr>
            <w:r>
              <w:rPr>
                <w:rFonts w:hint="eastAsia" w:ascii="仿宋" w:hAnsi="仿宋" w:eastAsia="仿宋" w:cs="仿宋"/>
                <w:bCs/>
                <w:sz w:val="24"/>
              </w:rPr>
              <w:t>年采购预估量</w:t>
            </w:r>
          </w:p>
        </w:tc>
      </w:tr>
      <w:tr w14:paraId="25BF5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817" w:type="dxa"/>
            <w:vAlign w:val="center"/>
          </w:tcPr>
          <w:p w14:paraId="305A3D93">
            <w:pPr>
              <w:keepNext w:val="0"/>
              <w:keepLines w:val="0"/>
              <w:suppressLineNumbers w:val="0"/>
              <w:spacing w:before="0" w:beforeAutospacing="0" w:after="0" w:afterAutospacing="0" w:line="240" w:lineRule="auto"/>
              <w:ind w:left="0" w:right="0"/>
              <w:jc w:val="center"/>
              <w:rPr>
                <w:rFonts w:hint="eastAsia" w:ascii="仿宋" w:hAnsi="仿宋" w:eastAsia="仿宋" w:cs="仿宋"/>
                <w:bCs/>
                <w:sz w:val="24"/>
              </w:rPr>
            </w:pPr>
            <w:r>
              <w:rPr>
                <w:rFonts w:hint="eastAsia" w:ascii="仿宋" w:hAnsi="仿宋" w:eastAsia="仿宋" w:cs="仿宋"/>
                <w:sz w:val="24"/>
              </w:rPr>
              <w:t>1</w:t>
            </w:r>
          </w:p>
        </w:tc>
        <w:tc>
          <w:tcPr>
            <w:tcW w:w="986" w:type="dxa"/>
            <w:vAlign w:val="center"/>
          </w:tcPr>
          <w:p w14:paraId="704B2A94">
            <w:pPr>
              <w:keepNext w:val="0"/>
              <w:keepLines w:val="0"/>
              <w:suppressLineNumbers w:val="0"/>
              <w:spacing w:before="0" w:beforeAutospacing="0" w:after="0" w:afterAutospacing="0" w:line="240" w:lineRule="auto"/>
              <w:ind w:left="0" w:right="0"/>
              <w:jc w:val="center"/>
              <w:rPr>
                <w:rFonts w:hint="eastAsia" w:ascii="仿宋" w:hAnsi="仿宋" w:eastAsia="仿宋" w:cs="仿宋"/>
                <w:bCs/>
                <w:sz w:val="24"/>
              </w:rPr>
            </w:pPr>
            <w:r>
              <w:rPr>
                <w:rFonts w:hint="eastAsia" w:ascii="仿宋" w:hAnsi="仿宋" w:eastAsia="仿宋" w:cs="仿宋"/>
                <w:bCs/>
                <w:sz w:val="24"/>
              </w:rPr>
              <w:t>医用液氧</w:t>
            </w:r>
          </w:p>
        </w:tc>
        <w:tc>
          <w:tcPr>
            <w:tcW w:w="857" w:type="dxa"/>
            <w:vAlign w:val="center"/>
          </w:tcPr>
          <w:p w14:paraId="2481E903">
            <w:pPr>
              <w:keepNext w:val="0"/>
              <w:keepLines w:val="0"/>
              <w:suppressLineNumbers w:val="0"/>
              <w:spacing w:before="0" w:beforeAutospacing="0" w:after="0" w:afterAutospacing="0" w:line="240" w:lineRule="auto"/>
              <w:ind w:left="0" w:right="0"/>
              <w:jc w:val="center"/>
              <w:rPr>
                <w:rFonts w:hint="eastAsia" w:ascii="仿宋" w:hAnsi="仿宋" w:eastAsia="仿宋" w:cs="仿宋"/>
                <w:bCs/>
                <w:sz w:val="24"/>
              </w:rPr>
            </w:pPr>
            <w:r>
              <w:rPr>
                <w:rFonts w:hint="eastAsia" w:ascii="仿宋" w:hAnsi="仿宋" w:eastAsia="仿宋" w:cs="仿宋"/>
                <w:bCs/>
                <w:sz w:val="24"/>
              </w:rPr>
              <w:t>吨</w:t>
            </w:r>
          </w:p>
        </w:tc>
        <w:tc>
          <w:tcPr>
            <w:tcW w:w="992" w:type="dxa"/>
            <w:vAlign w:val="center"/>
          </w:tcPr>
          <w:p w14:paraId="0EAA4E3A">
            <w:pPr>
              <w:keepNext w:val="0"/>
              <w:keepLines w:val="0"/>
              <w:suppressLineNumbers w:val="0"/>
              <w:spacing w:before="0" w:beforeAutospacing="0" w:after="0" w:afterAutospacing="0" w:line="240" w:lineRule="auto"/>
              <w:ind w:left="0" w:right="0"/>
              <w:jc w:val="center"/>
              <w:rPr>
                <w:rFonts w:hint="eastAsia" w:ascii="仿宋" w:hAnsi="仿宋" w:eastAsia="仿宋" w:cs="仿宋"/>
                <w:bCs/>
                <w:sz w:val="24"/>
              </w:rPr>
            </w:pPr>
            <w:r>
              <w:rPr>
                <w:rFonts w:hint="eastAsia" w:ascii="仿宋" w:hAnsi="仿宋" w:eastAsia="仿宋" w:cs="仿宋"/>
                <w:bCs/>
                <w:sz w:val="24"/>
              </w:rPr>
              <w:t>99.5%</w:t>
            </w:r>
          </w:p>
        </w:tc>
        <w:tc>
          <w:tcPr>
            <w:tcW w:w="1296" w:type="dxa"/>
            <w:vAlign w:val="center"/>
          </w:tcPr>
          <w:p w14:paraId="0E09E090">
            <w:pPr>
              <w:keepNext w:val="0"/>
              <w:keepLines w:val="0"/>
              <w:suppressLineNumbers w:val="0"/>
              <w:spacing w:before="0" w:beforeAutospacing="0" w:after="0" w:afterAutospacing="0" w:line="240" w:lineRule="auto"/>
              <w:ind w:left="0" w:right="0"/>
              <w:jc w:val="center"/>
              <w:rPr>
                <w:rFonts w:hint="eastAsia" w:ascii="仿宋" w:hAnsi="仿宋" w:eastAsia="仿宋" w:cs="仿宋"/>
                <w:bCs/>
                <w:sz w:val="24"/>
              </w:rPr>
            </w:pPr>
            <w:r>
              <w:rPr>
                <w:rFonts w:hint="eastAsia" w:ascii="仿宋" w:hAnsi="仿宋" w:eastAsia="仿宋" w:cs="仿宋"/>
                <w:bCs/>
                <w:sz w:val="24"/>
              </w:rPr>
              <w:t>中国药典2020版</w:t>
            </w:r>
          </w:p>
        </w:tc>
        <w:tc>
          <w:tcPr>
            <w:tcW w:w="1256" w:type="dxa"/>
            <w:vAlign w:val="center"/>
          </w:tcPr>
          <w:p w14:paraId="79648DB8">
            <w:pPr>
              <w:keepNext w:val="0"/>
              <w:keepLines w:val="0"/>
              <w:suppressLineNumbers w:val="0"/>
              <w:spacing w:before="0" w:beforeAutospacing="0" w:after="0" w:afterAutospacing="0" w:line="240" w:lineRule="auto"/>
              <w:ind w:left="0" w:right="0"/>
              <w:jc w:val="center"/>
              <w:rPr>
                <w:rFonts w:hint="eastAsia" w:ascii="仿宋" w:hAnsi="仿宋" w:eastAsia="仿宋" w:cs="仿宋"/>
                <w:bCs/>
                <w:sz w:val="24"/>
              </w:rPr>
            </w:pPr>
            <w:r>
              <w:rPr>
                <w:rFonts w:hint="eastAsia" w:ascii="仿宋" w:hAnsi="仿宋" w:eastAsia="仿宋" w:cs="仿宋"/>
                <w:bCs/>
                <w:sz w:val="24"/>
              </w:rPr>
              <w:t>含运费</w:t>
            </w:r>
          </w:p>
        </w:tc>
        <w:tc>
          <w:tcPr>
            <w:tcW w:w="1842" w:type="dxa"/>
            <w:vAlign w:val="center"/>
          </w:tcPr>
          <w:p w14:paraId="29E1876B">
            <w:pPr>
              <w:keepNext w:val="0"/>
              <w:keepLines w:val="0"/>
              <w:suppressLineNumbers w:val="0"/>
              <w:spacing w:before="0" w:beforeAutospacing="0" w:after="0" w:afterAutospacing="0" w:line="240" w:lineRule="auto"/>
              <w:ind w:left="0" w:right="0"/>
              <w:jc w:val="center"/>
              <w:rPr>
                <w:rFonts w:hint="eastAsia" w:ascii="仿宋" w:hAnsi="仿宋" w:eastAsia="仿宋" w:cs="仿宋"/>
                <w:bCs/>
                <w:sz w:val="24"/>
              </w:rPr>
            </w:pPr>
            <w:r>
              <w:rPr>
                <w:rFonts w:hint="eastAsia" w:ascii="仿宋" w:hAnsi="仿宋" w:eastAsia="仿宋" w:cs="仿宋"/>
                <w:bCs/>
                <w:sz w:val="24"/>
                <w:lang w:val="en-US" w:eastAsia="zh-CN"/>
              </w:rPr>
              <w:t>1600</w:t>
            </w:r>
            <w:r>
              <w:rPr>
                <w:rFonts w:hint="eastAsia" w:ascii="仿宋" w:hAnsi="仿宋" w:eastAsia="仿宋" w:cs="仿宋"/>
                <w:bCs/>
                <w:sz w:val="24"/>
              </w:rPr>
              <w:t>元/吨</w:t>
            </w:r>
          </w:p>
        </w:tc>
        <w:tc>
          <w:tcPr>
            <w:tcW w:w="1276" w:type="dxa"/>
            <w:vAlign w:val="center"/>
          </w:tcPr>
          <w:p w14:paraId="651EEAE2">
            <w:pPr>
              <w:keepNext w:val="0"/>
              <w:keepLines w:val="0"/>
              <w:suppressLineNumbers w:val="0"/>
              <w:spacing w:before="0" w:beforeAutospacing="0" w:after="0" w:afterAutospacing="0" w:line="240" w:lineRule="auto"/>
              <w:ind w:left="0" w:right="0"/>
              <w:jc w:val="center"/>
              <w:rPr>
                <w:rFonts w:hint="eastAsia" w:ascii="仿宋" w:hAnsi="仿宋" w:eastAsia="仿宋" w:cs="仿宋"/>
                <w:bCs/>
                <w:sz w:val="24"/>
              </w:rPr>
            </w:pPr>
            <w:r>
              <w:rPr>
                <w:rFonts w:hint="eastAsia" w:ascii="仿宋" w:hAnsi="仿宋" w:eastAsia="仿宋" w:cs="仿宋"/>
                <w:bCs/>
                <w:sz w:val="24"/>
                <w:lang w:val="en-US" w:eastAsia="zh-CN"/>
              </w:rPr>
              <w:t>662</w:t>
            </w:r>
            <w:r>
              <w:rPr>
                <w:rFonts w:hint="eastAsia" w:ascii="仿宋" w:hAnsi="仿宋" w:eastAsia="仿宋" w:cs="仿宋"/>
                <w:bCs/>
                <w:sz w:val="24"/>
              </w:rPr>
              <w:t>吨</w:t>
            </w:r>
          </w:p>
        </w:tc>
      </w:tr>
    </w:tbl>
    <w:p w14:paraId="6D0EBA3B">
      <w:pPr>
        <w:keepNext w:val="0"/>
        <w:keepLines w:val="0"/>
        <w:pageBreakBefore w:val="0"/>
        <w:widowControl w:val="0"/>
        <w:numPr>
          <w:ilvl w:val="0"/>
          <w:numId w:val="0"/>
        </w:numPr>
        <w:kinsoku/>
        <w:wordWrap/>
        <w:overflowPunct/>
        <w:topLinePunct w:val="0"/>
        <w:autoSpaceDE/>
        <w:autoSpaceDN/>
        <w:bidi w:val="0"/>
        <w:adjustRightInd/>
        <w:snapToGrid/>
        <w:spacing w:before="233" w:beforeLines="50" w:line="360" w:lineRule="auto"/>
        <w:ind w:leftChars="0"/>
        <w:contextualSpacing/>
        <w:jc w:val="both"/>
        <w:textAlignment w:val="auto"/>
        <w:rPr>
          <w:rFonts w:hint="eastAsia" w:ascii="仿宋" w:hAnsi="仿宋" w:eastAsia="仿宋" w:cs="仿宋"/>
          <w:b/>
          <w:kern w:val="2"/>
          <w:sz w:val="24"/>
          <w:szCs w:val="24"/>
          <w:lang w:val="en-US" w:eastAsia="zh-CN" w:bidi="ar-SA"/>
        </w:rPr>
      </w:pPr>
    </w:p>
    <w:p w14:paraId="279ABFF5">
      <w:pPr>
        <w:keepNext w:val="0"/>
        <w:keepLines w:val="0"/>
        <w:pageBreakBefore w:val="0"/>
        <w:widowControl w:val="0"/>
        <w:numPr>
          <w:ilvl w:val="0"/>
          <w:numId w:val="1"/>
        </w:numPr>
        <w:kinsoku/>
        <w:wordWrap/>
        <w:overflowPunct/>
        <w:topLinePunct w:val="0"/>
        <w:autoSpaceDE/>
        <w:autoSpaceDN/>
        <w:bidi w:val="0"/>
        <w:adjustRightInd/>
        <w:snapToGrid/>
        <w:spacing w:before="233" w:beforeLines="50" w:line="360" w:lineRule="auto"/>
        <w:ind w:left="499" w:hanging="499" w:firstLineChars="0"/>
        <w:contextualSpacing/>
        <w:jc w:val="both"/>
        <w:textAlignment w:val="auto"/>
        <w:rPr>
          <w:rFonts w:hint="eastAsia" w:ascii="仿宋" w:hAnsi="仿宋" w:eastAsia="仿宋" w:cs="仿宋"/>
          <w:b/>
          <w:kern w:val="2"/>
          <w:sz w:val="24"/>
          <w:szCs w:val="24"/>
          <w:lang w:val="en-US" w:eastAsia="zh-CN" w:bidi="ar-SA"/>
        </w:rPr>
      </w:pPr>
      <w:r>
        <w:rPr>
          <w:rFonts w:hint="eastAsia" w:ascii="仿宋" w:hAnsi="仿宋" w:eastAsia="仿宋" w:cs="仿宋"/>
          <w:b/>
          <w:kern w:val="2"/>
          <w:sz w:val="24"/>
          <w:szCs w:val="24"/>
          <w:lang w:val="en-US" w:eastAsia="zh-CN" w:bidi="ar-SA"/>
        </w:rPr>
        <w:t>商务要求</w:t>
      </w:r>
    </w:p>
    <w:p w14:paraId="60AE8B73">
      <w:pPr>
        <w:spacing w:line="360" w:lineRule="auto"/>
        <w:contextualSpacing/>
        <w:rPr>
          <w:rFonts w:hint="eastAsia" w:ascii="仿宋" w:hAnsi="仿宋" w:eastAsia="仿宋" w:cs="仿宋"/>
          <w:sz w:val="24"/>
        </w:rPr>
      </w:pPr>
      <w:r>
        <w:rPr>
          <w:rFonts w:hint="eastAsia" w:ascii="仿宋" w:hAnsi="仿宋" w:eastAsia="仿宋" w:cs="仿宋"/>
          <w:sz w:val="24"/>
        </w:rPr>
        <w:t>1. 交付（实施）的时间（期限）和地点（范围）</w:t>
      </w:r>
    </w:p>
    <w:p w14:paraId="38F24B26">
      <w:pPr>
        <w:spacing w:line="360" w:lineRule="auto"/>
        <w:ind w:firstLine="421"/>
        <w:contextualSpacing/>
        <w:rPr>
          <w:rFonts w:hint="eastAsia" w:ascii="仿宋" w:hAnsi="仿宋" w:eastAsia="仿宋" w:cs="仿宋"/>
          <w:sz w:val="24"/>
          <w:highlight w:val="none"/>
        </w:rPr>
      </w:pPr>
      <w:r>
        <w:rPr>
          <w:rFonts w:hint="eastAsia" w:ascii="仿宋" w:hAnsi="仿宋" w:eastAsia="仿宋" w:cs="仿宋"/>
          <w:sz w:val="24"/>
        </w:rPr>
        <w:t>1.1采购项目（标的）交付的时间：</w:t>
      </w:r>
      <w:r>
        <w:rPr>
          <w:rFonts w:hint="eastAsia" w:ascii="仿宋" w:hAnsi="仿宋" w:eastAsia="仿宋" w:cs="仿宋"/>
          <w:kern w:val="2"/>
          <w:sz w:val="24"/>
          <w:szCs w:val="24"/>
          <w:highlight w:val="none"/>
          <w:lang w:val="en-US" w:eastAsia="zh-CN" w:bidi="ar-SA"/>
        </w:rPr>
        <w:t>合同签订后3个月内，气体供货是按照每月实际使用数量制定采购计划，供货方按照订单数量供货。实际结算以订单为准。</w:t>
      </w:r>
    </w:p>
    <w:p w14:paraId="4B1CBA46">
      <w:pPr>
        <w:spacing w:line="360" w:lineRule="auto"/>
        <w:ind w:firstLine="421"/>
        <w:contextualSpacing/>
        <w:rPr>
          <w:rFonts w:hint="eastAsia" w:ascii="仿宋" w:hAnsi="仿宋" w:eastAsia="仿宋" w:cs="仿宋"/>
          <w:sz w:val="24"/>
        </w:rPr>
      </w:pPr>
      <w:r>
        <w:rPr>
          <w:rFonts w:hint="eastAsia" w:ascii="仿宋" w:hAnsi="仿宋" w:eastAsia="仿宋" w:cs="仿宋"/>
          <w:sz w:val="24"/>
        </w:rPr>
        <w:t>1.2采购项目（标的）实施的地点：采购人指定地点</w:t>
      </w:r>
    </w:p>
    <w:p w14:paraId="34667BE0">
      <w:pPr>
        <w:spacing w:line="360" w:lineRule="auto"/>
        <w:contextualSpacing/>
        <w:rPr>
          <w:rFonts w:hint="eastAsia" w:ascii="仿宋" w:hAnsi="仿宋" w:eastAsia="仿宋" w:cs="仿宋"/>
          <w:sz w:val="24"/>
          <w:lang w:eastAsia="zh-CN"/>
        </w:rPr>
      </w:pPr>
      <w:r>
        <w:rPr>
          <w:rFonts w:hint="eastAsia" w:ascii="仿宋" w:hAnsi="仿宋" w:eastAsia="仿宋" w:cs="仿宋"/>
          <w:sz w:val="24"/>
        </w:rPr>
        <w:t>2. 付款条件（进度和方式）：详见第六章 拟签订的合同文本</w:t>
      </w:r>
      <w:r>
        <w:rPr>
          <w:rFonts w:hint="eastAsia" w:ascii="仿宋" w:hAnsi="仿宋" w:eastAsia="仿宋" w:cs="仿宋"/>
          <w:sz w:val="24"/>
          <w:lang w:eastAsia="zh-CN"/>
        </w:rPr>
        <w:t>。</w:t>
      </w:r>
    </w:p>
    <w:p w14:paraId="3A2FA5A0">
      <w:pPr>
        <w:spacing w:line="360" w:lineRule="auto"/>
        <w:contextualSpacing/>
        <w:rPr>
          <w:rFonts w:hint="eastAsia" w:ascii="仿宋" w:hAnsi="仿宋" w:eastAsia="仿宋" w:cs="仿宋"/>
          <w:sz w:val="24"/>
          <w:lang w:eastAsia="zh-CN"/>
        </w:rPr>
      </w:pPr>
      <w:r>
        <w:rPr>
          <w:rFonts w:hint="eastAsia" w:ascii="仿宋" w:hAnsi="仿宋" w:eastAsia="仿宋" w:cs="仿宋"/>
          <w:sz w:val="24"/>
          <w:lang w:eastAsia="zh-CN"/>
        </w:rPr>
        <w:t>3. 包装和运输（如适用，须满足《关于印发〈商品包装政府采购需求标准（试行）〉、〈快递包装政府采购需求标准（试行）〉的通知》（财办库﹝2020﹞123号））</w:t>
      </w:r>
    </w:p>
    <w:p w14:paraId="69A08D89">
      <w:pPr>
        <w:spacing w:line="360" w:lineRule="auto"/>
        <w:contextualSpacing/>
        <w:rPr>
          <w:rFonts w:hint="eastAsia" w:ascii="仿宋" w:hAnsi="仿宋" w:eastAsia="仿宋" w:cs="仿宋"/>
          <w:sz w:val="24"/>
          <w:lang w:eastAsia="zh-CN"/>
        </w:rPr>
      </w:pPr>
      <w:r>
        <w:rPr>
          <w:rFonts w:hint="eastAsia" w:ascii="仿宋" w:hAnsi="仿宋" w:eastAsia="仿宋" w:cs="仿宋"/>
          <w:sz w:val="24"/>
          <w:lang w:eastAsia="zh-CN"/>
        </w:rPr>
        <w:t>4. 服务期：1年</w:t>
      </w:r>
    </w:p>
    <w:p w14:paraId="0EB0BAFF">
      <w:pPr>
        <w:widowControl w:val="0"/>
        <w:numPr>
          <w:ilvl w:val="0"/>
          <w:numId w:val="1"/>
        </w:numPr>
        <w:spacing w:line="360" w:lineRule="auto"/>
        <w:ind w:left="500" w:hanging="500" w:firstLineChars="0"/>
        <w:contextualSpacing/>
        <w:jc w:val="both"/>
        <w:rPr>
          <w:rFonts w:hint="eastAsia" w:ascii="仿宋" w:hAnsi="仿宋" w:eastAsia="仿宋" w:cs="仿宋"/>
          <w:b/>
          <w:kern w:val="2"/>
          <w:sz w:val="24"/>
          <w:szCs w:val="24"/>
          <w:lang w:val="en-US" w:eastAsia="zh-CN" w:bidi="ar-SA"/>
        </w:rPr>
      </w:pPr>
      <w:r>
        <w:rPr>
          <w:rFonts w:hint="eastAsia" w:ascii="仿宋" w:hAnsi="仿宋" w:eastAsia="仿宋" w:cs="仿宋"/>
          <w:b/>
          <w:kern w:val="2"/>
          <w:sz w:val="24"/>
          <w:szCs w:val="24"/>
          <w:lang w:val="en-US" w:eastAsia="zh-CN" w:bidi="ar-SA"/>
        </w:rPr>
        <w:t>技术要求</w:t>
      </w:r>
    </w:p>
    <w:p w14:paraId="06A62F20">
      <w:pPr>
        <w:widowControl w:val="0"/>
        <w:numPr>
          <w:ilvl w:val="0"/>
          <w:numId w:val="0"/>
        </w:numPr>
        <w:spacing w:line="360" w:lineRule="auto"/>
        <w:ind w:firstLine="480" w:firstLineChars="200"/>
        <w:contextualSpacing/>
        <w:jc w:val="both"/>
        <w:rPr>
          <w:rFonts w:hint="eastAsia" w:ascii="仿宋" w:hAnsi="仿宋" w:eastAsia="仿宋" w:cs="仿宋"/>
          <w:b w:val="0"/>
          <w:bCs/>
          <w:kern w:val="2"/>
          <w:sz w:val="24"/>
          <w:szCs w:val="24"/>
          <w:lang w:val="en-US" w:eastAsia="zh-CN" w:bidi="ar-SA"/>
        </w:rPr>
      </w:pPr>
      <w:r>
        <w:rPr>
          <w:rFonts w:hint="eastAsia" w:ascii="仿宋" w:hAnsi="仿宋" w:eastAsia="仿宋" w:cs="仿宋"/>
          <w:b w:val="0"/>
          <w:bCs/>
          <w:kern w:val="2"/>
          <w:sz w:val="24"/>
          <w:szCs w:val="24"/>
          <w:lang w:val="en-US" w:eastAsia="zh-CN" w:bidi="ar-SA"/>
        </w:rPr>
        <w:t>1. 基本要求</w:t>
      </w:r>
    </w:p>
    <w:p w14:paraId="08C7ED90">
      <w:pPr>
        <w:widowControl w:val="0"/>
        <w:numPr>
          <w:ilvl w:val="0"/>
          <w:numId w:val="0"/>
        </w:numPr>
        <w:spacing w:line="360" w:lineRule="auto"/>
        <w:ind w:firstLine="480" w:firstLineChars="200"/>
        <w:contextualSpacing/>
        <w:jc w:val="both"/>
        <w:rPr>
          <w:rFonts w:hint="eastAsia" w:ascii="仿宋" w:hAnsi="仿宋" w:eastAsia="仿宋" w:cs="仿宋"/>
          <w:b w:val="0"/>
          <w:bCs/>
          <w:kern w:val="2"/>
          <w:sz w:val="24"/>
          <w:szCs w:val="24"/>
          <w:lang w:val="en-US" w:eastAsia="zh-CN" w:bidi="ar-SA"/>
        </w:rPr>
      </w:pPr>
      <w:r>
        <w:rPr>
          <w:rFonts w:hint="eastAsia" w:ascii="仿宋" w:hAnsi="仿宋" w:eastAsia="仿宋" w:cs="仿宋"/>
          <w:b w:val="0"/>
          <w:bCs/>
          <w:kern w:val="2"/>
          <w:sz w:val="24"/>
          <w:szCs w:val="24"/>
          <w:lang w:val="en-US" w:eastAsia="zh-CN" w:bidi="ar-SA"/>
        </w:rPr>
        <w:t>1.1 采购标的需实现的功能或者目标</w:t>
      </w:r>
    </w:p>
    <w:p w14:paraId="0143D73A">
      <w:pPr>
        <w:widowControl w:val="0"/>
        <w:numPr>
          <w:ilvl w:val="0"/>
          <w:numId w:val="0"/>
        </w:numPr>
        <w:spacing w:line="360" w:lineRule="auto"/>
        <w:ind w:firstLine="480" w:firstLineChars="200"/>
        <w:contextualSpacing/>
        <w:jc w:val="both"/>
        <w:rPr>
          <w:rFonts w:hint="eastAsia" w:ascii="仿宋" w:hAnsi="仿宋" w:eastAsia="仿宋" w:cs="仿宋"/>
          <w:b w:val="0"/>
          <w:bCs/>
          <w:kern w:val="2"/>
          <w:sz w:val="24"/>
          <w:szCs w:val="24"/>
          <w:lang w:val="en-US" w:eastAsia="zh-CN" w:bidi="ar-SA"/>
        </w:rPr>
      </w:pPr>
      <w:r>
        <w:rPr>
          <w:rFonts w:hint="eastAsia" w:ascii="仿宋" w:hAnsi="仿宋" w:eastAsia="仿宋" w:cs="仿宋"/>
          <w:b w:val="0"/>
          <w:bCs/>
          <w:kern w:val="2"/>
          <w:sz w:val="24"/>
          <w:szCs w:val="24"/>
          <w:lang w:val="en-US" w:eastAsia="zh-CN" w:bidi="ar-SA"/>
        </w:rPr>
        <w:t>本次招标采购是为北京市和平里医院医用气体采购项目，供应商应根据招标文件所提出的技术规格和服务要求，综合考虑所投货物的适用性，选择需要最佳性能价格比的货物前来投标。供应商应以先进的技术、优良的服务和优惠的价格，充分显示自己的竞争实力。</w:t>
      </w:r>
    </w:p>
    <w:p w14:paraId="1DFE00D5">
      <w:pPr>
        <w:widowControl w:val="0"/>
        <w:numPr>
          <w:ilvl w:val="0"/>
          <w:numId w:val="0"/>
        </w:numPr>
        <w:spacing w:line="360" w:lineRule="auto"/>
        <w:ind w:firstLine="480" w:firstLineChars="200"/>
        <w:contextualSpacing/>
        <w:jc w:val="both"/>
        <w:rPr>
          <w:rFonts w:hint="eastAsia" w:ascii="仿宋" w:hAnsi="仿宋" w:eastAsia="仿宋" w:cs="仿宋"/>
          <w:b w:val="0"/>
          <w:bCs/>
          <w:kern w:val="2"/>
          <w:sz w:val="24"/>
          <w:szCs w:val="24"/>
          <w:lang w:val="en-US" w:eastAsia="zh-CN" w:bidi="ar-SA"/>
        </w:rPr>
      </w:pPr>
      <w:r>
        <w:rPr>
          <w:rFonts w:hint="eastAsia" w:ascii="仿宋" w:hAnsi="仿宋" w:eastAsia="仿宋" w:cs="仿宋"/>
          <w:b w:val="0"/>
          <w:bCs/>
          <w:kern w:val="2"/>
          <w:sz w:val="24"/>
          <w:szCs w:val="24"/>
          <w:lang w:val="en-US" w:eastAsia="zh-CN" w:bidi="ar-SA"/>
        </w:rPr>
        <w:t>1.2 需执行的国家相关标准、行业标准、地方标准或者其他标准、规范</w:t>
      </w:r>
    </w:p>
    <w:p w14:paraId="2F324781">
      <w:pPr>
        <w:widowControl w:val="0"/>
        <w:numPr>
          <w:ilvl w:val="0"/>
          <w:numId w:val="0"/>
        </w:numPr>
        <w:spacing w:line="360" w:lineRule="auto"/>
        <w:ind w:firstLine="480" w:firstLineChars="200"/>
        <w:contextualSpacing/>
        <w:jc w:val="both"/>
        <w:rPr>
          <w:rFonts w:hint="eastAsia" w:ascii="仿宋" w:hAnsi="仿宋" w:eastAsia="仿宋" w:cs="仿宋"/>
          <w:b w:val="0"/>
          <w:bCs/>
          <w:kern w:val="2"/>
          <w:sz w:val="24"/>
          <w:szCs w:val="24"/>
          <w:lang w:val="en-US" w:eastAsia="zh-CN" w:bidi="ar-SA"/>
        </w:rPr>
      </w:pPr>
      <w:r>
        <w:rPr>
          <w:rFonts w:hint="eastAsia" w:ascii="仿宋" w:hAnsi="仿宋" w:eastAsia="仿宋" w:cs="仿宋"/>
          <w:b w:val="0"/>
          <w:bCs/>
          <w:kern w:val="2"/>
          <w:sz w:val="24"/>
          <w:szCs w:val="24"/>
          <w:lang w:val="en-US" w:eastAsia="zh-CN" w:bidi="ar-SA"/>
        </w:rPr>
        <w:t>1.2.1.医用气体和液氧的供应应符合《中华人民共和国药典2020版》标准。</w:t>
      </w:r>
    </w:p>
    <w:p w14:paraId="0F27E0BA">
      <w:pPr>
        <w:widowControl w:val="0"/>
        <w:numPr>
          <w:ilvl w:val="0"/>
          <w:numId w:val="0"/>
        </w:numPr>
        <w:spacing w:line="360" w:lineRule="auto"/>
        <w:ind w:firstLine="480" w:firstLineChars="200"/>
        <w:contextualSpacing/>
        <w:jc w:val="both"/>
        <w:rPr>
          <w:rFonts w:hint="eastAsia" w:ascii="仿宋" w:hAnsi="仿宋" w:eastAsia="仿宋" w:cs="仿宋"/>
          <w:b w:val="0"/>
          <w:bCs/>
          <w:kern w:val="2"/>
          <w:sz w:val="24"/>
          <w:szCs w:val="24"/>
          <w:lang w:val="en-US" w:eastAsia="zh-CN" w:bidi="ar-SA"/>
        </w:rPr>
      </w:pPr>
      <w:r>
        <w:rPr>
          <w:rFonts w:hint="eastAsia" w:ascii="仿宋" w:hAnsi="仿宋" w:eastAsia="仿宋" w:cs="仿宋"/>
          <w:b w:val="0"/>
          <w:bCs/>
          <w:kern w:val="2"/>
          <w:sz w:val="24"/>
          <w:szCs w:val="24"/>
          <w:lang w:val="en-US" w:eastAsia="zh-CN" w:bidi="ar-SA"/>
        </w:rPr>
        <w:t>1.2.2.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152BCD3C">
      <w:pPr>
        <w:widowControl w:val="0"/>
        <w:numPr>
          <w:ilvl w:val="0"/>
          <w:numId w:val="0"/>
        </w:numPr>
        <w:spacing w:line="360" w:lineRule="auto"/>
        <w:ind w:firstLine="480" w:firstLineChars="200"/>
        <w:contextualSpacing/>
        <w:jc w:val="both"/>
        <w:rPr>
          <w:rFonts w:hint="eastAsia" w:ascii="仿宋" w:hAnsi="仿宋" w:eastAsia="仿宋" w:cs="仿宋"/>
          <w:b w:val="0"/>
          <w:bCs/>
          <w:kern w:val="2"/>
          <w:sz w:val="24"/>
          <w:szCs w:val="24"/>
          <w:lang w:val="en-US" w:eastAsia="zh-CN" w:bidi="ar-SA"/>
        </w:rPr>
      </w:pPr>
      <w:r>
        <w:rPr>
          <w:rFonts w:hint="eastAsia" w:ascii="仿宋" w:hAnsi="仿宋" w:eastAsia="仿宋" w:cs="仿宋"/>
          <w:b w:val="0"/>
          <w:bCs/>
          <w:kern w:val="2"/>
          <w:sz w:val="24"/>
          <w:szCs w:val="24"/>
          <w:lang w:val="en-US" w:eastAsia="zh-CN" w:bidi="ar-SA"/>
        </w:rPr>
        <w:t>1.2.3．投标产品的包装应符合《财政部等三部门联合印发商品包装和快递包装政府采购需求标准（试行）》（财办库〔2020〕123号）的规定。</w:t>
      </w:r>
    </w:p>
    <w:p w14:paraId="2F99C9E8">
      <w:pPr>
        <w:tabs>
          <w:tab w:val="left" w:pos="900"/>
        </w:tabs>
        <w:spacing w:beforeLines="50" w:line="360" w:lineRule="auto"/>
        <w:rPr>
          <w:rFonts w:hint="eastAsia" w:ascii="仿宋" w:hAnsi="仿宋" w:eastAsia="仿宋" w:cs="仿宋"/>
          <w:bCs/>
          <w:sz w:val="24"/>
        </w:rPr>
      </w:pPr>
      <w:r>
        <w:rPr>
          <w:rFonts w:hint="eastAsia" w:ascii="仿宋" w:hAnsi="仿宋" w:eastAsia="仿宋" w:cs="仿宋"/>
          <w:bCs/>
          <w:sz w:val="24"/>
        </w:rPr>
        <w:t>2.采购标的的验收标准</w:t>
      </w:r>
    </w:p>
    <w:p w14:paraId="2C4AA95E">
      <w:pPr>
        <w:tabs>
          <w:tab w:val="left" w:pos="900"/>
        </w:tabs>
        <w:spacing w:before="120" w:beforeLines="50" w:line="360" w:lineRule="auto"/>
        <w:ind w:firstLine="420" w:firstLineChars="0"/>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lang w:val="en-US" w:eastAsia="zh-CN"/>
        </w:rPr>
        <w:t>1</w:t>
      </w:r>
      <w:r>
        <w:rPr>
          <w:rFonts w:hint="eastAsia" w:ascii="仿宋" w:hAnsi="仿宋" w:eastAsia="仿宋" w:cs="仿宋"/>
          <w:sz w:val="24"/>
          <w:lang w:eastAsia="zh-CN"/>
        </w:rPr>
        <w:t>）</w:t>
      </w:r>
      <w:r>
        <w:rPr>
          <w:rFonts w:hint="eastAsia" w:ascii="仿宋" w:hAnsi="仿宋" w:eastAsia="仿宋" w:cs="仿宋"/>
          <w:sz w:val="24"/>
        </w:rPr>
        <w:t>采购人有权检验和/或测试货物，以确认货物是否符合合同规格的要求，并且不承担额外的费用。</w:t>
      </w:r>
    </w:p>
    <w:p w14:paraId="111618B7">
      <w:pPr>
        <w:tabs>
          <w:tab w:val="left" w:pos="900"/>
        </w:tabs>
        <w:spacing w:before="120" w:beforeLines="50" w:line="360" w:lineRule="auto"/>
        <w:ind w:firstLine="420" w:firstLineChars="0"/>
        <w:rPr>
          <w:rFonts w:hint="eastAsia" w:ascii="仿宋" w:hAnsi="仿宋" w:eastAsia="仿宋" w:cs="仿宋"/>
          <w:sz w:val="24"/>
        </w:rPr>
      </w:pPr>
      <w:r>
        <w:rPr>
          <w:rFonts w:hint="eastAsia" w:ascii="仿宋" w:hAnsi="仿宋" w:eastAsia="仿宋" w:cs="仿宋"/>
          <w:sz w:val="24"/>
          <w:lang w:val="en-US" w:eastAsia="zh-CN"/>
        </w:rPr>
        <w:t>（2）</w:t>
      </w:r>
      <w:r>
        <w:rPr>
          <w:rFonts w:hint="eastAsia" w:ascii="仿宋" w:hAnsi="仿宋" w:eastAsia="仿宋" w:cs="仿宋"/>
          <w:sz w:val="24"/>
        </w:rPr>
        <w:t>检验和测试在交货地或货物的最终目的地进行,具体以采购人要求为准。</w:t>
      </w:r>
    </w:p>
    <w:p w14:paraId="0D0555B8">
      <w:pPr>
        <w:tabs>
          <w:tab w:val="left" w:pos="900"/>
        </w:tabs>
        <w:spacing w:before="120" w:beforeLines="50" w:line="360" w:lineRule="auto"/>
        <w:ind w:firstLine="420" w:firstLineChars="0"/>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lang w:val="en-US" w:eastAsia="zh-CN"/>
        </w:rPr>
        <w:t>3</w:t>
      </w:r>
      <w:r>
        <w:rPr>
          <w:rFonts w:hint="eastAsia" w:ascii="仿宋" w:hAnsi="仿宋" w:eastAsia="仿宋" w:cs="仿宋"/>
          <w:sz w:val="24"/>
          <w:lang w:eastAsia="zh-CN"/>
        </w:rPr>
        <w:t>）</w:t>
      </w:r>
      <w:r>
        <w:rPr>
          <w:rFonts w:hint="eastAsia" w:ascii="仿宋" w:hAnsi="仿宋" w:eastAsia="仿宋" w:cs="仿宋"/>
          <w:sz w:val="24"/>
        </w:rPr>
        <w:t>如果任何被检验或测试的货物不能满足规格的要求，采购人可以拒绝接受该货物，中标单位应更换被拒绝的货物，或者免费进行必要的修改以满足规格的要求。</w:t>
      </w:r>
    </w:p>
    <w:p w14:paraId="7E561CD0">
      <w:pPr>
        <w:tabs>
          <w:tab w:val="left" w:pos="900"/>
        </w:tabs>
        <w:spacing w:before="120" w:beforeLines="50" w:line="360" w:lineRule="auto"/>
        <w:ind w:firstLine="420" w:firstLineChars="0"/>
        <w:rPr>
          <w:rFonts w:hint="eastAsia" w:ascii="仿宋" w:hAnsi="仿宋" w:eastAsia="仿宋" w:cs="仿宋"/>
          <w:sz w:val="24"/>
          <w:lang w:eastAsia="zh-CN"/>
        </w:rPr>
      </w:pPr>
      <w:r>
        <w:rPr>
          <w:rFonts w:hint="eastAsia" w:ascii="仿宋" w:hAnsi="仿宋" w:eastAsia="仿宋" w:cs="仿宋"/>
          <w:sz w:val="24"/>
          <w:lang w:eastAsia="zh-CN"/>
        </w:rPr>
        <w:t>（</w:t>
      </w:r>
      <w:r>
        <w:rPr>
          <w:rFonts w:hint="eastAsia" w:ascii="仿宋" w:hAnsi="仿宋" w:eastAsia="仿宋" w:cs="仿宋"/>
          <w:sz w:val="24"/>
          <w:lang w:val="en-US" w:eastAsia="zh-CN"/>
        </w:rPr>
        <w:t>4</w:t>
      </w:r>
      <w:r>
        <w:rPr>
          <w:rFonts w:hint="eastAsia" w:ascii="仿宋" w:hAnsi="仿宋" w:eastAsia="仿宋" w:cs="仿宋"/>
          <w:sz w:val="24"/>
          <w:lang w:eastAsia="zh-CN"/>
        </w:rPr>
        <w:t>）每次送货后需出具合格的液氧充装检验报告及瓶装氧气产品检验报告。</w:t>
      </w:r>
    </w:p>
    <w:p w14:paraId="517B65DA">
      <w:pPr>
        <w:tabs>
          <w:tab w:val="left" w:pos="900"/>
        </w:tabs>
        <w:spacing w:before="120" w:beforeLines="50" w:line="360" w:lineRule="auto"/>
        <w:ind w:firstLine="420" w:firstLineChars="0"/>
        <w:rPr>
          <w:rFonts w:hint="eastAsia" w:ascii="仿宋" w:hAnsi="仿宋" w:eastAsia="仿宋" w:cs="仿宋"/>
          <w:sz w:val="24"/>
          <w:lang w:eastAsia="zh-CN"/>
        </w:rPr>
      </w:pPr>
      <w:r>
        <w:rPr>
          <w:rFonts w:hint="eastAsia" w:ascii="仿宋" w:hAnsi="仿宋" w:eastAsia="仿宋" w:cs="仿宋"/>
          <w:sz w:val="24"/>
          <w:lang w:eastAsia="zh-CN"/>
        </w:rPr>
        <w:t>（</w:t>
      </w:r>
      <w:r>
        <w:rPr>
          <w:rFonts w:hint="eastAsia" w:ascii="仿宋" w:hAnsi="仿宋" w:eastAsia="仿宋" w:cs="仿宋"/>
          <w:sz w:val="24"/>
          <w:lang w:val="en-US" w:eastAsia="zh-CN"/>
        </w:rPr>
        <w:t>5</w:t>
      </w:r>
      <w:r>
        <w:rPr>
          <w:rFonts w:hint="eastAsia" w:ascii="仿宋" w:hAnsi="仿宋" w:eastAsia="仿宋" w:cs="仿宋"/>
          <w:sz w:val="24"/>
          <w:lang w:eastAsia="zh-CN"/>
        </w:rPr>
        <w:t>）验收标准：按照合同规定的产品名称、数量、规格等相关项目进行验收，验收合格后签署书面验收合格报告。</w:t>
      </w:r>
    </w:p>
    <w:p w14:paraId="24D29F4E">
      <w:pPr>
        <w:spacing w:line="360" w:lineRule="auto"/>
        <w:contextualSpacing/>
        <w:rPr>
          <w:rFonts w:hint="eastAsia" w:ascii="仿宋" w:hAnsi="仿宋" w:eastAsia="仿宋" w:cs="仿宋"/>
          <w:sz w:val="24"/>
        </w:rPr>
      </w:pPr>
      <w:r>
        <w:rPr>
          <w:rFonts w:hint="eastAsia" w:ascii="仿宋" w:hAnsi="仿宋" w:eastAsia="仿宋" w:cs="仿宋"/>
          <w:sz w:val="24"/>
        </w:rPr>
        <w:t>3. 服务内容及要求/货物技术要求</w:t>
      </w:r>
    </w:p>
    <w:p w14:paraId="22801293">
      <w:pPr>
        <w:widowControl/>
        <w:spacing w:line="360" w:lineRule="auto"/>
        <w:ind w:left="-1"/>
        <w:contextualSpacing/>
        <w:rPr>
          <w:rFonts w:hint="eastAsia" w:ascii="仿宋" w:hAnsi="仿宋" w:eastAsia="仿宋" w:cs="仿宋"/>
          <w:sz w:val="24"/>
        </w:rPr>
      </w:pPr>
      <w:r>
        <w:rPr>
          <w:rFonts w:hint="eastAsia" w:ascii="仿宋" w:hAnsi="仿宋" w:eastAsia="仿宋" w:cs="仿宋"/>
          <w:sz w:val="24"/>
        </w:rPr>
        <w:t>3.1采购标的需满足的性能、材料、结构、外观、质量、安全、技术规格、物理特性等要求详见其他技术要求</w:t>
      </w:r>
    </w:p>
    <w:p w14:paraId="20F1A58D">
      <w:pPr>
        <w:widowControl/>
        <w:spacing w:line="360" w:lineRule="auto"/>
        <w:contextualSpacing/>
        <w:rPr>
          <w:rFonts w:hint="eastAsia" w:ascii="仿宋" w:hAnsi="仿宋" w:eastAsia="仿宋" w:cs="仿宋"/>
          <w:sz w:val="24"/>
        </w:rPr>
      </w:pPr>
      <w:r>
        <w:rPr>
          <w:rFonts w:hint="eastAsia" w:ascii="仿宋" w:hAnsi="仿宋" w:eastAsia="仿宋" w:cs="仿宋"/>
          <w:sz w:val="24"/>
        </w:rPr>
        <w:t>3.2采购标的需满足的服务标准、期限、效率等要求；</w:t>
      </w:r>
    </w:p>
    <w:p w14:paraId="2F96F366">
      <w:pPr>
        <w:tabs>
          <w:tab w:val="left" w:pos="900"/>
        </w:tabs>
        <w:spacing w:before="120" w:beforeLines="50" w:line="360" w:lineRule="auto"/>
        <w:ind w:firstLine="420" w:firstLineChars="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eastAsia="zh-CN"/>
        </w:rPr>
        <w:t>）</w:t>
      </w:r>
      <w:r>
        <w:rPr>
          <w:rFonts w:hint="eastAsia" w:ascii="仿宋" w:hAnsi="仿宋" w:eastAsia="仿宋" w:cs="仿宋"/>
          <w:sz w:val="24"/>
        </w:rPr>
        <w:t>运输车辆在运送医用气体时要严格遵守国家对危险化学品运输的相关规定。</w:t>
      </w:r>
    </w:p>
    <w:p w14:paraId="5D03BE0F">
      <w:pPr>
        <w:tabs>
          <w:tab w:val="left" w:pos="900"/>
        </w:tabs>
        <w:spacing w:before="120" w:beforeLines="50" w:line="360" w:lineRule="auto"/>
        <w:ind w:firstLine="420" w:firstLineChars="0"/>
        <w:rPr>
          <w:rFonts w:hint="eastAsia" w:ascii="仿宋" w:hAnsi="仿宋" w:eastAsia="仿宋" w:cs="仿宋"/>
          <w:sz w:val="24"/>
        </w:rPr>
      </w:pPr>
      <w:r>
        <w:rPr>
          <w:rFonts w:hint="eastAsia" w:ascii="仿宋" w:hAnsi="仿宋" w:eastAsia="仿宋" w:cs="仿宋"/>
          <w:sz w:val="24"/>
        </w:rPr>
        <w:t>2</w:t>
      </w:r>
      <w:r>
        <w:rPr>
          <w:rFonts w:hint="eastAsia" w:ascii="仿宋" w:hAnsi="仿宋" w:eastAsia="仿宋" w:cs="仿宋"/>
          <w:sz w:val="24"/>
          <w:lang w:eastAsia="zh-CN"/>
        </w:rPr>
        <w:t>）</w:t>
      </w:r>
      <w:r>
        <w:rPr>
          <w:rFonts w:hint="eastAsia" w:ascii="仿宋" w:hAnsi="仿宋" w:eastAsia="仿宋" w:cs="仿宋"/>
          <w:sz w:val="24"/>
        </w:rPr>
        <w:t>投标人应具备专用运输车辆和符合国家相关要求的驾驶员、押运人员。其中拟派本项目的驾驶员应持有《中华人民共和国道路运输从业人员从业资格证》。</w:t>
      </w:r>
    </w:p>
    <w:p w14:paraId="2579B367">
      <w:pPr>
        <w:tabs>
          <w:tab w:val="left" w:pos="900"/>
        </w:tabs>
        <w:spacing w:before="120" w:beforeLines="50" w:line="360" w:lineRule="auto"/>
        <w:ind w:firstLine="420" w:firstLineChars="0"/>
        <w:rPr>
          <w:rFonts w:hint="eastAsia" w:ascii="仿宋" w:hAnsi="仿宋" w:eastAsia="仿宋" w:cs="仿宋"/>
          <w:sz w:val="24"/>
        </w:rPr>
      </w:pPr>
      <w:r>
        <w:rPr>
          <w:rFonts w:hint="eastAsia" w:ascii="仿宋" w:hAnsi="仿宋" w:eastAsia="仿宋" w:cs="仿宋"/>
          <w:sz w:val="24"/>
        </w:rPr>
        <w:t>3</w:t>
      </w:r>
      <w:r>
        <w:rPr>
          <w:rFonts w:hint="eastAsia" w:ascii="仿宋" w:hAnsi="仿宋" w:eastAsia="仿宋" w:cs="仿宋"/>
          <w:sz w:val="24"/>
          <w:lang w:eastAsia="zh-CN"/>
        </w:rPr>
        <w:t>）</w:t>
      </w:r>
      <w:r>
        <w:rPr>
          <w:rFonts w:hint="eastAsia" w:ascii="仿宋" w:hAnsi="仿宋" w:eastAsia="仿宋" w:cs="仿宋"/>
          <w:sz w:val="24"/>
        </w:rPr>
        <w:t>驾驶员及押运人员每次到达运送现场操作过程中必须穿工作服佩戴必要的安全防护用品，且均需持《特种设备作业人员证》上岗，作业项目应包含移动式压力容器充装（项目代号：R2）。</w:t>
      </w:r>
    </w:p>
    <w:p w14:paraId="535941D5">
      <w:pPr>
        <w:tabs>
          <w:tab w:val="left" w:pos="900"/>
        </w:tabs>
        <w:spacing w:before="120" w:beforeLines="50" w:line="360" w:lineRule="auto"/>
        <w:ind w:firstLine="420" w:firstLineChars="0"/>
        <w:rPr>
          <w:rFonts w:hint="eastAsia" w:ascii="仿宋" w:hAnsi="仿宋" w:eastAsia="仿宋" w:cs="仿宋"/>
          <w:sz w:val="24"/>
        </w:rPr>
      </w:pPr>
      <w:r>
        <w:rPr>
          <w:rFonts w:hint="eastAsia" w:ascii="仿宋" w:hAnsi="仿宋" w:eastAsia="仿宋" w:cs="仿宋"/>
          <w:sz w:val="24"/>
        </w:rPr>
        <w:t>4</w:t>
      </w:r>
      <w:r>
        <w:rPr>
          <w:rFonts w:hint="eastAsia" w:ascii="仿宋" w:hAnsi="仿宋" w:eastAsia="仿宋" w:cs="仿宋"/>
          <w:sz w:val="24"/>
          <w:lang w:eastAsia="zh-CN"/>
        </w:rPr>
        <w:t>）</w:t>
      </w:r>
      <w:r>
        <w:rPr>
          <w:rFonts w:hint="eastAsia" w:ascii="仿宋" w:hAnsi="仿宋" w:eastAsia="仿宋" w:cs="仿宋"/>
          <w:sz w:val="24"/>
        </w:rPr>
        <w:t>危险品运输车辆进入医院院区内严格按照医院的交通标志行驶，并根据采购人要求，按指定的地点灌装，液氧的灌装应严格按照安全操作规程进行操作。</w:t>
      </w:r>
    </w:p>
    <w:p w14:paraId="42D0AAD9">
      <w:pPr>
        <w:tabs>
          <w:tab w:val="left" w:pos="900"/>
        </w:tabs>
        <w:spacing w:before="120" w:beforeLines="50" w:line="360" w:lineRule="auto"/>
        <w:ind w:firstLine="420" w:firstLineChars="0"/>
        <w:rPr>
          <w:rFonts w:hint="eastAsia" w:ascii="仿宋" w:hAnsi="仿宋" w:eastAsia="仿宋" w:cs="仿宋"/>
          <w:sz w:val="24"/>
        </w:rPr>
      </w:pPr>
      <w:r>
        <w:rPr>
          <w:rFonts w:hint="eastAsia" w:ascii="仿宋" w:hAnsi="仿宋" w:eastAsia="仿宋" w:cs="仿宋"/>
          <w:sz w:val="24"/>
        </w:rPr>
        <w:t>5</w:t>
      </w:r>
      <w:r>
        <w:rPr>
          <w:rFonts w:hint="eastAsia" w:ascii="仿宋" w:hAnsi="仿宋" w:eastAsia="仿宋" w:cs="仿宋"/>
          <w:sz w:val="24"/>
          <w:lang w:eastAsia="zh-CN"/>
        </w:rPr>
        <w:t>）</w:t>
      </w:r>
      <w:r>
        <w:rPr>
          <w:rFonts w:hint="eastAsia" w:ascii="仿宋" w:hAnsi="仿宋" w:eastAsia="仿宋" w:cs="仿宋"/>
          <w:sz w:val="24"/>
        </w:rPr>
        <w:t>每次罐装液氧时要保证不影响医院诊疗工作正常运行，操作人员在灌装过程中做好相关保护措施。</w:t>
      </w:r>
    </w:p>
    <w:p w14:paraId="28A20466">
      <w:pPr>
        <w:tabs>
          <w:tab w:val="left" w:pos="900"/>
        </w:tabs>
        <w:spacing w:before="120" w:beforeLines="50" w:line="360" w:lineRule="auto"/>
        <w:ind w:firstLine="420" w:firstLineChars="0"/>
        <w:rPr>
          <w:rFonts w:hint="eastAsia" w:ascii="仿宋" w:hAnsi="仿宋" w:eastAsia="仿宋" w:cs="仿宋"/>
          <w:sz w:val="24"/>
        </w:rPr>
      </w:pPr>
      <w:r>
        <w:rPr>
          <w:rFonts w:hint="eastAsia" w:ascii="仿宋" w:hAnsi="仿宋" w:eastAsia="仿宋" w:cs="仿宋"/>
          <w:sz w:val="24"/>
        </w:rPr>
        <w:t>6</w:t>
      </w:r>
      <w:r>
        <w:rPr>
          <w:rFonts w:hint="eastAsia" w:ascii="仿宋" w:hAnsi="仿宋" w:eastAsia="仿宋" w:cs="仿宋"/>
          <w:sz w:val="24"/>
          <w:lang w:eastAsia="zh-CN"/>
        </w:rPr>
        <w:t>）</w:t>
      </w:r>
      <w:r>
        <w:rPr>
          <w:rFonts w:hint="eastAsia" w:ascii="仿宋" w:hAnsi="仿宋" w:eastAsia="仿宋" w:cs="仿宋"/>
          <w:sz w:val="24"/>
        </w:rPr>
        <w:t>投标人应提供供气系统的操作规程及安全知识培训，相关应用技术支持，定期对采购人操作人员进行免费安全操作培训，使其了解系统架构及运行原理，掌握维护技能，及时排除一般的设备故障。</w:t>
      </w:r>
    </w:p>
    <w:p w14:paraId="545F079A">
      <w:pPr>
        <w:tabs>
          <w:tab w:val="left" w:pos="900"/>
        </w:tabs>
        <w:spacing w:before="120" w:beforeLines="50" w:line="360" w:lineRule="auto"/>
        <w:ind w:firstLine="420" w:firstLineChars="0"/>
        <w:rPr>
          <w:rFonts w:hint="eastAsia" w:ascii="仿宋" w:hAnsi="仿宋" w:eastAsia="仿宋" w:cs="仿宋"/>
          <w:sz w:val="24"/>
        </w:rPr>
      </w:pPr>
      <w:r>
        <w:rPr>
          <w:rFonts w:hint="eastAsia" w:ascii="仿宋" w:hAnsi="仿宋" w:eastAsia="仿宋" w:cs="仿宋"/>
          <w:sz w:val="24"/>
        </w:rPr>
        <w:t>7</w:t>
      </w:r>
      <w:r>
        <w:rPr>
          <w:rFonts w:hint="eastAsia" w:ascii="仿宋" w:hAnsi="仿宋" w:eastAsia="仿宋" w:cs="仿宋"/>
          <w:sz w:val="24"/>
          <w:lang w:eastAsia="zh-CN"/>
        </w:rPr>
        <w:t>）</w:t>
      </w:r>
      <w:r>
        <w:rPr>
          <w:rFonts w:hint="eastAsia" w:ascii="仿宋" w:hAnsi="仿宋" w:eastAsia="仿宋" w:cs="仿宋"/>
          <w:sz w:val="24"/>
        </w:rPr>
        <w:t>采购人采用电话方式通知投标人订货，投标人接到采购人订货通知后应于24小时内将货物送到采购人指定地点。</w:t>
      </w:r>
    </w:p>
    <w:p w14:paraId="5D3837B1">
      <w:pPr>
        <w:tabs>
          <w:tab w:val="left" w:pos="900"/>
        </w:tabs>
        <w:spacing w:before="120" w:beforeLines="50" w:line="360" w:lineRule="auto"/>
        <w:ind w:firstLine="420" w:firstLineChars="0"/>
        <w:rPr>
          <w:rFonts w:hint="eastAsia" w:ascii="仿宋" w:hAnsi="仿宋" w:eastAsia="仿宋" w:cs="仿宋"/>
          <w:sz w:val="24"/>
        </w:rPr>
      </w:pPr>
      <w:r>
        <w:rPr>
          <w:rFonts w:hint="eastAsia" w:ascii="仿宋" w:hAnsi="仿宋" w:eastAsia="仿宋" w:cs="仿宋"/>
          <w:sz w:val="24"/>
        </w:rPr>
        <w:t>8</w:t>
      </w:r>
      <w:r>
        <w:rPr>
          <w:rFonts w:hint="eastAsia" w:ascii="仿宋" w:hAnsi="仿宋" w:eastAsia="仿宋" w:cs="仿宋"/>
          <w:sz w:val="24"/>
          <w:lang w:eastAsia="zh-CN"/>
        </w:rPr>
        <w:t>）</w:t>
      </w:r>
      <w:r>
        <w:rPr>
          <w:rFonts w:hint="eastAsia" w:ascii="仿宋" w:hAnsi="仿宋" w:eastAsia="仿宋" w:cs="仿宋"/>
          <w:sz w:val="24"/>
        </w:rPr>
        <w:t>北京地区有重大活动时，应保证医用气体供应不能中断。</w:t>
      </w:r>
    </w:p>
    <w:p w14:paraId="30A3B06B">
      <w:pPr>
        <w:tabs>
          <w:tab w:val="left" w:pos="900"/>
        </w:tabs>
        <w:spacing w:before="120" w:beforeLines="50" w:line="360" w:lineRule="auto"/>
        <w:ind w:firstLine="420" w:firstLineChars="0"/>
        <w:rPr>
          <w:rFonts w:hint="eastAsia"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CN"/>
        </w:rPr>
        <w:t>）</w:t>
      </w:r>
      <w:r>
        <w:rPr>
          <w:rFonts w:hint="eastAsia" w:ascii="仿宋" w:hAnsi="仿宋" w:eastAsia="仿宋" w:cs="仿宋"/>
          <w:sz w:val="24"/>
        </w:rPr>
        <w:t>紧急情况下，投标人应保证在收到需求通知后0.5小时内给予反馈，2小时之内供气到采购人指定地点。</w:t>
      </w:r>
    </w:p>
    <w:p w14:paraId="21BBF9B8">
      <w:pPr>
        <w:tabs>
          <w:tab w:val="left" w:pos="900"/>
        </w:tabs>
        <w:spacing w:before="120" w:beforeLines="50" w:line="360" w:lineRule="auto"/>
        <w:ind w:firstLine="420" w:firstLineChars="0"/>
        <w:rPr>
          <w:rFonts w:hint="eastAsia" w:ascii="仿宋" w:hAnsi="仿宋" w:eastAsia="仿宋" w:cs="仿宋"/>
          <w:sz w:val="24"/>
        </w:rPr>
      </w:pPr>
      <w:r>
        <w:rPr>
          <w:rFonts w:hint="eastAsia" w:ascii="仿宋" w:hAnsi="仿宋" w:eastAsia="仿宋" w:cs="仿宋"/>
          <w:sz w:val="24"/>
        </w:rPr>
        <w:t>10</w:t>
      </w:r>
      <w:r>
        <w:rPr>
          <w:rFonts w:hint="eastAsia" w:ascii="仿宋" w:hAnsi="仿宋" w:eastAsia="仿宋" w:cs="仿宋"/>
          <w:sz w:val="24"/>
          <w:lang w:eastAsia="zh-CN"/>
        </w:rPr>
        <w:t>）</w:t>
      </w:r>
      <w:r>
        <w:rPr>
          <w:rFonts w:hint="eastAsia" w:ascii="仿宋" w:hAnsi="仿宋" w:eastAsia="仿宋" w:cs="仿宋"/>
          <w:sz w:val="24"/>
        </w:rPr>
        <w:t>投标人应考虑项目内容不变前提下，本年度内物价上涨的因素，及各种经济安全风险。</w:t>
      </w:r>
    </w:p>
    <w:p w14:paraId="7AAC6AAA">
      <w:pPr>
        <w:numPr>
          <w:ilvl w:val="0"/>
          <w:numId w:val="0"/>
        </w:numPr>
        <w:spacing w:before="50" w:line="360" w:lineRule="auto"/>
        <w:ind w:leftChars="0" w:firstLine="420" w:firstLineChars="0"/>
        <w:rPr>
          <w:rFonts w:hint="eastAsia" w:ascii="仿宋" w:hAnsi="仿宋" w:eastAsia="仿宋" w:cs="仿宋"/>
          <w:sz w:val="24"/>
          <w:lang w:val="en-US" w:eastAsia="zh-CN"/>
        </w:rPr>
      </w:pPr>
      <w:r>
        <w:rPr>
          <w:rFonts w:hint="eastAsia" w:ascii="仿宋" w:hAnsi="仿宋" w:eastAsia="仿宋" w:cs="仿宋"/>
          <w:sz w:val="24"/>
        </w:rPr>
        <w:t>11</w:t>
      </w:r>
      <w:r>
        <w:rPr>
          <w:rFonts w:hint="eastAsia" w:ascii="仿宋" w:hAnsi="仿宋" w:eastAsia="仿宋" w:cs="仿宋"/>
          <w:sz w:val="24"/>
          <w:lang w:eastAsia="zh-CN"/>
        </w:rPr>
        <w:t>）</w:t>
      </w:r>
      <w:r>
        <w:rPr>
          <w:rFonts w:hint="eastAsia" w:ascii="仿宋" w:hAnsi="仿宋" w:eastAsia="仿宋" w:cs="仿宋"/>
          <w:sz w:val="24"/>
        </w:rPr>
        <w:t>配合采购人完成有关部门的相关检查工作，并承担因为工作不到位造成的相关处罚。</w:t>
      </w:r>
    </w:p>
    <w:p w14:paraId="751705DE">
      <w:pPr>
        <w:rPr>
          <w:rFonts w:hint="eastAsia" w:ascii="仿宋" w:hAnsi="仿宋" w:eastAsia="仿宋" w:cs="仿宋"/>
          <w:b w:val="0"/>
          <w:bCs/>
          <w:kern w:val="2"/>
          <w:sz w:val="24"/>
          <w:szCs w:val="24"/>
          <w:lang w:val="en-US" w:eastAsia="zh-CN" w:bidi="ar-SA"/>
        </w:rPr>
      </w:pPr>
      <w:r>
        <w:rPr>
          <w:rFonts w:hint="eastAsia" w:ascii="仿宋" w:hAnsi="仿宋" w:eastAsia="仿宋" w:cs="仿宋"/>
          <w:b w:val="0"/>
          <w:bCs/>
          <w:kern w:val="2"/>
          <w:sz w:val="24"/>
          <w:szCs w:val="24"/>
          <w:lang w:val="en-US" w:eastAsia="zh-CN" w:bidi="ar-SA"/>
        </w:rPr>
        <w:t>4.其他技术要求</w:t>
      </w:r>
    </w:p>
    <w:p w14:paraId="771F1408">
      <w:pPr>
        <w:rPr>
          <w:rFonts w:hint="eastAsia" w:ascii="仿宋" w:hAnsi="仿宋" w:eastAsia="仿宋" w:cs="仿宋"/>
          <w:b w:val="0"/>
          <w:bCs/>
          <w:kern w:val="2"/>
          <w:sz w:val="24"/>
          <w:szCs w:val="24"/>
          <w:lang w:val="en-US" w:eastAsia="zh-CN" w:bidi="ar-SA"/>
        </w:rPr>
      </w:pPr>
      <w:r>
        <w:rPr>
          <w:rFonts w:hint="eastAsia" w:ascii="仿宋" w:hAnsi="仿宋" w:eastAsia="仿宋" w:cs="仿宋"/>
          <w:b w:val="0"/>
          <w:bCs/>
          <w:kern w:val="2"/>
          <w:sz w:val="24"/>
          <w:szCs w:val="24"/>
          <w:lang w:val="en-US" w:eastAsia="zh-CN" w:bidi="ar-SA"/>
        </w:rPr>
        <w:br w:type="page"/>
      </w:r>
    </w:p>
    <w:p w14:paraId="58DA7D09">
      <w:pPr>
        <w:tabs>
          <w:tab w:val="left" w:pos="900"/>
        </w:tabs>
        <w:spacing w:line="360" w:lineRule="auto"/>
        <w:jc w:val="center"/>
        <w:rPr>
          <w:rFonts w:hint="eastAsia" w:ascii="仿宋" w:hAnsi="仿宋" w:eastAsia="仿宋" w:cs="仿宋"/>
          <w:b/>
          <w:bCs/>
          <w:sz w:val="24"/>
        </w:rPr>
      </w:pPr>
      <w:r>
        <w:rPr>
          <w:rFonts w:hint="eastAsia" w:ascii="仿宋" w:hAnsi="仿宋" w:eastAsia="仿宋" w:cs="仿宋"/>
          <w:b/>
          <w:bCs/>
          <w:sz w:val="24"/>
        </w:rPr>
        <w:t>品目1-1  瓶装气体</w:t>
      </w:r>
    </w:p>
    <w:p w14:paraId="331C22A3">
      <w:pPr>
        <w:tabs>
          <w:tab w:val="left" w:pos="900"/>
        </w:tabs>
        <w:spacing w:line="360" w:lineRule="auto"/>
        <w:rPr>
          <w:rFonts w:hint="eastAsia" w:ascii="仿宋" w:hAnsi="仿宋" w:eastAsia="仿宋" w:cs="仿宋"/>
          <w:sz w:val="24"/>
        </w:rPr>
      </w:pPr>
    </w:p>
    <w:p w14:paraId="1FDC8C82">
      <w:pPr>
        <w:tabs>
          <w:tab w:val="left" w:pos="900"/>
        </w:tabs>
        <w:spacing w:line="360" w:lineRule="auto"/>
        <w:rPr>
          <w:rFonts w:hint="eastAsia" w:ascii="仿宋" w:hAnsi="仿宋" w:eastAsia="仿宋" w:cs="仿宋"/>
          <w:sz w:val="24"/>
          <w:lang w:eastAsia="zh-CN"/>
        </w:rPr>
      </w:pPr>
      <w:r>
        <w:rPr>
          <w:rFonts w:hint="eastAsia" w:ascii="仿宋" w:hAnsi="仿宋" w:eastAsia="仿宋" w:cs="仿宋"/>
          <w:sz w:val="24"/>
        </w:rPr>
        <w:t>1.用途：呼吸</w:t>
      </w:r>
      <w:r>
        <w:rPr>
          <w:rFonts w:hint="eastAsia" w:ascii="仿宋" w:hAnsi="仿宋" w:eastAsia="仿宋" w:cs="仿宋"/>
          <w:color w:val="auto"/>
          <w:sz w:val="24"/>
          <w:lang w:eastAsia="zh-CN"/>
        </w:rPr>
        <w:t>、医疗、手术</w:t>
      </w:r>
    </w:p>
    <w:p w14:paraId="70F29CE1">
      <w:pPr>
        <w:tabs>
          <w:tab w:val="left" w:pos="900"/>
        </w:tabs>
        <w:spacing w:line="360" w:lineRule="auto"/>
        <w:rPr>
          <w:rFonts w:hint="eastAsia" w:ascii="仿宋" w:hAnsi="仿宋" w:eastAsia="仿宋" w:cs="仿宋"/>
          <w:sz w:val="24"/>
        </w:rPr>
      </w:pPr>
      <w:r>
        <w:rPr>
          <w:rFonts w:hint="eastAsia" w:ascii="仿宋" w:hAnsi="仿宋" w:eastAsia="仿宋" w:cs="仿宋"/>
          <w:sz w:val="24"/>
        </w:rPr>
        <w:t>2.技术参数：浓度≥99.5%</w:t>
      </w:r>
    </w:p>
    <w:p w14:paraId="60B35951">
      <w:pPr>
        <w:tabs>
          <w:tab w:val="left" w:pos="900"/>
        </w:tabs>
        <w:spacing w:line="360" w:lineRule="auto"/>
        <w:rPr>
          <w:rFonts w:hint="eastAsia" w:ascii="仿宋" w:hAnsi="仿宋" w:eastAsia="仿宋" w:cs="仿宋"/>
          <w:sz w:val="24"/>
        </w:rPr>
      </w:pPr>
      <w:r>
        <w:rPr>
          <w:rFonts w:hint="eastAsia" w:ascii="仿宋" w:hAnsi="仿宋" w:eastAsia="仿宋" w:cs="仿宋"/>
          <w:sz w:val="24"/>
        </w:rPr>
        <w:t>3.包装要求</w:t>
      </w:r>
    </w:p>
    <w:p w14:paraId="082FE8A8">
      <w:pPr>
        <w:tabs>
          <w:tab w:val="left" w:pos="900"/>
        </w:tabs>
        <w:spacing w:line="360" w:lineRule="auto"/>
        <w:rPr>
          <w:rFonts w:hint="eastAsia" w:ascii="仿宋" w:hAnsi="仿宋" w:eastAsia="仿宋" w:cs="仿宋"/>
          <w:sz w:val="24"/>
        </w:rPr>
      </w:pPr>
      <w:r>
        <w:rPr>
          <w:rFonts w:hint="eastAsia" w:ascii="仿宋" w:hAnsi="仿宋" w:eastAsia="仿宋" w:cs="仿宋"/>
          <w:sz w:val="24"/>
        </w:rPr>
        <w:t>3.1出厂气瓶产品提供《合格证》、产品有效日期、钢瓶打压钢号，提供的资料在产品有效期内。</w:t>
      </w:r>
    </w:p>
    <w:p w14:paraId="3BFA04CD">
      <w:pPr>
        <w:tabs>
          <w:tab w:val="left" w:pos="900"/>
        </w:tabs>
        <w:spacing w:line="360" w:lineRule="auto"/>
        <w:rPr>
          <w:rFonts w:hint="eastAsia" w:ascii="仿宋" w:hAnsi="仿宋" w:eastAsia="仿宋" w:cs="仿宋"/>
          <w:sz w:val="24"/>
        </w:rPr>
      </w:pPr>
      <w:r>
        <w:rPr>
          <w:rFonts w:hint="eastAsia" w:ascii="仿宋" w:hAnsi="仿宋" w:eastAsia="仿宋" w:cs="仿宋"/>
          <w:sz w:val="24"/>
        </w:rPr>
        <w:t>3.2钢瓶气体种类标识清晰完整，按照国家相关规定涂装。装好瓶帽及防震圈，钢瓶外观无损伤。</w:t>
      </w:r>
    </w:p>
    <w:p w14:paraId="70DD69AC">
      <w:pPr>
        <w:tabs>
          <w:tab w:val="left" w:pos="900"/>
        </w:tabs>
        <w:spacing w:line="360" w:lineRule="auto"/>
        <w:rPr>
          <w:rFonts w:hint="eastAsia" w:ascii="仿宋" w:hAnsi="仿宋" w:eastAsia="仿宋" w:cs="仿宋"/>
          <w:sz w:val="24"/>
        </w:rPr>
      </w:pPr>
      <w:r>
        <w:rPr>
          <w:rFonts w:hint="eastAsia" w:ascii="仿宋" w:hAnsi="仿宋" w:eastAsia="仿宋" w:cs="仿宋"/>
          <w:sz w:val="24"/>
        </w:rPr>
        <w:t>4.其他要求</w:t>
      </w:r>
    </w:p>
    <w:p w14:paraId="49A94746">
      <w:pPr>
        <w:tabs>
          <w:tab w:val="left" w:pos="900"/>
        </w:tabs>
        <w:spacing w:line="360" w:lineRule="auto"/>
        <w:rPr>
          <w:rFonts w:hint="eastAsia" w:ascii="仿宋" w:hAnsi="仿宋" w:eastAsia="仿宋" w:cs="仿宋"/>
          <w:sz w:val="24"/>
        </w:rPr>
      </w:pPr>
      <w:r>
        <w:rPr>
          <w:rFonts w:hint="eastAsia" w:ascii="仿宋" w:hAnsi="仿宋" w:eastAsia="仿宋" w:cs="仿宋"/>
          <w:sz w:val="24"/>
        </w:rPr>
        <w:t>4.1危险品运输车辆进入医院院区内严格按照采购人院内的交通标志行驶，并根据采购人要求，按指定的地点灌装，液态氧的灌装应严格按照安全操作规程进行操作，完成工作后办理产品交接手续。</w:t>
      </w:r>
    </w:p>
    <w:p w14:paraId="2ED7EB45">
      <w:pPr>
        <w:tabs>
          <w:tab w:val="left" w:pos="900"/>
        </w:tabs>
        <w:spacing w:line="360" w:lineRule="auto"/>
        <w:rPr>
          <w:rFonts w:hint="eastAsia" w:ascii="仿宋" w:hAnsi="仿宋" w:eastAsia="仿宋" w:cs="仿宋"/>
          <w:sz w:val="24"/>
        </w:rPr>
      </w:pPr>
      <w:r>
        <w:rPr>
          <w:rFonts w:hint="eastAsia" w:ascii="仿宋" w:hAnsi="仿宋" w:eastAsia="仿宋" w:cs="仿宋"/>
          <w:sz w:val="24"/>
        </w:rPr>
        <w:t>4.2供货方须严格按照国家药品监督管理办法提供符合相应要求货品，涉及国家药典目录内得气体种类，每批次货品的药品批号、检验合格报告、收、退、换手续必须符合药品相应管理办法，供货方须无条件配合采购方对货品进行相应药品监督管理，按采购方意见准备相应文件。如出现问题，给采购方造成的全部损失，由供货方完全承担。</w:t>
      </w:r>
    </w:p>
    <w:p w14:paraId="3E3B5D63">
      <w:pPr>
        <w:tabs>
          <w:tab w:val="left" w:pos="900"/>
        </w:tabs>
        <w:spacing w:line="360" w:lineRule="auto"/>
        <w:rPr>
          <w:rFonts w:hint="eastAsia" w:ascii="仿宋" w:hAnsi="仿宋" w:eastAsia="仿宋" w:cs="仿宋"/>
          <w:sz w:val="24"/>
        </w:rPr>
        <w:sectPr>
          <w:pgSz w:w="11907" w:h="16840"/>
          <w:pgMar w:top="1418" w:right="1134" w:bottom="1418" w:left="1701" w:header="851" w:footer="851" w:gutter="0"/>
          <w:cols w:space="720" w:num="1"/>
          <w:docGrid w:linePitch="462" w:charSpace="0"/>
        </w:sectPr>
      </w:pPr>
    </w:p>
    <w:p w14:paraId="23F2DCA7">
      <w:pPr>
        <w:tabs>
          <w:tab w:val="left" w:pos="900"/>
        </w:tabs>
        <w:spacing w:line="360" w:lineRule="auto"/>
        <w:jc w:val="center"/>
        <w:rPr>
          <w:rFonts w:hint="eastAsia" w:ascii="仿宋" w:hAnsi="仿宋" w:eastAsia="仿宋" w:cs="仿宋"/>
          <w:b/>
          <w:bCs/>
          <w:sz w:val="24"/>
        </w:rPr>
      </w:pPr>
      <w:r>
        <w:rPr>
          <w:rFonts w:hint="eastAsia" w:ascii="仿宋" w:hAnsi="仿宋" w:eastAsia="仿宋" w:cs="仿宋"/>
          <w:b/>
          <w:bCs/>
          <w:sz w:val="24"/>
        </w:rPr>
        <w:t>品目</w:t>
      </w:r>
      <w:r>
        <w:rPr>
          <w:rFonts w:hint="eastAsia" w:ascii="仿宋" w:hAnsi="仿宋" w:eastAsia="仿宋" w:cs="仿宋"/>
          <w:b/>
          <w:bCs/>
          <w:sz w:val="24"/>
          <w:lang w:val="en-US" w:eastAsia="zh-CN"/>
        </w:rPr>
        <w:t>1-2</w:t>
      </w:r>
      <w:r>
        <w:rPr>
          <w:rFonts w:hint="eastAsia" w:ascii="仿宋" w:hAnsi="仿宋" w:eastAsia="仿宋" w:cs="仿宋"/>
          <w:b/>
          <w:bCs/>
          <w:sz w:val="24"/>
        </w:rPr>
        <w:t xml:space="preserve">  医用液氧</w:t>
      </w:r>
    </w:p>
    <w:p w14:paraId="5EB2E86E">
      <w:pPr>
        <w:tabs>
          <w:tab w:val="left" w:pos="900"/>
        </w:tabs>
        <w:spacing w:line="360" w:lineRule="auto"/>
        <w:rPr>
          <w:rFonts w:hint="eastAsia" w:ascii="仿宋" w:hAnsi="仿宋" w:eastAsia="仿宋" w:cs="仿宋"/>
          <w:sz w:val="24"/>
        </w:rPr>
      </w:pPr>
      <w:r>
        <w:rPr>
          <w:rFonts w:hint="eastAsia" w:ascii="仿宋" w:hAnsi="仿宋" w:eastAsia="仿宋" w:cs="仿宋"/>
          <w:sz w:val="24"/>
        </w:rPr>
        <w:t>1.用途：呼吸</w:t>
      </w:r>
    </w:p>
    <w:p w14:paraId="4AEDE72E">
      <w:pPr>
        <w:tabs>
          <w:tab w:val="left" w:pos="900"/>
        </w:tabs>
        <w:spacing w:line="360" w:lineRule="auto"/>
        <w:rPr>
          <w:rFonts w:hint="eastAsia" w:ascii="仿宋" w:hAnsi="仿宋" w:eastAsia="仿宋" w:cs="仿宋"/>
          <w:sz w:val="24"/>
        </w:rPr>
      </w:pPr>
      <w:r>
        <w:rPr>
          <w:rFonts w:hint="eastAsia" w:ascii="仿宋" w:hAnsi="仿宋" w:eastAsia="仿宋" w:cs="仿宋"/>
          <w:sz w:val="24"/>
        </w:rPr>
        <w:t>2.技术参数：浓度≥99.5%</w:t>
      </w:r>
    </w:p>
    <w:p w14:paraId="0177819F">
      <w:pPr>
        <w:tabs>
          <w:tab w:val="left" w:pos="900"/>
        </w:tabs>
        <w:spacing w:line="360" w:lineRule="auto"/>
        <w:rPr>
          <w:rFonts w:hint="eastAsia" w:ascii="仿宋" w:hAnsi="仿宋" w:eastAsia="仿宋" w:cs="仿宋"/>
          <w:sz w:val="24"/>
        </w:rPr>
      </w:pPr>
      <w:r>
        <w:rPr>
          <w:rFonts w:hint="eastAsia" w:ascii="仿宋" w:hAnsi="仿宋" w:eastAsia="仿宋" w:cs="仿宋"/>
          <w:sz w:val="24"/>
        </w:rPr>
        <w:t>3.其他要求</w:t>
      </w:r>
    </w:p>
    <w:p w14:paraId="44D38EF4">
      <w:pPr>
        <w:tabs>
          <w:tab w:val="left" w:pos="900"/>
        </w:tabs>
        <w:spacing w:line="360" w:lineRule="auto"/>
        <w:rPr>
          <w:rFonts w:hint="eastAsia" w:ascii="仿宋" w:hAnsi="仿宋" w:eastAsia="仿宋" w:cs="仿宋"/>
          <w:sz w:val="24"/>
        </w:rPr>
      </w:pPr>
      <w:r>
        <w:rPr>
          <w:rFonts w:hint="eastAsia" w:ascii="仿宋" w:hAnsi="仿宋" w:eastAsia="仿宋" w:cs="仿宋"/>
          <w:sz w:val="24"/>
        </w:rPr>
        <w:t>3.1运输车辆在运送液态氧时要严格遵守国家对化学危险品运输的相关规定。</w:t>
      </w:r>
    </w:p>
    <w:p w14:paraId="0E2FD9DC">
      <w:pPr>
        <w:tabs>
          <w:tab w:val="left" w:pos="900"/>
        </w:tabs>
        <w:spacing w:line="360" w:lineRule="auto"/>
        <w:rPr>
          <w:rFonts w:hint="eastAsia" w:ascii="仿宋" w:hAnsi="仿宋" w:eastAsia="仿宋" w:cs="仿宋"/>
          <w:sz w:val="24"/>
        </w:rPr>
      </w:pPr>
      <w:r>
        <w:rPr>
          <w:rFonts w:hint="eastAsia" w:ascii="仿宋" w:hAnsi="仿宋" w:eastAsia="仿宋" w:cs="仿宋"/>
          <w:sz w:val="24"/>
        </w:rPr>
        <w:t>3.2危险品运输车辆进入医院院区内严格按照采购人院内的交通标志行驶，并根据采购人要求，按指定的地点灌装，液态氧的灌装应严格按照安全操作规程进行操作，完成工作后办理产品交接手续。</w:t>
      </w:r>
    </w:p>
    <w:p w14:paraId="05E95D0D">
      <w:pPr>
        <w:tabs>
          <w:tab w:val="left" w:pos="900"/>
        </w:tabs>
        <w:spacing w:line="360" w:lineRule="auto"/>
        <w:rPr>
          <w:rFonts w:hint="eastAsia" w:ascii="仿宋" w:hAnsi="仿宋" w:eastAsia="仿宋" w:cs="仿宋"/>
        </w:rPr>
      </w:pPr>
      <w:r>
        <w:rPr>
          <w:rFonts w:hint="eastAsia" w:ascii="仿宋" w:hAnsi="仿宋" w:eastAsia="仿宋" w:cs="仿宋"/>
          <w:sz w:val="24"/>
        </w:rPr>
        <w:t>3.3供货方须严格按照国家药品监督管理办法提供符合相应要求货品，涉及国家药典目录内得气体种类，每批次货品的药品批号、检验合格报告、收、退、换手续必须符合药品相应管理办法，供货方须无条件配合采购方对货品进行相应药品监督管理，按采购方意见准备相应文件。如出现问题，给采购方造成的全部损失，由供货方完全承担。</w:t>
      </w:r>
    </w:p>
    <w:p w14:paraId="78CAD622">
      <w:pPr>
        <w:widowControl w:val="0"/>
        <w:numPr>
          <w:ilvl w:val="0"/>
          <w:numId w:val="0"/>
        </w:numPr>
        <w:spacing w:line="360" w:lineRule="auto"/>
        <w:ind w:firstLine="480" w:firstLineChars="200"/>
        <w:contextualSpacing/>
        <w:jc w:val="both"/>
        <w:rPr>
          <w:rFonts w:hint="eastAsia" w:ascii="仿宋" w:hAnsi="仿宋" w:eastAsia="仿宋" w:cs="仿宋"/>
          <w:b w:val="0"/>
          <w:bCs/>
          <w:kern w:val="2"/>
          <w:sz w:val="24"/>
          <w:szCs w:val="24"/>
          <w:lang w:val="en-US" w:eastAsia="zh-CN" w:bidi="ar-SA"/>
        </w:rPr>
      </w:pPr>
    </w:p>
    <w:p w14:paraId="59CFFD7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9B7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2026-08-14T06:36:08Z</dcterms:created>
  <dc:creator>Administrator</dc:creator>
  <cp:lastModifiedBy>ZHYR</cp:lastModifiedBy>
  <dcterms:modified xsi:type="dcterms:W3CDTF">2026-08-14T06:38:10Z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eyJoZGlkIjoiMjU5NmUxMDM0NmE0ZTI1ZWYxZGM3MTYyZmE4MDE0ZGQiLCJ1c2VySWQiOiI0MzU0Njc3NTAifQ==</vt:lpwstr>
  </property>
  <property fmtid="{D5CDD505-2E9C-101B-9397-08002B2CF9AE}" pid="4" name="ICV">
    <vt:lpwstr>0C3FB64D4EFA4B92BC8AF9AFD93C3876_12</vt:lpwstr>
  </property>
</Properties>
</file>