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81C1" w14:textId="77777777" w:rsidR="00297185" w:rsidRPr="006B5CD3" w:rsidRDefault="00297185" w:rsidP="00297185">
      <w:pPr>
        <w:spacing w:line="360" w:lineRule="auto"/>
        <w:jc w:val="center"/>
        <w:outlineLvl w:val="0"/>
        <w:rPr>
          <w:rFonts w:ascii="仿宋" w:eastAsia="仿宋" w:hAnsi="仿宋" w:cs="宋体" w:hint="eastAsia"/>
          <w:b/>
          <w:sz w:val="36"/>
          <w:szCs w:val="36"/>
        </w:rPr>
      </w:pPr>
      <w:bookmarkStart w:id="0" w:name="_Hlk224053506"/>
      <w:r w:rsidRPr="006B5CD3">
        <w:rPr>
          <w:rFonts w:ascii="仿宋" w:eastAsia="仿宋" w:hAnsi="仿宋" w:cs="宋体" w:hint="eastAsia"/>
          <w:b/>
          <w:sz w:val="36"/>
          <w:szCs w:val="36"/>
        </w:rPr>
        <w:t>采购需求</w:t>
      </w:r>
    </w:p>
    <w:p w14:paraId="7822765E" w14:textId="77777777" w:rsidR="00297185" w:rsidRPr="006B5CD3" w:rsidRDefault="00297185" w:rsidP="00297185">
      <w:pPr>
        <w:spacing w:line="360" w:lineRule="auto"/>
        <w:contextualSpacing/>
        <w:rPr>
          <w:rFonts w:ascii="仿宋" w:eastAsia="仿宋" w:hAnsi="仿宋" w:cs="宋体" w:hint="eastAsia"/>
          <w:sz w:val="24"/>
        </w:rPr>
      </w:pPr>
    </w:p>
    <w:p w14:paraId="5D23E943" w14:textId="77777777" w:rsidR="00297185" w:rsidRPr="006B5CD3" w:rsidRDefault="00297185" w:rsidP="00297185">
      <w:pPr>
        <w:pStyle w:val="11"/>
        <w:numPr>
          <w:ilvl w:val="0"/>
          <w:numId w:val="1"/>
        </w:numPr>
        <w:spacing w:line="360" w:lineRule="auto"/>
        <w:ind w:firstLineChars="0"/>
        <w:contextualSpacing/>
        <w:rPr>
          <w:rFonts w:ascii="仿宋" w:eastAsia="仿宋" w:hAnsi="仿宋" w:cs="宋体" w:hint="eastAsia"/>
          <w:b/>
          <w:sz w:val="24"/>
          <w:szCs w:val="24"/>
        </w:rPr>
      </w:pPr>
      <w:r w:rsidRPr="006B5CD3">
        <w:rPr>
          <w:rFonts w:ascii="仿宋" w:eastAsia="仿宋" w:hAnsi="仿宋" w:cs="宋体" w:hint="eastAsia"/>
          <w:b/>
          <w:sz w:val="24"/>
          <w:szCs w:val="24"/>
        </w:rPr>
        <w:t>采购标的</w:t>
      </w:r>
    </w:p>
    <w:p w14:paraId="45B88595" w14:textId="77777777" w:rsidR="00297185" w:rsidRPr="006B5CD3" w:rsidRDefault="00297185" w:rsidP="00297185">
      <w:pPr>
        <w:numPr>
          <w:ilvl w:val="0"/>
          <w:numId w:val="2"/>
        </w:num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采购标的（货物需求一览表或简要服务内容及数量）</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1701"/>
        <w:gridCol w:w="709"/>
        <w:gridCol w:w="1276"/>
        <w:gridCol w:w="1530"/>
        <w:gridCol w:w="992"/>
        <w:gridCol w:w="1588"/>
      </w:tblGrid>
      <w:tr w:rsidR="00297185" w:rsidRPr="006B5CD3" w14:paraId="0447B1EE" w14:textId="77777777" w:rsidTr="003F4902">
        <w:trPr>
          <w:trHeight w:val="660"/>
        </w:trPr>
        <w:tc>
          <w:tcPr>
            <w:tcW w:w="421" w:type="dxa"/>
            <w:vAlign w:val="center"/>
          </w:tcPr>
          <w:p w14:paraId="52E98197" w14:textId="77777777" w:rsidR="00297185" w:rsidRPr="006B5CD3" w:rsidRDefault="00297185" w:rsidP="003F4902">
            <w:pPr>
              <w:rPr>
                <w:rFonts w:ascii="仿宋" w:eastAsia="仿宋" w:hAnsi="仿宋" w:cs="Arial" w:hint="eastAsia"/>
                <w:b/>
                <w:bCs/>
                <w:sz w:val="24"/>
              </w:rPr>
            </w:pPr>
            <w:r w:rsidRPr="006B5CD3">
              <w:rPr>
                <w:rFonts w:ascii="仿宋" w:eastAsia="仿宋" w:hAnsi="仿宋" w:cs="Arial"/>
                <w:b/>
                <w:bCs/>
                <w:sz w:val="24"/>
              </w:rPr>
              <w:t>包号</w:t>
            </w:r>
          </w:p>
        </w:tc>
        <w:tc>
          <w:tcPr>
            <w:tcW w:w="850" w:type="dxa"/>
          </w:tcPr>
          <w:p w14:paraId="631D5D3D" w14:textId="77777777" w:rsidR="00297185" w:rsidRPr="006B5CD3" w:rsidRDefault="00297185" w:rsidP="003F4902">
            <w:pPr>
              <w:jc w:val="center"/>
              <w:rPr>
                <w:rFonts w:ascii="仿宋" w:eastAsia="仿宋" w:hAnsi="仿宋" w:cs="Arial" w:hint="eastAsia"/>
                <w:b/>
                <w:bCs/>
                <w:kern w:val="0"/>
                <w:szCs w:val="21"/>
              </w:rPr>
            </w:pPr>
          </w:p>
          <w:p w14:paraId="788ECFC3" w14:textId="77777777" w:rsidR="00297185" w:rsidRPr="006B5CD3" w:rsidRDefault="00297185" w:rsidP="003F4902">
            <w:pPr>
              <w:jc w:val="center"/>
              <w:rPr>
                <w:rFonts w:ascii="仿宋" w:eastAsia="仿宋" w:hAnsi="仿宋" w:cs="Arial" w:hint="eastAsia"/>
                <w:b/>
                <w:bCs/>
                <w:sz w:val="24"/>
              </w:rPr>
            </w:pPr>
            <w:r w:rsidRPr="006B5CD3">
              <w:rPr>
                <w:rFonts w:ascii="仿宋" w:eastAsia="仿宋" w:hAnsi="仿宋" w:cs="Arial"/>
                <w:b/>
                <w:bCs/>
                <w:kern w:val="0"/>
                <w:szCs w:val="21"/>
              </w:rPr>
              <w:t>品目号</w:t>
            </w:r>
          </w:p>
        </w:tc>
        <w:tc>
          <w:tcPr>
            <w:tcW w:w="1701" w:type="dxa"/>
            <w:vAlign w:val="center"/>
          </w:tcPr>
          <w:p w14:paraId="19C56D8B" w14:textId="77777777" w:rsidR="00297185" w:rsidRPr="006B5CD3" w:rsidRDefault="00297185" w:rsidP="003F4902">
            <w:pPr>
              <w:jc w:val="center"/>
              <w:rPr>
                <w:rFonts w:ascii="仿宋" w:eastAsia="仿宋" w:hAnsi="仿宋" w:cs="Arial" w:hint="eastAsia"/>
                <w:b/>
                <w:bCs/>
                <w:sz w:val="24"/>
              </w:rPr>
            </w:pPr>
            <w:r w:rsidRPr="006B5CD3">
              <w:rPr>
                <w:rFonts w:ascii="仿宋" w:eastAsia="仿宋" w:hAnsi="仿宋" w:cs="Arial" w:hint="eastAsia"/>
                <w:b/>
                <w:bCs/>
                <w:sz w:val="24"/>
              </w:rPr>
              <w:t>标的的名称</w:t>
            </w:r>
          </w:p>
        </w:tc>
        <w:tc>
          <w:tcPr>
            <w:tcW w:w="709" w:type="dxa"/>
            <w:vAlign w:val="center"/>
          </w:tcPr>
          <w:p w14:paraId="46083128" w14:textId="77777777" w:rsidR="00297185" w:rsidRPr="006B5CD3" w:rsidRDefault="00297185" w:rsidP="003F4902">
            <w:pPr>
              <w:jc w:val="center"/>
              <w:rPr>
                <w:rFonts w:ascii="仿宋" w:eastAsia="仿宋" w:hAnsi="仿宋" w:cs="Arial" w:hint="eastAsia"/>
                <w:b/>
                <w:bCs/>
                <w:sz w:val="24"/>
              </w:rPr>
            </w:pPr>
            <w:r w:rsidRPr="006B5CD3">
              <w:rPr>
                <w:rFonts w:ascii="仿宋" w:eastAsia="仿宋" w:hAnsi="仿宋" w:cs="Arial" w:hint="eastAsia"/>
                <w:b/>
                <w:bCs/>
                <w:sz w:val="24"/>
              </w:rPr>
              <w:t>数量</w:t>
            </w:r>
          </w:p>
        </w:tc>
        <w:tc>
          <w:tcPr>
            <w:tcW w:w="1276" w:type="dxa"/>
            <w:vAlign w:val="center"/>
          </w:tcPr>
          <w:p w14:paraId="4352A632" w14:textId="77777777" w:rsidR="00297185" w:rsidRPr="006B5CD3" w:rsidRDefault="00297185" w:rsidP="003F4902">
            <w:pPr>
              <w:rPr>
                <w:rFonts w:ascii="仿宋" w:eastAsia="仿宋" w:hAnsi="仿宋" w:cs="Arial" w:hint="eastAsia"/>
                <w:b/>
                <w:bCs/>
                <w:sz w:val="24"/>
              </w:rPr>
            </w:pPr>
            <w:r w:rsidRPr="006B5CD3">
              <w:rPr>
                <w:rFonts w:ascii="仿宋" w:eastAsia="仿宋" w:hAnsi="仿宋" w:cs="Arial"/>
                <w:b/>
                <w:bCs/>
                <w:sz w:val="24"/>
              </w:rPr>
              <w:t>最高限价（万元）</w:t>
            </w:r>
          </w:p>
        </w:tc>
        <w:tc>
          <w:tcPr>
            <w:tcW w:w="1530" w:type="dxa"/>
            <w:vAlign w:val="center"/>
          </w:tcPr>
          <w:p w14:paraId="54BE9DC3" w14:textId="77777777" w:rsidR="00297185" w:rsidRPr="006B5CD3" w:rsidRDefault="00297185" w:rsidP="003F4902">
            <w:pPr>
              <w:rPr>
                <w:rFonts w:ascii="仿宋" w:eastAsia="仿宋" w:hAnsi="仿宋" w:cs="Arial" w:hint="eastAsia"/>
                <w:b/>
                <w:bCs/>
                <w:sz w:val="24"/>
              </w:rPr>
            </w:pPr>
            <w:r w:rsidRPr="006B5CD3">
              <w:rPr>
                <w:rFonts w:ascii="仿宋" w:eastAsia="仿宋" w:hAnsi="仿宋" w:cs="Arial" w:hint="eastAsia"/>
                <w:b/>
                <w:bCs/>
                <w:sz w:val="24"/>
              </w:rPr>
              <w:t>是否允许采购进口产品</w:t>
            </w:r>
          </w:p>
        </w:tc>
        <w:tc>
          <w:tcPr>
            <w:tcW w:w="992" w:type="dxa"/>
          </w:tcPr>
          <w:p w14:paraId="2FB71443" w14:textId="77777777" w:rsidR="00297185" w:rsidRPr="006B5CD3" w:rsidRDefault="00297185" w:rsidP="003F4902">
            <w:pPr>
              <w:rPr>
                <w:rFonts w:ascii="仿宋" w:eastAsia="仿宋" w:hAnsi="仿宋" w:cs="Arial" w:hint="eastAsia"/>
                <w:b/>
                <w:bCs/>
                <w:sz w:val="24"/>
              </w:rPr>
            </w:pPr>
          </w:p>
          <w:p w14:paraId="1D9120B0" w14:textId="77777777" w:rsidR="00297185" w:rsidRPr="006B5CD3" w:rsidRDefault="00297185" w:rsidP="003F4902">
            <w:pPr>
              <w:rPr>
                <w:rFonts w:ascii="仿宋" w:eastAsia="仿宋" w:hAnsi="仿宋" w:cs="Arial" w:hint="eastAsia"/>
                <w:b/>
                <w:bCs/>
                <w:sz w:val="24"/>
              </w:rPr>
            </w:pPr>
            <w:r w:rsidRPr="006B5CD3">
              <w:rPr>
                <w:rFonts w:ascii="仿宋" w:eastAsia="仿宋" w:hAnsi="仿宋" w:cs="Arial" w:hint="eastAsia"/>
                <w:b/>
                <w:bCs/>
                <w:sz w:val="24"/>
              </w:rPr>
              <w:t>质保期</w:t>
            </w:r>
          </w:p>
        </w:tc>
        <w:tc>
          <w:tcPr>
            <w:tcW w:w="1588" w:type="dxa"/>
            <w:vAlign w:val="center"/>
          </w:tcPr>
          <w:p w14:paraId="639FCB50" w14:textId="77777777" w:rsidR="00297185" w:rsidRPr="006B5CD3" w:rsidRDefault="00297185" w:rsidP="003F4902">
            <w:pPr>
              <w:rPr>
                <w:rFonts w:ascii="仿宋" w:eastAsia="仿宋" w:hAnsi="仿宋" w:cs="Arial" w:hint="eastAsia"/>
                <w:b/>
                <w:bCs/>
                <w:sz w:val="24"/>
              </w:rPr>
            </w:pPr>
            <w:r w:rsidRPr="006B5CD3">
              <w:rPr>
                <w:rFonts w:ascii="仿宋" w:eastAsia="仿宋" w:hAnsi="仿宋" w:cs="Arial"/>
                <w:b/>
                <w:bCs/>
                <w:sz w:val="24"/>
              </w:rPr>
              <w:t>简要技术需求或服务要求</w:t>
            </w:r>
          </w:p>
        </w:tc>
      </w:tr>
      <w:tr w:rsidR="00297185" w:rsidRPr="006B5CD3" w14:paraId="3174B384" w14:textId="77777777" w:rsidTr="003F4902">
        <w:trPr>
          <w:trHeight w:val="1186"/>
        </w:trPr>
        <w:tc>
          <w:tcPr>
            <w:tcW w:w="421" w:type="dxa"/>
            <w:vAlign w:val="center"/>
          </w:tcPr>
          <w:p w14:paraId="4D81A039"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Arial" w:hint="eastAsia"/>
                <w:sz w:val="24"/>
              </w:rPr>
              <w:t>1</w:t>
            </w:r>
          </w:p>
        </w:tc>
        <w:tc>
          <w:tcPr>
            <w:tcW w:w="850" w:type="dxa"/>
            <w:vAlign w:val="center"/>
          </w:tcPr>
          <w:p w14:paraId="00EC7D5B"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Arial" w:hint="eastAsia"/>
                <w:sz w:val="24"/>
              </w:rPr>
              <w:t>1-1</w:t>
            </w:r>
          </w:p>
        </w:tc>
        <w:tc>
          <w:tcPr>
            <w:tcW w:w="1701" w:type="dxa"/>
            <w:vAlign w:val="center"/>
          </w:tcPr>
          <w:p w14:paraId="0B91CCF3"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宋体" w:hint="eastAsia"/>
                <w:sz w:val="24"/>
              </w:rPr>
              <w:t>重点锅炉使用单位绿色提升</w:t>
            </w:r>
          </w:p>
        </w:tc>
        <w:tc>
          <w:tcPr>
            <w:tcW w:w="709" w:type="dxa"/>
            <w:vAlign w:val="center"/>
          </w:tcPr>
          <w:p w14:paraId="7370454A"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Arial" w:hint="eastAsia"/>
                <w:sz w:val="24"/>
              </w:rPr>
              <w:t>一批</w:t>
            </w:r>
          </w:p>
        </w:tc>
        <w:tc>
          <w:tcPr>
            <w:tcW w:w="1276" w:type="dxa"/>
            <w:vAlign w:val="center"/>
          </w:tcPr>
          <w:p w14:paraId="351F2A5F"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Arial"/>
                <w:sz w:val="24"/>
              </w:rPr>
              <w:t>473</w:t>
            </w:r>
            <w:r w:rsidRPr="006B5CD3">
              <w:rPr>
                <w:rFonts w:ascii="仿宋" w:eastAsia="仿宋" w:hAnsi="仿宋" w:cs="Arial" w:hint="eastAsia"/>
                <w:sz w:val="24"/>
              </w:rPr>
              <w:t>.</w:t>
            </w:r>
            <w:r w:rsidRPr="006B5CD3">
              <w:rPr>
                <w:rFonts w:ascii="仿宋" w:eastAsia="仿宋" w:hAnsi="仿宋" w:cs="Arial"/>
                <w:sz w:val="24"/>
              </w:rPr>
              <w:t>581707</w:t>
            </w:r>
          </w:p>
        </w:tc>
        <w:tc>
          <w:tcPr>
            <w:tcW w:w="1530" w:type="dxa"/>
            <w:vAlign w:val="center"/>
          </w:tcPr>
          <w:p w14:paraId="07A951C3" w14:textId="77777777" w:rsidR="00297185" w:rsidRPr="006B5CD3" w:rsidRDefault="00297185" w:rsidP="003F4902">
            <w:pPr>
              <w:jc w:val="center"/>
              <w:rPr>
                <w:rFonts w:ascii="仿宋" w:eastAsia="仿宋" w:hAnsi="仿宋" w:cs="Arial" w:hint="eastAsia"/>
                <w:sz w:val="24"/>
              </w:rPr>
            </w:pPr>
            <w:r w:rsidRPr="006B5CD3">
              <w:rPr>
                <w:rFonts w:ascii="仿宋" w:eastAsia="仿宋" w:hAnsi="仿宋" w:cs="Arial" w:hint="eastAsia"/>
                <w:sz w:val="24"/>
              </w:rPr>
              <w:t>否</w:t>
            </w:r>
          </w:p>
        </w:tc>
        <w:tc>
          <w:tcPr>
            <w:tcW w:w="992" w:type="dxa"/>
            <w:vAlign w:val="center"/>
          </w:tcPr>
          <w:p w14:paraId="05B251C0" w14:textId="77777777" w:rsidR="00297185" w:rsidRPr="006B5CD3" w:rsidRDefault="00297185" w:rsidP="003F4902">
            <w:pPr>
              <w:jc w:val="center"/>
              <w:rPr>
                <w:rFonts w:ascii="仿宋" w:eastAsia="仿宋" w:hAnsi="仿宋" w:hint="eastAsia"/>
                <w:sz w:val="24"/>
              </w:rPr>
            </w:pPr>
            <w:r w:rsidRPr="006B5CD3">
              <w:rPr>
                <w:rFonts w:ascii="仿宋" w:eastAsia="仿宋" w:hAnsi="仿宋" w:hint="eastAsia"/>
                <w:sz w:val="24"/>
              </w:rPr>
              <w:t>五年</w:t>
            </w:r>
          </w:p>
        </w:tc>
        <w:tc>
          <w:tcPr>
            <w:tcW w:w="1588" w:type="dxa"/>
            <w:vAlign w:val="center"/>
          </w:tcPr>
          <w:p w14:paraId="24F6F729" w14:textId="77777777" w:rsidR="00297185" w:rsidRPr="006B5CD3" w:rsidRDefault="00297185" w:rsidP="003F4902">
            <w:pPr>
              <w:rPr>
                <w:rFonts w:ascii="仿宋" w:eastAsia="仿宋" w:hAnsi="仿宋" w:cs="Arial" w:hint="eastAsia"/>
                <w:sz w:val="24"/>
              </w:rPr>
            </w:pPr>
            <w:r w:rsidRPr="006B5CD3">
              <w:rPr>
                <w:rFonts w:ascii="仿宋" w:eastAsia="仿宋" w:hAnsi="仿宋" w:cs="Arial" w:hint="eastAsia"/>
                <w:sz w:val="24"/>
              </w:rPr>
              <w:t>详见采购需求</w:t>
            </w:r>
          </w:p>
        </w:tc>
      </w:tr>
    </w:tbl>
    <w:p w14:paraId="65179DB3"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2. 项目背景/项目概述（如有）</w:t>
      </w:r>
    </w:p>
    <w:p w14:paraId="5609D88F" w14:textId="77777777" w:rsidR="00297185" w:rsidRPr="006B5CD3" w:rsidRDefault="00297185" w:rsidP="00297185">
      <w:pPr>
        <w:spacing w:line="360" w:lineRule="auto"/>
        <w:ind w:firstLineChars="100" w:firstLine="240"/>
        <w:contextualSpacing/>
        <w:rPr>
          <w:rFonts w:ascii="仿宋" w:eastAsia="仿宋" w:hAnsi="仿宋" w:cs="宋体" w:hint="eastAsia"/>
          <w:sz w:val="24"/>
        </w:rPr>
      </w:pPr>
      <w:r w:rsidRPr="006B5CD3">
        <w:rPr>
          <w:rFonts w:ascii="仿宋" w:eastAsia="仿宋" w:hAnsi="仿宋" w:cs="宋体" w:hint="eastAsia"/>
          <w:bCs/>
          <w:sz w:val="24"/>
        </w:rPr>
        <w:t>顺义区重点锅炉使用单位绿色提升</w:t>
      </w:r>
    </w:p>
    <w:p w14:paraId="52C5BB71" w14:textId="77777777" w:rsidR="00297185" w:rsidRPr="006B5CD3" w:rsidRDefault="00297185" w:rsidP="00297185">
      <w:pPr>
        <w:pStyle w:val="11"/>
        <w:numPr>
          <w:ilvl w:val="0"/>
          <w:numId w:val="1"/>
        </w:numPr>
        <w:spacing w:line="360" w:lineRule="auto"/>
        <w:ind w:firstLineChars="0"/>
        <w:contextualSpacing/>
        <w:rPr>
          <w:rFonts w:ascii="仿宋" w:eastAsia="仿宋" w:hAnsi="仿宋" w:cs="宋体" w:hint="eastAsia"/>
          <w:b/>
          <w:sz w:val="24"/>
          <w:szCs w:val="24"/>
        </w:rPr>
      </w:pPr>
      <w:r w:rsidRPr="006B5CD3">
        <w:rPr>
          <w:rFonts w:ascii="仿宋" w:eastAsia="仿宋" w:hAnsi="仿宋" w:cs="宋体" w:hint="eastAsia"/>
          <w:b/>
          <w:sz w:val="24"/>
          <w:szCs w:val="24"/>
        </w:rPr>
        <w:t>商务要求</w:t>
      </w:r>
    </w:p>
    <w:p w14:paraId="06B4C18F" w14:textId="77777777" w:rsidR="00297185" w:rsidRPr="006B5CD3" w:rsidRDefault="00297185" w:rsidP="00297185">
      <w:pPr>
        <w:spacing w:line="360" w:lineRule="auto"/>
        <w:contextualSpacing/>
        <w:rPr>
          <w:rFonts w:ascii="仿宋" w:eastAsia="仿宋" w:hAnsi="仿宋" w:cs="宋体" w:hint="eastAsia"/>
          <w:i/>
          <w:sz w:val="24"/>
        </w:rPr>
      </w:pPr>
      <w:r w:rsidRPr="006B5CD3">
        <w:rPr>
          <w:rFonts w:ascii="仿宋" w:eastAsia="仿宋" w:hAnsi="仿宋" w:cs="宋体" w:hint="eastAsia"/>
          <w:sz w:val="24"/>
        </w:rPr>
        <w:t>1. 交付（实施）的时间（期限）和地点（范围）</w:t>
      </w:r>
    </w:p>
    <w:p w14:paraId="5F7246D1"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交货时间：</w:t>
      </w:r>
      <w:r w:rsidRPr="006B5CD3">
        <w:rPr>
          <w:rFonts w:ascii="仿宋" w:eastAsia="仿宋" w:hAnsi="仿宋" w:cs="宋体" w:hint="eastAsia"/>
          <w:sz w:val="24"/>
        </w:rPr>
        <w:t>自合同签订之日起30日内到货，并于供暖季前完成安装。锅炉创绿技术服务及报告编制工作需在11月底前完成。</w:t>
      </w:r>
    </w:p>
    <w:p w14:paraId="3E139EC9" w14:textId="77777777" w:rsidR="00297185" w:rsidRPr="006B5CD3" w:rsidRDefault="00297185" w:rsidP="00297185">
      <w:pPr>
        <w:spacing w:line="360" w:lineRule="auto"/>
        <w:contextualSpacing/>
        <w:rPr>
          <w:rFonts w:ascii="仿宋" w:eastAsia="仿宋" w:hAnsi="仿宋" w:cs="宋体" w:hint="eastAsia"/>
          <w:i/>
          <w:sz w:val="24"/>
        </w:rPr>
      </w:pPr>
      <w:r w:rsidRPr="006B5CD3">
        <w:rPr>
          <w:rFonts w:ascii="仿宋" w:eastAsia="仿宋" w:hAnsi="仿宋" w:cs="宋体" w:hint="eastAsia"/>
          <w:bCs/>
          <w:sz w:val="24"/>
        </w:rPr>
        <w:t>交货地点：采购人指定地点</w:t>
      </w:r>
    </w:p>
    <w:p w14:paraId="11BF5D37"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sz w:val="24"/>
        </w:rPr>
        <w:t>2. 付款条件（进度和方式）：</w:t>
      </w:r>
      <w:r w:rsidRPr="006B5CD3">
        <w:rPr>
          <w:rFonts w:ascii="仿宋" w:eastAsia="仿宋" w:hAnsi="仿宋" w:cs="宋体" w:hint="eastAsia"/>
          <w:kern w:val="0"/>
          <w:szCs w:val="28"/>
        </w:rPr>
        <w:t>按合同约定执行</w:t>
      </w:r>
      <w:r w:rsidRPr="006B5CD3">
        <w:rPr>
          <w:rFonts w:ascii="仿宋" w:eastAsia="仿宋" w:hAnsi="仿宋" w:cs="宋体" w:hint="eastAsia"/>
          <w:sz w:val="24"/>
        </w:rPr>
        <w:t xml:space="preserve"> </w:t>
      </w:r>
    </w:p>
    <w:p w14:paraId="7567B270"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3. 包装和运输（如适用，须满足《关于印发〈商品包装政府采购需求标准（试行）〉、〈快递包装政府采购需求标准（试行）〉的通知》（财办库﹝2020﹞123号））</w:t>
      </w:r>
    </w:p>
    <w:p w14:paraId="26355A04"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4.质保期：五年</w:t>
      </w:r>
    </w:p>
    <w:p w14:paraId="67CB1182" w14:textId="77777777" w:rsidR="00297185" w:rsidRPr="006B5CD3" w:rsidRDefault="00297185" w:rsidP="00297185">
      <w:pPr>
        <w:spacing w:line="360" w:lineRule="auto"/>
        <w:contextualSpacing/>
        <w:rPr>
          <w:rFonts w:ascii="仿宋" w:eastAsia="仿宋" w:hAnsi="仿宋" w:cs="宋体" w:hint="eastAsia"/>
          <w:b/>
          <w:i/>
          <w:sz w:val="24"/>
        </w:rPr>
      </w:pPr>
      <w:r w:rsidRPr="006B5CD3">
        <w:rPr>
          <w:rFonts w:ascii="仿宋" w:eastAsia="仿宋" w:hAnsi="仿宋" w:cs="宋体" w:hint="eastAsia"/>
          <w:sz w:val="24"/>
        </w:rPr>
        <w:t>5. 保险（如适用）：详见合同条款</w:t>
      </w:r>
    </w:p>
    <w:p w14:paraId="746BA20F" w14:textId="77777777" w:rsidR="00297185" w:rsidRPr="006B5CD3" w:rsidRDefault="00297185" w:rsidP="00297185">
      <w:pPr>
        <w:spacing w:line="360" w:lineRule="auto"/>
        <w:contextualSpacing/>
        <w:rPr>
          <w:rFonts w:ascii="仿宋" w:eastAsia="仿宋" w:hAnsi="仿宋" w:cs="宋体" w:hint="eastAsia"/>
          <w:b/>
          <w:i/>
          <w:sz w:val="24"/>
        </w:rPr>
      </w:pPr>
    </w:p>
    <w:p w14:paraId="603500A0" w14:textId="77777777" w:rsidR="00297185" w:rsidRPr="006B5CD3" w:rsidRDefault="00297185" w:rsidP="00297185">
      <w:pPr>
        <w:pStyle w:val="11"/>
        <w:numPr>
          <w:ilvl w:val="0"/>
          <w:numId w:val="1"/>
        </w:numPr>
        <w:spacing w:line="360" w:lineRule="auto"/>
        <w:ind w:firstLineChars="0"/>
        <w:contextualSpacing/>
        <w:rPr>
          <w:rFonts w:ascii="仿宋" w:eastAsia="仿宋" w:hAnsi="仿宋" w:cs="宋体" w:hint="eastAsia"/>
          <w:b/>
          <w:sz w:val="24"/>
          <w:szCs w:val="24"/>
        </w:rPr>
      </w:pPr>
      <w:r w:rsidRPr="006B5CD3">
        <w:rPr>
          <w:rFonts w:ascii="仿宋" w:eastAsia="仿宋" w:hAnsi="仿宋" w:cs="宋体" w:hint="eastAsia"/>
          <w:b/>
          <w:sz w:val="24"/>
          <w:szCs w:val="24"/>
        </w:rPr>
        <w:t>技术要求</w:t>
      </w:r>
    </w:p>
    <w:p w14:paraId="6C65D89B"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（一） 基本要求</w:t>
      </w:r>
    </w:p>
    <w:p w14:paraId="1A33B463"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1.1 采购标的需实现的功能或者目标：</w:t>
      </w:r>
    </w:p>
    <w:p w14:paraId="4C9BFA07" w14:textId="77777777" w:rsidR="00297185" w:rsidRPr="006B5CD3" w:rsidRDefault="00297185" w:rsidP="00297185">
      <w:pPr>
        <w:spacing w:line="360" w:lineRule="auto"/>
        <w:ind w:firstLineChars="200" w:firstLine="480"/>
        <w:contextualSpacing/>
        <w:rPr>
          <w:rFonts w:ascii="仿宋" w:eastAsia="仿宋" w:hAnsi="仿宋" w:cs="宋体" w:hint="eastAsia"/>
          <w:sz w:val="24"/>
        </w:rPr>
      </w:pPr>
      <w:r w:rsidRPr="006B5CD3">
        <w:rPr>
          <w:rFonts w:ascii="仿宋" w:eastAsia="仿宋" w:hAnsi="仿宋" w:cs="宋体" w:hint="eastAsia"/>
          <w:sz w:val="24"/>
        </w:rPr>
        <w:t>本次招标</w:t>
      </w:r>
      <w:r w:rsidRPr="006B5CD3">
        <w:rPr>
          <w:rFonts w:ascii="仿宋" w:eastAsia="仿宋" w:hAnsi="仿宋" w:cs="宋体" w:hint="eastAsia"/>
          <w:bCs/>
          <w:sz w:val="24"/>
        </w:rPr>
        <w:t>为</w:t>
      </w:r>
      <w:r w:rsidRPr="006B5CD3">
        <w:rPr>
          <w:rFonts w:ascii="仿宋" w:eastAsia="仿宋" w:hAnsi="仿宋" w:cs="宋体" w:hint="eastAsia"/>
          <w:sz w:val="24"/>
          <w:u w:val="single"/>
        </w:rPr>
        <w:t>顺义区重点锅炉使用单位绿色提升</w:t>
      </w:r>
      <w:r w:rsidRPr="006B5CD3">
        <w:rPr>
          <w:rFonts w:ascii="仿宋" w:eastAsia="仿宋" w:hAnsi="仿宋" w:cs="宋体" w:hint="eastAsia"/>
          <w:sz w:val="24"/>
        </w:rPr>
        <w:t>，投标人应根据招标文件所提出的采购需求，综合考虑产品的适用性。投标人应以技术先进的产品、优良的服务和优惠的价格，充分显示自己的竞争实力。</w:t>
      </w:r>
    </w:p>
    <w:p w14:paraId="16D3C400" w14:textId="77777777" w:rsidR="00297185" w:rsidRPr="006B5CD3" w:rsidRDefault="00297185" w:rsidP="00297185">
      <w:pPr>
        <w:spacing w:line="360" w:lineRule="auto"/>
        <w:contextualSpacing/>
        <w:rPr>
          <w:rFonts w:ascii="仿宋" w:eastAsia="仿宋" w:hAnsi="仿宋" w:cs="宋体" w:hint="eastAsia"/>
          <w:sz w:val="24"/>
        </w:rPr>
      </w:pPr>
      <w:bookmarkStart w:id="1" w:name="_Hlk118874770"/>
      <w:r w:rsidRPr="006B5CD3">
        <w:rPr>
          <w:rFonts w:ascii="仿宋" w:eastAsia="仿宋" w:hAnsi="仿宋" w:cs="宋体" w:hint="eastAsia"/>
          <w:sz w:val="24"/>
        </w:rPr>
        <w:t>2、需执行的国家相关标准、行业标准、地方标准或者其他标准、规范（如涉及）</w:t>
      </w:r>
    </w:p>
    <w:p w14:paraId="5512E53A"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lastRenderedPageBreak/>
        <w:t>3.为落实政府采购政策需满足的要求：</w:t>
      </w:r>
    </w:p>
    <w:p w14:paraId="50F0C8DF"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3.1</w:t>
      </w:r>
      <w:r w:rsidRPr="006B5CD3">
        <w:rPr>
          <w:rFonts w:ascii="仿宋" w:eastAsia="仿宋" w:hAnsi="仿宋" w:cs="宋体" w:hint="eastAsia"/>
          <w:bCs/>
          <w:sz w:val="24"/>
        </w:rPr>
        <w:tab/>
        <w:t>中小企业、监狱企业及残疾人福利性单位；</w:t>
      </w:r>
    </w:p>
    <w:p w14:paraId="4056F4F1"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bCs/>
          <w:sz w:val="24"/>
        </w:rPr>
        <w:t>3.2</w:t>
      </w:r>
      <w:r w:rsidRPr="006B5CD3">
        <w:rPr>
          <w:rFonts w:ascii="仿宋" w:eastAsia="仿宋" w:hAnsi="仿宋" w:cs="宋体" w:hint="eastAsia"/>
          <w:bCs/>
          <w:sz w:val="24"/>
        </w:rPr>
        <w:tab/>
        <w:t>政府采购节能产品、环境标志产品；</w:t>
      </w:r>
    </w:p>
    <w:p w14:paraId="62FFAAE6"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（二）采购标的需满足的质量、安全、技术规格、物理特性等要求：</w:t>
      </w:r>
    </w:p>
    <w:p w14:paraId="054C223C"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1、供应商所提供的部件之间及设备之间的连线或接插件均视为设备内部部件，应包含在相应的配置中。</w:t>
      </w:r>
    </w:p>
    <w:p w14:paraId="54CA01C1"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2、工作条件：除了在技术要求中另有规定外，供应商提供的一切仪器、设备和系统，应符合下列条件：</w:t>
      </w:r>
    </w:p>
    <w:p w14:paraId="64B23E86"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2.1 仪器设备的插头要符合中国电工标准。如不符合，则应提供适合仪器插头的插座，必须要有接地。</w:t>
      </w:r>
    </w:p>
    <w:p w14:paraId="25158CB9" w14:textId="77777777" w:rsidR="00297185" w:rsidRPr="006B5CD3" w:rsidRDefault="00297185" w:rsidP="00297185">
      <w:pPr>
        <w:spacing w:line="360" w:lineRule="auto"/>
        <w:contextualSpacing/>
        <w:rPr>
          <w:rFonts w:ascii="仿宋" w:eastAsia="仿宋" w:hAnsi="仿宋" w:cs="宋体" w:hint="eastAsia"/>
          <w:sz w:val="24"/>
        </w:rPr>
      </w:pPr>
      <w:r w:rsidRPr="006B5CD3">
        <w:rPr>
          <w:rFonts w:ascii="仿宋" w:eastAsia="仿宋" w:hAnsi="仿宋" w:cs="宋体" w:hint="eastAsia"/>
          <w:sz w:val="24"/>
        </w:rPr>
        <w:t>2.2 如果仪器设备需特殊的工作条件（如：水、电源、磁场强度、特殊温度、湿度、震动强度等），供应商应在有关投标文件中加以说明。</w:t>
      </w:r>
    </w:p>
    <w:p w14:paraId="46C45A37"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（三）采购标的需满足的服务标准、期限、效率等要求：</w:t>
      </w:r>
    </w:p>
    <w:p w14:paraId="75C5D4FB"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1、设备的维护及技术支持</w:t>
      </w:r>
    </w:p>
    <w:p w14:paraId="41889BB1"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1.1经有关部门验收或检测合格后开始计算保修期。</w:t>
      </w:r>
    </w:p>
    <w:p w14:paraId="30C9AE8B"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1.2保修期满后整机每年常规保修费用不超过购置费的5%。</w:t>
      </w:r>
    </w:p>
    <w:p w14:paraId="4439CAC9"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1.3免费提供软件升级服务。</w:t>
      </w:r>
    </w:p>
    <w:p w14:paraId="78255503"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1.4 所有的替代零配件的提供需得到买方的认可。</w:t>
      </w:r>
    </w:p>
    <w:p w14:paraId="4B3B45AE"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1.5 在保修期内中标人必须为用户提供技术援助电话，用于用户报告故障。技术援助电话支持应是中文，如电话支持无法解决，投标人应在接到通知后两个工作日内做出响应，并采取行动修理故障。在保修期内除提供上述技术服务外，投标人有责任对其所提供的所有产品提供以下形式的技术服务。</w:t>
      </w:r>
    </w:p>
    <w:p w14:paraId="3BED0C23"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1.5.1 电话咨询：免费提供咨询电话技术支持服务，解答用户的系统使用中遇到的问题，及时提出解决问题的建议和操作方法。</w:t>
      </w:r>
    </w:p>
    <w:p w14:paraId="0FF77216"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1.5.2 现场响应：自收到用户的服务请求起24小时内。若以上服务形式不能解决问题，投标人应指派技术人员赶赴现场进行故障处理。遇到重大技术问题，投标人应及时组织有关技术人员进行故障排除，并采取相应措施以确保所提交的解决方案可行，同时提出确定的维修方案。</w:t>
      </w:r>
    </w:p>
    <w:p w14:paraId="22E06187"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2、培训要求：培训是指涉及产品基本原理、安装、调试、操作使用和保养维修</w:t>
      </w:r>
      <w:r w:rsidRPr="006B5CD3">
        <w:rPr>
          <w:rFonts w:ascii="仿宋" w:eastAsia="仿宋" w:hAnsi="仿宋" w:cs="宋体" w:hint="eastAsia"/>
          <w:bCs/>
          <w:sz w:val="24"/>
        </w:rPr>
        <w:lastRenderedPageBreak/>
        <w:t>等有关内容的学习。供应商应保证在采购人指定交货地点对每包（品目）最终用户设备操作人员提供终身免费培训。供应商报价时应提供详细的培训方案。培训教员的差旅费、食宿费、培训教材等费用，应计入报价。</w:t>
      </w:r>
    </w:p>
    <w:p w14:paraId="150A3FFA" w14:textId="77777777" w:rsidR="00297185" w:rsidRPr="006B5CD3" w:rsidRDefault="00297185" w:rsidP="00297185">
      <w:pPr>
        <w:spacing w:line="360" w:lineRule="auto"/>
        <w:contextualSpacing/>
        <w:rPr>
          <w:rFonts w:ascii="仿宋" w:eastAsia="仿宋" w:hAnsi="仿宋" w:cs="宋体" w:hint="eastAsia"/>
          <w:bCs/>
          <w:i/>
          <w:iCs/>
          <w:sz w:val="24"/>
        </w:rPr>
      </w:pPr>
      <w:r w:rsidRPr="006B5CD3">
        <w:rPr>
          <w:rFonts w:ascii="仿宋" w:eastAsia="仿宋" w:hAnsi="仿宋" w:cs="宋体" w:hint="eastAsia"/>
          <w:bCs/>
          <w:i/>
          <w:iCs/>
          <w:sz w:val="24"/>
        </w:rPr>
        <w:t>注：上述要求如与</w:t>
      </w:r>
      <w:bookmarkStart w:id="2" w:name="_Hlk116309770"/>
      <w:r w:rsidRPr="006B5CD3">
        <w:rPr>
          <w:rFonts w:ascii="仿宋" w:eastAsia="仿宋" w:hAnsi="仿宋" w:cs="宋体" w:hint="eastAsia"/>
          <w:bCs/>
          <w:i/>
          <w:iCs/>
          <w:sz w:val="24"/>
        </w:rPr>
        <w:t>货物技术规格具体要求</w:t>
      </w:r>
      <w:bookmarkEnd w:id="2"/>
      <w:r w:rsidRPr="006B5CD3">
        <w:rPr>
          <w:rFonts w:ascii="仿宋" w:eastAsia="仿宋" w:hAnsi="仿宋" w:cs="宋体" w:hint="eastAsia"/>
          <w:bCs/>
          <w:i/>
          <w:iCs/>
          <w:sz w:val="24"/>
        </w:rPr>
        <w:t>以及合同文本冲突则以货物技术规格具体要求以及合同文本要求为准。</w:t>
      </w:r>
    </w:p>
    <w:p w14:paraId="45451BAF"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（四）采购标的的其他技术、服务等要求：</w:t>
      </w:r>
    </w:p>
    <w:p w14:paraId="0743D574"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t>1、投标人在响应采购需求时，应就“货物技术规格具体要求”进行逐条响应，并针对每个设备（至少包含“★”“▲”号或“#”号条款）提供技术支持资料。技术支持资料形式：以制造商公开发布的印刷资料（彩页说明、或加盖制造商公章的技术白皮书（不能是复印件））或检测机构出具的检测报告为准。若制造商公开发布的印刷资料与检测机构出具的检测报告不一致，以检测机构出具的检测报告为准。如投标人未就“货物技术规格具体要求”进行逐条响应或未提供的所投设备的技术支持资料或提供的技术支持资料与所投设备不一致或不能体现招标文件的技术要求的，评标委员会可不予承认，并可认为该技术应答不符合招标文件要求。由此产生的评标风险，由投标人自行承担。</w:t>
      </w:r>
    </w:p>
    <w:p w14:paraId="5060848D" w14:textId="77777777" w:rsidR="00297185" w:rsidRPr="006B5CD3" w:rsidRDefault="00297185" w:rsidP="00297185">
      <w:pPr>
        <w:spacing w:line="360" w:lineRule="auto"/>
        <w:contextualSpacing/>
        <w:rPr>
          <w:rFonts w:ascii="仿宋" w:eastAsia="仿宋" w:hAnsi="仿宋" w:cs="宋体" w:hint="eastAsia"/>
          <w:sz w:val="24"/>
          <w:szCs w:val="22"/>
        </w:rPr>
      </w:pPr>
      <w:r w:rsidRPr="006B5CD3">
        <w:rPr>
          <w:rFonts w:ascii="仿宋" w:eastAsia="仿宋" w:hAnsi="仿宋" w:cs="宋体" w:hint="eastAsia"/>
          <w:bCs/>
          <w:sz w:val="24"/>
        </w:rPr>
        <w:t>2、对于技术规格要求中标注“★”“▲”号或“#”号（如有）的技术参数，在应答采购需求偏离表时具体到技术支持资料页码及条目号。</w:t>
      </w:r>
      <w:r w:rsidRPr="006B5CD3">
        <w:rPr>
          <w:rFonts w:ascii="仿宋" w:eastAsia="仿宋" w:hAnsi="仿宋" w:cs="宋体" w:hint="eastAsia"/>
          <w:sz w:val="24"/>
        </w:rPr>
        <w:br w:type="page"/>
      </w:r>
    </w:p>
    <w:p w14:paraId="21CA0505" w14:textId="77777777" w:rsidR="00297185" w:rsidRPr="006B5CD3" w:rsidRDefault="00297185" w:rsidP="00297185">
      <w:pPr>
        <w:spacing w:line="360" w:lineRule="auto"/>
        <w:contextualSpacing/>
        <w:rPr>
          <w:rFonts w:ascii="仿宋" w:eastAsia="仿宋" w:hAnsi="仿宋" w:cs="宋体" w:hint="eastAsia"/>
          <w:bCs/>
          <w:sz w:val="24"/>
        </w:rPr>
      </w:pPr>
      <w:r w:rsidRPr="006B5CD3">
        <w:rPr>
          <w:rFonts w:ascii="仿宋" w:eastAsia="仿宋" w:hAnsi="仿宋" w:cs="宋体" w:hint="eastAsia"/>
          <w:bCs/>
          <w:sz w:val="24"/>
        </w:rPr>
        <w:lastRenderedPageBreak/>
        <w:t>（五）货物技术规格具体要求</w:t>
      </w:r>
    </w:p>
    <w:tbl>
      <w:tblPr>
        <w:tblW w:w="8005" w:type="dxa"/>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1313"/>
        <w:gridCol w:w="2989"/>
        <w:gridCol w:w="2380"/>
        <w:gridCol w:w="1323"/>
      </w:tblGrid>
      <w:tr w:rsidR="00297185" w:rsidRPr="006B5CD3" w14:paraId="5AC89A67"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bookmarkEnd w:id="1"/>
          <w:p w14:paraId="5E2F4497" w14:textId="77777777" w:rsidR="00297185" w:rsidRPr="006B5CD3" w:rsidRDefault="00297185" w:rsidP="003F4902">
            <w:pPr>
              <w:wordWrap w:val="0"/>
              <w:autoSpaceDE w:val="0"/>
              <w:autoSpaceDN w:val="0"/>
              <w:spacing w:before="16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序号</w:t>
            </w:r>
          </w:p>
        </w:tc>
        <w:tc>
          <w:tcPr>
            <w:tcW w:w="2989" w:type="dxa"/>
            <w:tcBorders>
              <w:top w:val="single" w:sz="4" w:space="0" w:color="000000"/>
              <w:left w:val="single" w:sz="4" w:space="0" w:color="000000"/>
              <w:bottom w:val="single" w:sz="4" w:space="0" w:color="000000"/>
              <w:right w:val="single" w:sz="4" w:space="0" w:color="000000"/>
            </w:tcBorders>
          </w:tcPr>
          <w:p w14:paraId="56674266" w14:textId="77777777" w:rsidR="00297185" w:rsidRPr="006B5CD3" w:rsidRDefault="00297185" w:rsidP="003F4902">
            <w:pPr>
              <w:wordWrap w:val="0"/>
              <w:autoSpaceDE w:val="0"/>
              <w:autoSpaceDN w:val="0"/>
              <w:spacing w:before="14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设备名称</w:t>
            </w:r>
          </w:p>
        </w:tc>
        <w:tc>
          <w:tcPr>
            <w:tcW w:w="2380" w:type="dxa"/>
            <w:tcBorders>
              <w:top w:val="single" w:sz="4" w:space="0" w:color="000000"/>
              <w:left w:val="single" w:sz="4" w:space="0" w:color="000000"/>
              <w:bottom w:val="single" w:sz="4" w:space="0" w:color="000000"/>
              <w:right w:val="single" w:sz="4" w:space="0" w:color="000000"/>
            </w:tcBorders>
          </w:tcPr>
          <w:p w14:paraId="526B325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管道直径</w:t>
            </w:r>
          </w:p>
        </w:tc>
        <w:tc>
          <w:tcPr>
            <w:tcW w:w="1323" w:type="dxa"/>
            <w:tcBorders>
              <w:top w:val="single" w:sz="4" w:space="0" w:color="000000"/>
              <w:left w:val="single" w:sz="4" w:space="0" w:color="000000"/>
              <w:bottom w:val="single" w:sz="4" w:space="0" w:color="000000"/>
              <w:right w:val="single" w:sz="4" w:space="0" w:color="000000"/>
            </w:tcBorders>
          </w:tcPr>
          <w:p w14:paraId="757669E0"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数量</w:t>
            </w:r>
          </w:p>
        </w:tc>
      </w:tr>
      <w:tr w:rsidR="00297185" w:rsidRPr="006B5CD3" w14:paraId="2C4B1E84" w14:textId="77777777" w:rsidTr="003F4902">
        <w:trPr>
          <w:trHeight w:val="580"/>
        </w:trPr>
        <w:tc>
          <w:tcPr>
            <w:tcW w:w="1313" w:type="dxa"/>
            <w:tcBorders>
              <w:top w:val="single" w:sz="4" w:space="0" w:color="000000"/>
              <w:left w:val="single" w:sz="4" w:space="0" w:color="000000"/>
              <w:bottom w:val="single" w:sz="4" w:space="0" w:color="000000"/>
              <w:right w:val="single" w:sz="4" w:space="0" w:color="000000"/>
            </w:tcBorders>
          </w:tcPr>
          <w:p w14:paraId="5CD84E23"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w:t>
            </w:r>
          </w:p>
        </w:tc>
        <w:tc>
          <w:tcPr>
            <w:tcW w:w="2989" w:type="dxa"/>
            <w:tcBorders>
              <w:top w:val="single" w:sz="4" w:space="0" w:color="000000"/>
              <w:left w:val="single" w:sz="4" w:space="0" w:color="000000"/>
              <w:bottom w:val="single" w:sz="4" w:space="0" w:color="000000"/>
              <w:right w:val="single" w:sz="4" w:space="0" w:color="000000"/>
            </w:tcBorders>
          </w:tcPr>
          <w:p w14:paraId="713A840E" w14:textId="77777777" w:rsidR="00297185" w:rsidRPr="006B5CD3" w:rsidRDefault="00297185" w:rsidP="003F4902">
            <w:pPr>
              <w:wordWrap w:val="0"/>
              <w:autoSpaceDE w:val="0"/>
              <w:autoSpaceDN w:val="0"/>
              <w:spacing w:before="160" w:line="360" w:lineRule="auto"/>
              <w:jc w:val="center"/>
              <w:rPr>
                <w:rFonts w:ascii="仿宋" w:eastAsia="仿宋" w:hAnsi="仿宋" w:cs="仿宋" w:hint="eastAsia"/>
                <w:sz w:val="24"/>
              </w:rPr>
            </w:pPr>
            <w:r w:rsidRPr="006B5CD3">
              <w:rPr>
                <w:rFonts w:ascii="仿宋" w:eastAsia="仿宋" w:hAnsi="仿宋" w:cs="仿宋" w:hint="eastAsia"/>
                <w:sz w:val="24"/>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6CE90A24"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DN50</w:t>
            </w:r>
          </w:p>
        </w:tc>
        <w:tc>
          <w:tcPr>
            <w:tcW w:w="1323" w:type="dxa"/>
            <w:tcBorders>
              <w:top w:val="single" w:sz="4" w:space="0" w:color="000000"/>
              <w:left w:val="single" w:sz="4" w:space="0" w:color="000000"/>
              <w:bottom w:val="single" w:sz="4" w:space="0" w:color="000000"/>
              <w:right w:val="single" w:sz="4" w:space="0" w:color="000000"/>
            </w:tcBorders>
          </w:tcPr>
          <w:p w14:paraId="4336E710"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3</w:t>
            </w:r>
          </w:p>
        </w:tc>
      </w:tr>
      <w:tr w:rsidR="00297185" w:rsidRPr="006B5CD3" w14:paraId="2610BEC5" w14:textId="77777777" w:rsidTr="003F4902">
        <w:trPr>
          <w:trHeight w:val="620"/>
        </w:trPr>
        <w:tc>
          <w:tcPr>
            <w:tcW w:w="1313" w:type="dxa"/>
            <w:tcBorders>
              <w:top w:val="single" w:sz="4" w:space="0" w:color="000000"/>
              <w:left w:val="single" w:sz="4" w:space="0" w:color="000000"/>
              <w:bottom w:val="single" w:sz="4" w:space="0" w:color="000000"/>
              <w:right w:val="single" w:sz="4" w:space="0" w:color="000000"/>
            </w:tcBorders>
          </w:tcPr>
          <w:p w14:paraId="58DE6F4A" w14:textId="77777777" w:rsidR="00297185" w:rsidRPr="006B5CD3" w:rsidRDefault="00297185" w:rsidP="003F4902">
            <w:pPr>
              <w:wordWrap w:val="0"/>
              <w:autoSpaceDE w:val="0"/>
              <w:autoSpaceDN w:val="0"/>
              <w:spacing w:before="24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c>
          <w:tcPr>
            <w:tcW w:w="2989" w:type="dxa"/>
            <w:tcBorders>
              <w:top w:val="single" w:sz="4" w:space="0" w:color="000000"/>
              <w:left w:val="single" w:sz="4" w:space="0" w:color="000000"/>
              <w:bottom w:val="single" w:sz="4" w:space="0" w:color="000000"/>
              <w:right w:val="single" w:sz="4" w:space="0" w:color="000000"/>
            </w:tcBorders>
            <w:vAlign w:val="center"/>
          </w:tcPr>
          <w:p w14:paraId="686052B5"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5251C80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DN80</w:t>
            </w:r>
          </w:p>
        </w:tc>
        <w:tc>
          <w:tcPr>
            <w:tcW w:w="1323" w:type="dxa"/>
            <w:tcBorders>
              <w:top w:val="single" w:sz="4" w:space="0" w:color="000000"/>
              <w:left w:val="single" w:sz="4" w:space="0" w:color="000000"/>
              <w:bottom w:val="single" w:sz="4" w:space="0" w:color="000000"/>
              <w:right w:val="single" w:sz="4" w:space="0" w:color="000000"/>
            </w:tcBorders>
            <w:vAlign w:val="center"/>
          </w:tcPr>
          <w:p w14:paraId="2673084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232ACF1F" w14:textId="77777777" w:rsidTr="003F4902">
        <w:trPr>
          <w:trHeight w:val="620"/>
        </w:trPr>
        <w:tc>
          <w:tcPr>
            <w:tcW w:w="1313" w:type="dxa"/>
            <w:tcBorders>
              <w:top w:val="single" w:sz="4" w:space="0" w:color="000000"/>
              <w:left w:val="single" w:sz="4" w:space="0" w:color="000000"/>
              <w:bottom w:val="single" w:sz="4" w:space="0" w:color="000000"/>
              <w:right w:val="single" w:sz="4" w:space="0" w:color="000000"/>
            </w:tcBorders>
          </w:tcPr>
          <w:p w14:paraId="6B734988"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3</w:t>
            </w:r>
          </w:p>
        </w:tc>
        <w:tc>
          <w:tcPr>
            <w:tcW w:w="2989" w:type="dxa"/>
            <w:tcBorders>
              <w:top w:val="single" w:sz="4" w:space="0" w:color="000000"/>
              <w:left w:val="single" w:sz="4" w:space="0" w:color="000000"/>
              <w:bottom w:val="single" w:sz="4" w:space="0" w:color="000000"/>
              <w:right w:val="single" w:sz="4" w:space="0" w:color="000000"/>
            </w:tcBorders>
            <w:vAlign w:val="center"/>
          </w:tcPr>
          <w:p w14:paraId="40D8C890"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 xml:space="preserve"> 超声波热量表</w:t>
            </w:r>
          </w:p>
        </w:tc>
        <w:tc>
          <w:tcPr>
            <w:tcW w:w="2380" w:type="dxa"/>
            <w:tcBorders>
              <w:top w:val="single" w:sz="4" w:space="0" w:color="000000"/>
              <w:left w:val="single" w:sz="4" w:space="0" w:color="000000"/>
              <w:bottom w:val="single" w:sz="4" w:space="0" w:color="000000"/>
              <w:right w:val="single" w:sz="4" w:space="0" w:color="000000"/>
            </w:tcBorders>
          </w:tcPr>
          <w:p w14:paraId="5793145A"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DN100</w:t>
            </w:r>
          </w:p>
        </w:tc>
        <w:tc>
          <w:tcPr>
            <w:tcW w:w="1323" w:type="dxa"/>
            <w:tcBorders>
              <w:top w:val="single" w:sz="4" w:space="0" w:color="000000"/>
              <w:left w:val="single" w:sz="4" w:space="0" w:color="000000"/>
              <w:bottom w:val="single" w:sz="4" w:space="0" w:color="000000"/>
              <w:right w:val="single" w:sz="4" w:space="0" w:color="000000"/>
            </w:tcBorders>
            <w:vAlign w:val="center"/>
          </w:tcPr>
          <w:p w14:paraId="4080AAF2"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10</w:t>
            </w:r>
          </w:p>
        </w:tc>
      </w:tr>
      <w:tr w:rsidR="00297185" w:rsidRPr="006B5CD3" w14:paraId="35DED174" w14:textId="77777777" w:rsidTr="003F4902">
        <w:trPr>
          <w:trHeight w:val="580"/>
        </w:trPr>
        <w:tc>
          <w:tcPr>
            <w:tcW w:w="1313" w:type="dxa"/>
            <w:tcBorders>
              <w:top w:val="single" w:sz="4" w:space="0" w:color="000000"/>
              <w:left w:val="single" w:sz="4" w:space="0" w:color="000000"/>
              <w:bottom w:val="single" w:sz="4" w:space="0" w:color="000000"/>
              <w:right w:val="single" w:sz="4" w:space="0" w:color="000000"/>
            </w:tcBorders>
          </w:tcPr>
          <w:p w14:paraId="3C589D7F" w14:textId="77777777" w:rsidR="00297185" w:rsidRPr="006B5CD3" w:rsidRDefault="00297185" w:rsidP="003F4902">
            <w:pPr>
              <w:wordWrap w:val="0"/>
              <w:autoSpaceDE w:val="0"/>
              <w:autoSpaceDN w:val="0"/>
              <w:spacing w:before="16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4</w:t>
            </w:r>
          </w:p>
        </w:tc>
        <w:tc>
          <w:tcPr>
            <w:tcW w:w="2989" w:type="dxa"/>
            <w:tcBorders>
              <w:top w:val="single" w:sz="4" w:space="0" w:color="000000"/>
              <w:left w:val="single" w:sz="4" w:space="0" w:color="000000"/>
              <w:bottom w:val="single" w:sz="4" w:space="0" w:color="000000"/>
              <w:right w:val="single" w:sz="4" w:space="0" w:color="000000"/>
            </w:tcBorders>
            <w:vAlign w:val="center"/>
          </w:tcPr>
          <w:p w14:paraId="2E9EE4AF"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20B7D55C"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 xml:space="preserve">DN100 </w:t>
            </w:r>
          </w:p>
        </w:tc>
        <w:tc>
          <w:tcPr>
            <w:tcW w:w="1323" w:type="dxa"/>
            <w:tcBorders>
              <w:top w:val="single" w:sz="4" w:space="0" w:color="000000"/>
              <w:left w:val="single" w:sz="4" w:space="0" w:color="000000"/>
              <w:bottom w:val="single" w:sz="4" w:space="0" w:color="000000"/>
              <w:right w:val="single" w:sz="4" w:space="0" w:color="000000"/>
            </w:tcBorders>
            <w:vAlign w:val="center"/>
          </w:tcPr>
          <w:p w14:paraId="4780DE59"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4EAE14A2" w14:textId="77777777" w:rsidTr="003F4902">
        <w:trPr>
          <w:trHeight w:val="620"/>
        </w:trPr>
        <w:tc>
          <w:tcPr>
            <w:tcW w:w="1313" w:type="dxa"/>
            <w:tcBorders>
              <w:top w:val="single" w:sz="4" w:space="0" w:color="000000"/>
              <w:left w:val="single" w:sz="4" w:space="0" w:color="000000"/>
              <w:bottom w:val="single" w:sz="4" w:space="0" w:color="000000"/>
              <w:right w:val="single" w:sz="4" w:space="0" w:color="000000"/>
            </w:tcBorders>
          </w:tcPr>
          <w:p w14:paraId="40160FCE"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5</w:t>
            </w:r>
          </w:p>
        </w:tc>
        <w:tc>
          <w:tcPr>
            <w:tcW w:w="2989" w:type="dxa"/>
            <w:tcBorders>
              <w:top w:val="single" w:sz="4" w:space="0" w:color="000000"/>
              <w:left w:val="single" w:sz="4" w:space="0" w:color="000000"/>
              <w:bottom w:val="single" w:sz="4" w:space="0" w:color="000000"/>
              <w:right w:val="single" w:sz="4" w:space="0" w:color="000000"/>
            </w:tcBorders>
            <w:vAlign w:val="center"/>
          </w:tcPr>
          <w:p w14:paraId="29692250"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41560DAF"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DN125</w:t>
            </w:r>
          </w:p>
        </w:tc>
        <w:tc>
          <w:tcPr>
            <w:tcW w:w="1323" w:type="dxa"/>
            <w:tcBorders>
              <w:top w:val="single" w:sz="4" w:space="0" w:color="000000"/>
              <w:left w:val="single" w:sz="4" w:space="0" w:color="000000"/>
              <w:bottom w:val="single" w:sz="4" w:space="0" w:color="000000"/>
              <w:right w:val="single" w:sz="4" w:space="0" w:color="000000"/>
            </w:tcBorders>
            <w:vAlign w:val="center"/>
          </w:tcPr>
          <w:p w14:paraId="1D57DC60"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8</w:t>
            </w:r>
          </w:p>
        </w:tc>
      </w:tr>
      <w:tr w:rsidR="00297185" w:rsidRPr="006B5CD3" w14:paraId="72D1FF7E" w14:textId="77777777" w:rsidTr="003F4902">
        <w:trPr>
          <w:trHeight w:val="560"/>
        </w:trPr>
        <w:tc>
          <w:tcPr>
            <w:tcW w:w="1313" w:type="dxa"/>
            <w:tcBorders>
              <w:top w:val="single" w:sz="4" w:space="0" w:color="000000"/>
              <w:left w:val="single" w:sz="4" w:space="0" w:color="000000"/>
              <w:bottom w:val="single" w:sz="4" w:space="0" w:color="000000"/>
              <w:right w:val="single" w:sz="4" w:space="0" w:color="000000"/>
            </w:tcBorders>
          </w:tcPr>
          <w:p w14:paraId="075A68D1" w14:textId="77777777" w:rsidR="00297185" w:rsidRPr="006B5CD3" w:rsidRDefault="00297185" w:rsidP="003F4902">
            <w:pPr>
              <w:wordWrap w:val="0"/>
              <w:autoSpaceDE w:val="0"/>
              <w:autoSpaceDN w:val="0"/>
              <w:spacing w:before="16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6</w:t>
            </w:r>
          </w:p>
        </w:tc>
        <w:tc>
          <w:tcPr>
            <w:tcW w:w="2989" w:type="dxa"/>
            <w:tcBorders>
              <w:top w:val="single" w:sz="4" w:space="0" w:color="000000"/>
              <w:left w:val="single" w:sz="4" w:space="0" w:color="000000"/>
              <w:bottom w:val="single" w:sz="4" w:space="0" w:color="000000"/>
              <w:right w:val="single" w:sz="4" w:space="0" w:color="000000"/>
            </w:tcBorders>
            <w:vAlign w:val="center"/>
          </w:tcPr>
          <w:p w14:paraId="3273C4DC"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1E5408D6"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DN150</w:t>
            </w:r>
          </w:p>
        </w:tc>
        <w:tc>
          <w:tcPr>
            <w:tcW w:w="1323" w:type="dxa"/>
            <w:tcBorders>
              <w:top w:val="single" w:sz="4" w:space="0" w:color="000000"/>
              <w:left w:val="single" w:sz="4" w:space="0" w:color="000000"/>
              <w:bottom w:val="single" w:sz="4" w:space="0" w:color="000000"/>
              <w:right w:val="single" w:sz="4" w:space="0" w:color="000000"/>
            </w:tcBorders>
            <w:vAlign w:val="center"/>
          </w:tcPr>
          <w:p w14:paraId="18E3B636"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20</w:t>
            </w:r>
          </w:p>
        </w:tc>
      </w:tr>
      <w:tr w:rsidR="00297185" w:rsidRPr="006B5CD3" w14:paraId="58313F57" w14:textId="77777777" w:rsidTr="003F4902">
        <w:trPr>
          <w:trHeight w:val="580"/>
        </w:trPr>
        <w:tc>
          <w:tcPr>
            <w:tcW w:w="1313" w:type="dxa"/>
            <w:tcBorders>
              <w:top w:val="single" w:sz="4" w:space="0" w:color="000000"/>
              <w:left w:val="single" w:sz="4" w:space="0" w:color="000000"/>
              <w:bottom w:val="single" w:sz="4" w:space="0" w:color="000000"/>
              <w:right w:val="single" w:sz="4" w:space="0" w:color="000000"/>
            </w:tcBorders>
          </w:tcPr>
          <w:p w14:paraId="7D4388B8"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7</w:t>
            </w:r>
          </w:p>
        </w:tc>
        <w:tc>
          <w:tcPr>
            <w:tcW w:w="2989" w:type="dxa"/>
            <w:tcBorders>
              <w:top w:val="single" w:sz="4" w:space="0" w:color="000000"/>
              <w:left w:val="single" w:sz="4" w:space="0" w:color="000000"/>
              <w:bottom w:val="single" w:sz="4" w:space="0" w:color="000000"/>
              <w:right w:val="single" w:sz="4" w:space="0" w:color="000000"/>
            </w:tcBorders>
            <w:vAlign w:val="center"/>
          </w:tcPr>
          <w:p w14:paraId="22E0F61A"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2B4E15A5"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DN200</w:t>
            </w:r>
          </w:p>
        </w:tc>
        <w:tc>
          <w:tcPr>
            <w:tcW w:w="1323" w:type="dxa"/>
            <w:tcBorders>
              <w:top w:val="single" w:sz="4" w:space="0" w:color="000000"/>
              <w:left w:val="single" w:sz="4" w:space="0" w:color="000000"/>
              <w:bottom w:val="single" w:sz="4" w:space="0" w:color="000000"/>
              <w:right w:val="single" w:sz="4" w:space="0" w:color="000000"/>
            </w:tcBorders>
            <w:vAlign w:val="center"/>
          </w:tcPr>
          <w:p w14:paraId="6DA11861"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23</w:t>
            </w:r>
          </w:p>
        </w:tc>
      </w:tr>
      <w:tr w:rsidR="00297185" w:rsidRPr="006B5CD3" w14:paraId="52D0E063"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7457E16A"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8</w:t>
            </w:r>
          </w:p>
        </w:tc>
        <w:tc>
          <w:tcPr>
            <w:tcW w:w="2989" w:type="dxa"/>
            <w:tcBorders>
              <w:top w:val="single" w:sz="4" w:space="0" w:color="000000"/>
              <w:left w:val="single" w:sz="4" w:space="0" w:color="000000"/>
              <w:bottom w:val="single" w:sz="4" w:space="0" w:color="000000"/>
              <w:right w:val="single" w:sz="4" w:space="0" w:color="000000"/>
            </w:tcBorders>
            <w:vAlign w:val="center"/>
          </w:tcPr>
          <w:p w14:paraId="6A6FA687"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58546F2B"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DN200</w:t>
            </w:r>
          </w:p>
        </w:tc>
        <w:tc>
          <w:tcPr>
            <w:tcW w:w="1323" w:type="dxa"/>
            <w:tcBorders>
              <w:top w:val="single" w:sz="4" w:space="0" w:color="000000"/>
              <w:left w:val="single" w:sz="4" w:space="0" w:color="000000"/>
              <w:bottom w:val="single" w:sz="4" w:space="0" w:color="000000"/>
              <w:right w:val="single" w:sz="4" w:space="0" w:color="000000"/>
            </w:tcBorders>
            <w:vAlign w:val="center"/>
          </w:tcPr>
          <w:p w14:paraId="3A39B491"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5C708F13"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323D1B45"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9</w:t>
            </w:r>
          </w:p>
        </w:tc>
        <w:tc>
          <w:tcPr>
            <w:tcW w:w="2989" w:type="dxa"/>
            <w:tcBorders>
              <w:top w:val="single" w:sz="4" w:space="0" w:color="000000"/>
              <w:left w:val="single" w:sz="4" w:space="0" w:color="000000"/>
              <w:bottom w:val="single" w:sz="4" w:space="0" w:color="000000"/>
              <w:right w:val="single" w:sz="4" w:space="0" w:color="000000"/>
            </w:tcBorders>
            <w:vAlign w:val="center"/>
          </w:tcPr>
          <w:p w14:paraId="6D4BEFB8"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153854E4"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DN250</w:t>
            </w:r>
          </w:p>
        </w:tc>
        <w:tc>
          <w:tcPr>
            <w:tcW w:w="1323" w:type="dxa"/>
            <w:tcBorders>
              <w:top w:val="single" w:sz="4" w:space="0" w:color="000000"/>
              <w:left w:val="single" w:sz="4" w:space="0" w:color="000000"/>
              <w:bottom w:val="single" w:sz="4" w:space="0" w:color="000000"/>
              <w:right w:val="single" w:sz="4" w:space="0" w:color="000000"/>
            </w:tcBorders>
            <w:vAlign w:val="center"/>
          </w:tcPr>
          <w:p w14:paraId="2D1D69CC"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9</w:t>
            </w:r>
          </w:p>
        </w:tc>
      </w:tr>
      <w:tr w:rsidR="00297185" w:rsidRPr="006B5CD3" w14:paraId="4232114F"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652DAF2E"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10</w:t>
            </w:r>
          </w:p>
        </w:tc>
        <w:tc>
          <w:tcPr>
            <w:tcW w:w="2989" w:type="dxa"/>
            <w:tcBorders>
              <w:top w:val="single" w:sz="4" w:space="0" w:color="000000"/>
              <w:left w:val="single" w:sz="4" w:space="0" w:color="000000"/>
              <w:bottom w:val="single" w:sz="4" w:space="0" w:color="000000"/>
              <w:right w:val="single" w:sz="4" w:space="0" w:color="000000"/>
            </w:tcBorders>
            <w:vAlign w:val="center"/>
          </w:tcPr>
          <w:p w14:paraId="24A66B67"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1F731348"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DN250</w:t>
            </w:r>
          </w:p>
        </w:tc>
        <w:tc>
          <w:tcPr>
            <w:tcW w:w="1323" w:type="dxa"/>
            <w:tcBorders>
              <w:top w:val="single" w:sz="4" w:space="0" w:color="000000"/>
              <w:left w:val="single" w:sz="4" w:space="0" w:color="000000"/>
              <w:bottom w:val="single" w:sz="4" w:space="0" w:color="000000"/>
              <w:right w:val="single" w:sz="4" w:space="0" w:color="000000"/>
            </w:tcBorders>
            <w:vAlign w:val="center"/>
          </w:tcPr>
          <w:p w14:paraId="1CB761DD"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11A9B66E"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15CEDC1E"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11</w:t>
            </w:r>
          </w:p>
        </w:tc>
        <w:tc>
          <w:tcPr>
            <w:tcW w:w="2989" w:type="dxa"/>
            <w:tcBorders>
              <w:top w:val="single" w:sz="4" w:space="0" w:color="000000"/>
              <w:left w:val="single" w:sz="4" w:space="0" w:color="000000"/>
              <w:bottom w:val="single" w:sz="4" w:space="0" w:color="000000"/>
              <w:right w:val="single" w:sz="4" w:space="0" w:color="000000"/>
            </w:tcBorders>
            <w:vAlign w:val="center"/>
          </w:tcPr>
          <w:p w14:paraId="3BDF2B43"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7B8B844D"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DN300</w:t>
            </w:r>
          </w:p>
        </w:tc>
        <w:tc>
          <w:tcPr>
            <w:tcW w:w="1323" w:type="dxa"/>
            <w:tcBorders>
              <w:top w:val="single" w:sz="4" w:space="0" w:color="000000"/>
              <w:left w:val="single" w:sz="4" w:space="0" w:color="000000"/>
              <w:bottom w:val="single" w:sz="4" w:space="0" w:color="000000"/>
              <w:right w:val="single" w:sz="4" w:space="0" w:color="000000"/>
            </w:tcBorders>
            <w:vAlign w:val="center"/>
          </w:tcPr>
          <w:p w14:paraId="325F6B72"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12</w:t>
            </w:r>
          </w:p>
        </w:tc>
      </w:tr>
      <w:tr w:rsidR="00297185" w:rsidRPr="006B5CD3" w14:paraId="2D2E86EF"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36C84E69"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12</w:t>
            </w:r>
          </w:p>
        </w:tc>
        <w:tc>
          <w:tcPr>
            <w:tcW w:w="2989" w:type="dxa"/>
            <w:tcBorders>
              <w:top w:val="single" w:sz="4" w:space="0" w:color="000000"/>
              <w:left w:val="single" w:sz="4" w:space="0" w:color="000000"/>
              <w:bottom w:val="single" w:sz="4" w:space="0" w:color="000000"/>
              <w:right w:val="single" w:sz="4" w:space="0" w:color="000000"/>
            </w:tcBorders>
            <w:vAlign w:val="center"/>
          </w:tcPr>
          <w:p w14:paraId="3D74F1AE"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涡街热量表</w:t>
            </w:r>
          </w:p>
        </w:tc>
        <w:tc>
          <w:tcPr>
            <w:tcW w:w="2380" w:type="dxa"/>
            <w:tcBorders>
              <w:top w:val="single" w:sz="4" w:space="0" w:color="000000"/>
              <w:left w:val="single" w:sz="4" w:space="0" w:color="000000"/>
              <w:bottom w:val="single" w:sz="4" w:space="0" w:color="000000"/>
              <w:right w:val="single" w:sz="4" w:space="0" w:color="000000"/>
            </w:tcBorders>
          </w:tcPr>
          <w:p w14:paraId="4A686A64"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DN300</w:t>
            </w:r>
          </w:p>
        </w:tc>
        <w:tc>
          <w:tcPr>
            <w:tcW w:w="1323" w:type="dxa"/>
            <w:tcBorders>
              <w:top w:val="single" w:sz="4" w:space="0" w:color="000000"/>
              <w:left w:val="single" w:sz="4" w:space="0" w:color="000000"/>
              <w:bottom w:val="single" w:sz="4" w:space="0" w:color="000000"/>
              <w:right w:val="single" w:sz="4" w:space="0" w:color="000000"/>
            </w:tcBorders>
            <w:vAlign w:val="center"/>
          </w:tcPr>
          <w:p w14:paraId="22C6516D"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626FBA32"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6CFB4B79"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13</w:t>
            </w:r>
          </w:p>
        </w:tc>
        <w:tc>
          <w:tcPr>
            <w:tcW w:w="2989" w:type="dxa"/>
            <w:tcBorders>
              <w:top w:val="single" w:sz="4" w:space="0" w:color="000000"/>
              <w:left w:val="single" w:sz="4" w:space="0" w:color="000000"/>
              <w:bottom w:val="single" w:sz="4" w:space="0" w:color="000000"/>
              <w:right w:val="single" w:sz="4" w:space="0" w:color="000000"/>
            </w:tcBorders>
            <w:vAlign w:val="center"/>
          </w:tcPr>
          <w:p w14:paraId="7F8B5A30"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200FDFBF"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DN350</w:t>
            </w:r>
          </w:p>
        </w:tc>
        <w:tc>
          <w:tcPr>
            <w:tcW w:w="1323" w:type="dxa"/>
            <w:tcBorders>
              <w:top w:val="single" w:sz="4" w:space="0" w:color="000000"/>
              <w:left w:val="single" w:sz="4" w:space="0" w:color="000000"/>
              <w:bottom w:val="single" w:sz="4" w:space="0" w:color="000000"/>
              <w:right w:val="single" w:sz="4" w:space="0" w:color="000000"/>
            </w:tcBorders>
            <w:vAlign w:val="center"/>
          </w:tcPr>
          <w:p w14:paraId="1C07630D"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7</w:t>
            </w:r>
          </w:p>
        </w:tc>
      </w:tr>
      <w:tr w:rsidR="00297185" w:rsidRPr="006B5CD3" w14:paraId="34632D04"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7346ED26"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14</w:t>
            </w:r>
          </w:p>
        </w:tc>
        <w:tc>
          <w:tcPr>
            <w:tcW w:w="2989" w:type="dxa"/>
            <w:tcBorders>
              <w:top w:val="single" w:sz="4" w:space="0" w:color="000000"/>
              <w:left w:val="single" w:sz="4" w:space="0" w:color="000000"/>
              <w:bottom w:val="single" w:sz="4" w:space="0" w:color="000000"/>
              <w:right w:val="single" w:sz="4" w:space="0" w:color="000000"/>
            </w:tcBorders>
            <w:vAlign w:val="center"/>
          </w:tcPr>
          <w:p w14:paraId="0304B49C"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66916411"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DN400</w:t>
            </w:r>
          </w:p>
        </w:tc>
        <w:tc>
          <w:tcPr>
            <w:tcW w:w="1323" w:type="dxa"/>
            <w:tcBorders>
              <w:top w:val="single" w:sz="4" w:space="0" w:color="000000"/>
              <w:left w:val="single" w:sz="4" w:space="0" w:color="000000"/>
              <w:bottom w:val="single" w:sz="4" w:space="0" w:color="000000"/>
              <w:right w:val="single" w:sz="4" w:space="0" w:color="000000"/>
            </w:tcBorders>
            <w:vAlign w:val="center"/>
          </w:tcPr>
          <w:p w14:paraId="72B8BE2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11</w:t>
            </w:r>
          </w:p>
        </w:tc>
      </w:tr>
      <w:tr w:rsidR="00297185" w:rsidRPr="006B5CD3" w14:paraId="0F2BF769"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5BC2C64C"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15</w:t>
            </w:r>
          </w:p>
        </w:tc>
        <w:tc>
          <w:tcPr>
            <w:tcW w:w="2989" w:type="dxa"/>
            <w:tcBorders>
              <w:top w:val="single" w:sz="4" w:space="0" w:color="000000"/>
              <w:left w:val="single" w:sz="4" w:space="0" w:color="000000"/>
              <w:bottom w:val="single" w:sz="4" w:space="0" w:color="000000"/>
              <w:right w:val="single" w:sz="4" w:space="0" w:color="000000"/>
            </w:tcBorders>
            <w:vAlign w:val="center"/>
          </w:tcPr>
          <w:p w14:paraId="5A3E3543"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超声波热量表</w:t>
            </w:r>
          </w:p>
        </w:tc>
        <w:tc>
          <w:tcPr>
            <w:tcW w:w="2380" w:type="dxa"/>
            <w:tcBorders>
              <w:top w:val="single" w:sz="4" w:space="0" w:color="000000"/>
              <w:left w:val="single" w:sz="4" w:space="0" w:color="000000"/>
              <w:bottom w:val="single" w:sz="4" w:space="0" w:color="000000"/>
              <w:right w:val="single" w:sz="4" w:space="0" w:color="000000"/>
            </w:tcBorders>
          </w:tcPr>
          <w:p w14:paraId="1F8E3B8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DN600</w:t>
            </w:r>
          </w:p>
        </w:tc>
        <w:tc>
          <w:tcPr>
            <w:tcW w:w="1323" w:type="dxa"/>
            <w:tcBorders>
              <w:top w:val="single" w:sz="4" w:space="0" w:color="000000"/>
              <w:left w:val="single" w:sz="4" w:space="0" w:color="000000"/>
              <w:bottom w:val="single" w:sz="4" w:space="0" w:color="000000"/>
              <w:right w:val="single" w:sz="4" w:space="0" w:color="000000"/>
            </w:tcBorders>
            <w:vAlign w:val="center"/>
          </w:tcPr>
          <w:p w14:paraId="2E8DC0D8"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2</w:t>
            </w:r>
          </w:p>
        </w:tc>
      </w:tr>
      <w:tr w:rsidR="00297185" w:rsidRPr="006B5CD3" w14:paraId="2351B744"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24BF41ED"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16</w:t>
            </w:r>
          </w:p>
        </w:tc>
        <w:tc>
          <w:tcPr>
            <w:tcW w:w="2989" w:type="dxa"/>
            <w:tcBorders>
              <w:top w:val="single" w:sz="4" w:space="0" w:color="000000"/>
              <w:left w:val="single" w:sz="4" w:space="0" w:color="000000"/>
              <w:bottom w:val="single" w:sz="4" w:space="0" w:color="000000"/>
              <w:right w:val="single" w:sz="4" w:space="0" w:color="000000"/>
            </w:tcBorders>
            <w:vAlign w:val="center"/>
          </w:tcPr>
          <w:p w14:paraId="5850DF36" w14:textId="77777777" w:rsidR="00297185" w:rsidRPr="006B5CD3" w:rsidRDefault="00297185" w:rsidP="003F4902">
            <w:pPr>
              <w:widowControl/>
              <w:jc w:val="center"/>
              <w:textAlignment w:val="center"/>
              <w:rPr>
                <w:rFonts w:ascii="仿宋" w:eastAsia="仿宋" w:hAnsi="仿宋" w:cs="仿宋" w:hint="eastAsia"/>
                <w:sz w:val="24"/>
              </w:rPr>
            </w:pPr>
            <w:r w:rsidRPr="006B5CD3">
              <w:rPr>
                <w:rFonts w:ascii="仿宋" w:eastAsia="仿宋" w:hAnsi="仿宋" w:cs="仿宋" w:hint="eastAsia"/>
                <w:kern w:val="0"/>
                <w:sz w:val="24"/>
                <w:lang w:bidi="ar"/>
              </w:rPr>
              <w:t>锅炉创绿技术服务</w:t>
            </w:r>
          </w:p>
        </w:tc>
        <w:tc>
          <w:tcPr>
            <w:tcW w:w="2380" w:type="dxa"/>
            <w:tcBorders>
              <w:top w:val="single" w:sz="4" w:space="0" w:color="000000"/>
              <w:left w:val="single" w:sz="4" w:space="0" w:color="000000"/>
              <w:bottom w:val="single" w:sz="4" w:space="0" w:color="000000"/>
              <w:right w:val="single" w:sz="4" w:space="0" w:color="000000"/>
            </w:tcBorders>
          </w:tcPr>
          <w:p w14:paraId="31900AB6"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w:t>
            </w:r>
          </w:p>
        </w:tc>
        <w:tc>
          <w:tcPr>
            <w:tcW w:w="1323" w:type="dxa"/>
            <w:tcBorders>
              <w:top w:val="single" w:sz="4" w:space="0" w:color="000000"/>
              <w:left w:val="single" w:sz="4" w:space="0" w:color="000000"/>
              <w:bottom w:val="single" w:sz="4" w:space="0" w:color="000000"/>
              <w:right w:val="single" w:sz="4" w:space="0" w:color="000000"/>
            </w:tcBorders>
          </w:tcPr>
          <w:p w14:paraId="7DF7B7C3"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w:t>
            </w:r>
          </w:p>
        </w:tc>
      </w:tr>
      <w:tr w:rsidR="00297185" w:rsidRPr="006B5CD3" w14:paraId="712382C5" w14:textId="77777777" w:rsidTr="003F4902">
        <w:trPr>
          <w:trHeight w:val="600"/>
        </w:trPr>
        <w:tc>
          <w:tcPr>
            <w:tcW w:w="1313" w:type="dxa"/>
            <w:tcBorders>
              <w:top w:val="single" w:sz="4" w:space="0" w:color="000000"/>
              <w:left w:val="single" w:sz="4" w:space="0" w:color="000000"/>
              <w:bottom w:val="single" w:sz="4" w:space="0" w:color="000000"/>
              <w:right w:val="single" w:sz="4" w:space="0" w:color="000000"/>
            </w:tcBorders>
          </w:tcPr>
          <w:p w14:paraId="10F07643" w14:textId="77777777" w:rsidR="00297185" w:rsidRPr="006B5CD3" w:rsidRDefault="00297185" w:rsidP="003F4902">
            <w:pPr>
              <w:wordWrap w:val="0"/>
              <w:autoSpaceDE w:val="0"/>
              <w:autoSpaceDN w:val="0"/>
              <w:spacing w:before="20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17</w:t>
            </w:r>
          </w:p>
        </w:tc>
        <w:tc>
          <w:tcPr>
            <w:tcW w:w="2989" w:type="dxa"/>
            <w:tcBorders>
              <w:top w:val="single" w:sz="4" w:space="0" w:color="000000"/>
              <w:left w:val="single" w:sz="4" w:space="0" w:color="000000"/>
              <w:bottom w:val="single" w:sz="4" w:space="0" w:color="000000"/>
              <w:right w:val="single" w:sz="4" w:space="0" w:color="000000"/>
            </w:tcBorders>
          </w:tcPr>
          <w:p w14:paraId="73F5918C" w14:textId="77777777" w:rsidR="00297185" w:rsidRPr="006B5CD3" w:rsidRDefault="00297185" w:rsidP="003F4902">
            <w:pPr>
              <w:wordWrap w:val="0"/>
              <w:autoSpaceDE w:val="0"/>
              <w:autoSpaceDN w:val="0"/>
              <w:spacing w:before="200" w:line="360" w:lineRule="auto"/>
              <w:jc w:val="center"/>
              <w:rPr>
                <w:rFonts w:ascii="仿宋" w:eastAsia="仿宋" w:hAnsi="仿宋" w:cs="仿宋" w:hint="eastAsia"/>
                <w:sz w:val="24"/>
              </w:rPr>
            </w:pPr>
            <w:r w:rsidRPr="006B5CD3">
              <w:rPr>
                <w:rFonts w:ascii="仿宋" w:eastAsia="仿宋" w:hAnsi="仿宋" w:cs="仿宋" w:hint="eastAsia"/>
                <w:kern w:val="0"/>
                <w:sz w:val="24"/>
                <w:lang w:bidi="ar"/>
              </w:rPr>
              <w:t>报告</w:t>
            </w:r>
            <w:r w:rsidRPr="006B5CD3">
              <w:rPr>
                <w:rFonts w:ascii="仿宋" w:eastAsia="仿宋" w:hAnsi="仿宋" w:cs="仿宋" w:hint="eastAsia"/>
                <w:sz w:val="24"/>
              </w:rPr>
              <w:t>编制</w:t>
            </w:r>
          </w:p>
        </w:tc>
        <w:tc>
          <w:tcPr>
            <w:tcW w:w="2380" w:type="dxa"/>
            <w:tcBorders>
              <w:top w:val="single" w:sz="4" w:space="0" w:color="000000"/>
              <w:left w:val="single" w:sz="4" w:space="0" w:color="000000"/>
              <w:bottom w:val="single" w:sz="4" w:space="0" w:color="000000"/>
              <w:right w:val="single" w:sz="4" w:space="0" w:color="000000"/>
            </w:tcBorders>
          </w:tcPr>
          <w:p w14:paraId="2EDDA451"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w:t>
            </w:r>
          </w:p>
        </w:tc>
        <w:tc>
          <w:tcPr>
            <w:tcW w:w="1323" w:type="dxa"/>
            <w:tcBorders>
              <w:top w:val="single" w:sz="4" w:space="0" w:color="000000"/>
              <w:left w:val="single" w:sz="4" w:space="0" w:color="000000"/>
              <w:bottom w:val="single" w:sz="4" w:space="0" w:color="000000"/>
              <w:right w:val="single" w:sz="4" w:space="0" w:color="000000"/>
            </w:tcBorders>
          </w:tcPr>
          <w:p w14:paraId="07F58608" w14:textId="77777777" w:rsidR="00297185" w:rsidRPr="006B5CD3" w:rsidRDefault="00297185" w:rsidP="003F4902">
            <w:pPr>
              <w:wordWrap w:val="0"/>
              <w:autoSpaceDE w:val="0"/>
              <w:autoSpaceDN w:val="0"/>
              <w:spacing w:before="180" w:line="360" w:lineRule="auto"/>
              <w:jc w:val="center"/>
              <w:rPr>
                <w:rFonts w:ascii="仿宋" w:eastAsia="仿宋" w:hAnsi="仿宋" w:cstheme="minorEastAsia" w:hint="eastAsia"/>
                <w:sz w:val="24"/>
              </w:rPr>
            </w:pPr>
            <w:r w:rsidRPr="006B5CD3">
              <w:rPr>
                <w:rFonts w:ascii="仿宋" w:eastAsia="仿宋" w:hAnsi="仿宋" w:cstheme="minorEastAsia" w:hint="eastAsia"/>
                <w:sz w:val="24"/>
              </w:rPr>
              <w:t>-</w:t>
            </w:r>
          </w:p>
        </w:tc>
      </w:tr>
    </w:tbl>
    <w:p w14:paraId="7A5CC3A9" w14:textId="77777777" w:rsidR="00297185" w:rsidRPr="006B5CD3" w:rsidRDefault="00297185" w:rsidP="00297185">
      <w:pPr>
        <w:pStyle w:val="a0"/>
        <w:spacing w:line="360" w:lineRule="auto"/>
        <w:rPr>
          <w:rFonts w:hint="eastAsia"/>
          <w:b/>
          <w:bCs/>
        </w:rPr>
      </w:pPr>
    </w:p>
    <w:bookmarkEnd w:id="0"/>
    <w:p w14:paraId="53CB3396"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cs="宋体" w:hint="eastAsia"/>
          <w:b/>
          <w:bCs/>
          <w:sz w:val="24"/>
        </w:rPr>
        <w:t>蒸汽热量表</w:t>
      </w:r>
      <w:r w:rsidRPr="006B5CD3">
        <w:rPr>
          <w:rFonts w:ascii="仿宋" w:eastAsia="仿宋" w:hAnsi="仿宋" w:cs="宋体" w:hint="eastAsia"/>
          <w:b/>
          <w:sz w:val="24"/>
        </w:rPr>
        <w:t>技术参数</w:t>
      </w:r>
    </w:p>
    <w:p w14:paraId="3586F1D0"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lastRenderedPageBreak/>
        <w:t>蒸汽流量计由标准节流装置、一体化温度变送器、压力变送器、流量积算仪组成。蒸汽流量计不仅可以在满足T/CMA NY050-2020《工业蒸汽流量计量技术要求》的前提下实现蒸汽流量计量，还能依据GB/T 34060-2017《蒸汽热量计算方法》进行热量的计算。</w:t>
      </w:r>
    </w:p>
    <w:p w14:paraId="14F776C2"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t>蒸汽流量计应当是一体设计出厂的整套产品。标准节流装置应根据JJF 1590-2016《差压式流量计型式评价大纲》取得型式批准证书。安装前标准节流装置、一体化温度变送器、压力变送器、流量积算仪应出具检定证书或校准证书。</w:t>
      </w:r>
    </w:p>
    <w:p w14:paraId="74939AC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1标准节流装置</w:t>
      </w:r>
    </w:p>
    <w:p w14:paraId="5DA6E91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w:t>
      </w:r>
      <w:r w:rsidRPr="006B5CD3">
        <w:rPr>
          <w:rFonts w:ascii="仿宋" w:eastAsia="仿宋" w:hAnsi="仿宋" w:hint="eastAsia"/>
          <w:sz w:val="24"/>
        </w:rPr>
        <w:t>1</w:t>
      </w:r>
      <w:r w:rsidRPr="006B5CD3">
        <w:rPr>
          <w:rFonts w:ascii="仿宋" w:eastAsia="仿宋" w:hAnsi="仿宋"/>
          <w:sz w:val="24"/>
        </w:rPr>
        <w:t>标准节流装置应能承受现场最高压力和最高温度。</w:t>
      </w:r>
    </w:p>
    <w:p w14:paraId="6748F4CA"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w:t>
      </w:r>
      <w:r w:rsidRPr="006B5CD3">
        <w:rPr>
          <w:rFonts w:ascii="仿宋" w:eastAsia="仿宋" w:hAnsi="仿宋" w:hint="eastAsia"/>
          <w:sz w:val="24"/>
        </w:rPr>
        <w:t>2</w:t>
      </w:r>
      <w:r w:rsidRPr="006B5CD3">
        <w:rPr>
          <w:rFonts w:ascii="仿宋" w:eastAsia="仿宋" w:hAnsi="仿宋"/>
          <w:sz w:val="24"/>
        </w:rPr>
        <w:t>标准节流装置的技术要求，应符合国家标准GB/T 2624《用安装在圆形截面管道中的差压装置测量满管流体流量》的规定。</w:t>
      </w:r>
    </w:p>
    <w:p w14:paraId="74E3D6A0"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2一体化温度变送器</w:t>
      </w:r>
    </w:p>
    <w:p w14:paraId="63ADB1E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2.1 一体化温度变送器测量误差小于1℃。能够确保测量精度的产品。</w:t>
      </w:r>
    </w:p>
    <w:p w14:paraId="198E0B6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2.2 一体化温度变送器采用使用24VDC电源。</w:t>
      </w:r>
    </w:p>
    <w:p w14:paraId="79579819"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2.3 一体化温度变送器采用4mA至20mA标准输出信号。</w:t>
      </w:r>
    </w:p>
    <w:p w14:paraId="3072EDB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2.4 一体化温度变送器的外壳防护等级IP6</w:t>
      </w:r>
      <w:r w:rsidRPr="006B5CD3">
        <w:rPr>
          <w:rFonts w:ascii="仿宋" w:eastAsia="仿宋" w:hAnsi="仿宋" w:hint="eastAsia"/>
          <w:sz w:val="24"/>
        </w:rPr>
        <w:t>5</w:t>
      </w:r>
      <w:r w:rsidRPr="006B5CD3">
        <w:rPr>
          <w:rFonts w:ascii="仿宋" w:eastAsia="仿宋" w:hAnsi="仿宋"/>
          <w:sz w:val="24"/>
        </w:rPr>
        <w:t>。</w:t>
      </w:r>
    </w:p>
    <w:p w14:paraId="44158DD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2.5 一体化温度变送器应能承受现场最高压力和最高温度。</w:t>
      </w:r>
    </w:p>
    <w:p w14:paraId="09EE880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2.6 一体化温度变送器的绝缘电阻应满足GB/T 28473-2012.1《工业过程测量和控制系统用温度变送器 第1部分通用技术条件》中5.4.2的技术要求。</w:t>
      </w:r>
    </w:p>
    <w:p w14:paraId="1EE667F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2.7 一体化温度变送器的绝缘强度应满足GB/T 28473-2012.1《工业过程测量和控制系统用温度变送器 第1部分通用技术条件》中5.4.3的技术要求。</w:t>
      </w:r>
    </w:p>
    <w:p w14:paraId="082F314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3压力变送器</w:t>
      </w:r>
    </w:p>
    <w:p w14:paraId="1581E2E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3.1压力变送器准确度等级为0.1级，量程可迁移。</w:t>
      </w:r>
    </w:p>
    <w:p w14:paraId="32EBAD8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w:t>
      </w:r>
      <w:r w:rsidRPr="006B5CD3">
        <w:rPr>
          <w:rFonts w:ascii="仿宋" w:eastAsia="仿宋" w:hAnsi="仿宋" w:hint="eastAsia"/>
          <w:sz w:val="24"/>
        </w:rPr>
        <w:t>2</w:t>
      </w:r>
      <w:r w:rsidRPr="006B5CD3">
        <w:rPr>
          <w:rFonts w:ascii="仿宋" w:eastAsia="仿宋" w:hAnsi="仿宋"/>
          <w:sz w:val="24"/>
        </w:rPr>
        <w:t xml:space="preserve"> 压力变送器附加迁移功能后，其准确度等级不低于下表规定。</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1992"/>
        <w:gridCol w:w="2311"/>
      </w:tblGrid>
      <w:tr w:rsidR="00297185" w:rsidRPr="006B5CD3" w14:paraId="690C4E77" w14:textId="77777777" w:rsidTr="003F4902">
        <w:tc>
          <w:tcPr>
            <w:tcW w:w="2271" w:type="dxa"/>
          </w:tcPr>
          <w:p w14:paraId="166C4765"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未加迁移</w:t>
            </w:r>
          </w:p>
        </w:tc>
        <w:tc>
          <w:tcPr>
            <w:tcW w:w="1992" w:type="dxa"/>
          </w:tcPr>
          <w:p w14:paraId="52FBA822"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0.05级</w:t>
            </w:r>
          </w:p>
        </w:tc>
        <w:tc>
          <w:tcPr>
            <w:tcW w:w="2311" w:type="dxa"/>
          </w:tcPr>
          <w:p w14:paraId="1B6E1445"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0.075级</w:t>
            </w:r>
          </w:p>
        </w:tc>
      </w:tr>
      <w:tr w:rsidR="00297185" w:rsidRPr="006B5CD3" w14:paraId="6F3983CF" w14:textId="77777777" w:rsidTr="003F4902">
        <w:tc>
          <w:tcPr>
            <w:tcW w:w="2271" w:type="dxa"/>
          </w:tcPr>
          <w:p w14:paraId="182B1C4D"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加迁移后</w:t>
            </w:r>
          </w:p>
        </w:tc>
        <w:tc>
          <w:tcPr>
            <w:tcW w:w="1992" w:type="dxa"/>
          </w:tcPr>
          <w:p w14:paraId="48E96D1F"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0.075级</w:t>
            </w:r>
          </w:p>
        </w:tc>
        <w:tc>
          <w:tcPr>
            <w:tcW w:w="2311" w:type="dxa"/>
          </w:tcPr>
          <w:p w14:paraId="3E0C0C1D" w14:textId="77777777" w:rsidR="00297185" w:rsidRPr="006B5CD3" w:rsidRDefault="00297185" w:rsidP="003F4902">
            <w:pPr>
              <w:spacing w:line="360" w:lineRule="auto"/>
              <w:rPr>
                <w:rFonts w:ascii="仿宋" w:eastAsia="仿宋" w:hAnsi="仿宋" w:hint="eastAsia"/>
                <w:sz w:val="24"/>
              </w:rPr>
            </w:pPr>
            <w:r w:rsidRPr="006B5CD3">
              <w:rPr>
                <w:rFonts w:ascii="仿宋" w:eastAsia="仿宋" w:hAnsi="仿宋"/>
                <w:sz w:val="24"/>
              </w:rPr>
              <w:t>0.1级</w:t>
            </w:r>
          </w:p>
        </w:tc>
      </w:tr>
    </w:tbl>
    <w:p w14:paraId="0C827CC9" w14:textId="77777777" w:rsidR="00297185" w:rsidRPr="006B5CD3" w:rsidRDefault="00297185" w:rsidP="00297185">
      <w:pPr>
        <w:spacing w:line="360" w:lineRule="auto"/>
        <w:rPr>
          <w:rFonts w:ascii="仿宋" w:eastAsia="仿宋" w:hAnsi="仿宋" w:hint="eastAsia"/>
          <w:sz w:val="24"/>
        </w:rPr>
      </w:pPr>
      <w:bookmarkStart w:id="3" w:name="_Hlk192773363"/>
      <w:r w:rsidRPr="006B5CD3">
        <w:rPr>
          <w:rFonts w:ascii="仿宋" w:eastAsia="仿宋" w:hAnsi="仿宋"/>
          <w:sz w:val="24"/>
        </w:rPr>
        <w:t>3.</w:t>
      </w:r>
      <w:r w:rsidRPr="006B5CD3">
        <w:rPr>
          <w:rFonts w:ascii="仿宋" w:eastAsia="仿宋" w:hAnsi="仿宋" w:hint="eastAsia"/>
          <w:sz w:val="24"/>
        </w:rPr>
        <w:t>3</w:t>
      </w:r>
      <w:r w:rsidRPr="006B5CD3">
        <w:rPr>
          <w:rFonts w:ascii="仿宋" w:eastAsia="仿宋" w:hAnsi="仿宋"/>
          <w:sz w:val="24"/>
        </w:rPr>
        <w:t xml:space="preserve"> 压力变送器应符合</w:t>
      </w:r>
      <w:bookmarkStart w:id="4" w:name="OLE_LINK9"/>
      <w:r w:rsidRPr="006B5CD3">
        <w:rPr>
          <w:rFonts w:ascii="仿宋" w:eastAsia="仿宋" w:hAnsi="仿宋"/>
          <w:sz w:val="24"/>
        </w:rPr>
        <w:t>JJF 1789-2019《压力变送器型式评价大纲》</w:t>
      </w:r>
      <w:bookmarkEnd w:id="4"/>
      <w:r w:rsidRPr="006B5CD3">
        <w:rPr>
          <w:rFonts w:ascii="仿宋" w:eastAsia="仿宋" w:hAnsi="仿宋"/>
          <w:sz w:val="24"/>
        </w:rPr>
        <w:t>的9.15.3.4中表6的要求。振动工作条件为管道（低振动级）。</w:t>
      </w:r>
    </w:p>
    <w:p w14:paraId="04F9E3B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lastRenderedPageBreak/>
        <w:t>3.</w:t>
      </w:r>
      <w:r w:rsidRPr="006B5CD3">
        <w:rPr>
          <w:rFonts w:ascii="仿宋" w:eastAsia="仿宋" w:hAnsi="仿宋" w:hint="eastAsia"/>
          <w:sz w:val="24"/>
        </w:rPr>
        <w:t>4</w:t>
      </w:r>
      <w:r w:rsidRPr="006B5CD3">
        <w:rPr>
          <w:rFonts w:ascii="仿宋" w:eastAsia="仿宋" w:hAnsi="仿宋"/>
          <w:sz w:val="24"/>
        </w:rPr>
        <w:t xml:space="preserve"> 压力变送器采用12VDC至45VDC电源，推荐使用24VDC电源。</w:t>
      </w:r>
    </w:p>
    <w:p w14:paraId="01A2B6C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w:t>
      </w:r>
      <w:r w:rsidRPr="006B5CD3">
        <w:rPr>
          <w:rFonts w:ascii="仿宋" w:eastAsia="仿宋" w:hAnsi="仿宋" w:hint="eastAsia"/>
          <w:sz w:val="24"/>
        </w:rPr>
        <w:t>5</w:t>
      </w:r>
      <w:r w:rsidRPr="006B5CD3">
        <w:rPr>
          <w:rFonts w:ascii="仿宋" w:eastAsia="仿宋" w:hAnsi="仿宋"/>
          <w:sz w:val="24"/>
        </w:rPr>
        <w:t xml:space="preserve"> 压力变送器采用4 mA至20 mA标准输出信号。</w:t>
      </w:r>
    </w:p>
    <w:p w14:paraId="5A49F5E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3.6 压力变送器外壳防护等级应为IP65。</w:t>
      </w:r>
    </w:p>
    <w:p w14:paraId="626CBA46"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3.7 压力变送器在试验电压500VDC，历时为30秒的实验中，测量的绝缘电阻在10 MΩ以上。</w:t>
      </w:r>
    </w:p>
    <w:p w14:paraId="0032FCA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3.8 压力变送器应在</w:t>
      </w:r>
      <w:bookmarkStart w:id="5" w:name="OLE_LINK10"/>
      <w:r w:rsidRPr="006B5CD3">
        <w:rPr>
          <w:rFonts w:ascii="仿宋" w:eastAsia="仿宋" w:hAnsi="仿宋"/>
          <w:sz w:val="24"/>
        </w:rPr>
        <w:t>GB/T 28474-2012.2《工业过程测量和控制系统用压力差压变送器 第2部分性能评定方法》</w:t>
      </w:r>
      <w:bookmarkEnd w:id="5"/>
      <w:r w:rsidRPr="006B5CD3">
        <w:rPr>
          <w:rFonts w:ascii="仿宋" w:eastAsia="仿宋" w:hAnsi="仿宋"/>
          <w:sz w:val="24"/>
        </w:rPr>
        <w:t>中5.2.5规定的实验条件下，无击穿和飞弧现象。</w:t>
      </w:r>
    </w:p>
    <w:p w14:paraId="3F144C3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3.9 压力变送器应能承受现场的最高的介质温度。</w:t>
      </w:r>
    </w:p>
    <w:bookmarkEnd w:id="3"/>
    <w:p w14:paraId="08BDC6BD"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4流量积算仪</w:t>
      </w:r>
    </w:p>
    <w:p w14:paraId="737DE4D9"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4.1流量积算仪应具备显示屏，其中显示单位累积热量宜用GJ，热功率MW、瞬时流量为t/h，累积流量为t，压力为</w:t>
      </w:r>
      <w:r w:rsidRPr="006B5CD3">
        <w:rPr>
          <w:rFonts w:ascii="仿宋" w:eastAsia="仿宋" w:hAnsi="仿宋" w:hint="eastAsia"/>
          <w:sz w:val="24"/>
        </w:rPr>
        <w:t>K</w:t>
      </w:r>
      <w:r w:rsidRPr="006B5CD3">
        <w:rPr>
          <w:rFonts w:ascii="仿宋" w:eastAsia="仿宋" w:hAnsi="仿宋"/>
          <w:sz w:val="24"/>
        </w:rPr>
        <w:t xml:space="preserve">Pa。 </w:t>
      </w:r>
    </w:p>
    <w:p w14:paraId="3FC14EC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4.2 流量积算仪的数据应按月存储累积热量、累积流量和相对应的时间，数据存储不应少于最近12个月的数据。</w:t>
      </w:r>
    </w:p>
    <w:p w14:paraId="75F7B1C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4.3 流量积算仪流出系数不确定度小于1.0%（包含计算和流出系数本身的不确定度），当流量上限的管道雷诺数Red</w:t>
      </w:r>
      <w:r w:rsidRPr="006B5CD3">
        <w:rPr>
          <w:rFonts w:ascii="仿宋" w:eastAsia="仿宋" w:hAnsi="仿宋" w:hint="eastAsia"/>
          <w:sz w:val="24"/>
        </w:rPr>
        <w:t>≤</w:t>
      </w:r>
      <w:r w:rsidRPr="006B5CD3">
        <w:rPr>
          <w:rFonts w:ascii="仿宋" w:eastAsia="仿宋" w:hAnsi="仿宋"/>
          <w:sz w:val="24"/>
        </w:rPr>
        <w:t>2×10</w:t>
      </w:r>
      <w:r w:rsidRPr="006B5CD3">
        <w:rPr>
          <w:rFonts w:ascii="仿宋" w:eastAsia="仿宋" w:hAnsi="仿宋"/>
          <w:sz w:val="24"/>
          <w:vertAlign w:val="superscript"/>
        </w:rPr>
        <w:t>5</w:t>
      </w:r>
      <w:r w:rsidRPr="006B5CD3">
        <w:rPr>
          <w:rFonts w:ascii="仿宋" w:eastAsia="仿宋" w:hAnsi="仿宋"/>
          <w:sz w:val="24"/>
        </w:rPr>
        <w:t xml:space="preserve"> 且流量量程比超过</w:t>
      </w:r>
      <w:r w:rsidRPr="006B5CD3">
        <w:rPr>
          <w:rFonts w:ascii="仿宋" w:eastAsia="仿宋" w:hAnsi="仿宋" w:hint="eastAsia"/>
          <w:sz w:val="24"/>
        </w:rPr>
        <w:t>1.5</w:t>
      </w:r>
      <w:r w:rsidRPr="006B5CD3">
        <w:rPr>
          <w:rFonts w:ascii="仿宋" w:eastAsia="仿宋" w:hAnsi="仿宋"/>
          <w:sz w:val="24"/>
        </w:rPr>
        <w:t>:1 时，还需要实时计算流出系数 C（或流量系数α）</w:t>
      </w:r>
    </w:p>
    <w:p w14:paraId="3A6D2EA9" w14:textId="77777777" w:rsidR="00297185" w:rsidRPr="006B5CD3" w:rsidRDefault="00297185" w:rsidP="00297185">
      <w:pPr>
        <w:spacing w:line="360" w:lineRule="auto"/>
        <w:rPr>
          <w:rFonts w:ascii="仿宋" w:eastAsia="仿宋" w:hAnsi="仿宋" w:hint="eastAsia"/>
          <w:sz w:val="24"/>
        </w:rPr>
      </w:pPr>
      <w:bookmarkStart w:id="6" w:name="OLE_LINK5"/>
      <w:r w:rsidRPr="006B5CD3">
        <w:rPr>
          <w:rFonts w:ascii="仿宋" w:eastAsia="仿宋" w:hAnsi="仿宋"/>
          <w:sz w:val="24"/>
        </w:rPr>
        <w:t>4.4流量积算仪可膨胀系数不确定度小于0.1%（包含计算和</w:t>
      </w:r>
      <w:r w:rsidRPr="006B5CD3">
        <w:rPr>
          <w:rFonts w:ascii="仿宋" w:eastAsia="仿宋" w:hAnsi="仿宋" w:hint="eastAsia"/>
          <w:sz w:val="24"/>
        </w:rPr>
        <w:t>可膨胀</w:t>
      </w:r>
      <w:r w:rsidRPr="006B5CD3">
        <w:rPr>
          <w:rFonts w:ascii="仿宋" w:eastAsia="仿宋" w:hAnsi="仿宋"/>
          <w:sz w:val="24"/>
        </w:rPr>
        <w:t>系数本身的不确定度），当流量量程比超过 3:1 时，应在确保差压测量准确的同时对可膨胀系数ε进行实时计算；</w:t>
      </w:r>
    </w:p>
    <w:bookmarkEnd w:id="6"/>
    <w:p w14:paraId="09A3E8E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4.5 流量积算仪的处理器微处理器选用 32bit，内置电池至少满足12个月的数据保存需求。更换电池时应取得热量表生产单位的授权。</w:t>
      </w:r>
    </w:p>
    <w:p w14:paraId="702BBCA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4.6 流量积算仪的时钟精度不低于0.5秒/24小时；</w:t>
      </w:r>
    </w:p>
    <w:p w14:paraId="58F0B2AC"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4.7 流量积算仪支持24VDC或220VAC供电。流量积算仪应具备断电数据保护功能，当电源停止供电时，应保存断电前存储的累积热量、累积流量和相对应的时间数据及历史数据，恢复供电后应自动恢复正常工作。</w:t>
      </w:r>
    </w:p>
    <w:p w14:paraId="25035B4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4.8流量积算仪需设有操作权限限制，可通过密匙、分级密码进行保护，必要时需采用封印进行保护</w:t>
      </w:r>
    </w:p>
    <w:p w14:paraId="0CD0C69A"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4.9 流量积算仪数据采集周期应不超过1秒；数据处理、流量计算周期不超过</w:t>
      </w:r>
      <w:r w:rsidRPr="006B5CD3">
        <w:rPr>
          <w:rFonts w:ascii="仿宋" w:eastAsia="仿宋" w:hAnsi="仿宋"/>
          <w:sz w:val="24"/>
        </w:rPr>
        <w:lastRenderedPageBreak/>
        <w:t>2秒。</w:t>
      </w:r>
    </w:p>
    <w:p w14:paraId="405FAA5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4.10 流量积算仪支持瞬时质量流量计算及累积质量流量计算；支持瞬时能量流量计算及累积能量流量计算；支持小信号切除功能。必要时，通过设定值，达到切除干扰的目的。</w:t>
      </w:r>
    </w:p>
    <w:p w14:paraId="3116550C"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5 蒸汽流量计应具有无线通讯功能</w:t>
      </w:r>
    </w:p>
    <w:p w14:paraId="40C982DA"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 xml:space="preserve">    蒸汽流量计的无线通讯模式、实现方式、数据上传等技术要求整体上与4.2.1.23热量表无线通讯部分的要求相同。其中，蒸汽流量计的通讯数据应至少包括瞬时流量、累积流量、瞬时热量、累积热量、供汽温度、供汽压力。</w:t>
      </w:r>
    </w:p>
    <w:p w14:paraId="0DADC8B4"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安装要求</w:t>
      </w:r>
    </w:p>
    <w:p w14:paraId="5EF95D4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 热源热量表安装要求</w:t>
      </w:r>
    </w:p>
    <w:p w14:paraId="1F7B8BD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.1.1 安装环境</w:t>
      </w:r>
    </w:p>
    <w:p w14:paraId="61B068E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.1.1.1 安装前应清理管道，确保无焊渣、杂质残留，可在热能计量设备前端安装过滤器以防止堵塞。</w:t>
      </w:r>
    </w:p>
    <w:p w14:paraId="47B66AA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.1.1.2 安装环境的通讯信号应保证强度，稳定性良好。</w:t>
      </w:r>
    </w:p>
    <w:p w14:paraId="3C26234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.1.1.3 强弱电之间要保持合理的距离。</w:t>
      </w:r>
    </w:p>
    <w:p w14:paraId="1E23D40D"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.1.2 安装位置</w:t>
      </w:r>
    </w:p>
    <w:p w14:paraId="5F8AC339"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.1.2.1 流量传感器</w:t>
      </w:r>
    </w:p>
    <w:p w14:paraId="69704D01"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（1）流量传感器优先安装在热源回水端，如选择安装在供水端，供水端载能介质的温度不应大于热量表的最大工作温度。</w:t>
      </w:r>
    </w:p>
    <w:p w14:paraId="1446FD6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（2）流量传感器的安装尽量避免水泵、电机的强电磁干扰源。</w:t>
      </w:r>
    </w:p>
    <w:p w14:paraId="02740A5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（3）流量传感器的安装，应保证热量表的上下游流速场不规则变化的敏感度要求，尽可能远离弯头、阀门等紊流区域。流量传感器的安装位置应保证最小直管段要求，不能满足要求时应加装整流器。</w:t>
      </w:r>
    </w:p>
    <w:p w14:paraId="38BCC494"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w:t>
      </w:r>
      <w:bookmarkStart w:id="7" w:name="_Hlk194937134"/>
      <w:r w:rsidRPr="006B5CD3">
        <w:rPr>
          <w:rFonts w:ascii="仿宋" w:eastAsia="仿宋" w:hAnsi="仿宋"/>
          <w:sz w:val="24"/>
        </w:rPr>
        <w:t>流量传感器受安装条件限制，仅能进行垂直安装时，载能介质流动方向需自下而上</w:t>
      </w:r>
      <w:bookmarkEnd w:id="7"/>
      <w:r w:rsidRPr="006B5CD3">
        <w:rPr>
          <w:rFonts w:ascii="仿宋" w:eastAsia="仿宋" w:hAnsi="仿宋"/>
          <w:sz w:val="24"/>
        </w:rPr>
        <w:t>；水平安装时，需满管流动，避免气穴影响精度。</w:t>
      </w:r>
    </w:p>
    <w:p w14:paraId="3CCE44F9"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（5）流量传感器避免安装在管道最高点，防止集气导致计量误差。</w:t>
      </w:r>
    </w:p>
    <w:p w14:paraId="5038E1D1"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6）流量传感器安装管道的上游或下游临近位置应预留一段管段，其长度为管道公称直径的1.5倍，管壁厚度已知并能满足管道压力的要求，载能介质在预留管段的流向应是水平或上升流动的，预留管段的保温层可拆卸，以便于后续</w:t>
      </w:r>
      <w:r w:rsidRPr="006B5CD3">
        <w:rPr>
          <w:rFonts w:ascii="仿宋" w:eastAsia="仿宋" w:hAnsi="仿宋"/>
          <w:sz w:val="24"/>
        </w:rPr>
        <w:lastRenderedPageBreak/>
        <w:t>对流量传感器进行现场校准。</w:t>
      </w:r>
    </w:p>
    <w:p w14:paraId="313BF534"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.1.2.2 配对温度传感器</w:t>
      </w:r>
    </w:p>
    <w:p w14:paraId="643AA368"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（1）配对温度传感器可安装在直管段或弯管处，在直管段上安装时可垂直或与载能介质流动方向呈45°角安装。</w:t>
      </w:r>
    </w:p>
    <w:p w14:paraId="389BAC9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（2）配对温度传感器应插至管道中心处。</w:t>
      </w:r>
    </w:p>
    <w:p w14:paraId="4739E916"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（3）供水端的温度传感器与回水端温度传感器的宜分别用红、蓝色标签区分。</w:t>
      </w:r>
    </w:p>
    <w:p w14:paraId="13AFD9F8"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.2 热源蒸汽流量计安装要求</w:t>
      </w:r>
    </w:p>
    <w:p w14:paraId="5C49C4ED"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.2.1 安装条件</w:t>
      </w:r>
    </w:p>
    <w:p w14:paraId="15149D07"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t>安装位置应有足够的直管段，以满足标准节流装置对直管段长度的要求。</w:t>
      </w:r>
    </w:p>
    <w:p w14:paraId="52D8E2B8"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t>安装前应清理管道，确保无焊渣、杂质残留。</w:t>
      </w:r>
    </w:p>
    <w:p w14:paraId="657E8A21"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t>在蒸汽管道无明显震动且最高工作温度小于等于400℃的条件下，宜采用一体化安装方式（节流装置与差压变送器组合一个整体）；否则，采用分体式安装方式。采用分体式安装差压取压管线的敷设应符合GB/T 26801的要求。</w:t>
      </w:r>
    </w:p>
    <w:p w14:paraId="4285F34C"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.2.</w:t>
      </w:r>
      <w:r w:rsidRPr="006B5CD3">
        <w:rPr>
          <w:rFonts w:ascii="仿宋" w:eastAsia="仿宋" w:hAnsi="仿宋" w:hint="eastAsia"/>
          <w:sz w:val="24"/>
        </w:rPr>
        <w:t>2</w:t>
      </w:r>
      <w:r w:rsidRPr="006B5CD3">
        <w:rPr>
          <w:rFonts w:ascii="仿宋" w:eastAsia="仿宋" w:hAnsi="仿宋"/>
          <w:sz w:val="24"/>
        </w:rPr>
        <w:t xml:space="preserve"> 一体化温度变送器</w:t>
      </w:r>
    </w:p>
    <w:p w14:paraId="27D38640" w14:textId="77777777" w:rsidR="00297185" w:rsidRPr="006B5CD3" w:rsidRDefault="00297185" w:rsidP="00297185">
      <w:pPr>
        <w:pStyle w:val="af6"/>
        <w:spacing w:line="360" w:lineRule="auto"/>
        <w:ind w:firstLine="480"/>
        <w:rPr>
          <w:rFonts w:ascii="仿宋" w:eastAsia="仿宋" w:hAnsi="仿宋" w:hint="eastAsia"/>
          <w:kern w:val="2"/>
          <w:sz w:val="24"/>
          <w:szCs w:val="24"/>
        </w:rPr>
      </w:pPr>
      <w:r w:rsidRPr="006B5CD3">
        <w:rPr>
          <w:rFonts w:ascii="仿宋" w:eastAsia="仿宋" w:hAnsi="仿宋"/>
          <w:sz w:val="24"/>
          <w:szCs w:val="24"/>
        </w:rPr>
        <w:t>一体化温度变送器</w:t>
      </w:r>
      <w:r w:rsidRPr="006B5CD3">
        <w:rPr>
          <w:rFonts w:ascii="仿宋" w:eastAsia="仿宋" w:hAnsi="仿宋"/>
          <w:kern w:val="2"/>
          <w:sz w:val="24"/>
          <w:szCs w:val="24"/>
        </w:rPr>
        <w:t>宜安装在标准节流装置下游，与标准节流装置的距离不小于5D；</w:t>
      </w:r>
    </w:p>
    <w:p w14:paraId="78D1FE58" w14:textId="77777777" w:rsidR="00297185" w:rsidRPr="006B5CD3" w:rsidRDefault="00297185" w:rsidP="00297185">
      <w:pPr>
        <w:pStyle w:val="af6"/>
        <w:spacing w:line="360" w:lineRule="auto"/>
        <w:ind w:firstLine="480"/>
        <w:rPr>
          <w:rFonts w:ascii="仿宋" w:eastAsia="仿宋" w:hAnsi="仿宋" w:hint="eastAsia"/>
          <w:sz w:val="24"/>
          <w:szCs w:val="24"/>
        </w:rPr>
      </w:pPr>
      <w:r w:rsidRPr="006B5CD3">
        <w:rPr>
          <w:rFonts w:ascii="仿宋" w:eastAsia="仿宋" w:hAnsi="仿宋"/>
          <w:sz w:val="24"/>
          <w:szCs w:val="24"/>
        </w:rPr>
        <w:t>一体化温度变送器</w:t>
      </w:r>
      <w:r w:rsidRPr="006B5CD3">
        <w:rPr>
          <w:rFonts w:ascii="仿宋" w:eastAsia="仿宋" w:hAnsi="仿宋"/>
          <w:kern w:val="2"/>
          <w:sz w:val="24"/>
          <w:szCs w:val="24"/>
        </w:rPr>
        <w:t>如果安装于标准节流装置上游，则与标准节流装置的距离应的根据标准节流装置的形式大于等于 GB/T 2624.2、GB/T 2624.3、GB/T 2624.4中规定的值。</w:t>
      </w:r>
    </w:p>
    <w:p w14:paraId="2B175F8B" w14:textId="77777777" w:rsidR="00297185" w:rsidRPr="006B5CD3" w:rsidRDefault="00297185" w:rsidP="00297185">
      <w:pPr>
        <w:pStyle w:val="af6"/>
        <w:spacing w:line="360" w:lineRule="auto"/>
        <w:ind w:firstLine="480"/>
        <w:rPr>
          <w:rFonts w:ascii="仿宋" w:eastAsia="仿宋" w:hAnsi="仿宋" w:hint="eastAsia"/>
          <w:kern w:val="2"/>
          <w:sz w:val="24"/>
          <w:szCs w:val="24"/>
        </w:rPr>
      </w:pPr>
      <w:bookmarkStart w:id="8" w:name="_Hlk194938428"/>
      <w:r w:rsidRPr="006B5CD3">
        <w:rPr>
          <w:rFonts w:ascii="仿宋" w:eastAsia="仿宋" w:hAnsi="仿宋"/>
          <w:sz w:val="24"/>
          <w:szCs w:val="24"/>
        </w:rPr>
        <w:t>一体化温度变送器</w:t>
      </w:r>
      <w:r w:rsidRPr="006B5CD3">
        <w:rPr>
          <w:rFonts w:ascii="仿宋" w:eastAsia="仿宋" w:hAnsi="仿宋"/>
          <w:kern w:val="2"/>
          <w:sz w:val="24"/>
          <w:szCs w:val="24"/>
        </w:rPr>
        <w:t>应有护套，附近宜预留进行在线比对所需的温度点。</w:t>
      </w:r>
      <w:bookmarkEnd w:id="8"/>
    </w:p>
    <w:p w14:paraId="3AB92ECA"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.2.</w:t>
      </w:r>
      <w:r w:rsidRPr="006B5CD3">
        <w:rPr>
          <w:rFonts w:ascii="仿宋" w:eastAsia="仿宋" w:hAnsi="仿宋" w:hint="eastAsia"/>
          <w:sz w:val="24"/>
        </w:rPr>
        <w:t>3</w:t>
      </w:r>
      <w:r w:rsidRPr="006B5CD3">
        <w:rPr>
          <w:rFonts w:ascii="仿宋" w:eastAsia="仿宋" w:hAnsi="仿宋"/>
          <w:sz w:val="24"/>
        </w:rPr>
        <w:t>压力变送器</w:t>
      </w:r>
    </w:p>
    <w:p w14:paraId="6D44C64F" w14:textId="77777777" w:rsidR="00297185" w:rsidRPr="006B5CD3" w:rsidRDefault="00297185" w:rsidP="00297185">
      <w:pPr>
        <w:spacing w:line="360" w:lineRule="auto"/>
        <w:ind w:firstLineChars="200" w:firstLine="480"/>
        <w:rPr>
          <w:rFonts w:ascii="仿宋" w:eastAsia="仿宋" w:hAnsi="仿宋" w:hint="eastAsia"/>
          <w:sz w:val="24"/>
        </w:rPr>
      </w:pPr>
      <w:bookmarkStart w:id="9" w:name="_Hlk194938200"/>
      <w:r w:rsidRPr="006B5CD3">
        <w:rPr>
          <w:rFonts w:ascii="仿宋" w:eastAsia="仿宋" w:hAnsi="仿宋"/>
          <w:sz w:val="24"/>
        </w:rPr>
        <w:t>压力补偿用压力变送器</w:t>
      </w:r>
      <w:bookmarkEnd w:id="9"/>
      <w:r w:rsidRPr="006B5CD3">
        <w:rPr>
          <w:rFonts w:ascii="仿宋" w:eastAsia="仿宋" w:hAnsi="仿宋"/>
          <w:sz w:val="24"/>
        </w:rPr>
        <w:t>的取压口应安装在节流装置上游，取压口宜与</w:t>
      </w:r>
      <w:bookmarkStart w:id="10" w:name="_Hlk194938220"/>
      <w:r w:rsidRPr="006B5CD3">
        <w:rPr>
          <w:rFonts w:ascii="仿宋" w:eastAsia="仿宋" w:hAnsi="仿宋"/>
          <w:sz w:val="24"/>
        </w:rPr>
        <w:t>测量差压的压力变送器</w:t>
      </w:r>
      <w:bookmarkEnd w:id="10"/>
      <w:r w:rsidRPr="006B5CD3">
        <w:rPr>
          <w:rFonts w:ascii="仿宋" w:eastAsia="仿宋" w:hAnsi="仿宋"/>
          <w:sz w:val="24"/>
        </w:rPr>
        <w:t>的取压口分开，在保证差压测量不受影响的情况下，可以共用一个取压口。</w:t>
      </w:r>
    </w:p>
    <w:p w14:paraId="0278B71E" w14:textId="77777777" w:rsidR="00297185" w:rsidRPr="006B5CD3" w:rsidRDefault="00297185" w:rsidP="00297185">
      <w:pPr>
        <w:spacing w:line="360" w:lineRule="auto"/>
        <w:ind w:firstLineChars="200" w:firstLine="480"/>
        <w:rPr>
          <w:rFonts w:ascii="仿宋" w:eastAsia="仿宋" w:hAnsi="仿宋" w:hint="eastAsia"/>
          <w:sz w:val="24"/>
        </w:rPr>
      </w:pPr>
      <w:r w:rsidRPr="006B5CD3">
        <w:rPr>
          <w:rFonts w:ascii="仿宋" w:eastAsia="仿宋" w:hAnsi="仿宋"/>
          <w:sz w:val="24"/>
        </w:rPr>
        <w:t>压力补偿用压力变送器应有可进行在线更换所需的阀门等设施，附近宜预留进行在线比对所需的</w:t>
      </w:r>
      <w:r w:rsidRPr="006B5CD3">
        <w:rPr>
          <w:rFonts w:ascii="仿宋" w:eastAsia="仿宋" w:hAnsi="仿宋" w:hint="eastAsia"/>
          <w:sz w:val="24"/>
        </w:rPr>
        <w:t>压力</w:t>
      </w:r>
      <w:r w:rsidRPr="006B5CD3">
        <w:rPr>
          <w:rFonts w:ascii="仿宋" w:eastAsia="仿宋" w:hAnsi="仿宋"/>
          <w:sz w:val="24"/>
        </w:rPr>
        <w:t>点。</w:t>
      </w:r>
    </w:p>
    <w:p w14:paraId="6C15BB75"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6</w:t>
      </w:r>
      <w:r w:rsidRPr="006B5CD3">
        <w:rPr>
          <w:rFonts w:ascii="仿宋" w:eastAsia="仿宋" w:hAnsi="仿宋"/>
          <w:sz w:val="24"/>
        </w:rPr>
        <w:t>.2.</w:t>
      </w:r>
      <w:r w:rsidRPr="006B5CD3">
        <w:rPr>
          <w:rFonts w:ascii="仿宋" w:eastAsia="仿宋" w:hAnsi="仿宋" w:hint="eastAsia"/>
          <w:sz w:val="24"/>
        </w:rPr>
        <w:t>4</w:t>
      </w:r>
      <w:r w:rsidRPr="006B5CD3">
        <w:rPr>
          <w:rFonts w:ascii="仿宋" w:eastAsia="仿宋" w:hAnsi="仿宋"/>
          <w:sz w:val="24"/>
        </w:rPr>
        <w:t xml:space="preserve"> 流量积算仪</w:t>
      </w:r>
    </w:p>
    <w:p w14:paraId="18C5753D" w14:textId="77777777" w:rsidR="00297185" w:rsidRPr="006B5CD3" w:rsidRDefault="00297185" w:rsidP="00297185">
      <w:pPr>
        <w:pStyle w:val="a0"/>
        <w:spacing w:line="360" w:lineRule="auto"/>
        <w:ind w:firstLineChars="200" w:firstLine="480"/>
        <w:rPr>
          <w:rFonts w:ascii="仿宋" w:eastAsia="仿宋" w:hAnsi="仿宋" w:hint="eastAsia"/>
        </w:rPr>
      </w:pPr>
      <w:r w:rsidRPr="006B5CD3">
        <w:rPr>
          <w:rFonts w:ascii="仿宋" w:eastAsia="仿宋" w:hAnsi="仿宋"/>
        </w:rPr>
        <w:t>一般安装在控制室的仪表柜上，当安装在节流装置附近的现场时，应有仪表箱等必要的防护设施</w:t>
      </w:r>
      <w:r w:rsidRPr="006B5CD3">
        <w:rPr>
          <w:rFonts w:ascii="仿宋" w:eastAsia="仿宋" w:hAnsi="仿宋" w:hint="eastAsia"/>
        </w:rPr>
        <w:t>。</w:t>
      </w:r>
    </w:p>
    <w:p w14:paraId="6A2F67C5" w14:textId="77777777" w:rsidR="00297185" w:rsidRPr="006B5CD3" w:rsidRDefault="00297185" w:rsidP="00297185">
      <w:pPr>
        <w:pStyle w:val="a0"/>
        <w:spacing w:line="360" w:lineRule="auto"/>
        <w:rPr>
          <w:rFonts w:hint="eastAsia"/>
        </w:rPr>
      </w:pPr>
    </w:p>
    <w:p w14:paraId="37ACDCC4" w14:textId="77777777" w:rsidR="00297185" w:rsidRPr="006B5CD3" w:rsidRDefault="00297185" w:rsidP="00297185">
      <w:pPr>
        <w:spacing w:line="360" w:lineRule="auto"/>
        <w:rPr>
          <w:rFonts w:ascii="仿宋" w:eastAsia="仿宋" w:hAnsi="仿宋" w:cs="宋体" w:hint="eastAsia"/>
          <w:b/>
          <w:bCs/>
          <w:sz w:val="24"/>
        </w:rPr>
      </w:pPr>
      <w:r w:rsidRPr="006B5CD3">
        <w:rPr>
          <w:rFonts w:ascii="仿宋" w:eastAsia="仿宋" w:hAnsi="仿宋" w:cs="宋体" w:hint="eastAsia"/>
          <w:b/>
          <w:bCs/>
          <w:sz w:val="24"/>
        </w:rPr>
        <w:t>超声波热量表</w:t>
      </w:r>
      <w:r w:rsidRPr="006B5CD3">
        <w:rPr>
          <w:rFonts w:ascii="仿宋" w:eastAsia="仿宋" w:hAnsi="仿宋" w:cs="宋体" w:hint="eastAsia"/>
          <w:b/>
          <w:sz w:val="24"/>
        </w:rPr>
        <w:t>技术参数</w:t>
      </w:r>
    </w:p>
    <w:p w14:paraId="7D9E09C4"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所有产品制造工艺标准符合下列国家、行业主管、部门所颁布最新的法定条例、规范、规格、标准、工艺准则和业务条例及招标人所提出的相关技术要求：</w:t>
      </w:r>
    </w:p>
    <w:p w14:paraId="32E997BE"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hint="eastAsia"/>
          <w:sz w:val="24"/>
        </w:rPr>
        <w:t>GB/T32224-2020《热量表》</w:t>
      </w:r>
    </w:p>
    <w:p w14:paraId="466F3175"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hint="eastAsia"/>
          <w:sz w:val="24"/>
        </w:rPr>
        <w:t>JJG 225-2024《热计量表检定规程》</w:t>
      </w:r>
    </w:p>
    <w:p w14:paraId="32C942C0"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JJF 2185-2024 热量表型式评价大纲</w:t>
      </w:r>
    </w:p>
    <w:p w14:paraId="6E129325"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CJ 128-2007</w:t>
      </w:r>
      <w:r w:rsidRPr="006B5CD3">
        <w:rPr>
          <w:rFonts w:ascii="仿宋" w:eastAsia="仿宋" w:hAnsi="仿宋" w:hint="eastAsia"/>
          <w:sz w:val="24"/>
        </w:rPr>
        <w:t>《热量表》</w:t>
      </w:r>
    </w:p>
    <w:p w14:paraId="59A3D2A6"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hint="eastAsia"/>
          <w:sz w:val="24"/>
        </w:rPr>
        <w:t>GB/T 4208-2017《外壳防护等级(IP代码)》</w:t>
      </w:r>
    </w:p>
    <w:p w14:paraId="7CD50CD5"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hint="eastAsia"/>
          <w:sz w:val="24"/>
        </w:rPr>
        <w:t>DB</w:t>
      </w:r>
      <w:r w:rsidRPr="006B5CD3">
        <w:rPr>
          <w:rFonts w:ascii="仿宋" w:eastAsia="仿宋" w:hAnsi="仿宋"/>
          <w:sz w:val="24"/>
        </w:rPr>
        <w:t xml:space="preserve"> </w:t>
      </w:r>
      <w:r w:rsidRPr="006B5CD3">
        <w:rPr>
          <w:rFonts w:ascii="仿宋" w:eastAsia="仿宋" w:hAnsi="仿宋" w:hint="eastAsia"/>
          <w:sz w:val="24"/>
        </w:rPr>
        <w:t>J11-602-2006 《居住建筑节能设计标准》；</w:t>
      </w:r>
    </w:p>
    <w:p w14:paraId="145A421D"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hint="eastAsia"/>
          <w:sz w:val="24"/>
        </w:rPr>
        <w:t>JG</w:t>
      </w:r>
      <w:r w:rsidRPr="006B5CD3">
        <w:rPr>
          <w:rFonts w:ascii="仿宋" w:eastAsia="仿宋" w:hAnsi="仿宋"/>
          <w:sz w:val="24"/>
        </w:rPr>
        <w:t xml:space="preserve"> </w:t>
      </w:r>
      <w:r w:rsidRPr="006B5CD3">
        <w:rPr>
          <w:rFonts w:ascii="仿宋" w:eastAsia="仿宋" w:hAnsi="仿宋" w:hint="eastAsia"/>
          <w:sz w:val="24"/>
        </w:rPr>
        <w:t>J173-2009 《供热计量技术规程》</w:t>
      </w:r>
    </w:p>
    <w:p w14:paraId="65A71A64"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GB/T 26831.1 社区能源计量抄收系统规范 第1部分：数据交换</w:t>
      </w:r>
    </w:p>
    <w:p w14:paraId="56AC4F96"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GB/T 26831.2 社区能源计量抄收系统规范 第2部分：物理层与链路层</w:t>
      </w:r>
    </w:p>
    <w:p w14:paraId="2B75FE7E"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GB/T 26831.3 社区能源计量抄收系统规范 第3部分：专用应用层</w:t>
      </w:r>
    </w:p>
    <w:p w14:paraId="68B0E8CF" w14:textId="77777777" w:rsidR="00297185" w:rsidRPr="006B5CD3" w:rsidRDefault="00297185" w:rsidP="00297185">
      <w:pPr>
        <w:tabs>
          <w:tab w:val="left" w:pos="426"/>
          <w:tab w:val="left" w:pos="709"/>
        </w:tabs>
        <w:spacing w:line="360" w:lineRule="auto"/>
        <w:rPr>
          <w:rFonts w:ascii="仿宋" w:eastAsia="仿宋" w:hAnsi="仿宋" w:hint="eastAsia"/>
          <w:sz w:val="24"/>
        </w:rPr>
      </w:pPr>
      <w:r w:rsidRPr="006B5CD3">
        <w:rPr>
          <w:rFonts w:ascii="仿宋" w:eastAsia="仿宋" w:hAnsi="仿宋"/>
          <w:sz w:val="24"/>
        </w:rPr>
        <w:t>GB/T 26831.6 社区能源计量抄收系统规范 第6部分：本地总线</w:t>
      </w:r>
    </w:p>
    <w:p w14:paraId="65E04083"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热量表口径范围：D</w:t>
      </w:r>
      <w:r w:rsidRPr="006B5CD3">
        <w:rPr>
          <w:rFonts w:ascii="仿宋" w:eastAsia="仿宋" w:hAnsi="仿宋"/>
          <w:sz w:val="24"/>
        </w:rPr>
        <w:t>N50-DN600</w:t>
      </w:r>
      <w:r w:rsidRPr="006B5CD3">
        <w:rPr>
          <w:rFonts w:ascii="仿宋" w:eastAsia="仿宋" w:hAnsi="仿宋" w:hint="eastAsia"/>
          <w:sz w:val="24"/>
        </w:rPr>
        <w:t>，用于一次管网。</w:t>
      </w:r>
    </w:p>
    <w:p w14:paraId="6717D055"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测量方式为超声波测量方式。</w:t>
      </w:r>
    </w:p>
    <w:p w14:paraId="17A0388E"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测量机构无运动部件，永无磨损，完全不受介质中杂质、化学和磁性材料影响，可适应供热热水中含有颗粒，污泥和侵蚀物的恶劣环境中。</w:t>
      </w:r>
    </w:p>
    <w:p w14:paraId="78A653BC"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热量表的型式可以是整体式热量表，也可以是组合式热量表，但都应当是一体设计出厂的产品，不应采用非一体设计的部件拼凑而成。如选择整体式热量表，计算器应可分体安装。</w:t>
      </w:r>
    </w:p>
    <w:p w14:paraId="1FE73D53"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D</w:t>
      </w:r>
      <w:r w:rsidRPr="006B5CD3">
        <w:rPr>
          <w:rFonts w:ascii="仿宋" w:eastAsia="仿宋" w:hAnsi="仿宋"/>
          <w:sz w:val="24"/>
        </w:rPr>
        <w:t>N50-DN600</w:t>
      </w:r>
      <w:r w:rsidRPr="006B5CD3">
        <w:rPr>
          <w:rFonts w:ascii="仿宋" w:eastAsia="仿宋" w:hAnsi="仿宋" w:hint="eastAsia"/>
          <w:sz w:val="24"/>
        </w:rPr>
        <w:t>热量表管段材质：不锈钢，连接方式：法兰连接；</w:t>
      </w:r>
    </w:p>
    <w:p w14:paraId="05284D88"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热量表按键应灵活可靠，无卡死或接触不良现象，各部件应紧固无松动。按键寿命应在10万次以上。</w:t>
      </w:r>
    </w:p>
    <w:p w14:paraId="76330C9B"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热量表安装前应依据JJG 225-2024取得检定证书或校准证书，安装后，在后续使用过程中进行现场首次校准。</w:t>
      </w:r>
    </w:p>
    <w:p w14:paraId="1F778AF9"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热量表的流量传感器应采用不锈钢材质。</w:t>
      </w:r>
    </w:p>
    <w:p w14:paraId="481B4541"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lastRenderedPageBreak/>
        <w:t>热量表的流量传感器应为超声波流量传感器，测量方式使用双声道</w:t>
      </w:r>
      <w:r w:rsidRPr="006B5CD3">
        <w:rPr>
          <w:rFonts w:ascii="仿宋" w:eastAsia="仿宋" w:hAnsi="仿宋" w:hint="eastAsia"/>
          <w:sz w:val="24"/>
        </w:rPr>
        <w:t>或四声道，优选四声道</w:t>
      </w:r>
      <w:r w:rsidRPr="006B5CD3">
        <w:rPr>
          <w:rFonts w:ascii="仿宋" w:eastAsia="仿宋" w:hAnsi="仿宋"/>
          <w:sz w:val="24"/>
        </w:rPr>
        <w:t>。</w:t>
      </w:r>
    </w:p>
    <w:p w14:paraId="593C9D70"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热量表的流量传感器常用流量与流量下限之比不小于100:1。</w:t>
      </w:r>
    </w:p>
    <w:p w14:paraId="0570AED4"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热量表的配对温度传感器最小温差为2K。</w:t>
      </w:r>
    </w:p>
    <w:p w14:paraId="4EEFA606"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热量表的配对温度传感器应采用Pt500或Pt1000温度传感器</w:t>
      </w:r>
      <w:r w:rsidRPr="006B5CD3">
        <w:rPr>
          <w:rFonts w:ascii="仿宋" w:eastAsia="仿宋" w:hAnsi="仿宋" w:hint="eastAsia"/>
          <w:sz w:val="24"/>
        </w:rPr>
        <w:t>，优选</w:t>
      </w:r>
      <w:r w:rsidRPr="006B5CD3">
        <w:rPr>
          <w:rFonts w:ascii="仿宋" w:eastAsia="仿宋" w:hAnsi="仿宋"/>
          <w:sz w:val="24"/>
        </w:rPr>
        <w:t>Pt1000温度传感器</w:t>
      </w:r>
      <w:r w:rsidRPr="006B5CD3">
        <w:rPr>
          <w:rFonts w:ascii="仿宋" w:eastAsia="仿宋" w:hAnsi="仿宋" w:hint="eastAsia"/>
          <w:sz w:val="24"/>
        </w:rPr>
        <w:t>，传感器精度</w:t>
      </w:r>
      <w:r w:rsidRPr="006B5CD3">
        <w:rPr>
          <w:rFonts w:ascii="仿宋" w:eastAsia="仿宋" w:hAnsi="仿宋"/>
          <w:sz w:val="24"/>
        </w:rPr>
        <w:t>0.1</w:t>
      </w:r>
      <w:r w:rsidRPr="006B5CD3">
        <w:rPr>
          <w:rFonts w:ascii="仿宋" w:eastAsia="仿宋" w:hAnsi="仿宋" w:hint="eastAsia"/>
          <w:sz w:val="24"/>
        </w:rPr>
        <w:t>℃</w:t>
      </w:r>
      <w:r w:rsidRPr="006B5CD3">
        <w:rPr>
          <w:rFonts w:ascii="仿宋" w:eastAsia="仿宋" w:hAnsi="仿宋"/>
          <w:sz w:val="24"/>
        </w:rPr>
        <w:t>。</w:t>
      </w:r>
    </w:p>
    <w:p w14:paraId="5AC1180F"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热量表的配对温度传感器，</w:t>
      </w:r>
      <w:r w:rsidRPr="006B5CD3">
        <w:rPr>
          <w:rFonts w:ascii="仿宋" w:eastAsia="仿宋" w:hAnsi="仿宋" w:hint="eastAsia"/>
          <w:sz w:val="24"/>
        </w:rPr>
        <w:t>安装时</w:t>
      </w:r>
      <w:r w:rsidRPr="006B5CD3">
        <w:rPr>
          <w:rFonts w:ascii="仿宋" w:eastAsia="仿宋" w:hAnsi="仿宋"/>
          <w:sz w:val="24"/>
        </w:rPr>
        <w:t>应采用套管安装式长型温度传感器（PL型），采用接线盒方式。PL型温度传感器、套管及套管基座的尺寸见GB/T 32224-2020附录B中图B.4、B.5、B.6。</w:t>
      </w:r>
    </w:p>
    <w:p w14:paraId="3CC4D629"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热量表的配对温度传感器引线应由温度传感器制造商配套提供。配对的温度传感器的引线线芯截面和长度都应相同。温度传感器引线允许最大长度应符合GB/T 32224-2020附录B中表B.3的规定。</w:t>
      </w:r>
      <w:r w:rsidRPr="006B5CD3">
        <w:rPr>
          <w:rFonts w:ascii="仿宋" w:eastAsia="仿宋" w:hAnsi="仿宋" w:hint="eastAsia"/>
          <w:sz w:val="24"/>
        </w:rPr>
        <w:t>安装时</w:t>
      </w:r>
      <w:r w:rsidRPr="006B5CD3">
        <w:rPr>
          <w:rFonts w:ascii="仿宋" w:eastAsia="仿宋" w:hAnsi="仿宋"/>
          <w:sz w:val="24"/>
        </w:rPr>
        <w:t>接线盒型温度传感器的引线线芯截面积宜采用0.5mm2。</w:t>
      </w:r>
    </w:p>
    <w:p w14:paraId="6658AD25"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热量表的计算器应具备</w:t>
      </w:r>
      <w:r w:rsidRPr="006B5CD3">
        <w:rPr>
          <w:rFonts w:ascii="仿宋" w:eastAsia="仿宋" w:hAnsi="仿宋" w:hint="eastAsia"/>
          <w:sz w:val="24"/>
        </w:rPr>
        <w:t>8位的图形LCD显示器，显示数字可见高度不小于4mm,显示值与显示单位必须标注清晰明确。</w:t>
      </w:r>
    </w:p>
    <w:p w14:paraId="72F764DE"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热量表的计算器显示符合GB/T 32224-2020 6.1的要求</w:t>
      </w:r>
      <w:r w:rsidRPr="006B5CD3">
        <w:rPr>
          <w:rFonts w:ascii="仿宋" w:eastAsia="仿宋" w:hAnsi="仿宋" w:hint="eastAsia"/>
          <w:sz w:val="24"/>
        </w:rPr>
        <w:t>，可支持显示热量、流量、供水温度、回水温度、供回水温差、累计工作时间、瞬时流量、瞬时热量及累积流量参数；</w:t>
      </w:r>
      <w:r w:rsidRPr="006B5CD3">
        <w:rPr>
          <w:rFonts w:ascii="仿宋" w:eastAsia="仿宋" w:hAnsi="仿宋"/>
          <w:sz w:val="24"/>
        </w:rPr>
        <w:t>其中显示单位累积热量GJ</w:t>
      </w:r>
      <w:r w:rsidRPr="006B5CD3">
        <w:rPr>
          <w:rFonts w:ascii="仿宋" w:eastAsia="仿宋" w:hAnsi="仿宋" w:hint="eastAsia"/>
          <w:sz w:val="24"/>
        </w:rPr>
        <w:t>或KW·h 及其十进制倍数</w:t>
      </w:r>
      <w:r w:rsidRPr="006B5CD3">
        <w:rPr>
          <w:rFonts w:ascii="仿宋" w:eastAsia="仿宋" w:hAnsi="仿宋"/>
          <w:sz w:val="24"/>
        </w:rPr>
        <w:t>，热功率为MW</w:t>
      </w:r>
      <w:r w:rsidRPr="006B5CD3">
        <w:rPr>
          <w:rFonts w:ascii="仿宋" w:eastAsia="仿宋" w:hAnsi="仿宋" w:hint="eastAsia"/>
          <w:sz w:val="24"/>
        </w:rPr>
        <w:t>或K</w:t>
      </w:r>
      <w:r w:rsidRPr="006B5CD3">
        <w:rPr>
          <w:rFonts w:ascii="仿宋" w:eastAsia="仿宋" w:hAnsi="仿宋"/>
          <w:sz w:val="24"/>
        </w:rPr>
        <w:t>W，累积流量为m</w:t>
      </w:r>
      <w:r w:rsidRPr="006B5CD3">
        <w:rPr>
          <w:rFonts w:ascii="仿宋" w:eastAsia="仿宋" w:hAnsi="仿宋"/>
          <w:sz w:val="24"/>
          <w:vertAlign w:val="superscript"/>
        </w:rPr>
        <w:t>3</w:t>
      </w:r>
      <w:r w:rsidRPr="006B5CD3">
        <w:rPr>
          <w:rFonts w:ascii="仿宋" w:eastAsia="仿宋" w:hAnsi="仿宋"/>
          <w:sz w:val="24"/>
        </w:rPr>
        <w:t>，瞬时流量为m</w:t>
      </w:r>
      <w:r w:rsidRPr="006B5CD3">
        <w:rPr>
          <w:rFonts w:ascii="仿宋" w:eastAsia="仿宋" w:hAnsi="仿宋"/>
          <w:sz w:val="24"/>
          <w:vertAlign w:val="superscript"/>
        </w:rPr>
        <w:t>3</w:t>
      </w:r>
      <w:r w:rsidRPr="006B5CD3">
        <w:rPr>
          <w:rFonts w:ascii="仿宋" w:eastAsia="仿宋" w:hAnsi="仿宋"/>
          <w:sz w:val="24"/>
        </w:rPr>
        <w:t>/h。</w:t>
      </w:r>
    </w:p>
    <w:p w14:paraId="17E57F3A"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热量表的计算器，数据应按月存储累积热量、累积流量和相对应的时间，数据存储不应少于最近18个月的数据。</w:t>
      </w:r>
    </w:p>
    <w:p w14:paraId="5A4EA12C"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热量表的计算器，在信号线和通讯线大于1.2米的情况下，应不受电快速瞬变脉冲群和浪涌的影响。</w:t>
      </w:r>
    </w:p>
    <w:p w14:paraId="1589EB4E"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热量表的计算器与流量传感器之间的信号线最长可达10米，且并不受电磁干扰的影响。</w:t>
      </w:r>
    </w:p>
    <w:p w14:paraId="6714CC67"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热量表准确度等级应不低于2级</w:t>
      </w:r>
      <w:r w:rsidRPr="006B5CD3">
        <w:rPr>
          <w:rFonts w:ascii="仿宋" w:eastAsia="仿宋" w:hAnsi="仿宋" w:hint="eastAsia"/>
          <w:sz w:val="24"/>
        </w:rPr>
        <w:t>；</w:t>
      </w:r>
    </w:p>
    <w:p w14:paraId="23F266AF"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防护等级不低于IP65</w:t>
      </w:r>
      <w:r w:rsidRPr="006B5CD3">
        <w:rPr>
          <w:rFonts w:ascii="仿宋" w:eastAsia="仿宋" w:hAnsi="仿宋" w:hint="eastAsia"/>
          <w:sz w:val="24"/>
        </w:rPr>
        <w:t>；</w:t>
      </w:r>
    </w:p>
    <w:p w14:paraId="255A0431"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环境等级为</w:t>
      </w:r>
      <w:r w:rsidRPr="006B5CD3">
        <w:rPr>
          <w:rFonts w:ascii="仿宋" w:eastAsia="仿宋" w:hAnsi="仿宋" w:hint="eastAsia"/>
          <w:sz w:val="24"/>
        </w:rPr>
        <w:t>B级或</w:t>
      </w:r>
      <w:r w:rsidRPr="006B5CD3">
        <w:rPr>
          <w:rFonts w:ascii="仿宋" w:eastAsia="仿宋" w:hAnsi="仿宋"/>
          <w:sz w:val="24"/>
        </w:rPr>
        <w:t>C级。</w:t>
      </w:r>
    </w:p>
    <w:p w14:paraId="095FA39F"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热量表的最大工作压力应大于安装管路的最大压力，且不小于1.6 MPa。</w:t>
      </w:r>
    </w:p>
    <w:p w14:paraId="3514B9BE"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lastRenderedPageBreak/>
        <w:t>热量表</w:t>
      </w:r>
      <w:r w:rsidRPr="006B5CD3">
        <w:rPr>
          <w:rFonts w:ascii="仿宋" w:eastAsia="仿宋" w:hAnsi="仿宋" w:hint="eastAsia"/>
          <w:sz w:val="24"/>
        </w:rPr>
        <w:t>在常用流量使用条件下、压损≤0.0</w:t>
      </w:r>
      <w:r w:rsidRPr="006B5CD3">
        <w:rPr>
          <w:rFonts w:ascii="仿宋" w:eastAsia="仿宋" w:hAnsi="仿宋"/>
          <w:sz w:val="24"/>
        </w:rPr>
        <w:t>63</w:t>
      </w:r>
      <w:r w:rsidRPr="006B5CD3">
        <w:rPr>
          <w:rFonts w:ascii="仿宋" w:eastAsia="仿宋" w:hAnsi="仿宋" w:hint="eastAsia"/>
          <w:sz w:val="24"/>
        </w:rPr>
        <w:t>bar。</w:t>
      </w:r>
    </w:p>
    <w:p w14:paraId="77268397"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热量表的温度上限应大于介质的最高温度，</w:t>
      </w:r>
      <w:r w:rsidRPr="006B5CD3">
        <w:rPr>
          <w:rFonts w:ascii="仿宋" w:eastAsia="仿宋" w:hAnsi="仿宋" w:hint="eastAsia"/>
          <w:sz w:val="24"/>
        </w:rPr>
        <w:t>满足一次管网使用要求，</w:t>
      </w:r>
      <w:r w:rsidRPr="006B5CD3">
        <w:rPr>
          <w:rFonts w:ascii="仿宋" w:eastAsia="仿宋" w:hAnsi="仿宋"/>
          <w:sz w:val="24"/>
        </w:rPr>
        <w:t>不低于130℃。</w:t>
      </w:r>
    </w:p>
    <w:p w14:paraId="1B932255"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热量表的上下游流速场不规则变化的敏感度等级，应</w:t>
      </w:r>
      <w:bookmarkStart w:id="11" w:name="_Hlk194934174"/>
      <w:r w:rsidRPr="006B5CD3">
        <w:rPr>
          <w:rFonts w:ascii="仿宋" w:eastAsia="仿宋" w:hAnsi="仿宋"/>
          <w:sz w:val="24"/>
        </w:rPr>
        <w:t>优于</w:t>
      </w:r>
      <w:r w:rsidRPr="006B5CD3">
        <w:rPr>
          <w:rFonts w:ascii="仿宋" w:eastAsia="仿宋" w:hAnsi="仿宋" w:hint="eastAsia"/>
          <w:sz w:val="24"/>
        </w:rPr>
        <w:t>（含）</w:t>
      </w:r>
      <w:bookmarkEnd w:id="11"/>
      <w:r w:rsidRPr="006B5CD3">
        <w:rPr>
          <w:rFonts w:ascii="仿宋" w:eastAsia="仿宋" w:hAnsi="仿宋"/>
          <w:sz w:val="24"/>
        </w:rPr>
        <w:t>U5D3。</w:t>
      </w:r>
    </w:p>
    <w:p w14:paraId="7698CEB3"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热量表的供电方式应采用</w:t>
      </w:r>
      <w:r w:rsidRPr="006B5CD3">
        <w:rPr>
          <w:rFonts w:ascii="仿宋" w:eastAsia="仿宋" w:hAnsi="仿宋" w:hint="eastAsia"/>
          <w:sz w:val="24"/>
        </w:rPr>
        <w:t>电池供电方式或</w:t>
      </w:r>
      <w:r w:rsidRPr="006B5CD3">
        <w:rPr>
          <w:rFonts w:ascii="仿宋" w:eastAsia="仿宋" w:hAnsi="仿宋"/>
          <w:sz w:val="24"/>
        </w:rPr>
        <w:t>24V外部电源和内置电池的组合供电方式，保证外部电源断电后，热量表仍能正常工作，电池电量应最少能保证6个采暖季，更换电池时应取得热量表生产单位的授权。</w:t>
      </w:r>
    </w:p>
    <w:p w14:paraId="5F3E8F3A"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bookmarkStart w:id="12" w:name="OLE_LINK4"/>
      <w:r w:rsidRPr="006B5CD3">
        <w:rPr>
          <w:rFonts w:ascii="仿宋" w:eastAsia="仿宋" w:hAnsi="仿宋"/>
          <w:sz w:val="24"/>
        </w:rPr>
        <w:t>热量表应具备断电数据保护功能，当电源停止供电时，热量表应保存断电前存储的累积热量、累积流量和相对应的时间数据及历史数据，恢复供电后应自动恢复正常工作。</w:t>
      </w:r>
      <w:bookmarkEnd w:id="12"/>
    </w:p>
    <w:p w14:paraId="7E099AFA"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热量表应有可靠封印，在不破坏封印的情况下，不能拆解热量表及影响计量的相关部件。累积热量及累积流量不可清零。</w:t>
      </w:r>
    </w:p>
    <w:p w14:paraId="518B7323"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热量表具有抗磁干扰功能，当受到强度不大于100kA/m的磁场干扰时，不影响其计量特性；</w:t>
      </w:r>
    </w:p>
    <w:p w14:paraId="6DCCEB8A"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热量表应有铭牌，铭牌上应注明生产厂家名称、注册商标、口径、编号、型号、测量范围、最大允许工作压力、环境等级、制造年月和安装位置（供水、回水）要求等。</w:t>
      </w:r>
    </w:p>
    <w:p w14:paraId="69750790"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hint="eastAsia"/>
          <w:sz w:val="24"/>
        </w:rPr>
        <w:t>热量表外壳涂层均匀，无裂缝、毛刺等表面缺陷，并用箭头标出载热流体流动的方向。</w:t>
      </w:r>
    </w:p>
    <w:p w14:paraId="49B01806"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cs="宋体" w:hint="eastAsia"/>
          <w:sz w:val="24"/>
        </w:rPr>
        <w:t>每一只热量表应有唯一的 ID，内容包含品牌信息和编号。</w:t>
      </w:r>
    </w:p>
    <w:p w14:paraId="03966990" w14:textId="77777777" w:rsidR="00297185" w:rsidRPr="006B5CD3" w:rsidRDefault="00297185" w:rsidP="00297185">
      <w:pPr>
        <w:pStyle w:val="aa"/>
        <w:numPr>
          <w:ilvl w:val="0"/>
          <w:numId w:val="3"/>
        </w:numPr>
        <w:tabs>
          <w:tab w:val="left" w:pos="426"/>
          <w:tab w:val="left" w:pos="709"/>
        </w:tabs>
        <w:spacing w:line="360" w:lineRule="auto"/>
        <w:ind w:left="0" w:firstLine="0"/>
        <w:contextualSpacing w:val="0"/>
        <w:rPr>
          <w:rFonts w:ascii="仿宋" w:eastAsia="仿宋" w:hAnsi="仿宋" w:hint="eastAsia"/>
          <w:sz w:val="24"/>
        </w:rPr>
      </w:pPr>
      <w:r w:rsidRPr="006B5CD3">
        <w:rPr>
          <w:rFonts w:ascii="仿宋" w:eastAsia="仿宋" w:hAnsi="仿宋"/>
          <w:sz w:val="24"/>
        </w:rPr>
        <w:t>热量表应具有无线通讯功能。</w:t>
      </w:r>
    </w:p>
    <w:p w14:paraId="3C5C6273" w14:textId="77777777" w:rsidR="00297185" w:rsidRPr="006B5CD3" w:rsidRDefault="00297185" w:rsidP="00297185">
      <w:pPr>
        <w:pStyle w:val="aa"/>
        <w:widowControl/>
        <w:numPr>
          <w:ilvl w:val="1"/>
          <w:numId w:val="4"/>
        </w:numPr>
        <w:spacing w:line="360" w:lineRule="auto"/>
        <w:contextualSpacing w:val="0"/>
        <w:rPr>
          <w:rFonts w:ascii="仿宋" w:eastAsia="仿宋" w:hAnsi="仿宋" w:hint="eastAsia"/>
          <w:sz w:val="24"/>
        </w:rPr>
      </w:pPr>
      <w:r w:rsidRPr="006B5CD3">
        <w:rPr>
          <w:rFonts w:ascii="仿宋" w:eastAsia="仿宋" w:hAnsi="仿宋"/>
          <w:sz w:val="24"/>
        </w:rPr>
        <w:t>热量表无线通讯采用4G模式，</w:t>
      </w:r>
      <w:r w:rsidRPr="006B5CD3">
        <w:rPr>
          <w:rFonts w:ascii="仿宋" w:eastAsia="仿宋" w:hAnsi="仿宋" w:hint="eastAsia"/>
          <w:sz w:val="24"/>
        </w:rPr>
        <w:t>热量表配套4</w:t>
      </w:r>
      <w:r w:rsidRPr="006B5CD3">
        <w:rPr>
          <w:rFonts w:ascii="仿宋" w:eastAsia="仿宋" w:hAnsi="仿宋"/>
          <w:sz w:val="24"/>
        </w:rPr>
        <w:t>G</w:t>
      </w:r>
      <w:r w:rsidRPr="006B5CD3">
        <w:rPr>
          <w:rFonts w:ascii="仿宋" w:eastAsia="仿宋" w:hAnsi="仿宋" w:hint="eastAsia"/>
          <w:sz w:val="24"/>
        </w:rPr>
        <w:t>数据采集终端，</w:t>
      </w:r>
      <w:r w:rsidRPr="006B5CD3">
        <w:rPr>
          <w:rFonts w:ascii="仿宋" w:eastAsia="仿宋" w:hAnsi="仿宋" w:cs="仿宋" w:hint="eastAsia"/>
          <w:sz w:val="24"/>
          <w:lang w:bidi="zh-CN"/>
        </w:rPr>
        <w:t>上行支持4G全网通</w:t>
      </w:r>
      <w:r w:rsidRPr="006B5CD3">
        <w:rPr>
          <w:rFonts w:ascii="仿宋" w:eastAsia="仿宋" w:hAnsi="仿宋"/>
          <w:sz w:val="24"/>
        </w:rPr>
        <w:t>。</w:t>
      </w:r>
    </w:p>
    <w:p w14:paraId="3F39A4E7" w14:textId="77777777" w:rsidR="00297185" w:rsidRPr="006B5CD3" w:rsidRDefault="00297185" w:rsidP="00297185">
      <w:pPr>
        <w:pStyle w:val="aa"/>
        <w:numPr>
          <w:ilvl w:val="1"/>
          <w:numId w:val="4"/>
        </w:numPr>
        <w:spacing w:line="360" w:lineRule="auto"/>
        <w:contextualSpacing w:val="0"/>
        <w:rPr>
          <w:rFonts w:ascii="仿宋" w:eastAsia="仿宋" w:hAnsi="仿宋" w:hint="eastAsia"/>
          <w:sz w:val="24"/>
        </w:rPr>
      </w:pPr>
      <w:r w:rsidRPr="006B5CD3">
        <w:rPr>
          <w:rFonts w:ascii="仿宋" w:eastAsia="仿宋" w:hAnsi="仿宋"/>
          <w:sz w:val="24"/>
        </w:rPr>
        <w:t>4G</w:t>
      </w:r>
      <w:r w:rsidRPr="006B5CD3">
        <w:rPr>
          <w:rFonts w:ascii="仿宋" w:eastAsia="仿宋" w:hAnsi="仿宋" w:hint="eastAsia"/>
          <w:sz w:val="24"/>
        </w:rPr>
        <w:t>数据采集终端供电方式：大容量锂电池组供电，电压DC3.6V，容量不低于38Ah；</w:t>
      </w:r>
    </w:p>
    <w:p w14:paraId="21780491" w14:textId="77777777" w:rsidR="00297185" w:rsidRPr="006B5CD3" w:rsidRDefault="00297185" w:rsidP="00297185">
      <w:pPr>
        <w:pStyle w:val="aa"/>
        <w:widowControl/>
        <w:numPr>
          <w:ilvl w:val="1"/>
          <w:numId w:val="4"/>
        </w:numPr>
        <w:spacing w:line="360" w:lineRule="auto"/>
        <w:contextualSpacing w:val="0"/>
        <w:rPr>
          <w:rFonts w:ascii="仿宋" w:eastAsia="仿宋" w:hAnsi="仿宋" w:hint="eastAsia"/>
          <w:sz w:val="24"/>
        </w:rPr>
      </w:pPr>
      <w:r w:rsidRPr="006B5CD3">
        <w:rPr>
          <w:rFonts w:ascii="仿宋" w:eastAsia="仿宋" w:hAnsi="仿宋"/>
          <w:sz w:val="24"/>
        </w:rPr>
        <w:t>热量表数据上传至服务器的时间间隔宜小于等于1小时。</w:t>
      </w:r>
    </w:p>
    <w:p w14:paraId="1453EF91" w14:textId="77777777" w:rsidR="00297185" w:rsidRPr="006B5CD3" w:rsidRDefault="00297185" w:rsidP="00297185">
      <w:pPr>
        <w:pStyle w:val="aa"/>
        <w:numPr>
          <w:ilvl w:val="1"/>
          <w:numId w:val="4"/>
        </w:numPr>
        <w:spacing w:line="360" w:lineRule="auto"/>
        <w:contextualSpacing w:val="0"/>
        <w:rPr>
          <w:rFonts w:ascii="仿宋" w:eastAsia="仿宋" w:hAnsi="仿宋" w:hint="eastAsia"/>
          <w:sz w:val="24"/>
        </w:rPr>
      </w:pPr>
      <w:r w:rsidRPr="006B5CD3">
        <w:rPr>
          <w:rFonts w:ascii="仿宋" w:eastAsia="仿宋" w:hAnsi="仿宋"/>
          <w:sz w:val="24"/>
        </w:rPr>
        <w:t>热量表无线通讯的数据应至少包括瞬时流量、累积流量、瞬时热量、累积热量、供水温度、回水温度。</w:t>
      </w:r>
    </w:p>
    <w:p w14:paraId="731A4CB0" w14:textId="77777777" w:rsidR="00297185" w:rsidRPr="006B5CD3" w:rsidRDefault="00297185" w:rsidP="00297185">
      <w:pPr>
        <w:pStyle w:val="aa"/>
        <w:numPr>
          <w:ilvl w:val="1"/>
          <w:numId w:val="4"/>
        </w:numPr>
        <w:spacing w:line="360" w:lineRule="auto"/>
        <w:contextualSpacing w:val="0"/>
        <w:rPr>
          <w:rFonts w:ascii="仿宋" w:eastAsia="仿宋" w:hAnsi="仿宋" w:hint="eastAsia"/>
          <w:sz w:val="24"/>
        </w:rPr>
      </w:pPr>
      <w:r w:rsidRPr="006B5CD3">
        <w:rPr>
          <w:rFonts w:ascii="仿宋" w:eastAsia="仿宋" w:hAnsi="仿宋"/>
          <w:sz w:val="24"/>
        </w:rPr>
        <w:t>4G</w:t>
      </w:r>
      <w:r w:rsidRPr="006B5CD3">
        <w:rPr>
          <w:rFonts w:ascii="仿宋" w:eastAsia="仿宋" w:hAnsi="仿宋" w:hint="eastAsia"/>
          <w:sz w:val="24"/>
        </w:rPr>
        <w:t>数据采集终端外壳采用金属材质，可外壳材质应能承受足够的机械</w:t>
      </w:r>
      <w:r w:rsidRPr="006B5CD3">
        <w:rPr>
          <w:rFonts w:ascii="仿宋" w:eastAsia="仿宋" w:hAnsi="仿宋" w:hint="eastAsia"/>
          <w:sz w:val="24"/>
        </w:rPr>
        <w:lastRenderedPageBreak/>
        <w:t>强度，优选不锈钢外壳材质；显示窗口应清晰可见；</w:t>
      </w:r>
    </w:p>
    <w:p w14:paraId="52FCF2EC" w14:textId="77777777" w:rsidR="00297185" w:rsidRPr="006B5CD3" w:rsidRDefault="00297185" w:rsidP="00297185">
      <w:pPr>
        <w:pStyle w:val="aa"/>
        <w:spacing w:line="360" w:lineRule="auto"/>
        <w:ind w:left="420"/>
        <w:rPr>
          <w:rFonts w:ascii="仿宋" w:eastAsia="仿宋" w:hAnsi="仿宋" w:hint="eastAsia"/>
        </w:rPr>
      </w:pPr>
    </w:p>
    <w:p w14:paraId="4D0032A8" w14:textId="77777777" w:rsidR="00297185" w:rsidRPr="006B5CD3" w:rsidRDefault="00297185" w:rsidP="00297185">
      <w:pPr>
        <w:spacing w:line="360" w:lineRule="auto"/>
        <w:rPr>
          <w:rFonts w:ascii="仿宋" w:eastAsia="仿宋" w:hAnsi="仿宋" w:hint="eastAsia"/>
          <w:b/>
          <w:bCs/>
          <w:sz w:val="24"/>
        </w:rPr>
      </w:pPr>
      <w:r w:rsidRPr="006B5CD3">
        <w:rPr>
          <w:rFonts w:ascii="仿宋" w:eastAsia="仿宋" w:hAnsi="仿宋"/>
          <w:b/>
          <w:bCs/>
          <w:sz w:val="24"/>
        </w:rPr>
        <w:t>安装要求</w:t>
      </w:r>
    </w:p>
    <w:p w14:paraId="1BA4389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热量表</w:t>
      </w:r>
      <w:r w:rsidRPr="006B5CD3">
        <w:rPr>
          <w:rFonts w:ascii="仿宋" w:eastAsia="仿宋" w:hAnsi="仿宋" w:hint="eastAsia"/>
          <w:sz w:val="24"/>
        </w:rPr>
        <w:t>需满足以下安装：</w:t>
      </w:r>
    </w:p>
    <w:p w14:paraId="061BBF5E"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hint="eastAsia"/>
          <w:sz w:val="24"/>
        </w:rPr>
        <w:t>1</w:t>
      </w:r>
      <w:r w:rsidRPr="006B5CD3">
        <w:rPr>
          <w:rFonts w:ascii="仿宋" w:eastAsia="仿宋" w:hAnsi="仿宋"/>
          <w:sz w:val="24"/>
        </w:rPr>
        <w:t>.安装环境</w:t>
      </w:r>
    </w:p>
    <w:p w14:paraId="718929B3"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1.1 安装前应清理管道，确保无焊渣、杂质残留。</w:t>
      </w:r>
    </w:p>
    <w:p w14:paraId="3611ACD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1.2 安装环境的通讯信号应保证强度，稳定性良好。</w:t>
      </w:r>
    </w:p>
    <w:p w14:paraId="5F2094D6"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1.3 强弱电之间保持合理的距离。</w:t>
      </w:r>
    </w:p>
    <w:p w14:paraId="7FFAC2A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2.1 流量传感器</w:t>
      </w:r>
    </w:p>
    <w:p w14:paraId="520BB7D2"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（1）流量传感器优先安装在热源回水端，如选择安装在供水端，供水端载能介质的温度不应大于热量表的最大工作温度。</w:t>
      </w:r>
    </w:p>
    <w:p w14:paraId="2697E40F"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（2）流量传感器的安装尽量避免水泵、电机的强电磁干扰源。</w:t>
      </w:r>
    </w:p>
    <w:p w14:paraId="2C14D517"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（3）流量传感器的安装，应保证热量表的上下游流速场不规则变化的敏感度要求，尽可能远离弯头、阀门等紊流区域。流量传感器的安装位置应保证最小直管段要求，不能满足要求时应加装整流器。</w:t>
      </w:r>
    </w:p>
    <w:p w14:paraId="363F8B54"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（4）</w:t>
      </w:r>
      <w:bookmarkStart w:id="13" w:name="OLE_LINK23"/>
      <w:r w:rsidRPr="006B5CD3">
        <w:rPr>
          <w:rFonts w:ascii="仿宋" w:eastAsia="仿宋" w:hAnsi="仿宋"/>
          <w:sz w:val="24"/>
        </w:rPr>
        <w:t>流量传感器受安装条件限制，仅能进行垂直安装时，载能介质流动方向需自下而上；水平安装时，需满管流动，避免气穴影响精度。</w:t>
      </w:r>
      <w:bookmarkEnd w:id="13"/>
    </w:p>
    <w:p w14:paraId="3ED0E34B"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6）流量传感器安装管道的上游或下游临近位置应预留一段管段，其长度为管道公称直径的1.5倍，管壁厚度已知并能满足管道压力的要求，载能介质在预留管段的流向应是水平或上升流动的，预留管段的保温层可拆卸，以便于后续对流量传感器进行现场校准。</w:t>
      </w:r>
    </w:p>
    <w:p w14:paraId="6EAC7C8D"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2.2 配对温度传感器</w:t>
      </w:r>
    </w:p>
    <w:p w14:paraId="6A3311ED"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（1）配对温度传感器可安装在直管段或弯管处，在直管段上安装时可垂直或与载能介质流动方向呈45°角安装。</w:t>
      </w:r>
    </w:p>
    <w:p w14:paraId="44438FBB"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（2）配对温度传感器应插至管道中心处。</w:t>
      </w:r>
    </w:p>
    <w:p w14:paraId="6EEDE294"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（3）供水端的温度传感器与回水端温度传感器的宜分别用红、蓝色标签区分。</w:t>
      </w:r>
    </w:p>
    <w:p w14:paraId="371A4C51"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2.3 计算器</w:t>
      </w:r>
    </w:p>
    <w:p w14:paraId="06EE7F58"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（1）计算器应安装在便于读取显示屏数据的位置。</w:t>
      </w:r>
    </w:p>
    <w:p w14:paraId="06980420" w14:textId="77777777" w:rsidR="00297185" w:rsidRPr="006B5CD3" w:rsidRDefault="00297185" w:rsidP="00297185">
      <w:pPr>
        <w:spacing w:line="360" w:lineRule="auto"/>
        <w:rPr>
          <w:rFonts w:ascii="仿宋" w:eastAsia="仿宋" w:hAnsi="仿宋" w:hint="eastAsia"/>
          <w:sz w:val="24"/>
        </w:rPr>
      </w:pPr>
      <w:r w:rsidRPr="006B5CD3">
        <w:rPr>
          <w:rFonts w:ascii="仿宋" w:eastAsia="仿宋" w:hAnsi="仿宋"/>
          <w:sz w:val="24"/>
        </w:rPr>
        <w:t>（2）计算器宜具备模拟流量信号的功能，以便于后续对其进行现场校准。</w:t>
      </w:r>
    </w:p>
    <w:p w14:paraId="10E2F919" w14:textId="77777777" w:rsidR="00297185" w:rsidRPr="006B5CD3" w:rsidRDefault="00297185" w:rsidP="00297185">
      <w:pPr>
        <w:spacing w:line="360" w:lineRule="auto"/>
        <w:rPr>
          <w:b/>
          <w:bCs/>
          <w:sz w:val="24"/>
        </w:rPr>
      </w:pPr>
    </w:p>
    <w:p w14:paraId="6E7AF3C5" w14:textId="77777777" w:rsidR="00297185" w:rsidRPr="006B5CD3" w:rsidRDefault="00297185" w:rsidP="00297185">
      <w:pPr>
        <w:spacing w:line="360" w:lineRule="auto"/>
        <w:rPr>
          <w:rFonts w:ascii="仿宋" w:eastAsia="仿宋" w:hAnsi="仿宋" w:hint="eastAsia"/>
          <w:b/>
          <w:bCs/>
          <w:sz w:val="24"/>
        </w:rPr>
      </w:pPr>
      <w:r w:rsidRPr="006B5CD3">
        <w:rPr>
          <w:rFonts w:ascii="仿宋" w:eastAsia="仿宋" w:hAnsi="仿宋" w:hint="eastAsia"/>
          <w:b/>
          <w:bCs/>
          <w:sz w:val="24"/>
        </w:rPr>
        <w:lastRenderedPageBreak/>
        <w:t>人员配置：</w:t>
      </w:r>
    </w:p>
    <w:p w14:paraId="7DE6B58A" w14:textId="77777777" w:rsidR="00297185" w:rsidRPr="006B5CD3" w:rsidRDefault="00297185" w:rsidP="00297185">
      <w:pPr>
        <w:numPr>
          <w:ilvl w:val="0"/>
          <w:numId w:val="5"/>
        </w:numPr>
        <w:spacing w:line="360" w:lineRule="auto"/>
        <w:rPr>
          <w:rFonts w:ascii="仿宋" w:eastAsia="仿宋" w:hAnsi="仿宋" w:cs="宋体" w:hint="eastAsia"/>
          <w:sz w:val="24"/>
        </w:rPr>
      </w:pPr>
      <w:r w:rsidRPr="006B5CD3">
        <w:rPr>
          <w:rFonts w:ascii="仿宋" w:eastAsia="仿宋" w:hAnsi="仿宋" w:cs="宋体" w:hint="eastAsia"/>
          <w:sz w:val="24"/>
        </w:rPr>
        <w:t>项目经理:建造师二级及以上证书(机电)专业资质证书和安全生产考核证书(B证)、</w:t>
      </w:r>
      <w:r w:rsidRPr="006B5CD3">
        <w:rPr>
          <w:rFonts w:ascii="仿宋" w:eastAsia="仿宋" w:hAnsi="仿宋" w:cs="宋体"/>
          <w:sz w:val="24"/>
        </w:rPr>
        <w:t>须为本单位正式在职人员，投标时提供近 3 个月社保缴纳证明；项目实施期间不得擅自更换，确需更换须经招标人书面同意。</w:t>
      </w:r>
    </w:p>
    <w:p w14:paraId="16CF5B68" w14:textId="77777777" w:rsidR="00297185" w:rsidRPr="006B5CD3" w:rsidRDefault="00297185" w:rsidP="00297185">
      <w:pPr>
        <w:numPr>
          <w:ilvl w:val="0"/>
          <w:numId w:val="5"/>
        </w:numPr>
        <w:spacing w:line="360" w:lineRule="auto"/>
        <w:rPr>
          <w:rFonts w:ascii="仿宋" w:eastAsia="仿宋" w:hAnsi="仿宋" w:cs="宋体" w:hint="eastAsia"/>
          <w:sz w:val="24"/>
        </w:rPr>
      </w:pPr>
      <w:r w:rsidRPr="006B5CD3">
        <w:rPr>
          <w:rFonts w:ascii="仿宋" w:eastAsia="仿宋" w:hAnsi="仿宋" w:cs="宋体" w:hint="eastAsia"/>
          <w:sz w:val="24"/>
        </w:rPr>
        <w:t>特种设备管理人员：</w:t>
      </w:r>
      <w:r w:rsidRPr="006B5CD3">
        <w:rPr>
          <w:rFonts w:ascii="仿宋" w:eastAsia="仿宋" w:hAnsi="仿宋" w:cs="宋体"/>
          <w:sz w:val="24"/>
        </w:rPr>
        <w:t>持有市场监管部门核发《特种设备安全管理人员证（A 证）》，专职负责本项目特种设备安装告知、对接特检机构、现场特种设备施工安全管控</w:t>
      </w:r>
      <w:r w:rsidRPr="006B5CD3">
        <w:rPr>
          <w:rFonts w:ascii="仿宋" w:eastAsia="仿宋" w:hAnsi="仿宋" w:cs="宋体" w:hint="eastAsia"/>
          <w:sz w:val="24"/>
        </w:rPr>
        <w:t>。</w:t>
      </w:r>
    </w:p>
    <w:p w14:paraId="2BF26A64" w14:textId="77777777" w:rsidR="00297185" w:rsidRPr="006B5CD3" w:rsidRDefault="00297185" w:rsidP="00297185">
      <w:pPr>
        <w:numPr>
          <w:ilvl w:val="0"/>
          <w:numId w:val="5"/>
        </w:numPr>
        <w:spacing w:line="360" w:lineRule="auto"/>
        <w:rPr>
          <w:rFonts w:ascii="仿宋" w:eastAsia="仿宋" w:hAnsi="仿宋" w:cs="宋体" w:hint="eastAsia"/>
          <w:bCs/>
          <w:sz w:val="24"/>
        </w:rPr>
      </w:pPr>
      <w:r w:rsidRPr="006B5CD3">
        <w:rPr>
          <w:rFonts w:ascii="仿宋" w:eastAsia="仿宋" w:hAnsi="仿宋" w:cs="宋体" w:hint="eastAsia"/>
          <w:sz w:val="24"/>
        </w:rPr>
        <w:t>持证特种设备焊工：</w:t>
      </w:r>
      <w:r w:rsidRPr="006B5CD3">
        <w:rPr>
          <w:rFonts w:ascii="仿宋" w:eastAsia="仿宋" w:hAnsi="仿宋" w:cs="宋体"/>
          <w:sz w:val="24"/>
        </w:rPr>
        <w:t>持证特种设备焊接作业人员；证书涵盖 FeⅡ材质、6G 焊接位置、GTAW（氩弧焊）焊接项目。</w:t>
      </w:r>
      <w:r w:rsidRPr="006B5CD3">
        <w:rPr>
          <w:rStyle w:val="af4"/>
          <w:rFonts w:ascii="仿宋" w:eastAsia="仿宋" w:hAnsi="仿宋" w:cs="宋体"/>
          <w:sz w:val="24"/>
        </w:rPr>
        <w:t>严禁使用应急管理局普通焊工证从事锅炉、压力管道承压焊缝焊接</w:t>
      </w:r>
      <w:r w:rsidRPr="006B5CD3">
        <w:rPr>
          <w:rFonts w:ascii="仿宋" w:eastAsia="仿宋" w:hAnsi="仿宋" w:cs="宋体"/>
          <w:bCs/>
          <w:sz w:val="24"/>
        </w:rPr>
        <w:t>；</w:t>
      </w:r>
    </w:p>
    <w:p w14:paraId="0DE84E5B" w14:textId="77777777" w:rsidR="00297185" w:rsidRPr="006B5CD3" w:rsidRDefault="00297185" w:rsidP="00297185">
      <w:pPr>
        <w:numPr>
          <w:ilvl w:val="0"/>
          <w:numId w:val="5"/>
        </w:numPr>
        <w:spacing w:line="360" w:lineRule="auto"/>
        <w:rPr>
          <w:rFonts w:ascii="仿宋" w:eastAsia="仿宋" w:hAnsi="仿宋" w:cs="宋体" w:hint="eastAsia"/>
          <w:sz w:val="24"/>
        </w:rPr>
      </w:pPr>
      <w:r w:rsidRPr="006B5CD3">
        <w:rPr>
          <w:rFonts w:ascii="仿宋" w:eastAsia="仿宋" w:hAnsi="仿宋" w:cs="宋体" w:hint="eastAsia"/>
          <w:sz w:val="24"/>
        </w:rPr>
        <w:t>电气专业工程师1名：</w:t>
      </w:r>
      <w:r w:rsidRPr="006B5CD3">
        <w:rPr>
          <w:rFonts w:ascii="仿宋" w:eastAsia="仿宋" w:hAnsi="仿宋" w:cs="宋体"/>
          <w:sz w:val="24"/>
        </w:rPr>
        <w:t>负责锅炉控制系统、动力及仪表电气安装调试工作，具备机电相关专业技术能力。</w:t>
      </w:r>
    </w:p>
    <w:p w14:paraId="2412AC3D" w14:textId="77777777" w:rsidR="00297185" w:rsidRPr="006B5CD3" w:rsidRDefault="00297185" w:rsidP="00297185">
      <w:pPr>
        <w:numPr>
          <w:ilvl w:val="0"/>
          <w:numId w:val="5"/>
        </w:numPr>
        <w:spacing w:line="360" w:lineRule="auto"/>
        <w:rPr>
          <w:rFonts w:ascii="仿宋" w:eastAsia="仿宋" w:hAnsi="仿宋" w:cs="宋体" w:hint="eastAsia"/>
          <w:sz w:val="24"/>
        </w:rPr>
      </w:pPr>
      <w:r w:rsidRPr="006B5CD3">
        <w:rPr>
          <w:rFonts w:ascii="仿宋" w:eastAsia="仿宋" w:hAnsi="仿宋" w:cs="宋体"/>
          <w:sz w:val="24"/>
        </w:rPr>
        <w:t>配置无损检测技术负责人、起重指挥（Q1）、起重司机（Q2）、低压电工、高处作业人员，所有特种作业人员持证上岗</w:t>
      </w:r>
    </w:p>
    <w:p w14:paraId="7B6655F5" w14:textId="77777777" w:rsidR="00297185" w:rsidRPr="006B5CD3" w:rsidRDefault="00297185" w:rsidP="00297185">
      <w:pPr>
        <w:spacing w:line="360" w:lineRule="auto"/>
        <w:rPr>
          <w:rFonts w:ascii="仿宋" w:eastAsia="仿宋" w:hAnsi="仿宋" w:cs="宋体" w:hint="eastAsia"/>
          <w:b/>
          <w:bCs/>
          <w:sz w:val="24"/>
        </w:rPr>
      </w:pPr>
      <w:r w:rsidRPr="006B5CD3">
        <w:rPr>
          <w:rFonts w:ascii="仿宋" w:eastAsia="仿宋" w:hAnsi="仿宋" w:cs="宋体" w:hint="eastAsia"/>
          <w:b/>
          <w:bCs/>
          <w:sz w:val="24"/>
        </w:rPr>
        <w:t>技术方案：</w:t>
      </w:r>
    </w:p>
    <w:p w14:paraId="1FFC81E1"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压力管道安装专项方案</w:t>
      </w:r>
    </w:p>
    <w:p w14:paraId="350F618A"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无损检测实施方案</w:t>
      </w:r>
    </w:p>
    <w:p w14:paraId="2A1DCBF1"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 xml:space="preserve">吊装专项方案、高空作业安全方案 </w:t>
      </w:r>
    </w:p>
    <w:p w14:paraId="5425AA1A"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 xml:space="preserve">进度计划、监检配合保障措施 </w:t>
      </w:r>
    </w:p>
    <w:p w14:paraId="43FB8136"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创绿技术服务方案</w:t>
      </w:r>
    </w:p>
    <w:p w14:paraId="2298BF53" w14:textId="77777777" w:rsidR="00297185" w:rsidRPr="006B5CD3" w:rsidRDefault="00297185" w:rsidP="00297185">
      <w:pPr>
        <w:spacing w:line="360" w:lineRule="auto"/>
        <w:rPr>
          <w:rFonts w:ascii="仿宋" w:eastAsia="仿宋" w:hAnsi="仿宋" w:cs="宋体" w:hint="eastAsia"/>
          <w:b/>
          <w:bCs/>
          <w:sz w:val="24"/>
        </w:rPr>
      </w:pPr>
      <w:r w:rsidRPr="006B5CD3">
        <w:rPr>
          <w:rFonts w:ascii="仿宋" w:eastAsia="仿宋" w:hAnsi="仿宋" w:cs="宋体" w:hint="eastAsia"/>
          <w:b/>
          <w:bCs/>
          <w:sz w:val="24"/>
        </w:rPr>
        <w:t>售后服务方案：</w:t>
      </w:r>
    </w:p>
    <w:p w14:paraId="58F08A4C" w14:textId="77777777" w:rsidR="00297185" w:rsidRPr="006B5CD3" w:rsidRDefault="00297185" w:rsidP="00297185">
      <w:pPr>
        <w:numPr>
          <w:ilvl w:val="0"/>
          <w:numId w:val="6"/>
        </w:numPr>
        <w:spacing w:line="360" w:lineRule="auto"/>
        <w:rPr>
          <w:rFonts w:ascii="仿宋" w:eastAsia="仿宋" w:hAnsi="仿宋" w:cs="宋体" w:hint="eastAsia"/>
          <w:sz w:val="24"/>
        </w:rPr>
      </w:pPr>
      <w:r w:rsidRPr="006B5CD3">
        <w:rPr>
          <w:rFonts w:ascii="仿宋" w:eastAsia="仿宋" w:hAnsi="仿宋" w:cs="宋体" w:hint="eastAsia"/>
          <w:sz w:val="24"/>
        </w:rPr>
        <w:t xml:space="preserve">售后服务要求： </w:t>
      </w:r>
    </w:p>
    <w:p w14:paraId="1EF679D3" w14:textId="77777777" w:rsidR="00297185" w:rsidRPr="006B5CD3" w:rsidRDefault="00297185" w:rsidP="00297185">
      <w:pPr>
        <w:spacing w:line="360" w:lineRule="auto"/>
        <w:rPr>
          <w:rFonts w:ascii="仿宋" w:eastAsia="仿宋" w:hAnsi="仿宋" w:cs="宋体" w:hint="eastAsia"/>
          <w:sz w:val="24"/>
        </w:rPr>
      </w:pPr>
      <w:r w:rsidRPr="006B5CD3">
        <w:rPr>
          <w:rFonts w:ascii="仿宋" w:eastAsia="仿宋" w:hAnsi="仿宋" w:cs="宋体" w:hint="eastAsia"/>
          <w:sz w:val="24"/>
        </w:rPr>
        <w:t xml:space="preserve">1）所提供的产品如有质量问题 1 个月内免费更换。 </w:t>
      </w:r>
    </w:p>
    <w:p w14:paraId="70AC62ED" w14:textId="77777777" w:rsidR="00297185" w:rsidRPr="006B5CD3" w:rsidRDefault="00297185" w:rsidP="00297185">
      <w:pPr>
        <w:spacing w:line="360" w:lineRule="auto"/>
        <w:ind w:left="240" w:hangingChars="100" w:hanging="240"/>
        <w:rPr>
          <w:rFonts w:ascii="仿宋" w:eastAsia="仿宋" w:hAnsi="仿宋" w:cs="宋体" w:hint="eastAsia"/>
          <w:sz w:val="24"/>
        </w:rPr>
      </w:pPr>
      <w:r w:rsidRPr="006B5CD3">
        <w:rPr>
          <w:rFonts w:ascii="仿宋" w:eastAsia="仿宋" w:hAnsi="仿宋" w:cs="宋体" w:hint="eastAsia"/>
          <w:sz w:val="24"/>
        </w:rPr>
        <w:t xml:space="preserve">2）供应商应具备完善的售后服务体系，在北京市内有固定的维护人员并设有 24小时专用售后 服务电话，具备 24 小时内随时上门的服务体系和相应保障能力。 </w:t>
      </w:r>
    </w:p>
    <w:p w14:paraId="205BFEAF" w14:textId="77777777" w:rsidR="00297185" w:rsidRPr="006B5CD3" w:rsidRDefault="00297185" w:rsidP="00297185">
      <w:pPr>
        <w:spacing w:line="360" w:lineRule="auto"/>
        <w:ind w:left="240" w:hangingChars="100" w:hanging="240"/>
        <w:rPr>
          <w:rFonts w:ascii="仿宋" w:eastAsia="仿宋" w:hAnsi="仿宋" w:cs="宋体" w:hint="eastAsia"/>
          <w:sz w:val="24"/>
        </w:rPr>
      </w:pPr>
      <w:r w:rsidRPr="006B5CD3">
        <w:rPr>
          <w:rFonts w:ascii="仿宋" w:eastAsia="仿宋" w:hAnsi="仿宋" w:cs="宋体" w:hint="eastAsia"/>
          <w:sz w:val="24"/>
        </w:rPr>
        <w:t xml:space="preserve">3）售后响应速度为 30 分钟以内，2 小时内登门服务，3 小时内完成故障排除；不能在3小时内排除故障的，免费提供临时性设备；不能在 24 小时内维修好的，免费更换同品牌、同规格设 备进行替换。 </w:t>
      </w:r>
    </w:p>
    <w:p w14:paraId="0446384D" w14:textId="77777777" w:rsidR="00297185" w:rsidRPr="006B5CD3" w:rsidRDefault="00297185" w:rsidP="00297185">
      <w:pPr>
        <w:spacing w:line="360" w:lineRule="auto"/>
        <w:ind w:left="240" w:hangingChars="100" w:hanging="240"/>
        <w:rPr>
          <w:rFonts w:ascii="仿宋" w:eastAsia="仿宋" w:hAnsi="仿宋" w:cs="宋体" w:hint="eastAsia"/>
          <w:sz w:val="24"/>
        </w:rPr>
      </w:pPr>
      <w:r w:rsidRPr="006B5CD3">
        <w:rPr>
          <w:rFonts w:ascii="仿宋" w:eastAsia="仿宋" w:hAnsi="仿宋" w:cs="宋体" w:hint="eastAsia"/>
          <w:sz w:val="24"/>
        </w:rPr>
        <w:lastRenderedPageBreak/>
        <w:t xml:space="preserve">4）超出保修期后，对投标产品负责终身维修 </w:t>
      </w:r>
      <w:r>
        <w:rPr>
          <w:rFonts w:ascii="仿宋" w:eastAsia="仿宋" w:hAnsi="仿宋" w:cs="宋体" w:hint="eastAsia"/>
          <w:sz w:val="24"/>
        </w:rPr>
        <w:t>。</w:t>
      </w:r>
    </w:p>
    <w:p w14:paraId="08BA5896" w14:textId="14EA8258" w:rsidR="00C21930" w:rsidRDefault="00297185" w:rsidP="00297185">
      <w:pPr>
        <w:rPr>
          <w:rFonts w:hint="eastAsia"/>
        </w:rPr>
      </w:pPr>
      <w:r w:rsidRPr="006B5CD3">
        <w:rPr>
          <w:rFonts w:ascii="仿宋" w:eastAsia="仿宋" w:hAnsi="仿宋" w:cs="宋体" w:hint="eastAsia"/>
          <w:sz w:val="24"/>
        </w:rPr>
        <w:t>2、实施期限：自设备安装调试完成之日起至5年质量保证期结束止。</w:t>
      </w:r>
    </w:p>
    <w:sectPr w:rsidR="00C219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8498A" w14:textId="77777777" w:rsidR="00F0670C" w:rsidRDefault="00F0670C" w:rsidP="00297185">
      <w:pPr>
        <w:rPr>
          <w:rFonts w:hint="eastAsia"/>
        </w:rPr>
      </w:pPr>
      <w:r>
        <w:separator/>
      </w:r>
    </w:p>
  </w:endnote>
  <w:endnote w:type="continuationSeparator" w:id="0">
    <w:p w14:paraId="161BE4DB" w14:textId="77777777" w:rsidR="00F0670C" w:rsidRDefault="00F0670C" w:rsidP="002971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2A644" w14:textId="77777777" w:rsidR="00F0670C" w:rsidRDefault="00F0670C" w:rsidP="00297185">
      <w:pPr>
        <w:rPr>
          <w:rFonts w:hint="eastAsia"/>
        </w:rPr>
      </w:pPr>
      <w:r>
        <w:separator/>
      </w:r>
    </w:p>
  </w:footnote>
  <w:footnote w:type="continuationSeparator" w:id="0">
    <w:p w14:paraId="7D88C1A4" w14:textId="77777777" w:rsidR="00F0670C" w:rsidRDefault="00F0670C" w:rsidP="0029718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59BB08"/>
    <w:multiLevelType w:val="singleLevel"/>
    <w:tmpl w:val="CF59BB08"/>
    <w:lvl w:ilvl="0">
      <w:start w:val="1"/>
      <w:numFmt w:val="decimal"/>
      <w:suff w:val="nothing"/>
      <w:lvlText w:val="%1、"/>
      <w:lvlJc w:val="left"/>
    </w:lvl>
  </w:abstractNum>
  <w:abstractNum w:abstractNumId="1" w15:restartNumberingAfterBreak="0">
    <w:nsid w:val="019C79EF"/>
    <w:multiLevelType w:val="multilevel"/>
    <w:tmpl w:val="019C79EF"/>
    <w:lvl w:ilvl="0">
      <w:start w:val="1"/>
      <w:numFmt w:val="decimal"/>
      <w:lvlText w:val="（%1）"/>
      <w:lvlJc w:val="left"/>
      <w:pPr>
        <w:ind w:left="420" w:hanging="420"/>
      </w:pPr>
      <w:rPr>
        <w:rFonts w:eastAsia="宋体" w:hint="eastAsia"/>
      </w:rPr>
    </w:lvl>
    <w:lvl w:ilvl="1">
      <w:start w:val="1"/>
      <w:numFmt w:val="decimal"/>
      <w:lvlText w:val="（%2）"/>
      <w:lvlJc w:val="left"/>
      <w:pPr>
        <w:ind w:left="840" w:hanging="420"/>
      </w:pPr>
      <w:rPr>
        <w:rFonts w:eastAsia="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BDC0D75"/>
    <w:multiLevelType w:val="multilevel"/>
    <w:tmpl w:val="1BDC0D75"/>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A6C4F81"/>
    <w:multiLevelType w:val="singleLevel"/>
    <w:tmpl w:val="5A6C4F81"/>
    <w:lvl w:ilvl="0">
      <w:start w:val="1"/>
      <w:numFmt w:val="decimal"/>
      <w:suff w:val="nothing"/>
      <w:lvlText w:val="%1、"/>
      <w:lvlJc w:val="left"/>
    </w:lvl>
  </w:abstractNum>
  <w:abstractNum w:abstractNumId="5" w15:restartNumberingAfterBreak="0">
    <w:nsid w:val="6C24EA0C"/>
    <w:multiLevelType w:val="singleLevel"/>
    <w:tmpl w:val="6C24EA0C"/>
    <w:lvl w:ilvl="0">
      <w:start w:val="1"/>
      <w:numFmt w:val="decimal"/>
      <w:suff w:val="space"/>
      <w:lvlText w:val="%1."/>
      <w:lvlJc w:val="left"/>
    </w:lvl>
  </w:abstractNum>
  <w:num w:numId="1" w16cid:durableId="304237280">
    <w:abstractNumId w:val="2"/>
  </w:num>
  <w:num w:numId="2" w16cid:durableId="263266906">
    <w:abstractNumId w:val="5"/>
  </w:num>
  <w:num w:numId="3" w16cid:durableId="531498547">
    <w:abstractNumId w:val="1"/>
  </w:num>
  <w:num w:numId="4" w16cid:durableId="1097362517">
    <w:abstractNumId w:val="3"/>
  </w:num>
  <w:num w:numId="5" w16cid:durableId="1252734283">
    <w:abstractNumId w:val="4"/>
  </w:num>
  <w:num w:numId="6" w16cid:durableId="1553418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444ED"/>
    <w:rsid w:val="00040B94"/>
    <w:rsid w:val="00041120"/>
    <w:rsid w:val="0008183A"/>
    <w:rsid w:val="000C1200"/>
    <w:rsid w:val="00154B7C"/>
    <w:rsid w:val="00215BF0"/>
    <w:rsid w:val="00297185"/>
    <w:rsid w:val="004E2A34"/>
    <w:rsid w:val="00523EEB"/>
    <w:rsid w:val="0056180E"/>
    <w:rsid w:val="00573F52"/>
    <w:rsid w:val="006A01C5"/>
    <w:rsid w:val="006B27C8"/>
    <w:rsid w:val="00902BCA"/>
    <w:rsid w:val="0090535B"/>
    <w:rsid w:val="009E40B2"/>
    <w:rsid w:val="00A27164"/>
    <w:rsid w:val="00A50BB2"/>
    <w:rsid w:val="00AA6BAC"/>
    <w:rsid w:val="00AE4E8B"/>
    <w:rsid w:val="00B16D9F"/>
    <w:rsid w:val="00BB6AD8"/>
    <w:rsid w:val="00C21930"/>
    <w:rsid w:val="00C703E9"/>
    <w:rsid w:val="00CF7BC2"/>
    <w:rsid w:val="00E37CD0"/>
    <w:rsid w:val="00E444ED"/>
    <w:rsid w:val="00F0670C"/>
    <w:rsid w:val="00F24989"/>
    <w:rsid w:val="00F35326"/>
    <w:rsid w:val="00F55652"/>
    <w:rsid w:val="00F73E7C"/>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682CF8-F2B3-4AA6-A456-92EEA66C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97185"/>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E444E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444E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444E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444E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444E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444E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444E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444E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444ED"/>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E444ED"/>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E444ED"/>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E444ED"/>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E444ED"/>
    <w:rPr>
      <w:rFonts w:cstheme="majorBidi"/>
      <w:color w:val="0F4761" w:themeColor="accent1" w:themeShade="BF"/>
      <w:sz w:val="28"/>
      <w:szCs w:val="28"/>
    </w:rPr>
  </w:style>
  <w:style w:type="character" w:customStyle="1" w:styleId="50">
    <w:name w:val="标题 5 字符"/>
    <w:basedOn w:val="a1"/>
    <w:link w:val="5"/>
    <w:uiPriority w:val="9"/>
    <w:semiHidden/>
    <w:rsid w:val="00E444ED"/>
    <w:rPr>
      <w:rFonts w:cstheme="majorBidi"/>
      <w:color w:val="0F4761" w:themeColor="accent1" w:themeShade="BF"/>
      <w:sz w:val="24"/>
      <w:szCs w:val="24"/>
    </w:rPr>
  </w:style>
  <w:style w:type="character" w:customStyle="1" w:styleId="60">
    <w:name w:val="标题 6 字符"/>
    <w:basedOn w:val="a1"/>
    <w:link w:val="6"/>
    <w:uiPriority w:val="9"/>
    <w:semiHidden/>
    <w:rsid w:val="00E444ED"/>
    <w:rPr>
      <w:rFonts w:cstheme="majorBidi"/>
      <w:b/>
      <w:bCs/>
      <w:color w:val="0F4761" w:themeColor="accent1" w:themeShade="BF"/>
    </w:rPr>
  </w:style>
  <w:style w:type="character" w:customStyle="1" w:styleId="70">
    <w:name w:val="标题 7 字符"/>
    <w:basedOn w:val="a1"/>
    <w:link w:val="7"/>
    <w:uiPriority w:val="9"/>
    <w:semiHidden/>
    <w:rsid w:val="00E444ED"/>
    <w:rPr>
      <w:rFonts w:cstheme="majorBidi"/>
      <w:b/>
      <w:bCs/>
      <w:color w:val="595959" w:themeColor="text1" w:themeTint="A6"/>
    </w:rPr>
  </w:style>
  <w:style w:type="character" w:customStyle="1" w:styleId="80">
    <w:name w:val="标题 8 字符"/>
    <w:basedOn w:val="a1"/>
    <w:link w:val="8"/>
    <w:uiPriority w:val="9"/>
    <w:semiHidden/>
    <w:rsid w:val="00E444ED"/>
    <w:rPr>
      <w:rFonts w:cstheme="majorBidi"/>
      <w:color w:val="595959" w:themeColor="text1" w:themeTint="A6"/>
    </w:rPr>
  </w:style>
  <w:style w:type="character" w:customStyle="1" w:styleId="90">
    <w:name w:val="标题 9 字符"/>
    <w:basedOn w:val="a1"/>
    <w:link w:val="9"/>
    <w:uiPriority w:val="9"/>
    <w:semiHidden/>
    <w:rsid w:val="00E444ED"/>
    <w:rPr>
      <w:rFonts w:eastAsiaTheme="majorEastAsia" w:cstheme="majorBidi"/>
      <w:color w:val="595959" w:themeColor="text1" w:themeTint="A6"/>
    </w:rPr>
  </w:style>
  <w:style w:type="paragraph" w:styleId="a4">
    <w:name w:val="Title"/>
    <w:basedOn w:val="a"/>
    <w:next w:val="a"/>
    <w:link w:val="a5"/>
    <w:uiPriority w:val="10"/>
    <w:qFormat/>
    <w:rsid w:val="00E444E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E444E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444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E444E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E444ED"/>
    <w:pPr>
      <w:spacing w:before="160" w:after="160"/>
      <w:jc w:val="center"/>
    </w:pPr>
    <w:rPr>
      <w:i/>
      <w:iCs/>
      <w:color w:val="404040" w:themeColor="text1" w:themeTint="BF"/>
    </w:rPr>
  </w:style>
  <w:style w:type="character" w:customStyle="1" w:styleId="a9">
    <w:name w:val="引用 字符"/>
    <w:basedOn w:val="a1"/>
    <w:link w:val="a8"/>
    <w:uiPriority w:val="29"/>
    <w:rsid w:val="00E444ED"/>
    <w:rPr>
      <w:i/>
      <w:iCs/>
      <w:color w:val="404040" w:themeColor="text1" w:themeTint="BF"/>
    </w:rPr>
  </w:style>
  <w:style w:type="paragraph" w:styleId="aa">
    <w:name w:val="List Paragraph"/>
    <w:basedOn w:val="a"/>
    <w:uiPriority w:val="99"/>
    <w:qFormat/>
    <w:rsid w:val="00E444ED"/>
    <w:pPr>
      <w:ind w:left="720"/>
      <w:contextualSpacing/>
    </w:pPr>
  </w:style>
  <w:style w:type="character" w:styleId="ab">
    <w:name w:val="Intense Emphasis"/>
    <w:basedOn w:val="a1"/>
    <w:uiPriority w:val="21"/>
    <w:qFormat/>
    <w:rsid w:val="00E444ED"/>
    <w:rPr>
      <w:i/>
      <w:iCs/>
      <w:color w:val="0F4761" w:themeColor="accent1" w:themeShade="BF"/>
    </w:rPr>
  </w:style>
  <w:style w:type="paragraph" w:styleId="ac">
    <w:name w:val="Intense Quote"/>
    <w:basedOn w:val="a"/>
    <w:next w:val="a"/>
    <w:link w:val="ad"/>
    <w:uiPriority w:val="30"/>
    <w:qFormat/>
    <w:rsid w:val="00E4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E444ED"/>
    <w:rPr>
      <w:i/>
      <w:iCs/>
      <w:color w:val="0F4761" w:themeColor="accent1" w:themeShade="BF"/>
    </w:rPr>
  </w:style>
  <w:style w:type="character" w:styleId="ae">
    <w:name w:val="Intense Reference"/>
    <w:basedOn w:val="a1"/>
    <w:uiPriority w:val="32"/>
    <w:qFormat/>
    <w:rsid w:val="00E444ED"/>
    <w:rPr>
      <w:b/>
      <w:bCs/>
      <w:smallCaps/>
      <w:color w:val="0F4761" w:themeColor="accent1" w:themeShade="BF"/>
      <w:spacing w:val="5"/>
    </w:rPr>
  </w:style>
  <w:style w:type="paragraph" w:styleId="af">
    <w:name w:val="header"/>
    <w:basedOn w:val="a"/>
    <w:link w:val="af0"/>
    <w:uiPriority w:val="99"/>
    <w:unhideWhenUsed/>
    <w:rsid w:val="00297185"/>
    <w:pPr>
      <w:tabs>
        <w:tab w:val="center" w:pos="4153"/>
        <w:tab w:val="right" w:pos="8306"/>
      </w:tabs>
      <w:snapToGrid w:val="0"/>
      <w:jc w:val="center"/>
    </w:pPr>
    <w:rPr>
      <w:sz w:val="18"/>
      <w:szCs w:val="18"/>
    </w:rPr>
  </w:style>
  <w:style w:type="character" w:customStyle="1" w:styleId="af0">
    <w:name w:val="页眉 字符"/>
    <w:basedOn w:val="a1"/>
    <w:link w:val="af"/>
    <w:uiPriority w:val="99"/>
    <w:rsid w:val="00297185"/>
    <w:rPr>
      <w:sz w:val="18"/>
      <w:szCs w:val="18"/>
    </w:rPr>
  </w:style>
  <w:style w:type="paragraph" w:styleId="af1">
    <w:name w:val="footer"/>
    <w:basedOn w:val="a"/>
    <w:link w:val="af2"/>
    <w:uiPriority w:val="99"/>
    <w:unhideWhenUsed/>
    <w:rsid w:val="00297185"/>
    <w:pPr>
      <w:tabs>
        <w:tab w:val="center" w:pos="4153"/>
        <w:tab w:val="right" w:pos="8306"/>
      </w:tabs>
      <w:snapToGrid w:val="0"/>
      <w:jc w:val="left"/>
    </w:pPr>
    <w:rPr>
      <w:sz w:val="18"/>
      <w:szCs w:val="18"/>
    </w:rPr>
  </w:style>
  <w:style w:type="character" w:customStyle="1" w:styleId="af2">
    <w:name w:val="页脚 字符"/>
    <w:basedOn w:val="a1"/>
    <w:link w:val="af1"/>
    <w:uiPriority w:val="99"/>
    <w:rsid w:val="00297185"/>
    <w:rPr>
      <w:sz w:val="18"/>
      <w:szCs w:val="18"/>
    </w:rPr>
  </w:style>
  <w:style w:type="paragraph" w:styleId="a0">
    <w:name w:val="Body Text"/>
    <w:basedOn w:val="a"/>
    <w:link w:val="af3"/>
    <w:qFormat/>
    <w:rsid w:val="00297185"/>
    <w:pPr>
      <w:tabs>
        <w:tab w:val="left" w:pos="567"/>
      </w:tabs>
      <w:spacing w:before="120" w:line="22" w:lineRule="atLeast"/>
    </w:pPr>
    <w:rPr>
      <w:rFonts w:ascii="宋体" w:hAnsi="宋体"/>
      <w:sz w:val="24"/>
    </w:rPr>
  </w:style>
  <w:style w:type="character" w:customStyle="1" w:styleId="af3">
    <w:name w:val="正文文本 字符"/>
    <w:basedOn w:val="a1"/>
    <w:link w:val="a0"/>
    <w:qFormat/>
    <w:rsid w:val="00297185"/>
    <w:rPr>
      <w:rFonts w:ascii="宋体" w:eastAsia="宋体" w:hAnsi="宋体" w:cs="Times New Roman"/>
      <w:sz w:val="24"/>
      <w:szCs w:val="24"/>
    </w:rPr>
  </w:style>
  <w:style w:type="character" w:styleId="af4">
    <w:name w:val="Strong"/>
    <w:basedOn w:val="a1"/>
    <w:qFormat/>
    <w:rsid w:val="00297185"/>
    <w:rPr>
      <w:b/>
      <w:bCs/>
    </w:rPr>
  </w:style>
  <w:style w:type="character" w:customStyle="1" w:styleId="af5">
    <w:name w:val="列表段落 字符"/>
    <w:link w:val="11"/>
    <w:uiPriority w:val="34"/>
    <w:qFormat/>
    <w:rsid w:val="00297185"/>
    <w:rPr>
      <w:rFonts w:ascii="Calibri" w:eastAsia="宋体" w:hAnsi="Calibri"/>
    </w:rPr>
  </w:style>
  <w:style w:type="paragraph" w:customStyle="1" w:styleId="11">
    <w:name w:val="列表段落1"/>
    <w:basedOn w:val="a"/>
    <w:link w:val="af5"/>
    <w:uiPriority w:val="34"/>
    <w:qFormat/>
    <w:rsid w:val="00297185"/>
    <w:pPr>
      <w:ind w:firstLineChars="200" w:firstLine="420"/>
    </w:pPr>
    <w:rPr>
      <w:rFonts w:ascii="Calibri" w:hAnsi="Calibri" w:cstheme="minorBidi"/>
      <w:szCs w:val="22"/>
    </w:rPr>
  </w:style>
  <w:style w:type="paragraph" w:customStyle="1" w:styleId="af6">
    <w:name w:val="段"/>
    <w:qFormat/>
    <w:rsid w:val="00297185"/>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4304</Words>
  <Characters>4606</Characters>
  <Application>Microsoft Office Word</Application>
  <DocSecurity>0</DocSecurity>
  <Lines>307</Lines>
  <Paragraphs>287</Paragraphs>
  <ScaleCrop>false</ScaleCrop>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建伟 梅</dc:creator>
  <cp:keywords/>
  <dc:description/>
  <cp:lastModifiedBy>建伟 梅</cp:lastModifiedBy>
  <cp:revision>2</cp:revision>
  <dcterms:created xsi:type="dcterms:W3CDTF">2026-08-23T15:18:00Z</dcterms:created>
  <dcterms:modified xsi:type="dcterms:W3CDTF">2026-08-23T15:19:00Z</dcterms:modified>
</cp:coreProperties>
</file>