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9563A">
      <w:pPr>
        <w:widowControl/>
        <w:kinsoku w:val="0"/>
        <w:autoSpaceDE w:val="0"/>
        <w:autoSpaceDN w:val="0"/>
        <w:adjustRightInd w:val="0"/>
        <w:snapToGrid w:val="0"/>
        <w:spacing w:before="260" w:after="120" w:line="360" w:lineRule="auto"/>
        <w:jc w:val="center"/>
        <w:textAlignment w:val="baseline"/>
        <w:outlineLvl w:val="0"/>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2026年园区景观布置（临时灯光及有机覆盖物）项目</w:t>
      </w:r>
    </w:p>
    <w:p w14:paraId="6C079DFE">
      <w:pPr>
        <w:widowControl/>
        <w:kinsoku w:val="0"/>
        <w:autoSpaceDE w:val="0"/>
        <w:autoSpaceDN w:val="0"/>
        <w:adjustRightInd w:val="0"/>
        <w:snapToGrid w:val="0"/>
        <w:spacing w:before="260" w:after="120" w:line="360" w:lineRule="auto"/>
        <w:jc w:val="center"/>
        <w:textAlignment w:val="baseline"/>
        <w:outlineLvl w:val="0"/>
        <w:rPr>
          <w:rFonts w:hint="default" w:ascii="仿宋" w:hAnsi="仿宋" w:eastAsia="仿宋" w:cs="仿宋"/>
          <w:b/>
          <w:bCs/>
          <w:color w:val="auto"/>
          <w:sz w:val="32"/>
          <w:szCs w:val="32"/>
          <w:highlight w:val="none"/>
          <w:lang w:val="en-US" w:eastAsia="zh-CN"/>
        </w:rPr>
      </w:pPr>
      <w:bookmarkStart w:id="39" w:name="_GoBack"/>
      <w:bookmarkEnd w:id="39"/>
      <w:r>
        <w:rPr>
          <w:rFonts w:hint="eastAsia" w:ascii="仿宋" w:hAnsi="仿宋" w:eastAsia="仿宋" w:cs="仿宋"/>
          <w:b/>
          <w:bCs/>
          <w:color w:val="auto"/>
          <w:sz w:val="32"/>
          <w:szCs w:val="32"/>
          <w:highlight w:val="none"/>
          <w:lang w:val="en-US" w:eastAsia="zh-CN"/>
        </w:rPr>
        <w:t>竞争性磋商公告</w:t>
      </w:r>
    </w:p>
    <w:p w14:paraId="109558DD">
      <w:pPr>
        <w:widowControl/>
        <w:kinsoku w:val="0"/>
        <w:autoSpaceDE w:val="0"/>
        <w:autoSpaceDN w:val="0"/>
        <w:adjustRightInd w:val="0"/>
        <w:snapToGrid w:val="0"/>
        <w:spacing w:before="120" w:after="120" w:line="360" w:lineRule="auto"/>
        <w:textAlignment w:val="baseline"/>
        <w:outlineLvl w:val="1"/>
        <w:rPr>
          <w:rFonts w:hint="eastAsia" w:ascii="仿宋" w:hAnsi="仿宋" w:eastAsia="仿宋" w:cs="仿宋"/>
          <w:b/>
          <w:bCs/>
          <w:color w:val="auto"/>
          <w:sz w:val="28"/>
          <w:szCs w:val="28"/>
          <w:highlight w:val="none"/>
        </w:rPr>
      </w:pPr>
      <w:bookmarkStart w:id="0" w:name="_Toc6923"/>
      <w:r>
        <w:rPr>
          <w:rFonts w:hint="eastAsia" w:ascii="仿宋" w:hAnsi="仿宋" w:eastAsia="仿宋" w:cs="仿宋"/>
          <w:b/>
          <w:bCs/>
          <w:color w:val="auto"/>
          <w:sz w:val="28"/>
          <w:szCs w:val="28"/>
          <w:highlight w:val="none"/>
        </w:rPr>
        <w:t>一、项目基本情况</w:t>
      </w:r>
      <w:bookmarkEnd w:id="0"/>
    </w:p>
    <w:p w14:paraId="1B097B64">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1.项目编号：</w:t>
      </w:r>
      <w:r>
        <w:rPr>
          <w:rFonts w:hint="eastAsia" w:ascii="仿宋" w:hAnsi="仿宋" w:eastAsia="仿宋" w:cs="仿宋"/>
          <w:color w:val="auto"/>
          <w:sz w:val="24"/>
          <w:highlight w:val="none"/>
          <w:u w:val="single"/>
          <w:lang w:eastAsia="zh-CN"/>
        </w:rPr>
        <w:t>11010526210200030589-XM001</w:t>
      </w:r>
    </w:p>
    <w:p w14:paraId="6F76732D">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2.项目名称：</w:t>
      </w:r>
      <w:r>
        <w:rPr>
          <w:rFonts w:hint="eastAsia" w:ascii="仿宋" w:hAnsi="仿宋" w:eastAsia="仿宋" w:cs="仿宋"/>
          <w:color w:val="auto"/>
          <w:sz w:val="24"/>
          <w:highlight w:val="none"/>
          <w:u w:val="single"/>
          <w:lang w:eastAsia="zh-CN"/>
        </w:rPr>
        <w:t>2026年园区景观布置（临时灯光及有机覆盖物）项目</w:t>
      </w:r>
    </w:p>
    <w:p w14:paraId="2377456D">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3.采购方式：</w:t>
      </w:r>
      <w:r>
        <w:rPr>
          <w:rFonts w:hint="eastAsia" w:ascii="仿宋" w:hAnsi="仿宋" w:eastAsia="仿宋" w:cs="仿宋"/>
          <w:color w:val="auto"/>
          <w:sz w:val="24"/>
          <w:highlight w:val="none"/>
          <w:u w:val="single"/>
        </w:rPr>
        <w:t>竞争性磋商</w:t>
      </w:r>
    </w:p>
    <w:p w14:paraId="35C5A919">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4.项目预算金额：</w:t>
      </w:r>
      <w:r>
        <w:rPr>
          <w:rFonts w:hint="eastAsia" w:ascii="仿宋" w:hAnsi="仿宋" w:eastAsia="仿宋" w:cs="仿宋"/>
          <w:color w:val="auto"/>
          <w:sz w:val="24"/>
          <w:highlight w:val="none"/>
          <w:u w:val="single"/>
        </w:rPr>
        <w:t>1,750,000.00</w:t>
      </w:r>
      <w:r>
        <w:rPr>
          <w:rFonts w:hint="eastAsia" w:ascii="仿宋" w:hAnsi="仿宋" w:eastAsia="仿宋" w:cs="仿宋"/>
          <w:color w:val="auto"/>
          <w:sz w:val="24"/>
          <w:highlight w:val="none"/>
        </w:rPr>
        <w:t>元、项目最高限价：</w:t>
      </w:r>
      <w:r>
        <w:rPr>
          <w:rFonts w:hint="eastAsia" w:ascii="仿宋" w:hAnsi="仿宋" w:eastAsia="仿宋" w:cs="仿宋"/>
          <w:color w:val="auto"/>
          <w:sz w:val="24"/>
          <w:highlight w:val="none"/>
          <w:u w:val="single"/>
        </w:rPr>
        <w:t>1</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u w:val="single"/>
        </w:rPr>
        <w:t>749</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u w:val="single"/>
        </w:rPr>
        <w:t>558.23</w:t>
      </w:r>
      <w:r>
        <w:rPr>
          <w:rFonts w:hint="eastAsia" w:ascii="仿宋" w:hAnsi="仿宋" w:eastAsia="仿宋" w:cs="仿宋"/>
          <w:color w:val="auto"/>
          <w:sz w:val="24"/>
          <w:highlight w:val="none"/>
          <w:lang w:val="en-US" w:eastAsia="zh-CN"/>
        </w:rPr>
        <w:t>元</w:t>
      </w:r>
    </w:p>
    <w:p w14:paraId="66A42BE7">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5.采购需求：</w:t>
      </w:r>
    </w:p>
    <w:tbl>
      <w:tblPr>
        <w:tblStyle w:val="5"/>
        <w:tblW w:w="91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1559"/>
        <w:gridCol w:w="1756"/>
        <w:gridCol w:w="1757"/>
        <w:gridCol w:w="700"/>
        <w:gridCol w:w="2931"/>
      </w:tblGrid>
      <w:tr w14:paraId="4AA9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438" w:type="dxa"/>
            <w:shd w:val="clear" w:color="auto" w:fill="auto"/>
            <w:vAlign w:val="center"/>
          </w:tcPr>
          <w:p w14:paraId="1BF93A71">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包号</w:t>
            </w:r>
          </w:p>
        </w:tc>
        <w:tc>
          <w:tcPr>
            <w:tcW w:w="1559" w:type="dxa"/>
            <w:shd w:val="clear" w:color="auto" w:fill="auto"/>
            <w:vAlign w:val="center"/>
          </w:tcPr>
          <w:p w14:paraId="0BC7F2F4">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标的名称</w:t>
            </w:r>
          </w:p>
        </w:tc>
        <w:tc>
          <w:tcPr>
            <w:tcW w:w="1756" w:type="dxa"/>
            <w:shd w:val="clear" w:color="auto" w:fill="auto"/>
            <w:vAlign w:val="center"/>
          </w:tcPr>
          <w:p w14:paraId="4D253078">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包预算金额（元）</w:t>
            </w:r>
          </w:p>
        </w:tc>
        <w:tc>
          <w:tcPr>
            <w:tcW w:w="1757" w:type="dxa"/>
            <w:shd w:val="clear" w:color="auto" w:fill="auto"/>
            <w:vAlign w:val="center"/>
          </w:tcPr>
          <w:p w14:paraId="3885C963">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包</w:t>
            </w:r>
            <w:r>
              <w:rPr>
                <w:rFonts w:hint="eastAsia" w:ascii="仿宋" w:hAnsi="仿宋" w:eastAsia="仿宋" w:cs="仿宋"/>
                <w:color w:val="auto"/>
                <w:kern w:val="0"/>
                <w:sz w:val="24"/>
                <w:szCs w:val="24"/>
                <w:highlight w:val="none"/>
                <w:lang w:val="en-US" w:eastAsia="zh-CN"/>
              </w:rPr>
              <w:t>最高限价</w:t>
            </w:r>
            <w:r>
              <w:rPr>
                <w:rFonts w:hint="eastAsia" w:ascii="仿宋" w:hAnsi="仿宋" w:eastAsia="仿宋" w:cs="仿宋"/>
                <w:color w:val="auto"/>
                <w:kern w:val="0"/>
                <w:sz w:val="24"/>
                <w:szCs w:val="24"/>
                <w:highlight w:val="none"/>
              </w:rPr>
              <w:t>（元）</w:t>
            </w:r>
          </w:p>
        </w:tc>
        <w:tc>
          <w:tcPr>
            <w:tcW w:w="700" w:type="dxa"/>
            <w:shd w:val="clear" w:color="auto" w:fill="auto"/>
            <w:vAlign w:val="center"/>
          </w:tcPr>
          <w:p w14:paraId="0618BF1B">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数量</w:t>
            </w:r>
          </w:p>
        </w:tc>
        <w:tc>
          <w:tcPr>
            <w:tcW w:w="2931" w:type="dxa"/>
            <w:shd w:val="clear" w:color="auto" w:fill="auto"/>
            <w:vAlign w:val="center"/>
          </w:tcPr>
          <w:p w14:paraId="73951A62">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简要技术需求或服务要求</w:t>
            </w:r>
          </w:p>
        </w:tc>
      </w:tr>
      <w:tr w14:paraId="17B1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438" w:type="dxa"/>
            <w:shd w:val="clear" w:color="auto" w:fill="auto"/>
            <w:vAlign w:val="center"/>
          </w:tcPr>
          <w:p w14:paraId="048E0DA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szCs w:val="24"/>
                <w:highlight w:val="none"/>
                <w:lang w:val="en-US" w:eastAsia="zh-CN"/>
              </w:rPr>
            </w:pPr>
            <w:bookmarkStart w:id="1" w:name="OLE_LINK1" w:colFirst="3" w:colLast="3"/>
            <w:r>
              <w:rPr>
                <w:rFonts w:hint="eastAsia" w:ascii="仿宋" w:hAnsi="仿宋" w:eastAsia="仿宋" w:cs="仿宋"/>
                <w:color w:val="auto"/>
                <w:sz w:val="24"/>
                <w:szCs w:val="24"/>
                <w:highlight w:val="none"/>
                <w:lang w:val="en-US" w:eastAsia="zh-CN"/>
              </w:rPr>
              <w:t>1</w:t>
            </w:r>
          </w:p>
        </w:tc>
        <w:tc>
          <w:tcPr>
            <w:tcW w:w="1559" w:type="dxa"/>
            <w:shd w:val="clear" w:color="auto" w:fill="auto"/>
            <w:vAlign w:val="center"/>
          </w:tcPr>
          <w:p w14:paraId="0B03F99C">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auto"/>
                <w:sz w:val="24"/>
                <w:highlight w:val="none"/>
                <w:u w:val="none"/>
                <w:lang w:eastAsia="zh-CN"/>
              </w:rPr>
            </w:pPr>
            <w:r>
              <w:rPr>
                <w:rFonts w:hint="eastAsia" w:ascii="仿宋" w:hAnsi="仿宋" w:eastAsia="仿宋" w:cs="仿宋"/>
                <w:color w:val="auto"/>
                <w:sz w:val="24"/>
                <w:highlight w:val="none"/>
                <w:u w:val="none"/>
              </w:rPr>
              <w:t>2027年元旦、春节景观布置</w:t>
            </w:r>
            <w:r>
              <w:rPr>
                <w:rFonts w:hint="eastAsia" w:ascii="仿宋" w:hAnsi="仿宋" w:eastAsia="仿宋" w:cs="仿宋"/>
                <w:color w:val="auto"/>
                <w:sz w:val="24"/>
                <w:highlight w:val="none"/>
                <w:u w:val="none"/>
                <w:lang w:eastAsia="zh-CN"/>
              </w:rPr>
              <w:t>、冬季有机覆盖物布置</w:t>
            </w:r>
          </w:p>
        </w:tc>
        <w:tc>
          <w:tcPr>
            <w:tcW w:w="1756" w:type="dxa"/>
            <w:shd w:val="clear" w:color="auto" w:fill="auto"/>
            <w:vAlign w:val="center"/>
          </w:tcPr>
          <w:p w14:paraId="29E18A6A">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rPr>
              <w:t>1,</w:t>
            </w:r>
            <w:r>
              <w:rPr>
                <w:rFonts w:hint="eastAsia" w:ascii="仿宋" w:hAnsi="仿宋" w:eastAsia="仿宋" w:cs="仿宋"/>
                <w:color w:val="auto"/>
                <w:sz w:val="24"/>
                <w:highlight w:val="none"/>
                <w:u w:val="none"/>
                <w:lang w:val="en-US" w:eastAsia="zh-CN"/>
              </w:rPr>
              <w:t>75</w:t>
            </w:r>
            <w:r>
              <w:rPr>
                <w:rFonts w:hint="eastAsia" w:ascii="仿宋" w:hAnsi="仿宋" w:eastAsia="仿宋" w:cs="仿宋"/>
                <w:color w:val="auto"/>
                <w:sz w:val="24"/>
                <w:highlight w:val="none"/>
                <w:u w:val="none"/>
              </w:rPr>
              <w:t>0,000.00</w:t>
            </w:r>
          </w:p>
        </w:tc>
        <w:tc>
          <w:tcPr>
            <w:tcW w:w="1757" w:type="dxa"/>
            <w:shd w:val="clear" w:color="auto" w:fill="auto"/>
            <w:vAlign w:val="center"/>
          </w:tcPr>
          <w:p w14:paraId="13A1C237">
            <w:pPr>
              <w:keepNext w:val="0"/>
              <w:keepLines w:val="0"/>
              <w:widowControl/>
              <w:suppressLineNumbers w:val="0"/>
              <w:spacing w:before="0" w:beforeAutospacing="0" w:after="0" w:afterAutospacing="0" w:line="360" w:lineRule="auto"/>
              <w:ind w:left="0" w:leftChars="0" w:right="0" w:rightChars="0"/>
              <w:jc w:val="center"/>
              <w:rPr>
                <w:rFonts w:hint="eastAsia"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rPr>
              <w:t>1</w:t>
            </w:r>
            <w:r>
              <w:rPr>
                <w:rFonts w:hint="eastAsia" w:ascii="仿宋" w:hAnsi="仿宋" w:eastAsia="仿宋" w:cs="仿宋"/>
                <w:color w:val="auto"/>
                <w:sz w:val="24"/>
                <w:highlight w:val="none"/>
                <w:u w:val="none"/>
                <w:lang w:val="en-US" w:eastAsia="zh-CN"/>
              </w:rPr>
              <w:t>,</w:t>
            </w:r>
            <w:r>
              <w:rPr>
                <w:rFonts w:hint="eastAsia" w:ascii="仿宋" w:hAnsi="仿宋" w:eastAsia="仿宋" w:cs="仿宋"/>
                <w:color w:val="auto"/>
                <w:sz w:val="24"/>
                <w:highlight w:val="none"/>
                <w:u w:val="none"/>
              </w:rPr>
              <w:t>749</w:t>
            </w:r>
            <w:r>
              <w:rPr>
                <w:rFonts w:hint="eastAsia" w:ascii="仿宋" w:hAnsi="仿宋" w:eastAsia="仿宋" w:cs="仿宋"/>
                <w:color w:val="auto"/>
                <w:sz w:val="24"/>
                <w:highlight w:val="none"/>
                <w:u w:val="none"/>
                <w:lang w:val="en-US" w:eastAsia="zh-CN"/>
              </w:rPr>
              <w:t>,</w:t>
            </w:r>
            <w:r>
              <w:rPr>
                <w:rFonts w:hint="eastAsia" w:ascii="仿宋" w:hAnsi="仿宋" w:eastAsia="仿宋" w:cs="仿宋"/>
                <w:color w:val="auto"/>
                <w:sz w:val="24"/>
                <w:highlight w:val="none"/>
                <w:u w:val="none"/>
              </w:rPr>
              <w:t>558.23</w:t>
            </w:r>
          </w:p>
        </w:tc>
        <w:tc>
          <w:tcPr>
            <w:tcW w:w="700" w:type="dxa"/>
            <w:shd w:val="clear" w:color="auto" w:fill="auto"/>
            <w:vAlign w:val="center"/>
          </w:tcPr>
          <w:p w14:paraId="6F2DD70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1项</w:t>
            </w:r>
          </w:p>
        </w:tc>
        <w:tc>
          <w:tcPr>
            <w:tcW w:w="2931" w:type="dxa"/>
            <w:shd w:val="clear" w:color="auto" w:fill="auto"/>
            <w:vAlign w:val="center"/>
          </w:tcPr>
          <w:p w14:paraId="4BF275FB">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auto"/>
                <w:kern w:val="0"/>
                <w:sz w:val="24"/>
                <w:szCs w:val="24"/>
                <w:highlight w:val="none"/>
                <w:u w:val="none"/>
                <w:lang w:val="en-US" w:eastAsia="zh-CN"/>
              </w:rPr>
            </w:pPr>
            <w:r>
              <w:rPr>
                <w:rFonts w:hint="eastAsia" w:ascii="仿宋" w:hAnsi="仿宋" w:eastAsia="仿宋" w:cs="仿宋"/>
                <w:color w:val="auto"/>
                <w:sz w:val="24"/>
                <w:highlight w:val="none"/>
                <w:u w:val="none"/>
              </w:rPr>
              <w:t>2027年元旦、春节景观布置</w:t>
            </w:r>
            <w:r>
              <w:rPr>
                <w:rFonts w:hint="eastAsia" w:ascii="仿宋" w:hAnsi="仿宋" w:eastAsia="仿宋" w:cs="仿宋"/>
                <w:color w:val="auto"/>
                <w:sz w:val="24"/>
                <w:highlight w:val="none"/>
                <w:u w:val="none"/>
                <w:lang w:eastAsia="zh-CN"/>
              </w:rPr>
              <w:t>、冬季有机覆盖物布置</w:t>
            </w:r>
            <w:r>
              <w:rPr>
                <w:rFonts w:hint="eastAsia" w:ascii="仿宋" w:hAnsi="仿宋" w:eastAsia="仿宋" w:cs="仿宋"/>
                <w:color w:val="auto"/>
                <w:kern w:val="0"/>
                <w:sz w:val="24"/>
                <w:szCs w:val="24"/>
                <w:highlight w:val="none"/>
                <w:u w:val="none"/>
                <w:lang w:val="en-US" w:eastAsia="zh-CN"/>
              </w:rPr>
              <w:t>等，详见第四章采购需求</w:t>
            </w:r>
          </w:p>
        </w:tc>
      </w:tr>
      <w:bookmarkEnd w:id="1"/>
    </w:tbl>
    <w:p w14:paraId="17903D57">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ab/>
      </w:r>
    </w:p>
    <w:p w14:paraId="66903AF5">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rPr>
        <w:t>6.合同履行期限：2027年元旦、春节景观布置</w:t>
      </w:r>
      <w:r>
        <w:rPr>
          <w:rFonts w:hint="eastAsia" w:ascii="仿宋" w:hAnsi="仿宋" w:eastAsia="仿宋" w:cs="仿宋"/>
          <w:color w:val="auto"/>
          <w:sz w:val="24"/>
          <w:highlight w:val="none"/>
          <w:lang w:val="en-US" w:eastAsia="zh-CN"/>
        </w:rPr>
        <w:t>部分：</w:t>
      </w:r>
      <w:r>
        <w:rPr>
          <w:rFonts w:hint="eastAsia" w:ascii="仿宋" w:hAnsi="仿宋" w:eastAsia="仿宋" w:cs="仿宋"/>
          <w:color w:val="auto"/>
          <w:sz w:val="24"/>
          <w:highlight w:val="none"/>
          <w:u w:val="single"/>
        </w:rPr>
        <w:t>合同签订生效后，2026年9月22日前完成，具体时间以发包人要求为准</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u w:val="single"/>
        </w:rPr>
        <w:t>冬季有机覆盖物布置</w:t>
      </w:r>
      <w:r>
        <w:rPr>
          <w:rFonts w:hint="eastAsia" w:ascii="仿宋" w:hAnsi="仿宋" w:eastAsia="仿宋" w:cs="仿宋"/>
          <w:color w:val="auto"/>
          <w:sz w:val="24"/>
          <w:highlight w:val="none"/>
          <w:u w:val="single"/>
          <w:lang w:val="en-US" w:eastAsia="zh-CN"/>
        </w:rPr>
        <w:t>部分：</w:t>
      </w:r>
      <w:r>
        <w:rPr>
          <w:rFonts w:hint="eastAsia" w:ascii="仿宋" w:hAnsi="仿宋" w:eastAsia="仿宋" w:cs="仿宋"/>
          <w:color w:val="auto"/>
          <w:sz w:val="24"/>
          <w:highlight w:val="none"/>
          <w:u w:val="single"/>
        </w:rPr>
        <w:t>合同签订生效后，2026年11月10日前完成，具体时间以采购人要求为准</w:t>
      </w:r>
      <w:r>
        <w:rPr>
          <w:rFonts w:hint="eastAsia" w:ascii="仿宋" w:hAnsi="仿宋" w:eastAsia="仿宋" w:cs="仿宋"/>
          <w:color w:val="auto"/>
          <w:sz w:val="24"/>
          <w:highlight w:val="none"/>
          <w:u w:val="single"/>
          <w:lang w:eastAsia="zh-CN"/>
        </w:rPr>
        <w:t>。</w:t>
      </w:r>
    </w:p>
    <w:p w14:paraId="2061BA57">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7.本项目是否接受联合体： □是  ■否。</w:t>
      </w:r>
    </w:p>
    <w:p w14:paraId="6D964B2C">
      <w:pPr>
        <w:widowControl/>
        <w:kinsoku w:val="0"/>
        <w:autoSpaceDE w:val="0"/>
        <w:autoSpaceDN w:val="0"/>
        <w:adjustRightInd w:val="0"/>
        <w:snapToGrid w:val="0"/>
        <w:spacing w:before="120" w:after="120" w:line="360" w:lineRule="auto"/>
        <w:textAlignment w:val="baseline"/>
        <w:outlineLvl w:val="1"/>
        <w:rPr>
          <w:rFonts w:hint="eastAsia" w:ascii="仿宋" w:hAnsi="仿宋" w:eastAsia="仿宋" w:cs="仿宋"/>
          <w:b/>
          <w:bCs/>
          <w:color w:val="auto"/>
          <w:sz w:val="28"/>
          <w:szCs w:val="28"/>
          <w:highlight w:val="none"/>
        </w:rPr>
      </w:pPr>
      <w:bookmarkStart w:id="2" w:name="_Toc7318"/>
      <w:r>
        <w:rPr>
          <w:rFonts w:hint="eastAsia" w:ascii="仿宋" w:hAnsi="仿宋" w:eastAsia="仿宋" w:cs="仿宋"/>
          <w:b/>
          <w:bCs/>
          <w:color w:val="auto"/>
          <w:sz w:val="28"/>
          <w:szCs w:val="28"/>
          <w:highlight w:val="none"/>
        </w:rPr>
        <w:t>二、申请人的资格要求（须同时满足）</w:t>
      </w:r>
      <w:bookmarkEnd w:id="2"/>
    </w:p>
    <w:p w14:paraId="2E4A423C">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1.满足《中华人民共和国政府采购法》第二十二条规定；</w:t>
      </w:r>
    </w:p>
    <w:p w14:paraId="10994A47">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2.落实政府采购政策需满足的资格要求：</w:t>
      </w:r>
    </w:p>
    <w:p w14:paraId="5ACBBAB5">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2.1 中小企业政策</w:t>
      </w:r>
    </w:p>
    <w:p w14:paraId="46E53432">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本项目专门面向</w:t>
      </w:r>
      <w:r>
        <w:rPr>
          <w:rFonts w:hint="eastAsia" w:ascii="仿宋" w:hAnsi="仿宋" w:eastAsia="仿宋" w:cs="仿宋"/>
          <w:color w:val="auto"/>
          <w:sz w:val="24"/>
          <w:highlight w:val="none"/>
          <w:u w:val="single"/>
          <w:lang w:val="en-US" w:eastAsia="zh-CN"/>
        </w:rPr>
        <w:t>小微</w:t>
      </w:r>
      <w:r>
        <w:rPr>
          <w:rFonts w:hint="eastAsia" w:ascii="仿宋" w:hAnsi="仿宋" w:eastAsia="仿宋" w:cs="仿宋"/>
          <w:color w:val="auto"/>
          <w:sz w:val="24"/>
          <w:highlight w:val="none"/>
          <w:u w:val="single"/>
        </w:rPr>
        <w:t>企业</w:t>
      </w:r>
      <w:r>
        <w:rPr>
          <w:rFonts w:hint="eastAsia" w:ascii="仿宋" w:hAnsi="仿宋" w:eastAsia="仿宋" w:cs="仿宋"/>
          <w:color w:val="auto"/>
          <w:sz w:val="24"/>
          <w:highlight w:val="none"/>
        </w:rPr>
        <w:t>采购。</w:t>
      </w:r>
    </w:p>
    <w:p w14:paraId="177EC015">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2.2 其它落实政府采购政策的资格要求：</w:t>
      </w:r>
      <w:r>
        <w:rPr>
          <w:rFonts w:hint="eastAsia" w:ascii="仿宋" w:hAnsi="仿宋" w:eastAsia="仿宋" w:cs="仿宋"/>
          <w:color w:val="auto"/>
          <w:sz w:val="24"/>
          <w:highlight w:val="none"/>
          <w:u w:val="single"/>
        </w:rPr>
        <w:t xml:space="preserve"> / </w:t>
      </w:r>
      <w:r>
        <w:rPr>
          <w:rFonts w:hint="eastAsia" w:ascii="仿宋" w:hAnsi="仿宋" w:eastAsia="仿宋" w:cs="仿宋"/>
          <w:color w:val="auto"/>
          <w:sz w:val="24"/>
          <w:highlight w:val="none"/>
        </w:rPr>
        <w:t>。</w:t>
      </w:r>
    </w:p>
    <w:p w14:paraId="131CEF7C">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3.本项目的特定资格要求：</w:t>
      </w:r>
    </w:p>
    <w:p w14:paraId="2F94471E">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本项目是否属于政府购买服务：</w:t>
      </w:r>
    </w:p>
    <w:p w14:paraId="3C74C361">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■否</w:t>
      </w:r>
    </w:p>
    <w:p w14:paraId="5EA19FE2">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□是， 公益一类事业单位、使用事业编制且由财政拨款保障的群团组织，不得作为承接主体；</w:t>
      </w:r>
    </w:p>
    <w:p w14:paraId="35A809C2">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3.2 其他特定资格要求：</w:t>
      </w:r>
    </w:p>
    <w:p w14:paraId="269C630B">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3.2.1供应商须具</w:t>
      </w:r>
      <w:r>
        <w:rPr>
          <w:rFonts w:hint="eastAsia" w:ascii="仿宋" w:hAnsi="仿宋" w:eastAsia="仿宋" w:cs="仿宋"/>
          <w:color w:val="auto"/>
          <w:sz w:val="24"/>
          <w:highlight w:val="none"/>
          <w:lang w:val="en-US" w:eastAsia="zh-CN"/>
        </w:rPr>
        <w:t>有</w:t>
      </w:r>
      <w:r>
        <w:rPr>
          <w:rFonts w:hint="eastAsia" w:ascii="仿宋" w:hAnsi="仿宋" w:eastAsia="仿宋" w:cs="仿宋"/>
          <w:color w:val="auto"/>
          <w:sz w:val="24"/>
          <w:highlight w:val="none"/>
        </w:rPr>
        <w:t>有效期内的市政公用工程施工总承包三级（含）以上资质或城市及道路照明工程专业承包三级（含）以上资质；</w:t>
      </w:r>
    </w:p>
    <w:p w14:paraId="756CCD14">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3</w:t>
      </w:r>
      <w:r>
        <w:rPr>
          <w:rFonts w:hint="eastAsia" w:ascii="仿宋" w:hAnsi="仿宋" w:eastAsia="仿宋" w:cs="仿宋"/>
          <w:color w:val="auto"/>
          <w:sz w:val="24"/>
          <w:highlight w:val="none"/>
          <w:lang w:val="en-US" w:eastAsia="zh-CN"/>
        </w:rPr>
        <w:t>.2.2</w:t>
      </w:r>
      <w:r>
        <w:rPr>
          <w:rFonts w:hint="eastAsia" w:ascii="仿宋" w:hAnsi="仿宋" w:eastAsia="仿宋" w:cs="仿宋"/>
          <w:color w:val="auto"/>
          <w:sz w:val="24"/>
          <w:highlight w:val="none"/>
        </w:rPr>
        <w:t>供应商应具有有效的安全生产许可证；</w:t>
      </w:r>
    </w:p>
    <w:p w14:paraId="5838A423">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3.2.3</w:t>
      </w:r>
      <w:r>
        <w:rPr>
          <w:rFonts w:hint="eastAsia" w:ascii="仿宋" w:hAnsi="仿宋" w:eastAsia="仿宋" w:cs="仿宋"/>
          <w:color w:val="auto"/>
          <w:sz w:val="24"/>
          <w:highlight w:val="none"/>
        </w:rPr>
        <w:t>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处罚决定规定的时间和地域范围内），信用查询截止时间为磋商当日；</w:t>
      </w:r>
    </w:p>
    <w:p w14:paraId="58F32C5D">
      <w:pPr>
        <w:widowControl/>
        <w:kinsoku w:val="0"/>
        <w:autoSpaceDE w:val="0"/>
        <w:autoSpaceDN w:val="0"/>
        <w:adjustRightInd w:val="0"/>
        <w:snapToGrid w:val="0"/>
        <w:spacing w:line="360" w:lineRule="auto"/>
        <w:ind w:left="315" w:leftChars="150" w:firstLine="480" w:firstLineChars="20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3.2.</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供应商应领取本项目磋商文件。</w:t>
      </w:r>
    </w:p>
    <w:p w14:paraId="063E5BC2">
      <w:pPr>
        <w:widowControl/>
        <w:kinsoku w:val="0"/>
        <w:autoSpaceDE w:val="0"/>
        <w:autoSpaceDN w:val="0"/>
        <w:adjustRightInd w:val="0"/>
        <w:snapToGrid w:val="0"/>
        <w:spacing w:before="120" w:after="120" w:line="360" w:lineRule="auto"/>
        <w:textAlignment w:val="baseline"/>
        <w:outlineLvl w:val="1"/>
        <w:rPr>
          <w:rFonts w:hint="eastAsia" w:ascii="仿宋" w:hAnsi="仿宋" w:eastAsia="仿宋" w:cs="仿宋"/>
          <w:b/>
          <w:bCs/>
          <w:color w:val="auto"/>
          <w:sz w:val="28"/>
          <w:szCs w:val="28"/>
          <w:highlight w:val="none"/>
        </w:rPr>
      </w:pPr>
      <w:bookmarkStart w:id="3" w:name="_Toc29867"/>
      <w:r>
        <w:rPr>
          <w:rFonts w:hint="eastAsia" w:ascii="仿宋" w:hAnsi="仿宋" w:eastAsia="仿宋" w:cs="仿宋"/>
          <w:b/>
          <w:bCs/>
          <w:color w:val="auto"/>
          <w:sz w:val="28"/>
          <w:szCs w:val="28"/>
          <w:highlight w:val="none"/>
        </w:rPr>
        <w:t>三、获取采购文件</w:t>
      </w:r>
      <w:bookmarkEnd w:id="3"/>
    </w:p>
    <w:p w14:paraId="01B0FEBE">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1.时间：</w:t>
      </w:r>
      <w:r>
        <w:rPr>
          <w:rFonts w:hint="eastAsia" w:ascii="仿宋" w:hAnsi="仿宋" w:eastAsia="仿宋" w:cs="仿宋"/>
          <w:color w:val="auto"/>
          <w:sz w:val="24"/>
          <w:highlight w:val="none"/>
          <w:lang w:val="en-US" w:eastAsia="zh-CN"/>
        </w:rPr>
        <w:t>2026年8月26日至2026年9月1日,每天上午9：00至12：00，下午12：00至16：00（北京时间，法定节假日除外）。</w:t>
      </w:r>
    </w:p>
    <w:p w14:paraId="3CAD2842">
      <w:pPr>
        <w:widowControl/>
        <w:kinsoku w:val="0"/>
        <w:autoSpaceDE w:val="0"/>
        <w:autoSpaceDN w:val="0"/>
        <w:adjustRightInd w:val="0"/>
        <w:snapToGrid w:val="0"/>
        <w:spacing w:line="360" w:lineRule="auto"/>
        <w:ind w:left="315" w:leftChars="15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2.地点：北京市政府采购电子交易平台。</w:t>
      </w:r>
    </w:p>
    <w:p w14:paraId="5A82C283">
      <w:pPr>
        <w:widowControl/>
        <w:kinsoku w:val="0"/>
        <w:autoSpaceDE w:val="0"/>
        <w:autoSpaceDN w:val="0"/>
        <w:adjustRightInd w:val="0"/>
        <w:snapToGrid w:val="0"/>
        <w:spacing w:line="360" w:lineRule="auto"/>
        <w:ind w:left="315" w:leftChars="150" w:firstLine="0" w:firstLineChars="0"/>
        <w:textAlignment w:val="baseline"/>
        <w:rPr>
          <w:rFonts w:hint="eastAsia" w:ascii="仿宋" w:hAnsi="仿宋" w:eastAsia="仿宋" w:cs="仿宋"/>
          <w:color w:val="auto"/>
          <w:sz w:val="24"/>
          <w:highlight w:val="none"/>
        </w:rPr>
      </w:pPr>
      <w:r>
        <w:rPr>
          <w:rFonts w:hint="eastAsia" w:ascii="仿宋" w:hAnsi="仿宋" w:eastAsia="仿宋" w:cs="仿宋"/>
          <w:color w:val="auto"/>
          <w:sz w:val="24"/>
          <w:highlight w:val="none"/>
        </w:rPr>
        <w:t>3.方式： 供应商使用CA 数字证书或电子营业执照登录北京市政府采购电子交易平 台（ http://zbcg-bjzc.zhongcy.com/bjczj-portal-site/index.html#/home ）获取  电子版竞争性磋商文件。</w:t>
      </w:r>
    </w:p>
    <w:p w14:paraId="7F2D038A">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4.售价 ：0 元。</w:t>
      </w:r>
    </w:p>
    <w:p w14:paraId="187D18B7">
      <w:pPr>
        <w:widowControl/>
        <w:kinsoku w:val="0"/>
        <w:autoSpaceDE w:val="0"/>
        <w:autoSpaceDN w:val="0"/>
        <w:adjustRightInd w:val="0"/>
        <w:snapToGrid w:val="0"/>
        <w:spacing w:before="120" w:after="120" w:line="360" w:lineRule="auto"/>
        <w:textAlignment w:val="baseline"/>
        <w:outlineLvl w:val="1"/>
        <w:rPr>
          <w:rFonts w:hint="eastAsia" w:ascii="仿宋" w:hAnsi="仿宋" w:eastAsia="仿宋" w:cs="仿宋"/>
          <w:b/>
          <w:bCs/>
          <w:color w:val="auto"/>
          <w:sz w:val="28"/>
          <w:szCs w:val="28"/>
          <w:highlight w:val="none"/>
        </w:rPr>
      </w:pPr>
      <w:bookmarkStart w:id="4" w:name="_Toc11837"/>
      <w:r>
        <w:rPr>
          <w:rFonts w:hint="eastAsia" w:ascii="仿宋" w:hAnsi="仿宋" w:eastAsia="仿宋" w:cs="仿宋"/>
          <w:b/>
          <w:bCs/>
          <w:color w:val="auto"/>
          <w:sz w:val="28"/>
          <w:szCs w:val="28"/>
          <w:highlight w:val="none"/>
        </w:rPr>
        <w:t>四、响应文件提交（现场递交）</w:t>
      </w:r>
      <w:bookmarkEnd w:id="4"/>
    </w:p>
    <w:p w14:paraId="23BD5E72">
      <w:pPr>
        <w:spacing w:line="360" w:lineRule="auto"/>
        <w:ind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截止时间：</w:t>
      </w:r>
      <w:r>
        <w:rPr>
          <w:rFonts w:hint="eastAsia" w:ascii="仿宋" w:hAnsi="仿宋" w:eastAsia="仿宋" w:cs="仿宋"/>
          <w:color w:val="auto"/>
          <w:sz w:val="24"/>
          <w:highlight w:val="none"/>
          <w:lang w:eastAsia="zh-CN"/>
        </w:rPr>
        <w:t>2026年</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val="en-US" w:eastAsia="zh-CN"/>
        </w:rPr>
        <w:t>14</w:t>
      </w:r>
      <w:r>
        <w:rPr>
          <w:rFonts w:hint="eastAsia" w:ascii="仿宋" w:hAnsi="仿宋" w:eastAsia="仿宋" w:cs="仿宋"/>
          <w:color w:val="auto"/>
          <w:sz w:val="24"/>
          <w:highlight w:val="none"/>
        </w:rPr>
        <w:t>点00分（北京时间）</w:t>
      </w:r>
    </w:p>
    <w:p w14:paraId="5E568C62">
      <w:pPr>
        <w:spacing w:line="360" w:lineRule="auto"/>
        <w:ind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地点：北京市政府采购电子交易平台。</w:t>
      </w:r>
    </w:p>
    <w:p w14:paraId="3E9534AD">
      <w:pPr>
        <w:widowControl/>
        <w:kinsoku w:val="0"/>
        <w:autoSpaceDE w:val="0"/>
        <w:autoSpaceDN w:val="0"/>
        <w:adjustRightInd w:val="0"/>
        <w:snapToGrid w:val="0"/>
        <w:spacing w:before="120" w:after="120" w:line="360" w:lineRule="auto"/>
        <w:textAlignment w:val="baseline"/>
        <w:outlineLvl w:val="1"/>
        <w:rPr>
          <w:rFonts w:hint="eastAsia" w:ascii="仿宋" w:hAnsi="仿宋" w:eastAsia="仿宋" w:cs="仿宋"/>
          <w:b/>
          <w:bCs/>
          <w:color w:val="auto"/>
          <w:sz w:val="28"/>
          <w:szCs w:val="28"/>
          <w:highlight w:val="none"/>
        </w:rPr>
      </w:pPr>
      <w:bookmarkStart w:id="5" w:name="_Toc29766"/>
      <w:r>
        <w:rPr>
          <w:rFonts w:hint="eastAsia" w:ascii="仿宋" w:hAnsi="仿宋" w:eastAsia="仿宋" w:cs="仿宋"/>
          <w:b/>
          <w:bCs/>
          <w:color w:val="auto"/>
          <w:sz w:val="28"/>
          <w:szCs w:val="28"/>
          <w:highlight w:val="none"/>
        </w:rPr>
        <w:t>五、开启</w:t>
      </w:r>
      <w:bookmarkEnd w:id="5"/>
    </w:p>
    <w:p w14:paraId="5D07132A">
      <w:pPr>
        <w:spacing w:line="360" w:lineRule="auto"/>
        <w:ind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lang w:eastAsia="zh-CN"/>
        </w:rPr>
        <w:t>2026年</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lang w:eastAsia="zh-CN"/>
        </w:rPr>
        <w:t>月</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val="en-US" w:eastAsia="zh-CN"/>
        </w:rPr>
        <w:t>14</w:t>
      </w:r>
      <w:r>
        <w:rPr>
          <w:rFonts w:hint="eastAsia" w:ascii="仿宋" w:hAnsi="仿宋" w:eastAsia="仿宋" w:cs="仿宋"/>
          <w:color w:val="auto"/>
          <w:sz w:val="24"/>
          <w:highlight w:val="none"/>
        </w:rPr>
        <w:t>点00分（北京时间）</w:t>
      </w:r>
    </w:p>
    <w:p w14:paraId="20FEB51F">
      <w:pPr>
        <w:spacing w:line="360" w:lineRule="auto"/>
        <w:ind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地点：北京市政府采购电子交易平台。</w:t>
      </w:r>
    </w:p>
    <w:p w14:paraId="65941CA6">
      <w:pPr>
        <w:widowControl/>
        <w:kinsoku w:val="0"/>
        <w:autoSpaceDE w:val="0"/>
        <w:autoSpaceDN w:val="0"/>
        <w:adjustRightInd w:val="0"/>
        <w:snapToGrid w:val="0"/>
        <w:spacing w:before="120" w:after="120" w:line="360" w:lineRule="auto"/>
        <w:textAlignment w:val="baseline"/>
        <w:outlineLvl w:val="1"/>
        <w:rPr>
          <w:rFonts w:hint="eastAsia" w:ascii="仿宋" w:hAnsi="仿宋" w:eastAsia="仿宋" w:cs="仿宋"/>
          <w:b/>
          <w:bCs/>
          <w:color w:val="auto"/>
          <w:sz w:val="28"/>
          <w:szCs w:val="28"/>
          <w:highlight w:val="none"/>
        </w:rPr>
      </w:pPr>
      <w:bookmarkStart w:id="6" w:name="_Toc24926"/>
      <w:r>
        <w:rPr>
          <w:rFonts w:hint="eastAsia" w:ascii="仿宋" w:hAnsi="仿宋" w:eastAsia="仿宋" w:cs="仿宋"/>
          <w:b/>
          <w:bCs/>
          <w:color w:val="auto"/>
          <w:sz w:val="28"/>
          <w:szCs w:val="28"/>
          <w:highlight w:val="none"/>
        </w:rPr>
        <w:t>六、公告期限</w:t>
      </w:r>
      <w:bookmarkEnd w:id="6"/>
    </w:p>
    <w:p w14:paraId="6BA287F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 3 个工作日。</w:t>
      </w:r>
    </w:p>
    <w:p w14:paraId="421FF21E">
      <w:pPr>
        <w:widowControl/>
        <w:kinsoku w:val="0"/>
        <w:autoSpaceDE w:val="0"/>
        <w:autoSpaceDN w:val="0"/>
        <w:adjustRightInd w:val="0"/>
        <w:snapToGrid w:val="0"/>
        <w:spacing w:before="120" w:after="120" w:line="360" w:lineRule="auto"/>
        <w:textAlignment w:val="baseline"/>
        <w:outlineLvl w:val="1"/>
        <w:rPr>
          <w:rFonts w:hint="eastAsia" w:ascii="仿宋" w:hAnsi="仿宋" w:eastAsia="仿宋" w:cs="仿宋"/>
          <w:b/>
          <w:bCs/>
          <w:color w:val="auto"/>
          <w:sz w:val="28"/>
          <w:szCs w:val="28"/>
          <w:highlight w:val="none"/>
        </w:rPr>
      </w:pPr>
      <w:bookmarkStart w:id="7" w:name="_Toc22062"/>
      <w:r>
        <w:rPr>
          <w:rFonts w:hint="eastAsia" w:ascii="仿宋" w:hAnsi="仿宋" w:eastAsia="仿宋" w:cs="仿宋"/>
          <w:b/>
          <w:bCs/>
          <w:color w:val="auto"/>
          <w:sz w:val="28"/>
          <w:szCs w:val="28"/>
          <w:highlight w:val="none"/>
        </w:rPr>
        <w:t>七、其他补充事宜</w:t>
      </w:r>
      <w:bookmarkEnd w:id="7"/>
    </w:p>
    <w:p w14:paraId="3E58254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本项目需要落实的政府采购政策：</w:t>
      </w:r>
    </w:p>
    <w:p w14:paraId="753B9BF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1.1</w:t>
      </w:r>
      <w:r>
        <w:rPr>
          <w:rFonts w:hint="eastAsia" w:ascii="仿宋" w:hAnsi="仿宋" w:eastAsia="仿宋" w:cs="仿宋"/>
          <w:color w:val="auto"/>
          <w:sz w:val="24"/>
          <w:highlight w:val="none"/>
        </w:rPr>
        <w:t>鼓励节能政策：在技术、服务等指标同等条件下，优先采购属于国家公布的节能品目清单中产品。</w:t>
      </w:r>
    </w:p>
    <w:p w14:paraId="60DC9D9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rPr>
        <w:t>鼓励环保政策：在性能、技术、服务等指标同等条件下，优先采购国家公布的环保产品品目清单中的产品。</w:t>
      </w:r>
    </w:p>
    <w:p w14:paraId="2FC03BD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1.3</w:t>
      </w:r>
      <w:r>
        <w:rPr>
          <w:rFonts w:hint="eastAsia" w:ascii="仿宋" w:hAnsi="仿宋" w:eastAsia="仿宋" w:cs="仿宋"/>
          <w:color w:val="auto"/>
          <w:sz w:val="24"/>
          <w:highlight w:val="none"/>
        </w:rPr>
        <w:t>扶持中小企业政策：本项目专门面向小微企业采购。</w:t>
      </w:r>
    </w:p>
    <w:p w14:paraId="5E9BA8E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1.4</w:t>
      </w:r>
      <w:r>
        <w:rPr>
          <w:rFonts w:hint="eastAsia" w:ascii="仿宋" w:hAnsi="仿宋" w:eastAsia="仿宋" w:cs="仿宋"/>
          <w:color w:val="auto"/>
          <w:sz w:val="24"/>
          <w:highlight w:val="none"/>
        </w:rPr>
        <w:t>投标产品不得为进口产品。</w:t>
      </w:r>
    </w:p>
    <w:p w14:paraId="77877039">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lang w:eastAsia="zh-CN"/>
        </w:rPr>
        <w:t>2</w:t>
      </w:r>
      <w:r>
        <w:rPr>
          <w:rFonts w:hint="eastAsia" w:ascii="仿宋" w:hAnsi="仿宋" w:eastAsia="仿宋" w:cs="仿宋"/>
          <w:color w:val="auto"/>
          <w:highlight w:val="none"/>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6087C088">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CA数字证书服务热线 010-58511086</w:t>
      </w:r>
    </w:p>
    <w:p w14:paraId="01E75254">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电子营业执照服务热线 400-699-7000</w:t>
      </w:r>
    </w:p>
    <w:p w14:paraId="0D18CA0F">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 xml:space="preserve">技术支持服务热线    010-86483801    </w:t>
      </w:r>
    </w:p>
    <w:p w14:paraId="234D1370">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.1办理CA数字证书或电子营业执照</w:t>
      </w:r>
    </w:p>
    <w:p w14:paraId="413486DD">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供应商登录北京市政府采购电子交易平台查阅 “用户指南”—“操作指南”—“市场主体CA办理操作流程指引” /“电子营业执照使用指南”，按照程序要求办理。</w:t>
      </w:r>
    </w:p>
    <w:p w14:paraId="1FB889F4">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.2注册</w:t>
      </w:r>
    </w:p>
    <w:p w14:paraId="1EEC3273">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供应商登录北京市政府采购电子交易平台“用户指南”—“操作指南”—“市场主体注册入库操作流程指引”进行自助注册绑定。</w:t>
      </w:r>
    </w:p>
    <w:p w14:paraId="2FFB1078">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.3驱动、客户端下载</w:t>
      </w:r>
    </w:p>
    <w:p w14:paraId="63F0ADBE">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供应商登录北京市政府采购电子交易平台“用户指南”—“工具下载”—“招标采购系统文件驱动安装包”下载相关驱动。</w:t>
      </w:r>
    </w:p>
    <w:p w14:paraId="28C88936">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供应商登录北京市政府采购电子交易平台“用户指南”—“工具下载”—“投标文件编制工具”下载相关客户端。</w:t>
      </w:r>
    </w:p>
    <w:p w14:paraId="007D75C8">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.4 获取电子竞争性磋商文件</w:t>
      </w:r>
    </w:p>
    <w:p w14:paraId="7B2437DA">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供应商使用CA数字证书或电子营业执照登录北京市政府采购电子交易平台获取电子竞争性磋商文件。</w:t>
      </w:r>
    </w:p>
    <w:p w14:paraId="10C5C980">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7522E39A">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.5编制电子响应文件</w:t>
      </w:r>
    </w:p>
    <w:p w14:paraId="2B268C43">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75A70964">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.6提交电子响应文件</w:t>
      </w:r>
    </w:p>
    <w:p w14:paraId="29CB1C8E">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rPr>
        <w:t>供应商应于响应文件提交截止时间前在北京市政府采购电子交易平台提交电子响应文件，上传电子响应文件过程中请保持与互联网的连接畅通。</w:t>
      </w:r>
    </w:p>
    <w:p w14:paraId="0D73BCD6">
      <w:pPr>
        <w:pStyle w:val="3"/>
        <w:spacing w:line="360" w:lineRule="auto"/>
        <w:ind w:firstLine="48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.7 开启响应文件</w:t>
      </w:r>
    </w:p>
    <w:p w14:paraId="0A176529">
      <w:pPr>
        <w:pStyle w:val="3"/>
        <w:spacing w:line="360" w:lineRule="auto"/>
        <w:ind w:firstLine="480"/>
        <w:rPr>
          <w:rFonts w:hint="eastAsia" w:ascii="仿宋" w:hAnsi="仿宋" w:eastAsia="仿宋" w:cs="仿宋"/>
          <w:color w:val="auto"/>
          <w:sz w:val="24"/>
          <w:highlight w:val="none"/>
          <w:lang w:val="en-US" w:eastAsia="zh-CN"/>
        </w:rPr>
      </w:pPr>
      <w:r>
        <w:rPr>
          <w:rFonts w:hint="eastAsia" w:ascii="仿宋" w:hAnsi="仿宋" w:eastAsia="仿宋" w:cs="仿宋"/>
          <w:color w:val="auto"/>
          <w:highlight w:val="none"/>
        </w:rPr>
        <w:t>供应商于磋商文件规定的开启时间、在开启地点使用CA数字证书或电子营业执照登录北京市政府采购电子交易平台解密并开启响应文件。如因供应商问题，解密不成功，则响应无效。</w:t>
      </w:r>
    </w:p>
    <w:p w14:paraId="649CFEAA">
      <w:pPr>
        <w:ind w:firstLine="480"/>
        <w:rPr>
          <w:rFonts w:hint="eastAsia" w:ascii="仿宋" w:hAnsi="仿宋" w:eastAsia="仿宋" w:cs="仿宋"/>
          <w:highlight w:val="none"/>
          <w:lang w:val="en-US" w:eastAsia="zh-CN"/>
        </w:rPr>
      </w:pPr>
    </w:p>
    <w:p w14:paraId="76FE8093">
      <w:pPr>
        <w:widowControl/>
        <w:kinsoku w:val="0"/>
        <w:autoSpaceDE w:val="0"/>
        <w:autoSpaceDN w:val="0"/>
        <w:adjustRightInd w:val="0"/>
        <w:snapToGrid w:val="0"/>
        <w:spacing w:before="120" w:after="120" w:line="360" w:lineRule="auto"/>
        <w:textAlignment w:val="baseline"/>
        <w:outlineLvl w:val="1"/>
        <w:rPr>
          <w:rFonts w:hint="eastAsia" w:ascii="仿宋" w:hAnsi="仿宋" w:eastAsia="仿宋" w:cs="仿宋"/>
          <w:b/>
          <w:bCs/>
          <w:color w:val="auto"/>
          <w:sz w:val="28"/>
          <w:szCs w:val="28"/>
          <w:highlight w:val="none"/>
        </w:rPr>
      </w:pPr>
      <w:bookmarkStart w:id="8" w:name="_Toc5733"/>
      <w:r>
        <w:rPr>
          <w:rFonts w:hint="eastAsia" w:ascii="仿宋" w:hAnsi="仿宋" w:eastAsia="仿宋" w:cs="仿宋"/>
          <w:b/>
          <w:bCs/>
          <w:color w:val="auto"/>
          <w:sz w:val="28"/>
          <w:szCs w:val="28"/>
          <w:highlight w:val="none"/>
        </w:rPr>
        <w:t>八、对本次采购</w:t>
      </w:r>
      <w:r>
        <w:rPr>
          <w:rFonts w:hint="eastAsia" w:ascii="仿宋" w:hAnsi="仿宋" w:eastAsia="仿宋" w:cs="仿宋"/>
          <w:b/>
          <w:bCs/>
          <w:color w:val="auto"/>
          <w:sz w:val="28"/>
          <w:szCs w:val="28"/>
          <w:highlight w:val="none"/>
          <w:lang w:val="en-US" w:eastAsia="zh-CN"/>
        </w:rPr>
        <w:t>提</w:t>
      </w:r>
      <w:r>
        <w:rPr>
          <w:rFonts w:hint="eastAsia" w:ascii="仿宋" w:hAnsi="仿宋" w:eastAsia="仿宋" w:cs="仿宋"/>
          <w:b/>
          <w:bCs/>
          <w:color w:val="auto"/>
          <w:sz w:val="28"/>
          <w:szCs w:val="28"/>
          <w:highlight w:val="none"/>
        </w:rPr>
        <w:t>出询问，请按以下方式联系</w:t>
      </w:r>
      <w:bookmarkEnd w:id="8"/>
    </w:p>
    <w:p w14:paraId="03B6D8CC">
      <w:pPr>
        <w:spacing w:line="360" w:lineRule="auto"/>
        <w:ind w:firstLine="600" w:firstLineChars="250"/>
        <w:rPr>
          <w:rFonts w:hint="eastAsia" w:ascii="仿宋" w:hAnsi="仿宋" w:eastAsia="仿宋" w:cs="仿宋"/>
          <w:color w:val="auto"/>
          <w:sz w:val="24"/>
          <w:highlight w:val="none"/>
        </w:rPr>
      </w:pPr>
      <w:bookmarkStart w:id="9" w:name="_Toc12165"/>
      <w:bookmarkStart w:id="10" w:name="_Toc32627"/>
      <w:bookmarkStart w:id="11" w:name="_Toc9239"/>
      <w:bookmarkStart w:id="12" w:name="_Toc35393637"/>
      <w:bookmarkStart w:id="13" w:name="_Toc27957"/>
      <w:bookmarkStart w:id="14" w:name="_Toc28359096"/>
      <w:bookmarkStart w:id="15" w:name="_Toc11190"/>
      <w:bookmarkStart w:id="16" w:name="_Toc35393806"/>
      <w:bookmarkStart w:id="17" w:name="_Toc28359019"/>
      <w:bookmarkStart w:id="18" w:name="_Toc28616"/>
      <w:r>
        <w:rPr>
          <w:rFonts w:hint="eastAsia" w:ascii="仿宋" w:hAnsi="仿宋" w:eastAsia="仿宋" w:cs="仿宋"/>
          <w:color w:val="auto"/>
          <w:sz w:val="24"/>
          <w:highlight w:val="none"/>
        </w:rPr>
        <w:t>1.采购人信息</w:t>
      </w:r>
      <w:bookmarkEnd w:id="9"/>
      <w:bookmarkEnd w:id="10"/>
      <w:bookmarkEnd w:id="11"/>
      <w:bookmarkEnd w:id="12"/>
      <w:bookmarkEnd w:id="13"/>
      <w:bookmarkEnd w:id="14"/>
      <w:bookmarkEnd w:id="15"/>
      <w:bookmarkEnd w:id="16"/>
      <w:bookmarkEnd w:id="17"/>
      <w:bookmarkEnd w:id="18"/>
    </w:p>
    <w:p w14:paraId="1CB9CD91">
      <w:pPr>
        <w:spacing w:line="360" w:lineRule="auto"/>
        <w:ind w:firstLine="600" w:firstLineChars="25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u w:val="single"/>
          <w:lang w:eastAsia="zh-CN"/>
        </w:rPr>
        <w:t>北京奥林匹克中心区管理委员会</w:t>
      </w:r>
    </w:p>
    <w:p w14:paraId="620B5CC6">
      <w:pPr>
        <w:spacing w:line="360" w:lineRule="auto"/>
        <w:ind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北京市朝阳区北辰东路15号</w:t>
      </w:r>
    </w:p>
    <w:p w14:paraId="2B846A17">
      <w:pPr>
        <w:spacing w:line="360" w:lineRule="auto"/>
        <w:ind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010-84972796</w:t>
      </w:r>
    </w:p>
    <w:p w14:paraId="06AAC657">
      <w:pPr>
        <w:spacing w:line="360" w:lineRule="auto"/>
        <w:ind w:firstLine="600" w:firstLineChars="250"/>
        <w:rPr>
          <w:rFonts w:hint="eastAsia" w:ascii="仿宋" w:hAnsi="仿宋" w:eastAsia="仿宋" w:cs="仿宋"/>
          <w:color w:val="auto"/>
          <w:sz w:val="24"/>
          <w:highlight w:val="none"/>
        </w:rPr>
      </w:pPr>
      <w:bookmarkStart w:id="19" w:name="_Toc29640"/>
      <w:bookmarkStart w:id="20" w:name="_Toc13455"/>
      <w:bookmarkStart w:id="21" w:name="_Toc18305"/>
      <w:bookmarkStart w:id="22" w:name="_Toc35393807"/>
      <w:bookmarkStart w:id="23" w:name="_Toc31318"/>
      <w:bookmarkStart w:id="24" w:name="_Toc12658"/>
      <w:bookmarkStart w:id="25" w:name="_Toc28359020"/>
      <w:bookmarkStart w:id="26" w:name="_Toc35393638"/>
      <w:bookmarkStart w:id="27" w:name="_Toc28359097"/>
      <w:bookmarkStart w:id="28" w:name="_Toc20933"/>
      <w:r>
        <w:rPr>
          <w:rFonts w:hint="eastAsia" w:ascii="仿宋" w:hAnsi="仿宋" w:eastAsia="仿宋" w:cs="仿宋"/>
          <w:color w:val="auto"/>
          <w:sz w:val="24"/>
          <w:highlight w:val="none"/>
        </w:rPr>
        <w:t>2.采购代理机构信息</w:t>
      </w:r>
      <w:bookmarkEnd w:id="19"/>
      <w:bookmarkEnd w:id="20"/>
      <w:bookmarkEnd w:id="21"/>
      <w:bookmarkEnd w:id="22"/>
      <w:bookmarkEnd w:id="23"/>
      <w:bookmarkEnd w:id="24"/>
      <w:bookmarkEnd w:id="25"/>
      <w:bookmarkEnd w:id="26"/>
      <w:bookmarkEnd w:id="27"/>
      <w:bookmarkEnd w:id="28"/>
    </w:p>
    <w:p w14:paraId="2CFEA501">
      <w:pPr>
        <w:spacing w:line="360" w:lineRule="auto"/>
        <w:ind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u w:val="single"/>
        </w:rPr>
        <w:t>中技国际招标有限公司</w:t>
      </w:r>
    </w:p>
    <w:p w14:paraId="5554019A">
      <w:pPr>
        <w:spacing w:line="360" w:lineRule="auto"/>
        <w:ind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北京市丰台区西营街1号院通用时代中心C座</w:t>
      </w:r>
    </w:p>
    <w:p w14:paraId="08A32B4C">
      <w:pPr>
        <w:spacing w:line="360" w:lineRule="auto"/>
        <w:ind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010-81168493</w:t>
      </w:r>
    </w:p>
    <w:p w14:paraId="574D5DC5">
      <w:pPr>
        <w:spacing w:line="360" w:lineRule="auto"/>
        <w:ind w:firstLine="600" w:firstLineChars="250"/>
        <w:rPr>
          <w:rFonts w:hint="eastAsia" w:ascii="仿宋" w:hAnsi="仿宋" w:eastAsia="仿宋" w:cs="仿宋"/>
          <w:color w:val="auto"/>
          <w:sz w:val="24"/>
          <w:highlight w:val="none"/>
        </w:rPr>
      </w:pPr>
      <w:bookmarkStart w:id="29" w:name="_Toc23979"/>
      <w:bookmarkStart w:id="30" w:name="_Toc2772"/>
      <w:bookmarkStart w:id="31" w:name="_Toc28359098"/>
      <w:bookmarkStart w:id="32" w:name="_Toc28359021"/>
      <w:bookmarkStart w:id="33" w:name="_Toc22228"/>
      <w:bookmarkStart w:id="34" w:name="_Toc7491"/>
      <w:bookmarkStart w:id="35" w:name="_Toc7478"/>
      <w:bookmarkStart w:id="36" w:name="_Toc27204"/>
      <w:bookmarkStart w:id="37" w:name="_Toc35393808"/>
      <w:bookmarkStart w:id="38" w:name="_Toc35393639"/>
      <w:r>
        <w:rPr>
          <w:rFonts w:hint="eastAsia" w:ascii="仿宋" w:hAnsi="仿宋" w:eastAsia="仿宋" w:cs="仿宋"/>
          <w:color w:val="auto"/>
          <w:sz w:val="24"/>
          <w:highlight w:val="none"/>
        </w:rPr>
        <w:t>3.项目联系方式</w:t>
      </w:r>
      <w:bookmarkEnd w:id="29"/>
      <w:bookmarkEnd w:id="30"/>
      <w:bookmarkEnd w:id="31"/>
      <w:bookmarkEnd w:id="32"/>
      <w:bookmarkEnd w:id="33"/>
      <w:bookmarkEnd w:id="34"/>
      <w:bookmarkEnd w:id="35"/>
      <w:bookmarkEnd w:id="36"/>
      <w:bookmarkEnd w:id="37"/>
      <w:bookmarkEnd w:id="38"/>
    </w:p>
    <w:p w14:paraId="049F69B4">
      <w:pPr>
        <w:spacing w:line="360" w:lineRule="auto"/>
        <w:ind w:firstLine="600" w:firstLineChars="25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项目联系人：</w:t>
      </w:r>
      <w:r>
        <w:rPr>
          <w:rFonts w:hint="eastAsia" w:ascii="仿宋" w:hAnsi="仿宋" w:eastAsia="仿宋" w:cs="仿宋"/>
          <w:color w:val="auto"/>
          <w:sz w:val="24"/>
          <w:highlight w:val="none"/>
          <w:u w:val="single"/>
        </w:rPr>
        <w:t>陈刚、王昕</w:t>
      </w:r>
    </w:p>
    <w:p w14:paraId="4248A2D5">
      <w:pPr>
        <w:spacing w:line="360" w:lineRule="auto"/>
        <w:ind w:firstLine="600" w:firstLineChars="250"/>
        <w:rPr>
          <w:rFonts w:hint="eastAsia" w:ascii="仿宋" w:hAnsi="仿宋" w:eastAsia="仿宋" w:cs="仿宋"/>
          <w:color w:val="auto"/>
          <w:highlight w:val="none"/>
        </w:rPr>
      </w:pPr>
      <w:r>
        <w:rPr>
          <w:rFonts w:hint="eastAsia" w:ascii="仿宋" w:hAnsi="仿宋" w:eastAsia="仿宋" w:cs="仿宋"/>
          <w:color w:val="auto"/>
          <w:sz w:val="24"/>
          <w:highlight w:val="none"/>
        </w:rPr>
        <w:t>电　　  话：</w:t>
      </w:r>
      <w:r>
        <w:rPr>
          <w:rFonts w:hint="eastAsia" w:ascii="仿宋" w:hAnsi="仿宋" w:eastAsia="仿宋" w:cs="仿宋"/>
          <w:color w:val="auto"/>
          <w:sz w:val="24"/>
          <w:highlight w:val="none"/>
          <w:u w:val="single"/>
        </w:rPr>
        <w:t>010－81168493、81168289</w:t>
      </w:r>
    </w:p>
    <w:p w14:paraId="700EC0E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474F09"/>
    <w:rsid w:val="51EB3EF3"/>
    <w:rsid w:val="75474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tabs>
        <w:tab w:val="left" w:pos="1050"/>
        <w:tab w:val="right" w:leader="dot" w:pos="8937"/>
      </w:tabs>
      <w:spacing w:line="300" w:lineRule="auto"/>
    </w:pPr>
    <w:rPr>
      <w:rFonts w:ascii="宋体" w:hAnsi="宋体"/>
      <w:b/>
      <w:sz w:val="24"/>
    </w:rPr>
  </w:style>
  <w:style w:type="paragraph" w:styleId="3">
    <w:name w:val="Body Text"/>
    <w:basedOn w:val="1"/>
    <w:next w:val="1"/>
    <w:qFormat/>
    <w:uiPriority w:val="0"/>
    <w:pPr>
      <w:tabs>
        <w:tab w:val="left" w:pos="567"/>
      </w:tabs>
      <w:spacing w:before="120" w:line="22" w:lineRule="atLeast"/>
    </w:pPr>
    <w:rPr>
      <w:rFonts w:ascii="宋体" w:hAnsi="宋体"/>
      <w:sz w:val="24"/>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2026-08-25T07:15:00Z</dcterms:created>
  <dc:creator>昕</dc:creator>
  <cp:lastModifiedBy>昕</cp:lastModifiedBy>
  <dcterms:modified xsi:type="dcterms:W3CDTF">2026-08-25T07:20:11Z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E146A01BD485422AAA1419DBBFC8112D_13</vt:lpwstr>
  </property>
  <property fmtid="{D5CDD505-2E9C-101B-9397-08002B2CF9AE}" pid="4" name="KSOTemplateDocerSaveRecord">
    <vt:lpwstr>eyJoZGlkIjoiMDhmOGJlZTFkNTE2M2NjZTQ1NTQwNDBjMjljMmQ0NDciLCJ1c2VySWQiOiIyMjkxNDI4MjQifQ==</vt:lpwstr>
  </property>
</Properties>
</file>