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F1B042">
      <w:pPr>
        <w:numPr>
          <w:ilvl w:val="0"/>
          <w:numId w:val="0"/>
        </w:numPr>
        <w:spacing w:line="360" w:lineRule="auto"/>
        <w:jc w:val="center"/>
        <w:outlineLvl w:val="0"/>
        <w:rPr>
          <w:rFonts w:hint="default" w:ascii="Times New Roman" w:hAnsi="Times New Roman" w:eastAsia="宋体" w:cs="Times New Roman"/>
          <w:b/>
          <w:color w:val="auto"/>
          <w:sz w:val="36"/>
          <w:szCs w:val="36"/>
        </w:rPr>
      </w:pPr>
      <w:r>
        <w:rPr>
          <w:rFonts w:hint="eastAsia" w:cs="Times New Roman"/>
          <w:b/>
          <w:color w:val="auto"/>
          <w:sz w:val="36"/>
          <w:szCs w:val="36"/>
          <w:lang w:val="en-US" w:eastAsia="zh-CN"/>
        </w:rPr>
        <w:t xml:space="preserve">第六包 </w:t>
      </w:r>
      <w:r>
        <w:rPr>
          <w:rFonts w:hint="default" w:ascii="Times New Roman" w:hAnsi="Times New Roman" w:eastAsia="宋体" w:cs="Times New Roman"/>
          <w:b/>
          <w:color w:val="auto"/>
          <w:sz w:val="36"/>
          <w:szCs w:val="36"/>
        </w:rPr>
        <w:t>采购需求</w:t>
      </w:r>
    </w:p>
    <w:p w14:paraId="465E35ED">
      <w:pPr>
        <w:numPr>
          <w:ilvl w:val="0"/>
          <w:numId w:val="1"/>
        </w:numPr>
        <w:tabs>
          <w:tab w:val="left" w:pos="360"/>
          <w:tab w:val="left" w:pos="900"/>
        </w:tabs>
        <w:snapToGrid w:val="0"/>
        <w:spacing w:line="360" w:lineRule="auto"/>
        <w:jc w:val="left"/>
        <w:outlineLvl w:val="1"/>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采购目标</w:t>
      </w:r>
    </w:p>
    <w:p w14:paraId="2CAAA75F">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1、本项目为北京市东城区教育技术装备中心</w:t>
      </w:r>
      <w:r>
        <w:rPr>
          <w:rFonts w:hint="eastAsia" w:cs="Times New Roman"/>
          <w:color w:val="auto"/>
          <w:spacing w:val="-2"/>
          <w:kern w:val="2"/>
          <w:sz w:val="24"/>
          <w:szCs w:val="24"/>
          <w:lang w:val="en-US" w:eastAsia="zh-CN" w:bidi="ar-SA"/>
        </w:rPr>
        <w:t>实验室</w:t>
      </w:r>
      <w:r>
        <w:rPr>
          <w:rFonts w:hint="default" w:ascii="Times New Roman" w:hAnsi="Times New Roman" w:eastAsia="宋体" w:cs="Times New Roman"/>
          <w:color w:val="auto"/>
          <w:spacing w:val="-2"/>
          <w:kern w:val="2"/>
          <w:sz w:val="24"/>
          <w:szCs w:val="24"/>
          <w:lang w:val="en-US" w:eastAsia="zh-CN" w:bidi="ar-SA"/>
        </w:rPr>
        <w:t>集中带量采购，请供应商充分了解本项目下的全部技术、商务条款，并在投标文件中如实响应，若投标人存在提供虚假材料谋取中标的行为，按我国相关法律法规处理。投标人为本次项目提供的货物必须通过合法渠道获得，生产制造严格遵循我国相关强制标准及规范，不侵犯任何第三方的知识产权。</w:t>
      </w:r>
    </w:p>
    <w:p w14:paraId="1F558A6D">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2、供应商的报价应包括货物及其所涉及的全部费用，包括：产品制造、包装、劳务、管理、运输、保险、</w:t>
      </w:r>
      <w:r>
        <w:rPr>
          <w:rFonts w:hint="eastAsia" w:cs="Times New Roman"/>
          <w:color w:val="auto"/>
          <w:spacing w:val="-2"/>
          <w:kern w:val="2"/>
          <w:sz w:val="24"/>
          <w:szCs w:val="24"/>
          <w:lang w:val="en-US" w:eastAsia="zh-CN" w:bidi="ar-SA"/>
        </w:rPr>
        <w:t>原设备拆除、环境优化及改造、</w:t>
      </w:r>
      <w:r>
        <w:rPr>
          <w:rFonts w:hint="default" w:ascii="Times New Roman" w:hAnsi="Times New Roman" w:eastAsia="宋体" w:cs="Times New Roman"/>
          <w:color w:val="auto"/>
          <w:spacing w:val="-2"/>
          <w:kern w:val="2"/>
          <w:sz w:val="24"/>
          <w:szCs w:val="24"/>
          <w:lang w:val="en-US" w:eastAsia="zh-CN" w:bidi="ar-SA"/>
        </w:rPr>
        <w:t xml:space="preserve">安装、搬运、调试、检验（或抽样送检）、技术培训及技术资料、维护、保修、验收、安装调试后的计量质控检测、外贸代理费（若有）、关税（若有）、保险增值税发票等，以及所有根据合同或其它原因应由投标人支付的税金和其它应缴费用，以及可合理推断的责任和义务。还要考虑到合同中可能出现的索赔和变更。 </w:t>
      </w:r>
    </w:p>
    <w:p w14:paraId="53B55CB2">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3、本项目采用统招分签模式，中标人需与北京市东城区教育技术装备中心签订总合同、与本项目涉及的各学校分别签订供货分合同。</w:t>
      </w:r>
      <w:r>
        <w:rPr>
          <w:rFonts w:hint="eastAsia" w:cs="Times New Roman"/>
          <w:color w:val="auto"/>
          <w:spacing w:val="-2"/>
          <w:kern w:val="2"/>
          <w:sz w:val="24"/>
          <w:szCs w:val="24"/>
          <w:lang w:val="en-US" w:eastAsia="zh-CN" w:bidi="ar-SA"/>
        </w:rPr>
        <w:t>本分包</w:t>
      </w:r>
      <w:r>
        <w:rPr>
          <w:rFonts w:hint="default" w:ascii="Times New Roman" w:hAnsi="Times New Roman" w:eastAsia="宋体" w:cs="Times New Roman"/>
          <w:color w:val="auto"/>
          <w:spacing w:val="-2"/>
          <w:kern w:val="2"/>
          <w:sz w:val="24"/>
          <w:szCs w:val="24"/>
          <w:lang w:val="en-US" w:eastAsia="zh-CN" w:bidi="ar-SA"/>
        </w:rPr>
        <w:t>各学校需求情况如下：</w:t>
      </w:r>
    </w:p>
    <w:tbl>
      <w:tblPr>
        <w:tblStyle w:val="3"/>
        <w:tblpPr w:leftFromText="180" w:rightFromText="180" w:vertAnchor="text" w:horzAnchor="page" w:tblpX="1274" w:tblpY="155"/>
        <w:tblOverlap w:val="never"/>
        <w:tblW w:w="915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649"/>
        <w:gridCol w:w="2444"/>
        <w:gridCol w:w="2432"/>
        <w:gridCol w:w="1626"/>
      </w:tblGrid>
      <w:tr w14:paraId="49078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0" w:hRule="atLeast"/>
        </w:trPr>
        <w:tc>
          <w:tcPr>
            <w:tcW w:w="2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4AFB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学校名称</w:t>
            </w: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972CC">
            <w:pPr>
              <w:keepNext w:val="0"/>
              <w:keepLines w:val="0"/>
              <w:widowControl/>
              <w:suppressLineNumbers w:val="0"/>
              <w:jc w:val="center"/>
              <w:textAlignment w:val="center"/>
              <w:rPr>
                <w:rFonts w:hint="default" w:ascii="宋体" w:hAnsi="宋体" w:eastAsia="宋体" w:cs="宋体"/>
                <w:b/>
                <w:bCs/>
                <w:i w:val="0"/>
                <w:iCs w:val="0"/>
                <w:color w:val="000000"/>
                <w:kern w:val="2"/>
                <w:sz w:val="22"/>
                <w:szCs w:val="22"/>
                <w:u w:val="none"/>
                <w:lang w:val="en-US" w:eastAsia="zh-CN" w:bidi="ar-SA"/>
              </w:rPr>
            </w:pPr>
            <w:r>
              <w:rPr>
                <w:rFonts w:hint="eastAsia" w:ascii="Times New Roman" w:hAnsi="Times New Roman" w:eastAsia="宋体" w:cs="Times New Roman"/>
                <w:b/>
                <w:bCs/>
                <w:i w:val="0"/>
                <w:iCs w:val="0"/>
                <w:color w:val="000000"/>
                <w:kern w:val="0"/>
                <w:sz w:val="15"/>
                <w:szCs w:val="15"/>
                <w:u w:val="none"/>
                <w:lang w:val="en-US" w:eastAsia="zh-CN" w:bidi="ar"/>
              </w:rPr>
              <w:t>小学科学教室家具及设施改造</w:t>
            </w:r>
            <w:r>
              <w:rPr>
                <w:rFonts w:hint="eastAsia" w:cs="Times New Roman"/>
                <w:b/>
                <w:bCs/>
                <w:i w:val="0"/>
                <w:iCs w:val="0"/>
                <w:color w:val="000000"/>
                <w:kern w:val="0"/>
                <w:sz w:val="15"/>
                <w:szCs w:val="15"/>
                <w:u w:val="none"/>
                <w:lang w:val="en-US" w:eastAsia="zh-CN" w:bidi="ar"/>
              </w:rPr>
              <w:t>（</w:t>
            </w:r>
            <w:r>
              <w:rPr>
                <w:rFonts w:hint="eastAsia" w:ascii="Times New Roman" w:hAnsi="Times New Roman" w:eastAsia="宋体" w:cs="Times New Roman"/>
                <w:b/>
                <w:bCs/>
                <w:i w:val="0"/>
                <w:iCs w:val="0"/>
                <w:color w:val="000000"/>
                <w:kern w:val="0"/>
                <w:sz w:val="15"/>
                <w:szCs w:val="15"/>
                <w:u w:val="none"/>
                <w:lang w:val="en-US" w:eastAsia="zh-CN" w:bidi="ar"/>
              </w:rPr>
              <w:t>常规</w:t>
            </w:r>
            <w:r>
              <w:rPr>
                <w:rFonts w:hint="eastAsia" w:cs="Times New Roman"/>
                <w:b/>
                <w:bCs/>
                <w:i w:val="0"/>
                <w:iCs w:val="0"/>
                <w:color w:val="000000"/>
                <w:kern w:val="0"/>
                <w:sz w:val="15"/>
                <w:szCs w:val="15"/>
                <w:u w:val="none"/>
                <w:lang w:val="en-US" w:eastAsia="zh-CN" w:bidi="ar"/>
              </w:rPr>
              <w:t>）</w:t>
            </w:r>
            <w:r>
              <w:rPr>
                <w:rFonts w:hint="eastAsia" w:ascii="Times New Roman" w:hAnsi="Times New Roman" w:eastAsia="宋体" w:cs="Times New Roman"/>
                <w:b/>
                <w:bCs/>
                <w:i w:val="0"/>
                <w:iCs w:val="0"/>
                <w:color w:val="000000"/>
                <w:kern w:val="0"/>
                <w:sz w:val="15"/>
                <w:szCs w:val="15"/>
                <w:u w:val="none"/>
                <w:lang w:val="en-US" w:eastAsia="zh-CN" w:bidi="ar"/>
              </w:rPr>
              <w:t>（间）</w:t>
            </w:r>
          </w:p>
        </w:tc>
        <w:tc>
          <w:tcPr>
            <w:tcW w:w="2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DF23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sz w:val="15"/>
                <w:szCs w:val="15"/>
                <w:u w:val="none"/>
              </w:rPr>
              <w:t>小学科学教室家具及设施改造</w:t>
            </w:r>
            <w:r>
              <w:rPr>
                <w:rFonts w:hint="eastAsia" w:cs="Times New Roman"/>
                <w:b/>
                <w:bCs/>
                <w:i w:val="0"/>
                <w:iCs w:val="0"/>
                <w:color w:val="000000"/>
                <w:sz w:val="15"/>
                <w:szCs w:val="15"/>
                <w:u w:val="none"/>
                <w:lang w:eastAsia="zh-CN"/>
              </w:rPr>
              <w:t>（</w:t>
            </w:r>
            <w:r>
              <w:rPr>
                <w:rFonts w:hint="default" w:ascii="Times New Roman" w:hAnsi="Times New Roman" w:eastAsia="宋体" w:cs="Times New Roman"/>
                <w:b/>
                <w:bCs/>
                <w:i w:val="0"/>
                <w:iCs w:val="0"/>
                <w:color w:val="000000"/>
                <w:sz w:val="15"/>
                <w:szCs w:val="15"/>
                <w:u w:val="none"/>
              </w:rPr>
              <w:t>吊装</w:t>
            </w:r>
            <w:r>
              <w:rPr>
                <w:rFonts w:hint="eastAsia" w:cs="Times New Roman"/>
                <w:b/>
                <w:bCs/>
                <w:i w:val="0"/>
                <w:iCs w:val="0"/>
                <w:color w:val="000000"/>
                <w:sz w:val="15"/>
                <w:szCs w:val="15"/>
                <w:u w:val="none"/>
                <w:lang w:eastAsia="zh-CN"/>
              </w:rPr>
              <w:t>）</w:t>
            </w:r>
            <w:r>
              <w:rPr>
                <w:rFonts w:hint="default" w:ascii="Times New Roman" w:hAnsi="Times New Roman" w:eastAsia="宋体" w:cs="Times New Roman"/>
                <w:b/>
                <w:bCs/>
                <w:i w:val="0"/>
                <w:iCs w:val="0"/>
                <w:color w:val="000000"/>
                <w:sz w:val="15"/>
                <w:szCs w:val="15"/>
                <w:u w:val="none"/>
              </w:rPr>
              <w:t>（间）</w:t>
            </w:r>
          </w:p>
        </w:tc>
        <w:tc>
          <w:tcPr>
            <w:tcW w:w="1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CEC9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显微镜（台）</w:t>
            </w:r>
          </w:p>
        </w:tc>
      </w:tr>
      <w:tr w14:paraId="342D5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9E81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eastAsia" w:ascii="Times New Roman" w:hAnsi="Times New Roman" w:eastAsia="宋体" w:cs="Times New Roman"/>
                <w:b w:val="0"/>
                <w:bCs w:val="0"/>
                <w:i w:val="0"/>
                <w:iCs w:val="0"/>
                <w:color w:val="000000"/>
                <w:kern w:val="0"/>
                <w:sz w:val="15"/>
                <w:szCs w:val="15"/>
                <w:u w:val="none"/>
                <w:lang w:val="en-US" w:eastAsia="zh-CN" w:bidi="ar"/>
              </w:rPr>
              <w:t>北京市东城区史家小学分校</w:t>
            </w:r>
          </w:p>
        </w:tc>
        <w:tc>
          <w:tcPr>
            <w:tcW w:w="2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449F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eastAsia" w:cs="Times New Roman"/>
                <w:b w:val="0"/>
                <w:bCs w:val="0"/>
                <w:i w:val="0"/>
                <w:iCs w:val="0"/>
                <w:color w:val="000000"/>
                <w:kern w:val="0"/>
                <w:sz w:val="15"/>
                <w:szCs w:val="15"/>
                <w:u w:val="none"/>
                <w:lang w:val="en-US" w:eastAsia="zh-CN" w:bidi="ar"/>
              </w:rPr>
              <w:t>1</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77830">
            <w:pPr>
              <w:jc w:val="center"/>
              <w:rPr>
                <w:rFonts w:hint="default" w:ascii="Times New Roman" w:hAnsi="Times New Roman" w:eastAsia="宋体" w:cs="Times New Roman"/>
                <w:i w:val="0"/>
                <w:iCs w:val="0"/>
                <w:color w:val="000000"/>
                <w:sz w:val="15"/>
                <w:szCs w:val="15"/>
                <w:u w:val="none"/>
              </w:rPr>
            </w:pPr>
            <w:r>
              <w:rPr>
                <w:rFonts w:hint="eastAsia" w:cs="Times New Roman"/>
                <w:b w:val="0"/>
                <w:bCs w:val="0"/>
                <w:i w:val="0"/>
                <w:iCs w:val="0"/>
                <w:color w:val="000000"/>
                <w:kern w:val="0"/>
                <w:sz w:val="15"/>
                <w:szCs w:val="15"/>
                <w:u w:val="none"/>
                <w:lang w:val="en-US" w:eastAsia="zh-CN" w:bidi="ar"/>
              </w:rPr>
              <w:t>/</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CF01A">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22</w:t>
            </w:r>
          </w:p>
        </w:tc>
      </w:tr>
      <w:tr w14:paraId="4B908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384D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eastAsia" w:ascii="Times New Roman" w:hAnsi="Times New Roman" w:eastAsia="宋体" w:cs="Times New Roman"/>
                <w:b w:val="0"/>
                <w:bCs w:val="0"/>
                <w:i w:val="0"/>
                <w:iCs w:val="0"/>
                <w:color w:val="000000"/>
                <w:kern w:val="0"/>
                <w:sz w:val="15"/>
                <w:szCs w:val="15"/>
                <w:u w:val="none"/>
                <w:lang w:val="en-US" w:eastAsia="zh-CN" w:bidi="ar"/>
              </w:rPr>
              <w:t>北京市东城区史家实验学校</w:t>
            </w:r>
          </w:p>
        </w:tc>
        <w:tc>
          <w:tcPr>
            <w:tcW w:w="2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2E20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eastAsia" w:cs="Times New Roman"/>
                <w:b w:val="0"/>
                <w:bCs w:val="0"/>
                <w:i w:val="0"/>
                <w:iCs w:val="0"/>
                <w:color w:val="000000"/>
                <w:kern w:val="0"/>
                <w:sz w:val="15"/>
                <w:szCs w:val="15"/>
                <w:u w:val="none"/>
                <w:lang w:val="en-US" w:eastAsia="zh-CN" w:bidi="ar"/>
              </w:rPr>
              <w:t>1</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8B4FD">
            <w:pPr>
              <w:jc w:val="center"/>
              <w:rPr>
                <w:rFonts w:hint="default" w:ascii="Times New Roman" w:hAnsi="Times New Roman" w:eastAsia="宋体" w:cs="Times New Roman"/>
                <w:i w:val="0"/>
                <w:iCs w:val="0"/>
                <w:color w:val="000000"/>
                <w:sz w:val="15"/>
                <w:szCs w:val="15"/>
                <w:u w:val="none"/>
              </w:rPr>
            </w:pPr>
            <w:r>
              <w:rPr>
                <w:rFonts w:hint="eastAsia" w:cs="Times New Roman"/>
                <w:b w:val="0"/>
                <w:bCs w:val="0"/>
                <w:i w:val="0"/>
                <w:iCs w:val="0"/>
                <w:color w:val="000000"/>
                <w:kern w:val="0"/>
                <w:sz w:val="15"/>
                <w:szCs w:val="15"/>
                <w:u w:val="none"/>
                <w:lang w:val="en-US" w:eastAsia="zh-CN" w:bidi="ar"/>
              </w:rPr>
              <w:t>/</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7CDBC">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b w:val="0"/>
                <w:bCs w:val="0"/>
                <w:i w:val="0"/>
                <w:iCs w:val="0"/>
                <w:color w:val="000000"/>
                <w:kern w:val="0"/>
                <w:sz w:val="15"/>
                <w:szCs w:val="15"/>
                <w:u w:val="none"/>
                <w:lang w:val="en-US" w:eastAsia="zh-CN" w:bidi="ar"/>
              </w:rPr>
              <w:t>/</w:t>
            </w:r>
          </w:p>
        </w:tc>
      </w:tr>
      <w:tr w14:paraId="765A3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DCFA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eastAsia" w:ascii="Times New Roman" w:hAnsi="Times New Roman" w:eastAsia="宋体" w:cs="Times New Roman"/>
                <w:b w:val="0"/>
                <w:bCs w:val="0"/>
                <w:i w:val="0"/>
                <w:iCs w:val="0"/>
                <w:color w:val="000000"/>
                <w:kern w:val="0"/>
                <w:sz w:val="15"/>
                <w:szCs w:val="15"/>
                <w:u w:val="none"/>
                <w:lang w:val="en-US" w:eastAsia="zh-CN" w:bidi="ar"/>
              </w:rPr>
              <w:t>北京市东城区西总布小学</w:t>
            </w:r>
          </w:p>
        </w:tc>
        <w:tc>
          <w:tcPr>
            <w:tcW w:w="2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E4C3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eastAsia" w:cs="Times New Roman"/>
                <w:b w:val="0"/>
                <w:bCs w:val="0"/>
                <w:i w:val="0"/>
                <w:iCs w:val="0"/>
                <w:color w:val="000000"/>
                <w:kern w:val="0"/>
                <w:sz w:val="15"/>
                <w:szCs w:val="15"/>
                <w:u w:val="none"/>
                <w:lang w:val="en-US" w:eastAsia="zh-CN" w:bidi="ar"/>
              </w:rPr>
              <w:t>/</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21AB5">
            <w:pPr>
              <w:jc w:val="center"/>
              <w:rPr>
                <w:rFonts w:hint="default" w:ascii="Times New Roman" w:hAnsi="Times New Roman" w:eastAsia="宋体" w:cs="Times New Roman"/>
                <w:i w:val="0"/>
                <w:iCs w:val="0"/>
                <w:color w:val="000000"/>
                <w:sz w:val="15"/>
                <w:szCs w:val="15"/>
                <w:u w:val="none"/>
              </w:rPr>
            </w:pPr>
            <w:r>
              <w:rPr>
                <w:rFonts w:hint="eastAsia" w:cs="Times New Roman"/>
                <w:b w:val="0"/>
                <w:bCs w:val="0"/>
                <w:i w:val="0"/>
                <w:iCs w:val="0"/>
                <w:color w:val="000000"/>
                <w:kern w:val="0"/>
                <w:sz w:val="15"/>
                <w:szCs w:val="15"/>
                <w:u w:val="none"/>
                <w:lang w:val="en-US" w:eastAsia="zh-CN" w:bidi="ar"/>
              </w:rPr>
              <w:t>/</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1BBE2">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15</w:t>
            </w:r>
          </w:p>
        </w:tc>
      </w:tr>
      <w:tr w14:paraId="230D6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1DBA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eastAsia" w:ascii="Times New Roman" w:hAnsi="Times New Roman" w:eastAsia="宋体" w:cs="Times New Roman"/>
                <w:b w:val="0"/>
                <w:bCs w:val="0"/>
                <w:i w:val="0"/>
                <w:iCs w:val="0"/>
                <w:color w:val="000000"/>
                <w:kern w:val="0"/>
                <w:sz w:val="15"/>
                <w:szCs w:val="15"/>
                <w:u w:val="none"/>
                <w:lang w:val="en-US" w:eastAsia="zh-CN" w:bidi="ar"/>
              </w:rPr>
              <w:t>北京第一师范学校附属小学</w:t>
            </w:r>
          </w:p>
        </w:tc>
        <w:tc>
          <w:tcPr>
            <w:tcW w:w="2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8670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eastAsia" w:cs="Times New Roman"/>
                <w:b w:val="0"/>
                <w:bCs w:val="0"/>
                <w:i w:val="0"/>
                <w:iCs w:val="0"/>
                <w:color w:val="000000"/>
                <w:kern w:val="0"/>
                <w:sz w:val="15"/>
                <w:szCs w:val="15"/>
                <w:u w:val="none"/>
                <w:lang w:val="en-US" w:eastAsia="zh-CN" w:bidi="ar"/>
              </w:rPr>
              <w:t>2</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05BE5">
            <w:pPr>
              <w:jc w:val="center"/>
              <w:rPr>
                <w:rFonts w:hint="default" w:ascii="Times New Roman" w:hAnsi="Times New Roman" w:eastAsia="宋体" w:cs="Times New Roman"/>
                <w:i w:val="0"/>
                <w:iCs w:val="0"/>
                <w:color w:val="000000"/>
                <w:sz w:val="15"/>
                <w:szCs w:val="15"/>
                <w:u w:val="none"/>
              </w:rPr>
            </w:pPr>
            <w:r>
              <w:rPr>
                <w:rFonts w:hint="eastAsia" w:cs="Times New Roman"/>
                <w:b w:val="0"/>
                <w:bCs w:val="0"/>
                <w:i w:val="0"/>
                <w:iCs w:val="0"/>
                <w:color w:val="000000"/>
                <w:kern w:val="0"/>
                <w:sz w:val="15"/>
                <w:szCs w:val="15"/>
                <w:u w:val="none"/>
                <w:lang w:val="en-US" w:eastAsia="zh-CN" w:bidi="ar"/>
              </w:rPr>
              <w:t>/</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934AD">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45</w:t>
            </w:r>
          </w:p>
        </w:tc>
      </w:tr>
      <w:tr w14:paraId="7DE89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03BC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eastAsia" w:ascii="Times New Roman" w:hAnsi="Times New Roman" w:eastAsia="宋体" w:cs="Times New Roman"/>
                <w:b w:val="0"/>
                <w:bCs w:val="0"/>
                <w:i w:val="0"/>
                <w:iCs w:val="0"/>
                <w:color w:val="000000"/>
                <w:kern w:val="0"/>
                <w:sz w:val="15"/>
                <w:szCs w:val="15"/>
                <w:u w:val="none"/>
                <w:lang w:val="en-US" w:eastAsia="zh-CN" w:bidi="ar"/>
              </w:rPr>
              <w:t>北京市第一零九中学</w:t>
            </w:r>
          </w:p>
        </w:tc>
        <w:tc>
          <w:tcPr>
            <w:tcW w:w="2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1410A">
            <w:pPr>
              <w:keepNext w:val="0"/>
              <w:keepLines w:val="0"/>
              <w:widowControl/>
              <w:suppressLineNumbers w:val="0"/>
              <w:jc w:val="center"/>
              <w:textAlignment w:val="center"/>
              <w:rPr>
                <w:rFonts w:hint="eastAsia" w:ascii="Times New Roman" w:hAnsi="Times New Roman" w:eastAsia="宋体" w:cs="Times New Roman"/>
                <w:b w:val="0"/>
                <w:bCs w:val="0"/>
                <w:i w:val="0"/>
                <w:iCs w:val="0"/>
                <w:color w:val="000000"/>
                <w:kern w:val="0"/>
                <w:sz w:val="15"/>
                <w:szCs w:val="15"/>
                <w:u w:val="none"/>
                <w:lang w:val="en-US" w:eastAsia="zh-CN" w:bidi="ar"/>
              </w:rPr>
            </w:pPr>
            <w:r>
              <w:rPr>
                <w:rFonts w:hint="eastAsia" w:cs="Times New Roman"/>
                <w:b w:val="0"/>
                <w:bCs w:val="0"/>
                <w:i w:val="0"/>
                <w:iCs w:val="0"/>
                <w:color w:val="000000"/>
                <w:kern w:val="0"/>
                <w:sz w:val="15"/>
                <w:szCs w:val="15"/>
                <w:u w:val="none"/>
                <w:lang w:val="en-US" w:eastAsia="zh-CN" w:bidi="ar"/>
              </w:rPr>
              <w:t>/</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27B7D">
            <w:pPr>
              <w:jc w:val="center"/>
              <w:rPr>
                <w:rFonts w:hint="default" w:ascii="Times New Roman" w:hAnsi="Times New Roman" w:eastAsia="宋体" w:cs="Times New Roman"/>
                <w:i w:val="0"/>
                <w:iCs w:val="0"/>
                <w:color w:val="000000"/>
                <w:sz w:val="15"/>
                <w:szCs w:val="15"/>
                <w:u w:val="none"/>
              </w:rPr>
            </w:pPr>
            <w:r>
              <w:rPr>
                <w:rFonts w:hint="eastAsia" w:cs="Times New Roman"/>
                <w:b w:val="0"/>
                <w:bCs w:val="0"/>
                <w:i w:val="0"/>
                <w:iCs w:val="0"/>
                <w:color w:val="000000"/>
                <w:kern w:val="0"/>
                <w:sz w:val="15"/>
                <w:szCs w:val="15"/>
                <w:u w:val="none"/>
                <w:lang w:val="en-US" w:eastAsia="zh-CN" w:bidi="ar"/>
              </w:rPr>
              <w:t>/</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C010E">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48</w:t>
            </w:r>
          </w:p>
        </w:tc>
      </w:tr>
      <w:tr w14:paraId="15026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19B3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eastAsia" w:ascii="Times New Roman" w:hAnsi="Times New Roman" w:eastAsia="宋体" w:cs="Times New Roman"/>
                <w:b w:val="0"/>
                <w:bCs w:val="0"/>
                <w:i w:val="0"/>
                <w:iCs w:val="0"/>
                <w:color w:val="000000"/>
                <w:kern w:val="0"/>
                <w:sz w:val="15"/>
                <w:szCs w:val="15"/>
                <w:u w:val="none"/>
                <w:lang w:val="en-US" w:eastAsia="zh-CN" w:bidi="ar"/>
              </w:rPr>
              <w:t>北京市第一四二中学</w:t>
            </w:r>
          </w:p>
        </w:tc>
        <w:tc>
          <w:tcPr>
            <w:tcW w:w="2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1B275">
            <w:pPr>
              <w:keepNext w:val="0"/>
              <w:keepLines w:val="0"/>
              <w:widowControl/>
              <w:suppressLineNumbers w:val="0"/>
              <w:jc w:val="center"/>
              <w:textAlignment w:val="center"/>
              <w:rPr>
                <w:rFonts w:hint="eastAsia" w:ascii="Times New Roman" w:hAnsi="Times New Roman" w:eastAsia="宋体" w:cs="Times New Roman"/>
                <w:b w:val="0"/>
                <w:bCs w:val="0"/>
                <w:i w:val="0"/>
                <w:iCs w:val="0"/>
                <w:color w:val="000000"/>
                <w:kern w:val="0"/>
                <w:sz w:val="15"/>
                <w:szCs w:val="15"/>
                <w:u w:val="none"/>
                <w:lang w:val="en-US" w:eastAsia="zh-CN" w:bidi="ar"/>
              </w:rPr>
            </w:pPr>
            <w:r>
              <w:rPr>
                <w:rFonts w:hint="eastAsia" w:cs="Times New Roman"/>
                <w:b w:val="0"/>
                <w:bCs w:val="0"/>
                <w:i w:val="0"/>
                <w:iCs w:val="0"/>
                <w:color w:val="000000"/>
                <w:kern w:val="0"/>
                <w:sz w:val="15"/>
                <w:szCs w:val="15"/>
                <w:u w:val="none"/>
                <w:lang w:val="en-US" w:eastAsia="zh-CN" w:bidi="ar"/>
              </w:rPr>
              <w:t>/</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8E4C4">
            <w:pPr>
              <w:jc w:val="center"/>
              <w:rPr>
                <w:rFonts w:hint="default" w:ascii="Times New Roman" w:hAnsi="Times New Roman" w:eastAsia="宋体" w:cs="Times New Roman"/>
                <w:i w:val="0"/>
                <w:iCs w:val="0"/>
                <w:color w:val="000000"/>
                <w:sz w:val="15"/>
                <w:szCs w:val="15"/>
                <w:u w:val="none"/>
              </w:rPr>
            </w:pPr>
            <w:r>
              <w:rPr>
                <w:rFonts w:hint="eastAsia" w:cs="Times New Roman"/>
                <w:b w:val="0"/>
                <w:bCs w:val="0"/>
                <w:i w:val="0"/>
                <w:iCs w:val="0"/>
                <w:color w:val="000000"/>
                <w:kern w:val="0"/>
                <w:sz w:val="15"/>
                <w:szCs w:val="15"/>
                <w:u w:val="none"/>
                <w:lang w:val="en-US" w:eastAsia="zh-CN" w:bidi="ar"/>
              </w:rPr>
              <w:t>/</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C9D92">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6</w:t>
            </w:r>
          </w:p>
        </w:tc>
      </w:tr>
      <w:tr w14:paraId="1997D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A06C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eastAsia" w:ascii="Times New Roman" w:hAnsi="Times New Roman" w:eastAsia="宋体" w:cs="Times New Roman"/>
                <w:b w:val="0"/>
                <w:bCs w:val="0"/>
                <w:i w:val="0"/>
                <w:iCs w:val="0"/>
                <w:color w:val="000000"/>
                <w:kern w:val="0"/>
                <w:sz w:val="15"/>
                <w:szCs w:val="15"/>
                <w:u w:val="none"/>
                <w:lang w:val="en-US" w:eastAsia="zh-CN" w:bidi="ar"/>
              </w:rPr>
              <w:t>北京市广渠门中学附属花市小学</w:t>
            </w:r>
          </w:p>
        </w:tc>
        <w:tc>
          <w:tcPr>
            <w:tcW w:w="2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7700A">
            <w:pPr>
              <w:keepNext w:val="0"/>
              <w:keepLines w:val="0"/>
              <w:widowControl/>
              <w:suppressLineNumbers w:val="0"/>
              <w:jc w:val="center"/>
              <w:textAlignment w:val="center"/>
              <w:rPr>
                <w:rFonts w:hint="eastAsia" w:ascii="Times New Roman" w:hAnsi="Times New Roman" w:eastAsia="宋体" w:cs="Times New Roman"/>
                <w:b w:val="0"/>
                <w:bCs w:val="0"/>
                <w:i w:val="0"/>
                <w:iCs w:val="0"/>
                <w:color w:val="000000"/>
                <w:sz w:val="15"/>
                <w:szCs w:val="15"/>
                <w:u w:val="none"/>
                <w:lang w:val="en-US" w:eastAsia="zh-CN"/>
              </w:rPr>
            </w:pPr>
            <w:r>
              <w:rPr>
                <w:rFonts w:hint="eastAsia" w:cs="Times New Roman"/>
                <w:b w:val="0"/>
                <w:bCs w:val="0"/>
                <w:i w:val="0"/>
                <w:iCs w:val="0"/>
                <w:color w:val="000000"/>
                <w:sz w:val="15"/>
                <w:szCs w:val="15"/>
                <w:u w:val="none"/>
                <w:lang w:val="en-US" w:eastAsia="zh-CN"/>
              </w:rPr>
              <w:t>2</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FF5F9">
            <w:pPr>
              <w:jc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2</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2539D">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23</w:t>
            </w:r>
          </w:p>
        </w:tc>
      </w:tr>
      <w:tr w14:paraId="13799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3287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cs="Times New Roman"/>
                <w:b/>
                <w:bCs/>
                <w:i w:val="0"/>
                <w:iCs w:val="0"/>
                <w:color w:val="000000"/>
                <w:kern w:val="0"/>
                <w:sz w:val="15"/>
                <w:szCs w:val="15"/>
                <w:u w:val="none"/>
                <w:lang w:val="en-US" w:eastAsia="zh-CN" w:bidi="ar"/>
              </w:rPr>
              <w:t>合计</w:t>
            </w:r>
          </w:p>
        </w:tc>
        <w:tc>
          <w:tcPr>
            <w:tcW w:w="2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4A3AB">
            <w:pPr>
              <w:jc w:val="center"/>
              <w:rPr>
                <w:rFonts w:hint="default" w:ascii="Times New Roman" w:hAnsi="Times New Roman" w:cs="Times New Roman"/>
                <w:b/>
                <w:bCs/>
                <w:i w:val="0"/>
                <w:iCs w:val="0"/>
                <w:color w:val="000000"/>
                <w:kern w:val="0"/>
                <w:sz w:val="15"/>
                <w:szCs w:val="15"/>
                <w:u w:val="none"/>
                <w:lang w:val="en-US" w:eastAsia="zh-CN" w:bidi="ar"/>
              </w:rPr>
            </w:pPr>
            <w:r>
              <w:rPr>
                <w:rFonts w:hint="eastAsia" w:cs="Times New Roman"/>
                <w:b/>
                <w:bCs/>
                <w:i w:val="0"/>
                <w:iCs w:val="0"/>
                <w:color w:val="000000"/>
                <w:kern w:val="0"/>
                <w:sz w:val="15"/>
                <w:szCs w:val="15"/>
                <w:u w:val="none"/>
                <w:lang w:val="en-US" w:eastAsia="zh-CN" w:bidi="ar"/>
              </w:rPr>
              <w:t>6</w:t>
            </w:r>
          </w:p>
        </w:tc>
        <w:tc>
          <w:tcPr>
            <w:tcW w:w="2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9E6EB">
            <w:pPr>
              <w:keepNext w:val="0"/>
              <w:keepLines w:val="0"/>
              <w:widowControl/>
              <w:suppressLineNumbers w:val="0"/>
              <w:jc w:val="center"/>
              <w:textAlignment w:val="center"/>
              <w:rPr>
                <w:rFonts w:hint="default" w:ascii="Times New Roman" w:hAnsi="Times New Roman" w:cs="Times New Roman"/>
                <w:b/>
                <w:bCs/>
                <w:i w:val="0"/>
                <w:iCs w:val="0"/>
                <w:color w:val="000000"/>
                <w:kern w:val="0"/>
                <w:sz w:val="15"/>
                <w:szCs w:val="15"/>
                <w:u w:val="none"/>
                <w:lang w:val="en-US" w:eastAsia="zh-CN" w:bidi="ar"/>
              </w:rPr>
            </w:pPr>
            <w:r>
              <w:rPr>
                <w:rFonts w:hint="eastAsia" w:cs="Times New Roman"/>
                <w:b/>
                <w:bCs/>
                <w:i w:val="0"/>
                <w:iCs w:val="0"/>
                <w:color w:val="000000"/>
                <w:kern w:val="0"/>
                <w:sz w:val="15"/>
                <w:szCs w:val="15"/>
                <w:u w:val="none"/>
                <w:lang w:val="en-US" w:eastAsia="zh-CN" w:bidi="ar"/>
              </w:rPr>
              <w:t>2</w:t>
            </w:r>
          </w:p>
        </w:tc>
        <w:tc>
          <w:tcPr>
            <w:tcW w:w="1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5C582">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15"/>
                <w:szCs w:val="15"/>
                <w:u w:val="none"/>
                <w:lang w:val="en-US" w:eastAsia="zh-CN" w:bidi="ar"/>
              </w:rPr>
            </w:pPr>
            <w:r>
              <w:rPr>
                <w:rFonts w:hint="eastAsia" w:cs="Times New Roman"/>
                <w:b/>
                <w:bCs/>
                <w:i w:val="0"/>
                <w:iCs w:val="0"/>
                <w:color w:val="000000"/>
                <w:kern w:val="0"/>
                <w:sz w:val="15"/>
                <w:szCs w:val="15"/>
                <w:u w:val="none"/>
                <w:lang w:val="en-US" w:eastAsia="zh-CN" w:bidi="ar"/>
              </w:rPr>
              <w:t>159</w:t>
            </w:r>
          </w:p>
        </w:tc>
      </w:tr>
    </w:tbl>
    <w:p w14:paraId="37D8E3E4">
      <w:pPr>
        <w:numPr>
          <w:ilvl w:val="0"/>
          <w:numId w:val="0"/>
        </w:numPr>
        <w:spacing w:line="360" w:lineRule="auto"/>
        <w:ind w:leftChars="0"/>
        <w:rPr>
          <w:rFonts w:hint="default" w:ascii="Times New Roman" w:hAnsi="Times New Roman" w:eastAsia="宋体" w:cs="Times New Roman"/>
          <w:b/>
          <w:color w:val="auto"/>
          <w:sz w:val="24"/>
          <w:szCs w:val="24"/>
          <w:lang w:val="en-US" w:eastAsia="zh-CN"/>
        </w:rPr>
      </w:pPr>
    </w:p>
    <w:p w14:paraId="41D529F0">
      <w:pPr>
        <w:numPr>
          <w:ilvl w:val="0"/>
          <w:numId w:val="1"/>
        </w:numPr>
        <w:spacing w:line="360" w:lineRule="auto"/>
        <w:ind w:left="0" w:leftChars="0" w:firstLine="0" w:firstLineChars="0"/>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采购</w:t>
      </w:r>
      <w:r>
        <w:rPr>
          <w:rFonts w:hint="eastAsia" w:cs="Times New Roman"/>
          <w:b/>
          <w:color w:val="auto"/>
          <w:sz w:val="24"/>
          <w:szCs w:val="24"/>
          <w:lang w:val="en-US" w:eastAsia="zh-CN"/>
        </w:rPr>
        <w:t>内容</w:t>
      </w:r>
    </w:p>
    <w:tbl>
      <w:tblPr>
        <w:tblStyle w:val="3"/>
        <w:tblW w:w="4937" w:type="pct"/>
        <w:tblInd w:w="-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0"/>
        <w:gridCol w:w="4091"/>
        <w:gridCol w:w="993"/>
        <w:gridCol w:w="2521"/>
      </w:tblGrid>
      <w:tr w14:paraId="4C973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81" w:type="pct"/>
            <w:vAlign w:val="center"/>
          </w:tcPr>
          <w:p w14:paraId="2CAC4923">
            <w:pPr>
              <w:spacing w:line="240" w:lineRule="auto"/>
              <w:jc w:val="center"/>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序号</w:t>
            </w:r>
          </w:p>
        </w:tc>
        <w:tc>
          <w:tcPr>
            <w:tcW w:w="2430" w:type="pct"/>
            <w:vAlign w:val="center"/>
          </w:tcPr>
          <w:p w14:paraId="2C3E53BF">
            <w:pPr>
              <w:spacing w:line="240" w:lineRule="auto"/>
              <w:jc w:val="center"/>
              <w:rPr>
                <w:rFonts w:hint="default" w:ascii="Times New Roman" w:hAnsi="Times New Roman" w:eastAsia="宋体" w:cs="Times New Roman"/>
                <w:b/>
                <w:bCs w:val="0"/>
                <w:color w:val="auto"/>
                <w:sz w:val="24"/>
                <w:szCs w:val="24"/>
                <w:lang w:val="en-US" w:eastAsia="zh-CN"/>
              </w:rPr>
            </w:pPr>
            <w:r>
              <w:rPr>
                <w:rFonts w:hint="eastAsia" w:cs="Times New Roman"/>
                <w:b/>
                <w:bCs w:val="0"/>
                <w:color w:val="auto"/>
                <w:sz w:val="24"/>
                <w:szCs w:val="24"/>
                <w:lang w:val="en-US" w:eastAsia="zh-CN"/>
              </w:rPr>
              <w:t>采购内容</w:t>
            </w:r>
          </w:p>
        </w:tc>
        <w:tc>
          <w:tcPr>
            <w:tcW w:w="590" w:type="pct"/>
            <w:vAlign w:val="center"/>
          </w:tcPr>
          <w:p w14:paraId="4855B225">
            <w:pPr>
              <w:spacing w:line="240" w:lineRule="auto"/>
              <w:jc w:val="center"/>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数量</w:t>
            </w:r>
          </w:p>
        </w:tc>
        <w:tc>
          <w:tcPr>
            <w:tcW w:w="1497" w:type="pct"/>
            <w:vAlign w:val="center"/>
          </w:tcPr>
          <w:p w14:paraId="61B1CF7D">
            <w:pPr>
              <w:spacing w:line="240" w:lineRule="auto"/>
              <w:jc w:val="center"/>
              <w:rPr>
                <w:rFonts w:hint="default" w:ascii="Times New Roman" w:hAnsi="Times New Roman" w:eastAsia="宋体" w:cs="Times New Roman"/>
                <w:b/>
                <w:bCs w:val="0"/>
                <w:color w:val="auto"/>
                <w:sz w:val="24"/>
                <w:szCs w:val="24"/>
                <w:lang w:val="en-US" w:eastAsia="zh-CN"/>
              </w:rPr>
            </w:pPr>
            <w:r>
              <w:rPr>
                <w:rFonts w:hint="eastAsia" w:ascii="Times New Roman" w:hAnsi="Times New Roman" w:eastAsia="宋体" w:cs="Times New Roman"/>
                <w:b/>
                <w:bCs w:val="0"/>
                <w:color w:val="auto"/>
                <w:sz w:val="24"/>
                <w:szCs w:val="24"/>
                <w:lang w:val="en-US" w:eastAsia="zh-CN"/>
              </w:rPr>
              <w:t>★单价</w:t>
            </w:r>
            <w:r>
              <w:rPr>
                <w:rFonts w:hint="eastAsia" w:cs="Times New Roman"/>
                <w:b/>
                <w:bCs w:val="0"/>
                <w:color w:val="auto"/>
                <w:sz w:val="24"/>
                <w:szCs w:val="24"/>
                <w:lang w:val="en-US" w:eastAsia="zh-CN"/>
              </w:rPr>
              <w:t>最高</w:t>
            </w:r>
            <w:r>
              <w:rPr>
                <w:rFonts w:hint="eastAsia" w:ascii="Times New Roman" w:hAnsi="Times New Roman" w:eastAsia="宋体" w:cs="Times New Roman"/>
                <w:b/>
                <w:bCs w:val="0"/>
                <w:color w:val="auto"/>
                <w:sz w:val="24"/>
                <w:szCs w:val="24"/>
                <w:lang w:val="en-US" w:eastAsia="zh-CN"/>
              </w:rPr>
              <w:t>限价</w:t>
            </w:r>
          </w:p>
        </w:tc>
      </w:tr>
      <w:tr w14:paraId="37666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81" w:type="pct"/>
            <w:vAlign w:val="center"/>
          </w:tcPr>
          <w:p w14:paraId="4B07E43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cs="Times New Roman"/>
                <w:i w:val="0"/>
                <w:iCs w:val="0"/>
                <w:color w:val="auto"/>
                <w:kern w:val="0"/>
                <w:sz w:val="24"/>
                <w:szCs w:val="24"/>
                <w:u w:val="none"/>
                <w:lang w:val="en-US" w:eastAsia="zh-CN" w:bidi="ar"/>
              </w:rPr>
              <w:t>1</w:t>
            </w:r>
          </w:p>
        </w:tc>
        <w:tc>
          <w:tcPr>
            <w:tcW w:w="2430" w:type="pct"/>
            <w:vAlign w:val="center"/>
          </w:tcPr>
          <w:p w14:paraId="55E77BDE">
            <w:pPr>
              <w:keepNext w:val="0"/>
              <w:keepLines w:val="0"/>
              <w:widowControl/>
              <w:suppressLineNumbers w:val="0"/>
              <w:jc w:val="center"/>
              <w:textAlignment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小学科学教室家具及设施改造（常规）</w:t>
            </w:r>
          </w:p>
        </w:tc>
        <w:tc>
          <w:tcPr>
            <w:tcW w:w="590" w:type="pct"/>
            <w:vAlign w:val="center"/>
          </w:tcPr>
          <w:p w14:paraId="16C299D9">
            <w:pPr>
              <w:spacing w:line="240" w:lineRule="auto"/>
              <w:jc w:val="center"/>
              <w:rPr>
                <w:rFonts w:hint="default" w:ascii="Times New Roman" w:hAnsi="Times New Roman" w:cs="Times New Roman"/>
                <w:bCs w:val="0"/>
                <w:color w:val="auto"/>
                <w:sz w:val="24"/>
                <w:szCs w:val="24"/>
                <w:lang w:val="en-US" w:eastAsia="zh-CN"/>
              </w:rPr>
            </w:pPr>
            <w:r>
              <w:rPr>
                <w:rFonts w:hint="eastAsia" w:cs="Times New Roman"/>
                <w:bCs/>
                <w:color w:val="auto"/>
                <w:sz w:val="24"/>
                <w:szCs w:val="24"/>
                <w:lang w:val="en-US" w:eastAsia="zh-CN"/>
              </w:rPr>
              <w:t>6</w:t>
            </w:r>
            <w:r>
              <w:rPr>
                <w:rFonts w:hint="default" w:ascii="Times New Roman" w:hAnsi="Times New Roman" w:cs="Times New Roman"/>
                <w:bCs/>
                <w:color w:val="auto"/>
                <w:sz w:val="24"/>
                <w:szCs w:val="24"/>
                <w:lang w:val="en-US" w:eastAsia="zh-CN"/>
              </w:rPr>
              <w:t>间</w:t>
            </w:r>
          </w:p>
        </w:tc>
        <w:tc>
          <w:tcPr>
            <w:tcW w:w="1497" w:type="pct"/>
            <w:vAlign w:val="center"/>
          </w:tcPr>
          <w:p w14:paraId="0A862A17">
            <w:pPr>
              <w:spacing w:line="240" w:lineRule="auto"/>
              <w:jc w:val="center"/>
              <w:rPr>
                <w:rFonts w:hint="default" w:ascii="Times New Roman" w:hAnsi="Times New Roman" w:cs="Times New Roman"/>
                <w:b w:val="0"/>
                <w:bCs w:val="0"/>
                <w:color w:val="auto"/>
                <w:sz w:val="24"/>
                <w:szCs w:val="24"/>
                <w:lang w:val="en-US" w:eastAsia="zh-CN"/>
              </w:rPr>
            </w:pPr>
            <w:r>
              <w:rPr>
                <w:rFonts w:hint="eastAsia" w:cs="Times New Roman"/>
                <w:b w:val="0"/>
                <w:bCs w:val="0"/>
                <w:color w:val="auto"/>
                <w:sz w:val="24"/>
                <w:szCs w:val="24"/>
                <w:lang w:val="en-US" w:eastAsia="zh-CN"/>
              </w:rPr>
              <w:t>194400</w:t>
            </w:r>
            <w:r>
              <w:rPr>
                <w:rFonts w:hint="eastAsia" w:ascii="Times New Roman" w:hAnsi="Times New Roman" w:eastAsia="宋体" w:cs="Times New Roman"/>
                <w:b w:val="0"/>
                <w:bCs w:val="0"/>
                <w:color w:val="auto"/>
                <w:sz w:val="24"/>
                <w:szCs w:val="24"/>
                <w:lang w:val="en-US" w:eastAsia="zh-CN"/>
              </w:rPr>
              <w:t>元/间</w:t>
            </w:r>
          </w:p>
        </w:tc>
      </w:tr>
      <w:tr w14:paraId="499D4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81" w:type="pct"/>
            <w:vAlign w:val="center"/>
          </w:tcPr>
          <w:p w14:paraId="07E198FA">
            <w:pPr>
              <w:keepNext w:val="0"/>
              <w:keepLines w:val="0"/>
              <w:widowControl/>
              <w:suppressLineNumbers w:val="0"/>
              <w:jc w:val="center"/>
              <w:textAlignment w:val="center"/>
              <w:rPr>
                <w:rFonts w:hint="default" w:ascii="Times New Roman" w:hAnsi="Times New Roman" w:cs="Times New Roman"/>
                <w:i w:val="0"/>
                <w:iCs w:val="0"/>
                <w:color w:val="auto"/>
                <w:kern w:val="0"/>
                <w:sz w:val="24"/>
                <w:szCs w:val="24"/>
                <w:u w:val="none"/>
                <w:lang w:val="en-US" w:eastAsia="zh-CN" w:bidi="ar"/>
              </w:rPr>
            </w:pPr>
            <w:r>
              <w:rPr>
                <w:rFonts w:hint="eastAsia" w:cs="Times New Roman"/>
                <w:i w:val="0"/>
                <w:iCs w:val="0"/>
                <w:color w:val="auto"/>
                <w:kern w:val="0"/>
                <w:sz w:val="24"/>
                <w:szCs w:val="24"/>
                <w:u w:val="none"/>
                <w:lang w:val="en-US" w:eastAsia="zh-CN" w:bidi="ar"/>
              </w:rPr>
              <w:t>2</w:t>
            </w:r>
          </w:p>
        </w:tc>
        <w:tc>
          <w:tcPr>
            <w:tcW w:w="2430" w:type="pct"/>
            <w:vAlign w:val="center"/>
          </w:tcPr>
          <w:p w14:paraId="2102FB26">
            <w:pPr>
              <w:keepNext w:val="0"/>
              <w:keepLines w:val="0"/>
              <w:widowControl/>
              <w:suppressLineNumbers w:val="0"/>
              <w:jc w:val="center"/>
              <w:textAlignment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小学科学教室家具及设施改造（吊装）</w:t>
            </w:r>
          </w:p>
        </w:tc>
        <w:tc>
          <w:tcPr>
            <w:tcW w:w="590" w:type="pct"/>
            <w:vAlign w:val="center"/>
          </w:tcPr>
          <w:p w14:paraId="408D0CC0">
            <w:pPr>
              <w:spacing w:line="240" w:lineRule="auto"/>
              <w:jc w:val="center"/>
              <w:rPr>
                <w:rFonts w:hint="eastAsia" w:ascii="Times New Roman" w:hAnsi="Times New Roman" w:cs="Times New Roman"/>
                <w:bCs w:val="0"/>
                <w:color w:val="auto"/>
                <w:sz w:val="24"/>
                <w:szCs w:val="24"/>
                <w:lang w:val="en-US" w:eastAsia="zh-CN"/>
              </w:rPr>
            </w:pPr>
            <w:r>
              <w:rPr>
                <w:rFonts w:hint="eastAsia" w:cs="Times New Roman"/>
                <w:bCs/>
                <w:color w:val="auto"/>
                <w:sz w:val="24"/>
                <w:szCs w:val="24"/>
                <w:lang w:val="en-US" w:eastAsia="zh-CN"/>
              </w:rPr>
              <w:t>2</w:t>
            </w:r>
            <w:r>
              <w:rPr>
                <w:rFonts w:hint="default" w:ascii="Times New Roman" w:hAnsi="Times New Roman" w:cs="Times New Roman"/>
                <w:bCs/>
                <w:color w:val="auto"/>
                <w:sz w:val="24"/>
                <w:szCs w:val="24"/>
                <w:lang w:val="en-US" w:eastAsia="zh-CN"/>
              </w:rPr>
              <w:t>间</w:t>
            </w:r>
          </w:p>
        </w:tc>
        <w:tc>
          <w:tcPr>
            <w:tcW w:w="1497" w:type="pct"/>
            <w:vAlign w:val="center"/>
          </w:tcPr>
          <w:p w14:paraId="51E9B28E">
            <w:pPr>
              <w:spacing w:line="240" w:lineRule="auto"/>
              <w:jc w:val="center"/>
              <w:rPr>
                <w:rFonts w:hint="eastAsia" w:cs="Times New Roman"/>
                <w:b w:val="0"/>
                <w:bCs w:val="0"/>
                <w:color w:val="auto"/>
                <w:sz w:val="24"/>
                <w:szCs w:val="24"/>
                <w:lang w:val="en-US" w:eastAsia="zh-CN"/>
              </w:rPr>
            </w:pPr>
            <w:r>
              <w:rPr>
                <w:rFonts w:hint="eastAsia" w:cs="Times New Roman"/>
                <w:b w:val="0"/>
                <w:bCs w:val="0"/>
                <w:color w:val="auto"/>
                <w:sz w:val="24"/>
                <w:szCs w:val="24"/>
                <w:lang w:val="en-US" w:eastAsia="zh-CN"/>
              </w:rPr>
              <w:t>282250</w:t>
            </w:r>
            <w:r>
              <w:rPr>
                <w:rFonts w:hint="eastAsia" w:ascii="Times New Roman" w:hAnsi="Times New Roman" w:eastAsia="宋体" w:cs="Times New Roman"/>
                <w:b w:val="0"/>
                <w:bCs w:val="0"/>
                <w:color w:val="auto"/>
                <w:sz w:val="24"/>
                <w:szCs w:val="24"/>
                <w:lang w:val="en-US" w:eastAsia="zh-CN"/>
              </w:rPr>
              <w:t>元/间</w:t>
            </w:r>
          </w:p>
        </w:tc>
      </w:tr>
      <w:tr w14:paraId="17E0F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81" w:type="pct"/>
            <w:vAlign w:val="center"/>
          </w:tcPr>
          <w:p w14:paraId="3BEC1485">
            <w:pPr>
              <w:keepNext w:val="0"/>
              <w:keepLines w:val="0"/>
              <w:widowControl/>
              <w:suppressLineNumbers w:val="0"/>
              <w:jc w:val="center"/>
              <w:textAlignment w:val="center"/>
              <w:rPr>
                <w:rFonts w:hint="default" w:ascii="Times New Roman" w:hAnsi="Times New Roman" w:cs="Times New Roman"/>
                <w:i w:val="0"/>
                <w:iCs w:val="0"/>
                <w:color w:val="auto"/>
                <w:kern w:val="0"/>
                <w:sz w:val="24"/>
                <w:szCs w:val="24"/>
                <w:u w:val="none"/>
                <w:lang w:val="en-US" w:eastAsia="zh-CN" w:bidi="ar"/>
              </w:rPr>
            </w:pPr>
            <w:r>
              <w:rPr>
                <w:rFonts w:hint="eastAsia" w:cs="Times New Roman"/>
                <w:i w:val="0"/>
                <w:iCs w:val="0"/>
                <w:color w:val="auto"/>
                <w:kern w:val="0"/>
                <w:sz w:val="24"/>
                <w:szCs w:val="24"/>
                <w:u w:val="none"/>
                <w:lang w:val="en-US" w:eastAsia="zh-CN" w:bidi="ar"/>
              </w:rPr>
              <w:t>3</w:t>
            </w:r>
          </w:p>
        </w:tc>
        <w:tc>
          <w:tcPr>
            <w:tcW w:w="2430" w:type="pct"/>
            <w:vAlign w:val="center"/>
          </w:tcPr>
          <w:p w14:paraId="0B5E4D45">
            <w:pPr>
              <w:keepNext w:val="0"/>
              <w:keepLines w:val="0"/>
              <w:widowControl/>
              <w:suppressLineNumbers w:val="0"/>
              <w:jc w:val="center"/>
              <w:textAlignment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显微镜</w:t>
            </w:r>
          </w:p>
        </w:tc>
        <w:tc>
          <w:tcPr>
            <w:tcW w:w="590" w:type="pct"/>
            <w:vAlign w:val="center"/>
          </w:tcPr>
          <w:p w14:paraId="2FB616C7">
            <w:pPr>
              <w:spacing w:line="240" w:lineRule="auto"/>
              <w:jc w:val="center"/>
              <w:rPr>
                <w:rFonts w:hint="default" w:ascii="Times New Roman" w:hAnsi="Times New Roman" w:cs="Times New Roman"/>
                <w:bCs/>
                <w:color w:val="auto"/>
                <w:sz w:val="24"/>
                <w:szCs w:val="24"/>
                <w:lang w:val="en-US" w:eastAsia="zh-CN"/>
              </w:rPr>
            </w:pPr>
            <w:r>
              <w:rPr>
                <w:rFonts w:hint="eastAsia" w:cs="Times New Roman"/>
                <w:bCs/>
                <w:color w:val="auto"/>
                <w:sz w:val="24"/>
                <w:szCs w:val="24"/>
                <w:lang w:val="en-US" w:eastAsia="zh-CN"/>
              </w:rPr>
              <w:t>159</w:t>
            </w:r>
            <w:r>
              <w:rPr>
                <w:rFonts w:hint="eastAsia" w:ascii="Times New Roman" w:hAnsi="Times New Roman" w:cs="Times New Roman"/>
                <w:bCs/>
                <w:color w:val="auto"/>
                <w:sz w:val="24"/>
                <w:szCs w:val="24"/>
                <w:lang w:val="en-US" w:eastAsia="zh-CN"/>
              </w:rPr>
              <w:t>台</w:t>
            </w:r>
          </w:p>
        </w:tc>
        <w:tc>
          <w:tcPr>
            <w:tcW w:w="1497" w:type="pct"/>
            <w:vAlign w:val="center"/>
          </w:tcPr>
          <w:p w14:paraId="7D7734B3">
            <w:pPr>
              <w:spacing w:line="240" w:lineRule="auto"/>
              <w:jc w:val="center"/>
              <w:rPr>
                <w:rFonts w:hint="eastAsia" w:cs="Times New Roman"/>
                <w:b w:val="0"/>
                <w:bCs w:val="0"/>
                <w:color w:val="auto"/>
                <w:sz w:val="24"/>
                <w:szCs w:val="24"/>
                <w:lang w:val="en-US" w:eastAsia="zh-CN"/>
              </w:rPr>
            </w:pPr>
            <w:r>
              <w:rPr>
                <w:rFonts w:hint="eastAsia" w:cs="Times New Roman"/>
                <w:b w:val="0"/>
                <w:bCs w:val="0"/>
                <w:color w:val="auto"/>
                <w:sz w:val="24"/>
                <w:szCs w:val="24"/>
                <w:lang w:val="en-US" w:eastAsia="zh-CN"/>
              </w:rPr>
              <w:t>2000元/台</w:t>
            </w:r>
          </w:p>
        </w:tc>
      </w:tr>
    </w:tbl>
    <w:p w14:paraId="572410F1">
      <w:pPr>
        <w:numPr>
          <w:ilvl w:val="0"/>
          <w:numId w:val="0"/>
        </w:numPr>
        <w:tabs>
          <w:tab w:val="left" w:pos="360"/>
          <w:tab w:val="left" w:pos="900"/>
        </w:tabs>
        <w:snapToGrid w:val="0"/>
        <w:spacing w:line="360" w:lineRule="auto"/>
        <w:jc w:val="left"/>
        <w:outlineLvl w:val="1"/>
        <w:rPr>
          <w:rFonts w:hint="default" w:ascii="Times New Roman" w:hAnsi="Times New Roman" w:eastAsia="宋体" w:cs="Times New Roman"/>
          <w:color w:val="auto"/>
          <w:spacing w:val="-2"/>
          <w:kern w:val="2"/>
          <w:sz w:val="24"/>
          <w:szCs w:val="24"/>
          <w:lang w:val="en-US" w:eastAsia="zh-CN" w:bidi="ar-SA"/>
        </w:rPr>
      </w:pPr>
    </w:p>
    <w:p w14:paraId="7D98F3DD">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采购标的交付时间、地点</w:t>
      </w:r>
    </w:p>
    <w:p w14:paraId="7CA657E3">
      <w:pPr>
        <w:numPr>
          <w:ilvl w:val="0"/>
          <w:numId w:val="2"/>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交付时间：</w:t>
      </w:r>
      <w:r>
        <w:rPr>
          <w:rFonts w:hint="default" w:ascii="Times New Roman" w:hAnsi="Times New Roman" w:eastAsia="宋体" w:cs="Times New Roman"/>
          <w:color w:val="auto"/>
          <w:sz w:val="24"/>
          <w:lang w:val="en-US" w:eastAsia="zh-CN"/>
        </w:rPr>
        <w:t>2026年</w:t>
      </w:r>
      <w:r>
        <w:rPr>
          <w:rFonts w:hint="eastAsia" w:cs="Times New Roman"/>
          <w:color w:val="auto"/>
          <w:sz w:val="24"/>
          <w:lang w:val="en-US" w:eastAsia="zh-CN"/>
        </w:rPr>
        <w:t>10</w:t>
      </w:r>
      <w:r>
        <w:rPr>
          <w:rFonts w:hint="default" w:ascii="Times New Roman" w:hAnsi="Times New Roman" w:eastAsia="宋体" w:cs="Times New Roman"/>
          <w:color w:val="auto"/>
          <w:sz w:val="24"/>
          <w:lang w:val="en-US" w:eastAsia="zh-CN"/>
        </w:rPr>
        <w:t>月</w:t>
      </w:r>
      <w:r>
        <w:rPr>
          <w:rFonts w:hint="eastAsia" w:cs="Times New Roman"/>
          <w:color w:val="auto"/>
          <w:sz w:val="24"/>
          <w:lang w:val="en-US" w:eastAsia="zh-CN"/>
        </w:rPr>
        <w:t>29</w:t>
      </w:r>
      <w:r>
        <w:rPr>
          <w:rFonts w:hint="default" w:ascii="Times New Roman" w:hAnsi="Times New Roman" w:eastAsia="宋体" w:cs="Times New Roman"/>
          <w:color w:val="auto"/>
          <w:sz w:val="24"/>
          <w:lang w:val="en-US" w:eastAsia="zh-CN"/>
        </w:rPr>
        <w:t>日前</w:t>
      </w:r>
      <w:r>
        <w:rPr>
          <w:rFonts w:hint="default" w:ascii="Times New Roman" w:hAnsi="Times New Roman" w:eastAsia="宋体" w:cs="Times New Roman"/>
          <w:color w:val="auto"/>
          <w:sz w:val="24"/>
        </w:rPr>
        <w:t>完成</w:t>
      </w:r>
      <w:r>
        <w:rPr>
          <w:rFonts w:hint="default" w:ascii="Times New Roman" w:hAnsi="Times New Roman" w:eastAsia="宋体" w:cs="Times New Roman"/>
          <w:color w:val="auto"/>
          <w:sz w:val="24"/>
          <w:lang w:val="en-US" w:eastAsia="zh-CN"/>
        </w:rPr>
        <w:t>备货</w:t>
      </w:r>
      <w:r>
        <w:rPr>
          <w:rFonts w:hint="eastAsia" w:cs="Times New Roman"/>
          <w:color w:val="auto"/>
          <w:sz w:val="24"/>
          <w:lang w:val="en-US" w:eastAsia="zh-CN"/>
        </w:rPr>
        <w:t>，2026年11月30日</w:t>
      </w:r>
      <w:r>
        <w:rPr>
          <w:rFonts w:hint="default" w:ascii="Times New Roman" w:hAnsi="Times New Roman" w:eastAsia="宋体" w:cs="Times New Roman"/>
          <w:color w:val="auto"/>
          <w:spacing w:val="-2"/>
          <w:kern w:val="2"/>
          <w:sz w:val="24"/>
          <w:szCs w:val="24"/>
          <w:lang w:val="en-US" w:eastAsia="zh-CN" w:bidi="ar-SA"/>
        </w:rPr>
        <w:t>前完成所有学校的安装、调试工作</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val="en-US" w:eastAsia="zh-CN"/>
        </w:rPr>
        <w:t>具体时间</w:t>
      </w:r>
      <w:r>
        <w:rPr>
          <w:rFonts w:hint="default" w:ascii="Times New Roman" w:hAnsi="Times New Roman" w:eastAsia="宋体" w:cs="Times New Roman"/>
          <w:color w:val="auto"/>
          <w:sz w:val="24"/>
        </w:rPr>
        <w:t>由</w:t>
      </w:r>
      <w:r>
        <w:rPr>
          <w:rFonts w:hint="default" w:ascii="Times New Roman" w:hAnsi="Times New Roman" w:eastAsia="宋体" w:cs="Times New Roman"/>
          <w:color w:val="auto"/>
          <w:kern w:val="0"/>
          <w:sz w:val="24"/>
          <w:lang w:val="en-US" w:eastAsia="zh-CN"/>
        </w:rPr>
        <w:t>投标人</w:t>
      </w:r>
      <w:r>
        <w:rPr>
          <w:rFonts w:hint="default" w:ascii="Times New Roman" w:hAnsi="Times New Roman" w:eastAsia="宋体" w:cs="Times New Roman"/>
          <w:color w:val="auto"/>
          <w:sz w:val="24"/>
        </w:rPr>
        <w:t>分别与各</w:t>
      </w:r>
      <w:r>
        <w:rPr>
          <w:rFonts w:hint="default" w:ascii="Times New Roman" w:hAnsi="Times New Roman" w:eastAsia="宋体" w:cs="Times New Roman"/>
          <w:color w:val="auto"/>
          <w:sz w:val="24"/>
          <w:lang w:val="en-US" w:eastAsia="zh-CN"/>
        </w:rPr>
        <w:t>学校</w:t>
      </w:r>
      <w:r>
        <w:rPr>
          <w:rFonts w:hint="default" w:ascii="Times New Roman" w:hAnsi="Times New Roman" w:eastAsia="宋体" w:cs="Times New Roman"/>
          <w:color w:val="auto"/>
          <w:sz w:val="24"/>
        </w:rPr>
        <w:t xml:space="preserve">通过签订分合同确定。 </w:t>
      </w:r>
    </w:p>
    <w:p w14:paraId="6B9A7BC3">
      <w:pPr>
        <w:numPr>
          <w:ilvl w:val="0"/>
          <w:numId w:val="2"/>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交付地点：</w:t>
      </w:r>
      <w:r>
        <w:rPr>
          <w:rFonts w:hint="default" w:ascii="Times New Roman" w:hAnsi="Times New Roman" w:eastAsia="宋体" w:cs="Times New Roman"/>
          <w:color w:val="auto"/>
          <w:sz w:val="24"/>
        </w:rPr>
        <w:t>各</w:t>
      </w:r>
      <w:r>
        <w:rPr>
          <w:rFonts w:hint="default" w:ascii="Times New Roman" w:hAnsi="Times New Roman" w:eastAsia="宋体" w:cs="Times New Roman"/>
          <w:color w:val="auto"/>
          <w:sz w:val="24"/>
          <w:lang w:val="en-US" w:eastAsia="zh-CN"/>
        </w:rPr>
        <w:t>学校指定地点</w:t>
      </w:r>
      <w:r>
        <w:rPr>
          <w:rFonts w:hint="default" w:ascii="Times New Roman" w:hAnsi="Times New Roman" w:eastAsia="宋体" w:cs="Times New Roman"/>
          <w:color w:val="auto"/>
          <w:sz w:val="24"/>
        </w:rPr>
        <w:t>。</w:t>
      </w:r>
    </w:p>
    <w:p w14:paraId="4163A1B9">
      <w:pPr>
        <w:numPr>
          <w:ilvl w:val="0"/>
          <w:numId w:val="0"/>
        </w:numPr>
        <w:tabs>
          <w:tab w:val="left" w:pos="360"/>
          <w:tab w:val="left" w:pos="900"/>
        </w:tabs>
        <w:snapToGrid w:val="0"/>
        <w:spacing w:line="360" w:lineRule="auto"/>
        <w:jc w:val="left"/>
        <w:outlineLvl w:val="1"/>
        <w:rPr>
          <w:rFonts w:hint="default" w:ascii="Times New Roman" w:hAnsi="Times New Roman" w:eastAsia="宋体" w:cs="Times New Roman"/>
          <w:color w:val="auto"/>
          <w:sz w:val="24"/>
        </w:rPr>
      </w:pPr>
    </w:p>
    <w:p w14:paraId="6D1FD073">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技术参数要求</w:t>
      </w:r>
    </w:p>
    <w:tbl>
      <w:tblPr>
        <w:tblStyle w:val="3"/>
        <w:tblW w:w="10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807"/>
        <w:gridCol w:w="1288"/>
        <w:gridCol w:w="6240"/>
        <w:gridCol w:w="731"/>
        <w:gridCol w:w="717"/>
      </w:tblGrid>
      <w:tr w14:paraId="72BB1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0D9E4D35">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lang w:val="en-US" w:eastAsia="zh-CN"/>
              </w:rPr>
              <w:t>1</w:t>
            </w:r>
            <w:r>
              <w:rPr>
                <w:rFonts w:ascii="Times New Roman" w:hAnsi="Times New Roman" w:eastAsia="宋体" w:cs="Times New Roman"/>
                <w:b/>
                <w:bCs/>
                <w:color w:val="auto"/>
                <w:kern w:val="0"/>
                <w:sz w:val="24"/>
                <w:szCs w:val="24"/>
              </w:rPr>
              <w:t>、小学科学教室家具及设施改造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常规46人</w:t>
            </w:r>
            <w:r>
              <w:rPr>
                <w:rFonts w:hint="eastAsia" w:ascii="Times New Roman" w:hAnsi="Times New Roman" w:eastAsia="宋体" w:cs="Times New Roman"/>
                <w:b/>
                <w:bCs/>
                <w:color w:val="auto"/>
                <w:kern w:val="0"/>
                <w:sz w:val="24"/>
                <w:szCs w:val="24"/>
                <w:lang w:eastAsia="zh-CN"/>
              </w:rPr>
              <w:t>）</w:t>
            </w:r>
          </w:p>
        </w:tc>
      </w:tr>
      <w:tr w14:paraId="34016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C6A32AF">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0CBCA0A5">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00E9DBE8">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5E4D92EF">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3E735FD8">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0D9206AB">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31BB3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2147B25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基础设施</w:t>
            </w:r>
          </w:p>
        </w:tc>
      </w:tr>
      <w:tr w14:paraId="1657B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42575B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53DA275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活动演示台</w:t>
            </w:r>
          </w:p>
        </w:tc>
        <w:tc>
          <w:tcPr>
            <w:tcW w:w="1288" w:type="dxa"/>
            <w:vAlign w:val="center"/>
          </w:tcPr>
          <w:p w14:paraId="2CC5F07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900mm×650mm×1000mm</w:t>
            </w:r>
          </w:p>
        </w:tc>
        <w:tc>
          <w:tcPr>
            <w:tcW w:w="6240" w:type="dxa"/>
            <w:vAlign w:val="center"/>
          </w:tcPr>
          <w:p w14:paraId="4AABCCE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900mm×650mm×1000mm</w:t>
            </w:r>
          </w:p>
          <w:p w14:paraId="7DF558C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2、产品参数：台面采用≥25mm三聚氰胺饰面板加工制作，不低于1.5mm厚塑制优质封边条机械封边；台面开有走线孔；</w:t>
            </w:r>
          </w:p>
          <w:p w14:paraId="661A6E2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柜体采用≥1mm厚冷轧钢板弯曲焊接而成，内侧和下底采用≥5mm钢板加强，整体呈半椭圆形，满冲≥φ5mm圆孔；门板采用≥16mm三聚氰胺饰面板加工制作，配有缓冲铰链，表面设有跑道圆孔洞，各面板上留过线孔；</w:t>
            </w:r>
          </w:p>
          <w:p w14:paraId="6B98BD1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柜体内设层板上下分隔，最大量利用空间；下脚架采用≥φ25mm×2.0mm光滑圆管，配置4个静音刹车万向轮，方便推移也可固定。</w:t>
            </w:r>
          </w:p>
        </w:tc>
        <w:tc>
          <w:tcPr>
            <w:tcW w:w="731" w:type="dxa"/>
            <w:vAlign w:val="center"/>
          </w:tcPr>
          <w:p w14:paraId="55F0753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50BAFEC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B07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CD3E22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1ECBC9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L型教师工作台</w:t>
            </w:r>
          </w:p>
        </w:tc>
        <w:tc>
          <w:tcPr>
            <w:tcW w:w="1288" w:type="dxa"/>
            <w:vAlign w:val="center"/>
          </w:tcPr>
          <w:p w14:paraId="31CC820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主台：</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1500mm×600mm×750mm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副台：</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1500mm×500mm×620mm</w:t>
            </w:r>
          </w:p>
        </w:tc>
        <w:tc>
          <w:tcPr>
            <w:tcW w:w="6240" w:type="dxa"/>
          </w:tcPr>
          <w:p w14:paraId="7181987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主台</w:t>
            </w: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1500mm×600mm×750mm。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副台</w:t>
            </w: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1500mm×500mm×620mm。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3、台身参数：台身采用静电喷涂钢架方管框架带底脚，设前挡板。</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副台：采用≥16mm厚三聚氰胺饰面板加工制作，预留主机箱位置，配备散热孔，设三组抽屉和拉门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4、五金件：阻尼铰链、三节静音滑轨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配备柜门锁一个</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配置二三孔座两组。</w:t>
            </w:r>
          </w:p>
        </w:tc>
        <w:tc>
          <w:tcPr>
            <w:tcW w:w="731" w:type="dxa"/>
            <w:vAlign w:val="center"/>
          </w:tcPr>
          <w:p w14:paraId="3A48C5B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noWrap/>
            <w:vAlign w:val="center"/>
          </w:tcPr>
          <w:p w14:paraId="0F50BAB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27BB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A15BE5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0B6D4B7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教师工作椅</w:t>
            </w:r>
          </w:p>
        </w:tc>
        <w:tc>
          <w:tcPr>
            <w:tcW w:w="1288" w:type="dxa"/>
            <w:vAlign w:val="center"/>
          </w:tcPr>
          <w:p w14:paraId="64DAAD5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480mm×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mm×970mm-1070mm</w:t>
            </w:r>
          </w:p>
        </w:tc>
        <w:tc>
          <w:tcPr>
            <w:tcW w:w="6240" w:type="dxa"/>
            <w:vAlign w:val="center"/>
          </w:tcPr>
          <w:p w14:paraId="62CD3B55">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480mm×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mm×970mm-1070mm</w:t>
            </w:r>
          </w:p>
          <w:p w14:paraId="6481F7F3">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椅面、靠背选用网布面料。背垫、座垫采用高密度发泡成型棉，依人体坐姿特别设计，符合人体工学。圆五星脚配活动脚轮，气压调节座位高度。</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外观性能：管材应无裂缝、叠缝，外露管口端面应封闭，圆管和扁线弯曲处弧形应圆滑一致；喷漆（塑）涂层：应无漏喷、锈蚀、脱色、掉色等，应光滑均匀，色泽一致，应无流挂、疙瘩、皱皮、飞漆等</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安全性能：固定零部件的结合应牢固无松动,应无少件、透钉、漏钉，正常使用时,其他部件表面应无锐边、锐角。</w:t>
            </w:r>
          </w:p>
        </w:tc>
        <w:tc>
          <w:tcPr>
            <w:tcW w:w="731" w:type="dxa"/>
            <w:noWrap/>
            <w:vAlign w:val="center"/>
          </w:tcPr>
          <w:p w14:paraId="70DF750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62A14D0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CC97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CB9BB7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2513941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学生桌</w:t>
            </w:r>
          </w:p>
        </w:tc>
        <w:tc>
          <w:tcPr>
            <w:tcW w:w="1288" w:type="dxa"/>
            <w:vAlign w:val="center"/>
          </w:tcPr>
          <w:p w14:paraId="09539878">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00mm×</w:t>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00mm×750mm</w:t>
            </w:r>
          </w:p>
        </w:tc>
        <w:tc>
          <w:tcPr>
            <w:tcW w:w="6240" w:type="dxa"/>
            <w:vAlign w:val="center"/>
          </w:tcPr>
          <w:p w14:paraId="0AB7FBCB">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00mm×</w:t>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00mm×750mm</w:t>
            </w:r>
          </w:p>
          <w:p w14:paraId="0B50F93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，立面倒角。</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台身参数：桌腿采用≥60mm×30mm×1.2mm钢架，横梁采用≥</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mm×20mm×1.2mm方管</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表面采用环氧树脂粉末静电喷涂处理。连接采用铝合金铸件。左右两侧0.8mm钢板。台身设储物盒。</w:t>
            </w:r>
          </w:p>
        </w:tc>
        <w:tc>
          <w:tcPr>
            <w:tcW w:w="731" w:type="dxa"/>
            <w:vAlign w:val="center"/>
          </w:tcPr>
          <w:p w14:paraId="466697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01B8E53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23</w:t>
            </w:r>
          </w:p>
        </w:tc>
      </w:tr>
      <w:tr w14:paraId="36A31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41FBCE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213BB06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69FC11B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tcPr>
          <w:p w14:paraId="197E87C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1、尺寸：座高</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2、材质：PP+钢管。</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3、坐垫</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尺寸≥</w:t>
            </w:r>
            <w:r>
              <w:rPr>
                <w:rFonts w:hint="eastAsia" w:ascii="Times New Roman" w:hAnsi="Times New Roman" w:eastAsia="宋体" w:cs="Times New Roman"/>
                <w:color w:val="auto"/>
                <w:kern w:val="0"/>
                <w:sz w:val="24"/>
                <w:szCs w:val="24"/>
              </w:rPr>
              <w:t>300mm×300mm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采用彩色PP塑料一体注塑成型，椅背采用提手设计；椅钢架采≥22mm×1.5mm圆形钢管制作，表面采用环氧树脂粉末静电喷涂处理，耐腐蚀，不易生锈；脚垫采用PP纤维质塑胶一体成型，防滑、耐用、耐摩擦，保护地板防止摩擦，所有零部件采用永久性固定方式，不会产生松散、脱落之情形。可垂直堆叠。</w:t>
            </w:r>
          </w:p>
        </w:tc>
        <w:tc>
          <w:tcPr>
            <w:tcW w:w="731" w:type="dxa"/>
            <w:vAlign w:val="center"/>
          </w:tcPr>
          <w:p w14:paraId="66E9163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570658E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6FD7B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B4D24C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13E6D2A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水柜</w:t>
            </w:r>
          </w:p>
        </w:tc>
        <w:tc>
          <w:tcPr>
            <w:tcW w:w="1288" w:type="dxa"/>
            <w:vAlign w:val="center"/>
          </w:tcPr>
          <w:p w14:paraId="24E6A11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2400mm×600mm×760mm</w:t>
            </w:r>
          </w:p>
        </w:tc>
        <w:tc>
          <w:tcPr>
            <w:tcW w:w="6240" w:type="dxa"/>
            <w:vAlign w:val="center"/>
          </w:tcPr>
          <w:p w14:paraId="6327F9E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2400mm×600mm×760mm</w:t>
            </w:r>
          </w:p>
          <w:p w14:paraId="48BC096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p>
        </w:tc>
        <w:tc>
          <w:tcPr>
            <w:tcW w:w="731" w:type="dxa"/>
            <w:vAlign w:val="center"/>
          </w:tcPr>
          <w:p w14:paraId="00D8873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1271429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69295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E53B2A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747B868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63C47A5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3D3F597">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台式单口鹅颈水龙头</w:t>
            </w:r>
          </w:p>
          <w:p w14:paraId="588F755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1、主体：加厚铜质。</w:t>
            </w:r>
          </w:p>
          <w:p w14:paraId="00A0CF4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2、涂层：高亮度环氧树脂涂层，耐腐蚀、耐热、防紫外线辐射。</w:t>
            </w:r>
          </w:p>
          <w:p w14:paraId="34D2559E">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3、陶瓷阀芯：90°旋转，使用寿命开关≥50万次，静态最大耐压≥1.0MPa。</w:t>
            </w:r>
          </w:p>
          <w:p w14:paraId="44618FE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4、附件：可拆卸铜质水嘴，可加接防溅滤水器。</w:t>
            </w:r>
          </w:p>
          <w:p w14:paraId="306B68FF">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5、开关旋钮：高密度PP。</w:t>
            </w:r>
          </w:p>
        </w:tc>
        <w:tc>
          <w:tcPr>
            <w:tcW w:w="731" w:type="dxa"/>
            <w:vAlign w:val="center"/>
          </w:tcPr>
          <w:p w14:paraId="5865FDE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068ABB8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237B0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3F4D8B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4F53006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30F4908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≥500</w:t>
            </w:r>
            <w:r>
              <w:rPr>
                <w:rFonts w:hint="eastAsia" w:ascii="Times New Roman" w:hAnsi="Times New Roman" w:eastAsia="宋体" w:cs="Times New Roman"/>
                <w:color w:val="auto"/>
                <w:kern w:val="0"/>
                <w:sz w:val="24"/>
                <w:szCs w:val="24"/>
                <w:lang w:val="en-US" w:eastAsia="zh-CN"/>
              </w:rPr>
              <w:t>mm</w:t>
            </w:r>
            <w:r>
              <w:rPr>
                <w:rFonts w:ascii="Times New Roman" w:hAnsi="Times New Roman" w:eastAsia="宋体" w:cs="Times New Roman"/>
                <w:color w:val="auto"/>
                <w:kern w:val="0"/>
                <w:sz w:val="24"/>
                <w:szCs w:val="24"/>
              </w:rPr>
              <w:t>×400</w:t>
            </w:r>
            <w:r>
              <w:rPr>
                <w:rFonts w:hint="eastAsia" w:ascii="Times New Roman" w:hAnsi="Times New Roman" w:eastAsia="宋体" w:cs="Times New Roman"/>
                <w:color w:val="auto"/>
                <w:kern w:val="0"/>
                <w:sz w:val="24"/>
                <w:szCs w:val="24"/>
                <w:lang w:val="en-US" w:eastAsia="zh-CN"/>
              </w:rPr>
              <w:t>mm</w:t>
            </w:r>
            <w:r>
              <w:rPr>
                <w:rFonts w:ascii="Times New Roman" w:hAnsi="Times New Roman" w:eastAsia="宋体" w:cs="Times New Roman"/>
                <w:color w:val="auto"/>
                <w:kern w:val="0"/>
                <w:sz w:val="24"/>
                <w:szCs w:val="24"/>
              </w:rPr>
              <w:t>×220mm</w:t>
            </w:r>
          </w:p>
        </w:tc>
        <w:tc>
          <w:tcPr>
            <w:tcW w:w="6240" w:type="dxa"/>
            <w:vAlign w:val="center"/>
          </w:tcPr>
          <w:p w14:paraId="00108F9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≥500</w:t>
            </w:r>
            <w:r>
              <w:rPr>
                <w:rFonts w:hint="eastAsia" w:ascii="Times New Roman" w:hAnsi="Times New Roman" w:eastAsia="宋体" w:cs="Times New Roman"/>
                <w:color w:val="auto"/>
                <w:kern w:val="0"/>
                <w:sz w:val="24"/>
                <w:szCs w:val="24"/>
                <w:lang w:val="en-US" w:eastAsia="zh-CN"/>
              </w:rPr>
              <w:t>mm</w:t>
            </w:r>
            <w:r>
              <w:rPr>
                <w:rFonts w:hint="eastAsia" w:ascii="Times New Roman" w:hAnsi="Times New Roman" w:eastAsia="宋体" w:cs="Times New Roman"/>
                <w:color w:val="auto"/>
                <w:kern w:val="0"/>
                <w:sz w:val="24"/>
                <w:szCs w:val="24"/>
              </w:rPr>
              <w:t>*400</w:t>
            </w:r>
            <w:r>
              <w:rPr>
                <w:rFonts w:hint="eastAsia" w:ascii="Times New Roman" w:hAnsi="Times New Roman" w:eastAsia="宋体" w:cs="Times New Roman"/>
                <w:color w:val="auto"/>
                <w:kern w:val="0"/>
                <w:sz w:val="24"/>
                <w:szCs w:val="24"/>
                <w:lang w:val="en-US" w:eastAsia="zh-CN"/>
              </w:rPr>
              <w:t>mm</w:t>
            </w:r>
            <w:r>
              <w:rPr>
                <w:rFonts w:hint="eastAsia" w:ascii="Times New Roman" w:hAnsi="Times New Roman" w:eastAsia="宋体" w:cs="Times New Roman"/>
                <w:color w:val="auto"/>
                <w:kern w:val="0"/>
                <w:sz w:val="24"/>
                <w:szCs w:val="24"/>
              </w:rPr>
              <w:t>*220mm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采用白色陶瓷一体成型，具耐酸碱</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t>耐有机溶剂</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t>耐紫外线等特点。</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水槽外延与台面底部粘合一体成型，水槽底部钢架支撑，台面</w:t>
            </w:r>
            <w:r>
              <w:rPr>
                <w:rFonts w:hint="eastAsia" w:ascii="Times New Roman" w:hAnsi="Times New Roman" w:eastAsia="宋体" w:cs="Times New Roman"/>
                <w:color w:val="auto"/>
                <w:kern w:val="0"/>
                <w:sz w:val="24"/>
                <w:szCs w:val="24"/>
                <w:lang w:val="en-US" w:eastAsia="zh-CN"/>
              </w:rPr>
              <w:t>与</w:t>
            </w:r>
            <w:r>
              <w:rPr>
                <w:rFonts w:ascii="Times New Roman" w:hAnsi="Times New Roman" w:eastAsia="宋体" w:cs="Times New Roman"/>
                <w:color w:val="auto"/>
                <w:kern w:val="0"/>
                <w:sz w:val="24"/>
                <w:szCs w:val="24"/>
              </w:rPr>
              <w:t>水槽</w:t>
            </w:r>
            <w:r>
              <w:rPr>
                <w:rFonts w:hint="eastAsia" w:ascii="Times New Roman" w:hAnsi="Times New Roman" w:eastAsia="宋体" w:cs="Times New Roman"/>
                <w:color w:val="auto"/>
                <w:kern w:val="0"/>
                <w:sz w:val="24"/>
                <w:szCs w:val="24"/>
                <w:lang w:val="en-US" w:eastAsia="zh-CN"/>
              </w:rPr>
              <w:t>无</w:t>
            </w:r>
            <w:r>
              <w:rPr>
                <w:rFonts w:ascii="Times New Roman" w:hAnsi="Times New Roman" w:eastAsia="宋体" w:cs="Times New Roman"/>
                <w:color w:val="auto"/>
                <w:kern w:val="0"/>
                <w:sz w:val="24"/>
                <w:szCs w:val="24"/>
              </w:rPr>
              <w:t>接缝。</w:t>
            </w:r>
          </w:p>
        </w:tc>
        <w:tc>
          <w:tcPr>
            <w:tcW w:w="731" w:type="dxa"/>
            <w:vAlign w:val="center"/>
          </w:tcPr>
          <w:p w14:paraId="6A3C991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0E67681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25053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6B031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162CD79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储物边柜</w:t>
            </w:r>
          </w:p>
        </w:tc>
        <w:tc>
          <w:tcPr>
            <w:tcW w:w="1288" w:type="dxa"/>
            <w:vAlign w:val="center"/>
          </w:tcPr>
          <w:p w14:paraId="7A68A38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2000mm×500mm×750mm</w:t>
            </w:r>
          </w:p>
        </w:tc>
        <w:tc>
          <w:tcPr>
            <w:tcW w:w="6240" w:type="dxa"/>
            <w:vAlign w:val="center"/>
          </w:tcPr>
          <w:p w14:paraId="5E7B58C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2000mm×500mm×750mm</w:t>
            </w:r>
          </w:p>
          <w:p w14:paraId="1C7CA30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3、柜体参数：钢框架采用≥40mm×20mm×1.2mm钢管制作，柜体采用≥16mm厚三聚氰胺饰面板加工制作，≥1.5mm厚塑制封边条机械封边。柜体部分配板式对开门，部分配pp储物盒。</w:t>
            </w:r>
          </w:p>
        </w:tc>
        <w:tc>
          <w:tcPr>
            <w:tcW w:w="731" w:type="dxa"/>
            <w:vAlign w:val="center"/>
          </w:tcPr>
          <w:p w14:paraId="4C07C60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7350DE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5BEC7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599FFF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noWrap/>
            <w:vAlign w:val="center"/>
          </w:tcPr>
          <w:p w14:paraId="5719E7C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边柜电源</w:t>
            </w:r>
          </w:p>
        </w:tc>
        <w:tc>
          <w:tcPr>
            <w:tcW w:w="1288" w:type="dxa"/>
            <w:vAlign w:val="center"/>
          </w:tcPr>
          <w:p w14:paraId="47D102F8">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200mm×62mm</w:t>
            </w:r>
          </w:p>
        </w:tc>
        <w:tc>
          <w:tcPr>
            <w:tcW w:w="6240" w:type="dxa"/>
            <w:vAlign w:val="center"/>
          </w:tcPr>
          <w:p w14:paraId="0800997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200mm×62mm</w:t>
            </w:r>
          </w:p>
          <w:p w14:paraId="5045514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1、可夹式插座。标配1.8米线，1.5平方，10A插头电源线。插座背面出线。</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2、可夹0-30mm厚度的桌面板。</w:t>
            </w:r>
          </w:p>
        </w:tc>
        <w:tc>
          <w:tcPr>
            <w:tcW w:w="731" w:type="dxa"/>
            <w:noWrap/>
            <w:vAlign w:val="center"/>
          </w:tcPr>
          <w:p w14:paraId="66D8FAB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noWrap/>
            <w:vAlign w:val="center"/>
          </w:tcPr>
          <w:p w14:paraId="08F077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r>
      <w:tr w14:paraId="72AB6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F7DB8B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5CE7915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后墙组合柜</w:t>
            </w:r>
          </w:p>
        </w:tc>
        <w:tc>
          <w:tcPr>
            <w:tcW w:w="1288" w:type="dxa"/>
            <w:vAlign w:val="center"/>
          </w:tcPr>
          <w:p w14:paraId="1F559FA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5000mm×500mm×2200mm</w:t>
            </w:r>
          </w:p>
        </w:tc>
        <w:tc>
          <w:tcPr>
            <w:tcW w:w="6240" w:type="dxa"/>
            <w:vAlign w:val="center"/>
          </w:tcPr>
          <w:p w14:paraId="1BF3062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1、产品结构：板式结构。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2、产品</w:t>
            </w: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5000mm×500mm×2200mm；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3、柜体参数：柜体采用≥16mm厚三聚氰胺饰面板加工制作，≥1.5mm厚塑制封边条机械封边，柜体组合柜造型，部分板式柜门造型，部分玻璃柜门造型内设隔板，部分柜体配pp储物盒。中间配钢制穿孔工具墙。</w:t>
            </w:r>
          </w:p>
        </w:tc>
        <w:tc>
          <w:tcPr>
            <w:tcW w:w="731" w:type="dxa"/>
            <w:vAlign w:val="center"/>
          </w:tcPr>
          <w:p w14:paraId="0712DBB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78DA1DF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FD95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3FCFD0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c>
          <w:tcPr>
            <w:tcW w:w="807" w:type="dxa"/>
            <w:vAlign w:val="center"/>
          </w:tcPr>
          <w:p w14:paraId="34C6FC2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室内地上给排水</w:t>
            </w:r>
            <w:r>
              <w:rPr>
                <w:rFonts w:hint="eastAsia" w:ascii="Times New Roman" w:hAnsi="Times New Roman" w:eastAsia="宋体" w:cs="Times New Roman"/>
                <w:color w:val="auto"/>
                <w:kern w:val="0"/>
                <w:sz w:val="24"/>
                <w:szCs w:val="24"/>
              </w:rPr>
              <w:t>装置</w:t>
            </w:r>
          </w:p>
        </w:tc>
        <w:tc>
          <w:tcPr>
            <w:tcW w:w="1288" w:type="dxa"/>
            <w:vAlign w:val="center"/>
          </w:tcPr>
          <w:p w14:paraId="0F48630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C83F94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给水采用金属软连接与龙头连接，地上每套水嘴设一控制阀门。排水采用PVC管，连接处密封。</w:t>
            </w:r>
          </w:p>
        </w:tc>
        <w:tc>
          <w:tcPr>
            <w:tcW w:w="731" w:type="dxa"/>
            <w:vAlign w:val="center"/>
          </w:tcPr>
          <w:p w14:paraId="1C7B1C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48550F5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BEB5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9FFA99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c>
          <w:tcPr>
            <w:tcW w:w="807" w:type="dxa"/>
            <w:vAlign w:val="center"/>
          </w:tcPr>
          <w:p w14:paraId="5F0F598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室内地下给排水</w:t>
            </w:r>
            <w:r>
              <w:rPr>
                <w:rFonts w:hint="eastAsia" w:ascii="Times New Roman" w:hAnsi="Times New Roman" w:eastAsia="宋体" w:cs="Times New Roman"/>
                <w:color w:val="auto"/>
                <w:kern w:val="0"/>
                <w:sz w:val="24"/>
                <w:szCs w:val="24"/>
              </w:rPr>
              <w:t>装置</w:t>
            </w:r>
          </w:p>
        </w:tc>
        <w:tc>
          <w:tcPr>
            <w:tcW w:w="1288" w:type="dxa"/>
            <w:vAlign w:val="center"/>
          </w:tcPr>
          <w:p w14:paraId="702EE81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A11655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1、地面给水管铺设，采用直径20mm-32mm PP-R材料</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2、地面排水管铺设,PVC50</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采用直径50mm-75mm U-PVC材料。</w:t>
            </w:r>
          </w:p>
        </w:tc>
        <w:tc>
          <w:tcPr>
            <w:tcW w:w="731" w:type="dxa"/>
            <w:vAlign w:val="center"/>
          </w:tcPr>
          <w:p w14:paraId="13DE88F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77B7A2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19F6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7ED239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14</w:t>
            </w:r>
          </w:p>
        </w:tc>
        <w:tc>
          <w:tcPr>
            <w:tcW w:w="807" w:type="dxa"/>
            <w:vAlign w:val="center"/>
          </w:tcPr>
          <w:p w14:paraId="0556BF8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室内地上配电</w:t>
            </w:r>
            <w:r>
              <w:rPr>
                <w:rFonts w:hint="eastAsia" w:ascii="Times New Roman" w:hAnsi="Times New Roman" w:eastAsia="宋体" w:cs="Times New Roman"/>
                <w:color w:val="auto"/>
                <w:kern w:val="0"/>
                <w:sz w:val="24"/>
                <w:szCs w:val="24"/>
              </w:rPr>
              <w:t>耗材</w:t>
            </w:r>
          </w:p>
        </w:tc>
        <w:tc>
          <w:tcPr>
            <w:tcW w:w="1288" w:type="dxa"/>
            <w:vAlign w:val="center"/>
          </w:tcPr>
          <w:p w14:paraId="3427ECC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FC35B1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1、采用阻燃线管De20mm，内穿塑铜线，有效固定。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2.、BV-2.5平方线材</w:t>
            </w:r>
            <w:r>
              <w:rPr>
                <w:rFonts w:hint="eastAsia" w:ascii="Times New Roman" w:hAnsi="Times New Roman" w:eastAsia="宋体" w:cs="Times New Roman"/>
                <w:color w:val="auto"/>
                <w:kern w:val="0"/>
                <w:sz w:val="24"/>
                <w:szCs w:val="24"/>
              </w:rPr>
              <w:t>。</w:t>
            </w:r>
          </w:p>
        </w:tc>
        <w:tc>
          <w:tcPr>
            <w:tcW w:w="731" w:type="dxa"/>
            <w:vAlign w:val="center"/>
          </w:tcPr>
          <w:p w14:paraId="6F0AE52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2989800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1FA7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B3F9F1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15</w:t>
            </w:r>
          </w:p>
        </w:tc>
        <w:tc>
          <w:tcPr>
            <w:tcW w:w="807" w:type="dxa"/>
            <w:vAlign w:val="center"/>
          </w:tcPr>
          <w:p w14:paraId="1FFB78B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室内地下配电</w:t>
            </w:r>
            <w:r>
              <w:rPr>
                <w:rFonts w:hint="eastAsia" w:ascii="Times New Roman" w:hAnsi="Times New Roman" w:eastAsia="宋体" w:cs="Times New Roman"/>
                <w:color w:val="auto"/>
                <w:kern w:val="0"/>
                <w:sz w:val="24"/>
                <w:szCs w:val="24"/>
              </w:rPr>
              <w:t>耗材</w:t>
            </w:r>
          </w:p>
        </w:tc>
        <w:tc>
          <w:tcPr>
            <w:tcW w:w="1288" w:type="dxa"/>
            <w:vAlign w:val="center"/>
          </w:tcPr>
          <w:p w14:paraId="25BE4BA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E2BF3E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1、采用阻燃线管De20mm，内穿塑铜线，有效固定。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2.、BV-2.5平方线材</w:t>
            </w:r>
            <w:r>
              <w:rPr>
                <w:rFonts w:hint="eastAsia" w:ascii="Times New Roman" w:hAnsi="Times New Roman" w:eastAsia="宋体" w:cs="Times New Roman"/>
                <w:color w:val="auto"/>
                <w:kern w:val="0"/>
                <w:sz w:val="24"/>
                <w:szCs w:val="24"/>
              </w:rPr>
              <w:t>。</w:t>
            </w:r>
          </w:p>
        </w:tc>
        <w:tc>
          <w:tcPr>
            <w:tcW w:w="731" w:type="dxa"/>
            <w:vAlign w:val="center"/>
          </w:tcPr>
          <w:p w14:paraId="69D5A3E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07355B6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8229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00077BC3">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lang w:val="en-US" w:eastAsia="zh-CN"/>
              </w:rPr>
              <w:t>2</w:t>
            </w:r>
            <w:r>
              <w:rPr>
                <w:rFonts w:ascii="Times New Roman" w:hAnsi="Times New Roman" w:eastAsia="宋体" w:cs="Times New Roman"/>
                <w:b/>
                <w:bCs/>
                <w:color w:val="auto"/>
                <w:kern w:val="0"/>
                <w:sz w:val="24"/>
                <w:szCs w:val="24"/>
              </w:rPr>
              <w:t>、小学科学教室家具及设施改造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吊装46人</w:t>
            </w:r>
            <w:r>
              <w:rPr>
                <w:rFonts w:hint="eastAsia" w:ascii="Times New Roman" w:hAnsi="Times New Roman" w:eastAsia="宋体" w:cs="Times New Roman"/>
                <w:b/>
                <w:bCs/>
                <w:color w:val="auto"/>
                <w:kern w:val="0"/>
                <w:sz w:val="24"/>
                <w:szCs w:val="24"/>
                <w:lang w:eastAsia="zh-CN"/>
              </w:rPr>
              <w:t>）</w:t>
            </w:r>
          </w:p>
        </w:tc>
      </w:tr>
      <w:tr w14:paraId="54525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E710600">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0919F57E">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2004C540">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35D00CB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6569A861">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77B303D0">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0D0C9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4F9A136B">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教师、学生实验区</w:t>
            </w:r>
          </w:p>
        </w:tc>
      </w:tr>
      <w:tr w14:paraId="1CE5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DD0A49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5481C4E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演示台</w:t>
            </w:r>
          </w:p>
        </w:tc>
        <w:tc>
          <w:tcPr>
            <w:tcW w:w="1288" w:type="dxa"/>
            <w:vAlign w:val="center"/>
          </w:tcPr>
          <w:p w14:paraId="28E6DD5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3000mm×700mm×850mm</w:t>
            </w:r>
          </w:p>
        </w:tc>
        <w:tc>
          <w:tcPr>
            <w:tcW w:w="6240" w:type="dxa"/>
            <w:vAlign w:val="center"/>
          </w:tcPr>
          <w:p w14:paraId="23C8933D">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3000mm×700mm×850mm</w:t>
            </w:r>
          </w:p>
          <w:p w14:paraId="3021C93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整体可拆装，带电源位置及键盘位，设有抽屉及带柜门柜体。采用三节静音导轨。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p>
        </w:tc>
        <w:tc>
          <w:tcPr>
            <w:tcW w:w="731" w:type="dxa"/>
            <w:vAlign w:val="center"/>
          </w:tcPr>
          <w:p w14:paraId="534C84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172869F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AE38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5D191A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1CBE1D8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插座</w:t>
            </w:r>
          </w:p>
        </w:tc>
        <w:tc>
          <w:tcPr>
            <w:tcW w:w="1288" w:type="dxa"/>
            <w:vAlign w:val="center"/>
          </w:tcPr>
          <w:p w14:paraId="598C588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D8E9305">
            <w:pPr>
              <w:widowControl/>
              <w:spacing w:line="280" w:lineRule="exac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1、二三孔插座</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2、250V，10A</w:t>
            </w:r>
            <w:r>
              <w:rPr>
                <w:rFonts w:hint="eastAsia" w:ascii="Times New Roman" w:hAnsi="Times New Roman" w:eastAsia="宋体" w:cs="Times New Roman"/>
                <w:color w:val="auto"/>
                <w:kern w:val="0"/>
                <w:sz w:val="24"/>
                <w:szCs w:val="24"/>
              </w:rPr>
              <w:t>。</w:t>
            </w:r>
          </w:p>
        </w:tc>
        <w:tc>
          <w:tcPr>
            <w:tcW w:w="731" w:type="dxa"/>
            <w:vAlign w:val="center"/>
          </w:tcPr>
          <w:p w14:paraId="793B62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76DAE0C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31377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866282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6C60C2B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2031284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589382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台式三口鹅颈水龙头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1、主体：加厚铜质。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2、涂层：高亮度环氧树脂涂层，耐腐蚀、耐热、防紫外线辐射。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3、陶瓷阀芯：90°旋转，使用寿命开关</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50万次，静态最大耐压</w:t>
            </w:r>
            <w:r>
              <w:rPr>
                <w:rFonts w:hint="eastAsia" w:ascii="Times New Roman" w:hAnsi="Times New Roman" w:eastAsia="宋体" w:cs="Times New Roman"/>
                <w:color w:val="auto"/>
                <w:kern w:val="0"/>
                <w:sz w:val="24"/>
                <w:szCs w:val="24"/>
              </w:rPr>
              <w:t>≥1.0MPa</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4、附件：可拆卸铜质水嘴，可加接防溅滤水器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5、开关旋钮：高密度PP。</w:t>
            </w:r>
          </w:p>
        </w:tc>
        <w:tc>
          <w:tcPr>
            <w:tcW w:w="731" w:type="dxa"/>
            <w:vAlign w:val="center"/>
          </w:tcPr>
          <w:p w14:paraId="165F5F4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8CA369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67E8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CB60E8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7F6DFF4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139E61F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440mm×340mm×280mm</w:t>
            </w:r>
          </w:p>
        </w:tc>
        <w:tc>
          <w:tcPr>
            <w:tcW w:w="6240" w:type="dxa"/>
            <w:vAlign w:val="center"/>
          </w:tcPr>
          <w:p w14:paraId="6E9720D6">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440mm×340mm×280mm</w:t>
            </w:r>
          </w:p>
          <w:p w14:paraId="3B5C542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1、材料：高密度PP，耐强腐蚀，如王水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2</w:t>
            </w:r>
            <w:r>
              <w:rPr>
                <w:rFonts w:ascii="Times New Roman" w:hAnsi="Times New Roman" w:eastAsia="宋体" w:cs="Times New Roman"/>
                <w:color w:val="auto"/>
                <w:kern w:val="0"/>
                <w:sz w:val="24"/>
                <w:szCs w:val="24"/>
              </w:rPr>
              <w:t>、附件：高密度PP去水</w:t>
            </w:r>
            <w:r>
              <w:rPr>
                <w:rFonts w:hint="eastAsia" w:ascii="Times New Roman" w:hAnsi="Times New Roman" w:eastAsia="宋体" w:cs="Times New Roman"/>
                <w:color w:val="auto"/>
                <w:kern w:val="0"/>
                <w:sz w:val="24"/>
                <w:szCs w:val="24"/>
              </w:rPr>
              <w:t>组件（去水器/下水总成）</w:t>
            </w:r>
            <w:r>
              <w:rPr>
                <w:rFonts w:ascii="Times New Roman" w:hAnsi="Times New Roman" w:eastAsia="宋体" w:cs="Times New Roman"/>
                <w:color w:val="auto"/>
                <w:kern w:val="0"/>
                <w:sz w:val="24"/>
                <w:szCs w:val="24"/>
              </w:rPr>
              <w:t>；含阻水盖、PP提笼。</w:t>
            </w:r>
          </w:p>
        </w:tc>
        <w:tc>
          <w:tcPr>
            <w:tcW w:w="731" w:type="dxa"/>
            <w:vAlign w:val="center"/>
          </w:tcPr>
          <w:p w14:paraId="4BFBC24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019CEFD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5A78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59A8AF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269407D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学生实验桌</w:t>
            </w:r>
          </w:p>
        </w:tc>
        <w:tc>
          <w:tcPr>
            <w:tcW w:w="1288" w:type="dxa"/>
            <w:vAlign w:val="center"/>
          </w:tcPr>
          <w:p w14:paraId="1681D45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1200mm×600mm×780mm</w:t>
            </w:r>
          </w:p>
        </w:tc>
        <w:tc>
          <w:tcPr>
            <w:tcW w:w="6240" w:type="dxa"/>
            <w:vAlign w:val="center"/>
          </w:tcPr>
          <w:p w14:paraId="0F7F393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1200mm×600mm×780mm</w:t>
            </w:r>
          </w:p>
          <w:p w14:paraId="52BE440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1、产品结构：铝木结构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台面围栏采用铝合金型材，规格尺寸为：≥85mm×8（12）mm×1.5mm；台面底部托架采用30mm×20mm×1.2mm方管焊接而成，侧面开孔与立腿固定；书包斗采用注塑模具一次成型，整体壁厚≥</w:t>
            </w:r>
            <w:r>
              <w:rPr>
                <w:rFonts w:hint="eastAsia" w:ascii="Times New Roman" w:hAnsi="Times New Roman" w:eastAsia="宋体" w:cs="Times New Roman"/>
                <w:color w:val="auto"/>
                <w:kern w:val="0"/>
                <w:sz w:val="24"/>
                <w:szCs w:val="24"/>
              </w:rPr>
              <w:t>2.5mm。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3、台身参数：桌腿主柱</w:t>
            </w:r>
            <w:r>
              <w:rPr>
                <w:rFonts w:hint="eastAsia" w:ascii="Times New Roman" w:hAnsi="Times New Roman" w:eastAsia="宋体" w:cs="Times New Roman"/>
                <w:color w:val="auto"/>
                <w:kern w:val="0"/>
                <w:sz w:val="24"/>
                <w:szCs w:val="24"/>
              </w:rPr>
              <w:t>为</w:t>
            </w:r>
            <w:r>
              <w:rPr>
                <w:rFonts w:ascii="Times New Roman" w:hAnsi="Times New Roman" w:eastAsia="宋体" w:cs="Times New Roman"/>
                <w:color w:val="auto"/>
                <w:kern w:val="0"/>
                <w:sz w:val="24"/>
                <w:szCs w:val="24"/>
              </w:rPr>
              <w:t>内部厚度≥</w:t>
            </w:r>
            <w:r>
              <w:rPr>
                <w:rFonts w:hint="eastAsia" w:ascii="Times New Roman" w:hAnsi="Times New Roman" w:eastAsia="宋体" w:cs="Times New Roman"/>
                <w:color w:val="auto"/>
                <w:kern w:val="0"/>
                <w:sz w:val="24"/>
                <w:szCs w:val="24"/>
              </w:rPr>
              <w:t>1.5</w:t>
            </w:r>
            <w:r>
              <w:rPr>
                <w:rFonts w:ascii="Times New Roman" w:hAnsi="Times New Roman" w:eastAsia="宋体" w:cs="Times New Roman"/>
                <w:color w:val="auto"/>
                <w:kern w:val="0"/>
                <w:sz w:val="24"/>
                <w:szCs w:val="24"/>
              </w:rPr>
              <w:t>mm的高强度铝合金</w:t>
            </w:r>
            <w:r>
              <w:rPr>
                <w:rFonts w:hint="eastAsia" w:ascii="Times New Roman" w:hAnsi="Times New Roman" w:eastAsia="宋体" w:cs="Times New Roman"/>
                <w:color w:val="auto"/>
                <w:kern w:val="0"/>
                <w:sz w:val="24"/>
                <w:szCs w:val="24"/>
              </w:rPr>
              <w:t>制作</w:t>
            </w:r>
            <w:r>
              <w:rPr>
                <w:rFonts w:ascii="Times New Roman" w:hAnsi="Times New Roman" w:eastAsia="宋体" w:cs="Times New Roman"/>
                <w:color w:val="auto"/>
                <w:kern w:val="0"/>
                <w:sz w:val="24"/>
                <w:szCs w:val="24"/>
              </w:rPr>
              <w:t>，桌脚采用铸铝模具成型，壁厚≥2.5mm；顶部采用铸铝模具一次成型固定架与台面连接结构；中部横梁采用≥</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mm×1.2mm</w:t>
            </w:r>
            <w:r>
              <w:rPr>
                <w:rFonts w:hint="eastAsia"/>
                <w:color w:val="auto"/>
                <w:sz w:val="24"/>
                <w:szCs w:val="24"/>
              </w:rPr>
              <w:t>铝合金或</w:t>
            </w:r>
            <w:r>
              <w:rPr>
                <w:rFonts w:hint="eastAsia" w:eastAsia="宋体"/>
                <w:color w:val="auto"/>
                <w:sz w:val="24"/>
                <w:szCs w:val="24"/>
                <w:lang w:val="en-US" w:eastAsia="zh-CN"/>
              </w:rPr>
              <w:t>钢管</w:t>
            </w:r>
            <w:r>
              <w:rPr>
                <w:rFonts w:ascii="Times New Roman" w:hAnsi="Times New Roman" w:eastAsia="宋体" w:cs="Times New Roman"/>
                <w:color w:val="auto"/>
                <w:kern w:val="0"/>
                <w:sz w:val="24"/>
                <w:szCs w:val="24"/>
              </w:rPr>
              <w:t>连接；桌腿上固定架采铸铝模具一次成型，壁厚≥2.5mm；单条桌腿整体规格≥55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mm×50mm×76</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4、底脚可用膨胀螺栓与地面固定，塑胶固定盖板。</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桌架采用铝合金烤漆工艺，环氧树脂粉未喷涂高温固化处理，符合承重性能强和耐酸碱、耐腐蚀要求；各部分连接便于组装及维修，易碰撞处全部倒圆角，底部设有底脚，底脚高度可调，采用ABS工程塑料一次注塑成型，确保整体承重</w:t>
            </w:r>
            <w:r>
              <w:rPr>
                <w:rFonts w:hint="eastAsia"/>
                <w:color w:val="auto"/>
                <w:sz w:val="24"/>
                <w:szCs w:val="24"/>
              </w:rPr>
              <w:t>≥320kg</w:t>
            </w:r>
            <w:r>
              <w:rPr>
                <w:rFonts w:ascii="Times New Roman" w:hAnsi="Times New Roman" w:eastAsia="宋体" w:cs="Times New Roman"/>
                <w:color w:val="auto"/>
                <w:kern w:val="0"/>
                <w:sz w:val="24"/>
                <w:szCs w:val="24"/>
              </w:rPr>
              <w:t>，接缝严密。</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24820-2024</w:t>
            </w:r>
            <w:r>
              <w:rPr>
                <w:rFonts w:hint="eastAsia" w:ascii="宋体" w:hAnsi="宋体" w:eastAsia="宋体" w:cs="Times New Roman"/>
                <w:color w:val="auto"/>
                <w:kern w:val="0"/>
                <w:sz w:val="24"/>
                <w:szCs w:val="24"/>
              </w:rPr>
              <w:t>《实验室家具通用技术条件》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44844BF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4B5B02F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0FC25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46E34F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264530B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2FF85C4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tc>
        <w:tc>
          <w:tcPr>
            <w:tcW w:w="6240" w:type="dxa"/>
          </w:tcPr>
          <w:p w14:paraId="743A9A0A">
            <w:pPr>
              <w:widowControl/>
              <w:spacing w:line="280" w:lineRule="exact"/>
              <w:jc w:val="left"/>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参考规格：</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p w14:paraId="4C7F8A8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凳面：</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1、材质：采用环保型ABS改性塑料一次性注塑成型。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2、尺寸：≥φ300mm。                                                                                                                                                                                                                                                                                                                                                            </w:t>
            </w:r>
            <w:r>
              <w:rPr>
                <w:rFonts w:ascii="Times New Roman" w:hAnsi="Times New Roman" w:eastAsia="宋体" w:cs="Times New Roman"/>
                <w:b/>
                <w:bCs/>
                <w:color w:val="auto"/>
                <w:kern w:val="0"/>
                <w:sz w:val="24"/>
                <w:szCs w:val="24"/>
              </w:rPr>
              <w:t>凳架：</w:t>
            </w:r>
          </w:p>
          <w:p w14:paraId="55B81879">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钢架成型</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 xml:space="preserve">、材质：无缝钢管。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rPr>
              <w:t>3</w:t>
            </w:r>
            <w:r>
              <w:rPr>
                <w:rFonts w:ascii="Times New Roman" w:hAnsi="Times New Roman" w:eastAsia="宋体" w:cs="Times New Roman"/>
                <w:strike w:val="0"/>
                <w:color w:val="auto"/>
                <w:kern w:val="0"/>
                <w:sz w:val="24"/>
                <w:szCs w:val="24"/>
              </w:rPr>
              <w:t>、</w:t>
            </w:r>
            <w:r>
              <w:rPr>
                <w:rFonts w:hint="eastAsia" w:ascii="Times New Roman" w:hAnsi="Times New Roman" w:eastAsia="宋体" w:cs="Times New Roman"/>
                <w:color w:val="auto"/>
                <w:kern w:val="0"/>
                <w:sz w:val="24"/>
                <w:szCs w:val="24"/>
              </w:rPr>
              <w:t>钢管壁厚≥1.2mm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 xml:space="preserve">、全圆满焊接完成，结构牢固，经高温粉体烤漆处理。                                              </w:t>
            </w:r>
            <w:r>
              <w:rPr>
                <w:rFonts w:ascii="Times New Roman" w:hAnsi="Times New Roman" w:eastAsia="宋体" w:cs="Times New Roman"/>
                <w:b/>
                <w:bCs/>
                <w:color w:val="auto"/>
                <w:kern w:val="0"/>
                <w:sz w:val="24"/>
                <w:szCs w:val="24"/>
              </w:rPr>
              <w:t xml:space="preserve">脚垫：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1、材质：采用PP加耐磨纤维质塑料。</w:t>
            </w:r>
          </w:p>
          <w:p w14:paraId="22D655E4">
            <w:pPr>
              <w:widowControl/>
              <w:numPr>
                <w:ilvl w:val="255"/>
                <w:numId w:val="0"/>
              </w:numPr>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升降：</w:t>
            </w:r>
            <w:r>
              <w:rPr>
                <w:rFonts w:ascii="Times New Roman" w:hAnsi="Times New Roman" w:eastAsia="宋体" w:cs="Times New Roman"/>
                <w:color w:val="auto"/>
                <w:kern w:val="0"/>
                <w:sz w:val="24"/>
                <w:szCs w:val="24"/>
              </w:rPr>
              <w:t>凳面</w:t>
            </w:r>
            <w:r>
              <w:rPr>
                <w:rFonts w:hint="eastAsia" w:ascii="Times New Roman" w:hAnsi="Times New Roman" w:eastAsia="宋体" w:cs="Times New Roman"/>
                <w:color w:val="auto"/>
                <w:kern w:val="0"/>
                <w:sz w:val="24"/>
                <w:szCs w:val="24"/>
              </w:rPr>
              <w:t>高度可升降调节；</w:t>
            </w:r>
            <w:r>
              <w:rPr>
                <w:rFonts w:ascii="Times New Roman" w:hAnsi="Times New Roman" w:eastAsia="宋体" w:cs="Times New Roman"/>
                <w:color w:val="auto"/>
                <w:kern w:val="0"/>
                <w:sz w:val="24"/>
                <w:szCs w:val="24"/>
              </w:rPr>
              <w:t>升降高度：最低≤400mm，最高≥450mm</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3325-2024</w:t>
            </w:r>
            <w:r>
              <w:rPr>
                <w:rFonts w:hint="eastAsia" w:ascii="宋体" w:hAnsi="宋体" w:eastAsia="宋体" w:cs="Times New Roman"/>
                <w:color w:val="auto"/>
                <w:kern w:val="0"/>
                <w:sz w:val="24"/>
                <w:szCs w:val="24"/>
              </w:rPr>
              <w:t>《金属家具通用技术条件》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6A3DDB0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0EB23CA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02010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CC9910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78BE0D7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仪器柜</w:t>
            </w:r>
          </w:p>
        </w:tc>
        <w:tc>
          <w:tcPr>
            <w:tcW w:w="1288" w:type="dxa"/>
            <w:vAlign w:val="center"/>
          </w:tcPr>
          <w:p w14:paraId="77811BB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1000mm×500mm×2000mm</w:t>
            </w:r>
          </w:p>
        </w:tc>
        <w:tc>
          <w:tcPr>
            <w:tcW w:w="6240" w:type="dxa"/>
            <w:vAlign w:val="center"/>
          </w:tcPr>
          <w:p w14:paraId="5E58426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1000mm×500mm×2000mm</w:t>
            </w:r>
          </w:p>
          <w:p w14:paraId="114A8DB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1、结构：全钢结构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材质：所有钣金的表面接缝均应满焊，焊接处均应打磨平整以保持为连续的平滑表面。主框架采用≥1.0mm厚镀锌钢板经CNC机压成形、焊接制作，表面钢制部分采用酸洗、磷化、除油、除锈并经过环氧树脂粉末喷塑处理。</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采用双开门型式，上部为玻璃开门（双层门），下部为钢制开门（双层门），上柜配置两块钢制层板，下柜配置一块钢制层板，层板高度可以上下调节，不锈钢弓形拉手。</w:t>
            </w:r>
          </w:p>
        </w:tc>
        <w:tc>
          <w:tcPr>
            <w:tcW w:w="731" w:type="dxa"/>
            <w:vAlign w:val="center"/>
          </w:tcPr>
          <w:p w14:paraId="1C125C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1FF1088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r>
      <w:tr w14:paraId="280F8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CFC900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0FE3B89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水柜</w:t>
            </w:r>
          </w:p>
        </w:tc>
        <w:tc>
          <w:tcPr>
            <w:tcW w:w="1288" w:type="dxa"/>
            <w:vAlign w:val="center"/>
          </w:tcPr>
          <w:p w14:paraId="32504BA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2400mm×600mm×760mm</w:t>
            </w:r>
          </w:p>
        </w:tc>
        <w:tc>
          <w:tcPr>
            <w:tcW w:w="6240" w:type="dxa"/>
            <w:vAlign w:val="center"/>
          </w:tcPr>
          <w:p w14:paraId="35C07CED">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2400mm×600mm×760mm</w:t>
            </w:r>
          </w:p>
          <w:p w14:paraId="55D2C92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p>
        </w:tc>
        <w:tc>
          <w:tcPr>
            <w:tcW w:w="731" w:type="dxa"/>
            <w:vAlign w:val="center"/>
          </w:tcPr>
          <w:p w14:paraId="1BE0A76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5F2C2CA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6D2DC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C0FCF1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4B03125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15A8132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1BE728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台式单口鹅颈水龙头</w:t>
            </w:r>
          </w:p>
          <w:p w14:paraId="36DDD383">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1、主体：加厚铜质。</w:t>
            </w:r>
          </w:p>
          <w:p w14:paraId="20A0C38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2、涂层：高亮度环氧树脂涂层，耐腐蚀、耐热、防紫外线辐射。</w:t>
            </w:r>
          </w:p>
          <w:p w14:paraId="3B788AA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3、陶瓷阀芯：90°旋转，使用寿命开关≥50万次，静态最大耐压≥1.0MPa。</w:t>
            </w:r>
          </w:p>
          <w:p w14:paraId="2470DB23">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4、附件：可拆卸铜质水嘴，可加接防溅滤水器。</w:t>
            </w:r>
          </w:p>
          <w:p w14:paraId="6641EF75">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5、开关旋钮：高密度PP。</w:t>
            </w:r>
          </w:p>
        </w:tc>
        <w:tc>
          <w:tcPr>
            <w:tcW w:w="731" w:type="dxa"/>
            <w:vAlign w:val="center"/>
          </w:tcPr>
          <w:p w14:paraId="6C7D69D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0671DD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3BFF7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13EFC8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739018B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767354F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mm×400mm×220mm</w:t>
            </w:r>
          </w:p>
        </w:tc>
        <w:tc>
          <w:tcPr>
            <w:tcW w:w="6240" w:type="dxa"/>
            <w:vAlign w:val="center"/>
          </w:tcPr>
          <w:p w14:paraId="1134E34B">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1、参考规格</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 xml:space="preserve"> mm×</w:t>
            </w:r>
            <w:r>
              <w:rPr>
                <w:rFonts w:hint="eastAsia" w:ascii="Times New Roman" w:hAnsi="Times New Roman" w:eastAsia="宋体" w:cs="Times New Roman"/>
                <w:color w:val="auto"/>
                <w:kern w:val="0"/>
                <w:sz w:val="24"/>
                <w:szCs w:val="24"/>
              </w:rPr>
              <w:t>220mm</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采用白色陶瓷一体成型，具耐酸碱</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耐有机溶剂</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耐紫外线等特点。</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水槽外延与台面底部粘合一体成型，水槽底部钢架支撑，台面</w:t>
            </w:r>
            <w:r>
              <w:rPr>
                <w:rFonts w:hint="eastAsia" w:ascii="Times New Roman" w:hAnsi="Times New Roman" w:eastAsia="宋体" w:cs="Times New Roman"/>
                <w:color w:val="auto"/>
                <w:kern w:val="0"/>
                <w:sz w:val="24"/>
                <w:szCs w:val="24"/>
                <w:lang w:val="en-US" w:eastAsia="zh-CN"/>
              </w:rPr>
              <w:t>与</w:t>
            </w:r>
            <w:r>
              <w:rPr>
                <w:rFonts w:ascii="Times New Roman" w:hAnsi="Times New Roman" w:eastAsia="宋体" w:cs="Times New Roman"/>
                <w:color w:val="auto"/>
                <w:kern w:val="0"/>
                <w:sz w:val="24"/>
                <w:szCs w:val="24"/>
              </w:rPr>
              <w:t>水槽</w:t>
            </w:r>
            <w:r>
              <w:rPr>
                <w:rFonts w:hint="eastAsia" w:ascii="Times New Roman" w:hAnsi="Times New Roman" w:eastAsia="宋体" w:cs="Times New Roman"/>
                <w:color w:val="auto"/>
                <w:kern w:val="0"/>
                <w:sz w:val="24"/>
                <w:szCs w:val="24"/>
                <w:lang w:val="en-US" w:eastAsia="zh-CN"/>
              </w:rPr>
              <w:t>无</w:t>
            </w:r>
            <w:r>
              <w:rPr>
                <w:rFonts w:ascii="Times New Roman" w:hAnsi="Times New Roman" w:eastAsia="宋体" w:cs="Times New Roman"/>
                <w:color w:val="auto"/>
                <w:kern w:val="0"/>
                <w:sz w:val="24"/>
                <w:szCs w:val="24"/>
              </w:rPr>
              <w:t>接缝。</w:t>
            </w:r>
          </w:p>
        </w:tc>
        <w:tc>
          <w:tcPr>
            <w:tcW w:w="731" w:type="dxa"/>
            <w:vAlign w:val="center"/>
          </w:tcPr>
          <w:p w14:paraId="1B6D2C9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2EC1773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610C0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EDB535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18E8101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储物边柜</w:t>
            </w:r>
          </w:p>
        </w:tc>
        <w:tc>
          <w:tcPr>
            <w:tcW w:w="1288" w:type="dxa"/>
            <w:vAlign w:val="center"/>
          </w:tcPr>
          <w:p w14:paraId="06A17F6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2000mm×500mm×750mm</w:t>
            </w:r>
          </w:p>
        </w:tc>
        <w:tc>
          <w:tcPr>
            <w:tcW w:w="6240" w:type="dxa"/>
            <w:vAlign w:val="center"/>
          </w:tcPr>
          <w:p w14:paraId="4AB3DA47">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2000mm×500mm×750mm</w:t>
            </w:r>
          </w:p>
          <w:p w14:paraId="524CEDD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、柜体参数：钢框架采用≥40mm×20mm×1.2mm钢管制作，柜体采用≥16mm厚三聚氰胺饰面板加工制作，≥1.5mm厚塑制封边条机械封边。柜体部分配板式对开门，部分配pp储物盒。</w:t>
            </w:r>
          </w:p>
        </w:tc>
        <w:tc>
          <w:tcPr>
            <w:tcW w:w="731" w:type="dxa"/>
            <w:vAlign w:val="center"/>
          </w:tcPr>
          <w:p w14:paraId="79ED8BB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25740BD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0FC4C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2925E4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c>
          <w:tcPr>
            <w:tcW w:w="807" w:type="dxa"/>
            <w:vAlign w:val="center"/>
          </w:tcPr>
          <w:p w14:paraId="41444D7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室内地上给排水</w:t>
            </w:r>
            <w:r>
              <w:rPr>
                <w:rFonts w:hint="eastAsia" w:ascii="Times New Roman" w:hAnsi="Times New Roman" w:eastAsia="宋体" w:cs="Times New Roman"/>
                <w:color w:val="auto"/>
                <w:kern w:val="0"/>
                <w:sz w:val="24"/>
                <w:szCs w:val="24"/>
              </w:rPr>
              <w:t>装置</w:t>
            </w:r>
          </w:p>
        </w:tc>
        <w:tc>
          <w:tcPr>
            <w:tcW w:w="1288" w:type="dxa"/>
            <w:vAlign w:val="center"/>
          </w:tcPr>
          <w:p w14:paraId="4C10C09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70C2F8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给水采用金属软连接与龙头连接，地上每套水嘴设一控制阀门。排水采用PVC管，连接处密封。</w:t>
            </w:r>
          </w:p>
        </w:tc>
        <w:tc>
          <w:tcPr>
            <w:tcW w:w="731" w:type="dxa"/>
            <w:vAlign w:val="center"/>
          </w:tcPr>
          <w:p w14:paraId="1F2D0DF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5E24C47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D59F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1CC290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c>
          <w:tcPr>
            <w:tcW w:w="807" w:type="dxa"/>
            <w:vAlign w:val="center"/>
          </w:tcPr>
          <w:p w14:paraId="0BD4BBD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室内地下给排水</w:t>
            </w:r>
            <w:r>
              <w:rPr>
                <w:rFonts w:hint="eastAsia" w:ascii="Times New Roman" w:hAnsi="Times New Roman" w:eastAsia="宋体" w:cs="Times New Roman"/>
                <w:color w:val="auto"/>
                <w:kern w:val="0"/>
                <w:sz w:val="24"/>
                <w:szCs w:val="24"/>
              </w:rPr>
              <w:t>装置</w:t>
            </w:r>
          </w:p>
        </w:tc>
        <w:tc>
          <w:tcPr>
            <w:tcW w:w="1288" w:type="dxa"/>
            <w:vAlign w:val="center"/>
          </w:tcPr>
          <w:p w14:paraId="6C89A6C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59F408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1、地面给水管铺设，采用直径20mm-32mm PP-R材料</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2、地面排水管铺设</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PVC50</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采用直径50mm-75mm U-PVC材料。</w:t>
            </w:r>
          </w:p>
        </w:tc>
        <w:tc>
          <w:tcPr>
            <w:tcW w:w="731" w:type="dxa"/>
            <w:vAlign w:val="center"/>
          </w:tcPr>
          <w:p w14:paraId="14067E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75E86EB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8210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8B077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14</w:t>
            </w:r>
          </w:p>
        </w:tc>
        <w:tc>
          <w:tcPr>
            <w:tcW w:w="807" w:type="dxa"/>
            <w:vAlign w:val="center"/>
          </w:tcPr>
          <w:p w14:paraId="2D37716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室内地上配电</w:t>
            </w:r>
            <w:r>
              <w:rPr>
                <w:rFonts w:hint="eastAsia" w:ascii="Times New Roman" w:hAnsi="Times New Roman" w:eastAsia="宋体" w:cs="Times New Roman"/>
                <w:color w:val="auto"/>
                <w:kern w:val="0"/>
                <w:sz w:val="24"/>
                <w:szCs w:val="24"/>
              </w:rPr>
              <w:t>耗材</w:t>
            </w:r>
          </w:p>
        </w:tc>
        <w:tc>
          <w:tcPr>
            <w:tcW w:w="1288" w:type="dxa"/>
            <w:vAlign w:val="center"/>
          </w:tcPr>
          <w:p w14:paraId="25D120A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4594D8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1、采用阻燃线管De20mm，内穿塑铜线，有效固定。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2.、BV-2.5平方线材</w:t>
            </w:r>
            <w:r>
              <w:rPr>
                <w:rFonts w:hint="eastAsia" w:ascii="Times New Roman" w:hAnsi="Times New Roman" w:eastAsia="宋体" w:cs="Times New Roman"/>
                <w:color w:val="auto"/>
                <w:kern w:val="0"/>
                <w:sz w:val="24"/>
                <w:szCs w:val="24"/>
              </w:rPr>
              <w:t>。</w:t>
            </w:r>
          </w:p>
        </w:tc>
        <w:tc>
          <w:tcPr>
            <w:tcW w:w="731" w:type="dxa"/>
            <w:vAlign w:val="center"/>
          </w:tcPr>
          <w:p w14:paraId="267098A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5D19A3C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0CD9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DA83D6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15</w:t>
            </w:r>
          </w:p>
        </w:tc>
        <w:tc>
          <w:tcPr>
            <w:tcW w:w="807" w:type="dxa"/>
            <w:vAlign w:val="center"/>
          </w:tcPr>
          <w:p w14:paraId="65BEC4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室内地下配电</w:t>
            </w:r>
            <w:r>
              <w:rPr>
                <w:rFonts w:hint="eastAsia" w:ascii="Times New Roman" w:hAnsi="Times New Roman" w:eastAsia="宋体" w:cs="Times New Roman"/>
                <w:color w:val="auto"/>
                <w:kern w:val="0"/>
                <w:sz w:val="24"/>
                <w:szCs w:val="24"/>
              </w:rPr>
              <w:t>耗材</w:t>
            </w:r>
          </w:p>
        </w:tc>
        <w:tc>
          <w:tcPr>
            <w:tcW w:w="1288" w:type="dxa"/>
            <w:vAlign w:val="center"/>
          </w:tcPr>
          <w:p w14:paraId="37F0B7F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1E8F7A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1、采用阻燃线管De20mm，内穿塑铜线，有效固定。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2.、BV-2.5平方线材</w:t>
            </w:r>
            <w:r>
              <w:rPr>
                <w:rFonts w:hint="eastAsia" w:ascii="Times New Roman" w:hAnsi="Times New Roman" w:eastAsia="宋体" w:cs="Times New Roman"/>
                <w:color w:val="auto"/>
                <w:kern w:val="0"/>
                <w:sz w:val="24"/>
                <w:szCs w:val="24"/>
              </w:rPr>
              <w:t>。</w:t>
            </w:r>
          </w:p>
        </w:tc>
        <w:tc>
          <w:tcPr>
            <w:tcW w:w="731" w:type="dxa"/>
            <w:vAlign w:val="center"/>
          </w:tcPr>
          <w:p w14:paraId="1E74746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1C94FBB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34BC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436B60FF">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控制系统</w:t>
            </w:r>
          </w:p>
        </w:tc>
      </w:tr>
      <w:tr w14:paraId="7E97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64661D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3876045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智能系统控制柜</w:t>
            </w:r>
          </w:p>
        </w:tc>
        <w:tc>
          <w:tcPr>
            <w:tcW w:w="1288" w:type="dxa"/>
            <w:vAlign w:val="center"/>
          </w:tcPr>
          <w:p w14:paraId="084EB537">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≥500mm×400mm×70mm</w:t>
            </w:r>
          </w:p>
        </w:tc>
        <w:tc>
          <w:tcPr>
            <w:tcW w:w="6240" w:type="dxa"/>
            <w:vAlign w:val="center"/>
          </w:tcPr>
          <w:p w14:paraId="24FD76F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参考规格：≥500mm×400mm×70mm</w:t>
            </w:r>
          </w:p>
          <w:p w14:paraId="68E6758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1、教师端主控系统，主机采用钢制</w:t>
            </w:r>
            <w:r>
              <w:rPr>
                <w:rFonts w:hint="eastAsia" w:ascii="Times New Roman" w:hAnsi="Times New Roman" w:eastAsia="宋体" w:cs="Times New Roman"/>
                <w:color w:val="auto"/>
                <w:kern w:val="0"/>
                <w:sz w:val="24"/>
                <w:szCs w:val="24"/>
              </w:rPr>
              <w:t>或注塑</w:t>
            </w:r>
            <w:r>
              <w:rPr>
                <w:rFonts w:ascii="Times New Roman" w:hAnsi="Times New Roman" w:eastAsia="宋体" w:cs="Times New Roman"/>
                <w:color w:val="auto"/>
                <w:kern w:val="0"/>
                <w:sz w:val="24"/>
                <w:szCs w:val="24"/>
              </w:rPr>
              <w:t>机箱，箱体厚度为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mm冷轧钢板，表面光滑，不易变形，强度高等特点，钣金折弯成型，表面经酸洗磷化处理，静电喷涂环保粉末高温处理工艺，无有害物质，具有防腐性高。</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2、控制柜内置总电源开关、漏电保护器、电源保护器</w:t>
            </w:r>
            <w:r>
              <w:rPr>
                <w:rFonts w:hint="eastAsia" w:ascii="Times New Roman" w:hAnsi="Times New Roman" w:eastAsia="宋体" w:cs="Times New Roman"/>
                <w:strike w:val="0"/>
                <w:color w:val="auto"/>
                <w:kern w:val="0"/>
                <w:sz w:val="24"/>
                <w:szCs w:val="24"/>
                <w:lang w:val="en-US" w:eastAsia="zh-CN"/>
              </w:rPr>
              <w:t>等</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3、系统具备电路安全防护功能，</w:t>
            </w:r>
            <w:r>
              <w:rPr>
                <w:rFonts w:hint="eastAsia" w:ascii="Times New Roman" w:hAnsi="Times New Roman" w:eastAsia="宋体" w:cs="Times New Roman"/>
                <w:color w:val="auto"/>
                <w:kern w:val="0"/>
                <w:sz w:val="24"/>
                <w:szCs w:val="24"/>
              </w:rPr>
              <w:t>≥120分钟</w:t>
            </w:r>
            <w:r>
              <w:rPr>
                <w:rFonts w:ascii="Times New Roman" w:hAnsi="Times New Roman" w:eastAsia="宋体" w:cs="Times New Roman"/>
                <w:color w:val="auto"/>
                <w:kern w:val="0"/>
                <w:sz w:val="24"/>
                <w:szCs w:val="24"/>
              </w:rPr>
              <w:t>不操作，自动切断总电源。</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4、教师主控可实现对学生低压交直流电压的设置</w:t>
            </w:r>
            <w:r>
              <w:rPr>
                <w:rFonts w:hint="eastAsia" w:ascii="Times New Roman" w:hAnsi="Times New Roman" w:eastAsia="宋体" w:cs="Times New Roman"/>
                <w:color w:val="auto"/>
                <w:kern w:val="0"/>
                <w:sz w:val="24"/>
                <w:szCs w:val="24"/>
              </w:rPr>
              <w:t>（可分组）</w:t>
            </w:r>
            <w:r>
              <w:rPr>
                <w:rFonts w:ascii="Times New Roman" w:hAnsi="Times New Roman" w:eastAsia="宋体" w:cs="Times New Roman"/>
                <w:color w:val="auto"/>
                <w:kern w:val="0"/>
                <w:sz w:val="24"/>
                <w:szCs w:val="24"/>
              </w:rPr>
              <w:t>，也可实现对学生端预留220V插座模块</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、教师有线控制学生</w:t>
            </w:r>
            <w:r>
              <w:rPr>
                <w:rFonts w:hint="eastAsia" w:ascii="Times New Roman" w:hAnsi="Times New Roman" w:eastAsia="宋体" w:cs="Times New Roman"/>
                <w:color w:val="auto"/>
                <w:kern w:val="0"/>
                <w:sz w:val="24"/>
                <w:szCs w:val="24"/>
              </w:rPr>
              <w:t>不低于2</w:t>
            </w:r>
            <w:r>
              <w:rPr>
                <w:rFonts w:ascii="Times New Roman" w:hAnsi="Times New Roman" w:eastAsia="宋体" w:cs="Times New Roman"/>
                <w:color w:val="auto"/>
                <w:kern w:val="0"/>
                <w:sz w:val="24"/>
                <w:szCs w:val="24"/>
              </w:rPr>
              <w:t>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）教师控制学生交直流低压输出最高电压，学生在教师控制最高电压以下调节。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）教师解除控制输出，学生自己调节低压交直流。</w:t>
            </w:r>
          </w:p>
          <w:p w14:paraId="1A213629">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、教师可控制整体教室用实验供水排水开启、关闭功能。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7</w:t>
            </w:r>
            <w:r>
              <w:rPr>
                <w:rFonts w:ascii="Times New Roman" w:hAnsi="Times New Roman" w:eastAsia="宋体" w:cs="Times New Roman"/>
                <w:color w:val="auto"/>
                <w:kern w:val="0"/>
                <w:sz w:val="24"/>
                <w:szCs w:val="24"/>
              </w:rPr>
              <w:t>、教师可控制学生端摆臂整体升降。</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lang w:eastAsia="zh-CN"/>
              </w:rPr>
              <w:t>8</w:t>
            </w:r>
            <w:r>
              <w:rPr>
                <w:rFonts w:ascii="Times New Roman" w:hAnsi="Times New Roman" w:eastAsia="宋体" w:cs="Times New Roman"/>
                <w:color w:val="auto"/>
                <w:kern w:val="0"/>
                <w:sz w:val="24"/>
                <w:szCs w:val="24"/>
              </w:rPr>
              <w:t>、教师控制可实现每组学生端的灯光控制。</w:t>
            </w:r>
          </w:p>
        </w:tc>
        <w:tc>
          <w:tcPr>
            <w:tcW w:w="731" w:type="dxa"/>
            <w:vAlign w:val="center"/>
          </w:tcPr>
          <w:p w14:paraId="4E5FB0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7B97E8B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3B24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2C1643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07E6FD5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智能实验室操作控制平台</w:t>
            </w:r>
          </w:p>
        </w:tc>
        <w:tc>
          <w:tcPr>
            <w:tcW w:w="1288" w:type="dxa"/>
            <w:vAlign w:val="center"/>
          </w:tcPr>
          <w:p w14:paraId="10BDC6A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7FF515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≥10寸触摸平台</w:t>
            </w:r>
            <w:r>
              <w:rPr>
                <w:rFonts w:hint="eastAsia" w:ascii="Times New Roman" w:hAnsi="Times New Roman" w:eastAsia="宋体" w:cs="Times New Roman"/>
                <w:color w:val="auto"/>
                <w:kern w:val="0"/>
                <w:sz w:val="24"/>
                <w:szCs w:val="24"/>
              </w:rPr>
              <w:t>应用于实验室吊装设备操作界面</w:t>
            </w:r>
            <w:r>
              <w:rPr>
                <w:rFonts w:ascii="Times New Roman" w:hAnsi="Times New Roman" w:eastAsia="宋体" w:cs="Times New Roman"/>
                <w:color w:val="auto"/>
                <w:kern w:val="0"/>
                <w:sz w:val="24"/>
                <w:szCs w:val="24"/>
              </w:rPr>
              <w:t>,将学生端控制系统进行组网</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p>
        </w:tc>
        <w:tc>
          <w:tcPr>
            <w:tcW w:w="731" w:type="dxa"/>
            <w:vAlign w:val="center"/>
          </w:tcPr>
          <w:p w14:paraId="7D33AF1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6EF427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2052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10475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7C04865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w:t>
            </w:r>
          </w:p>
        </w:tc>
        <w:tc>
          <w:tcPr>
            <w:tcW w:w="1288" w:type="dxa"/>
            <w:vAlign w:val="center"/>
          </w:tcPr>
          <w:p w14:paraId="6DC6F6D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A8EF55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智能实验室操作控制系统软件，方便老师对实验室设备进行各种操作如：高压系统实现统一控制管理，</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1、登录界面：可一键登录。</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2、高压系统：系统需具有可对高压系统总控开关、各组单独开关等功能。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3、具有结束关闭按钮。</w:t>
            </w:r>
          </w:p>
        </w:tc>
        <w:tc>
          <w:tcPr>
            <w:tcW w:w="731" w:type="dxa"/>
            <w:vAlign w:val="center"/>
          </w:tcPr>
          <w:p w14:paraId="1F82E48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429753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DFB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1E426B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51D03FB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w:t>
            </w:r>
          </w:p>
        </w:tc>
        <w:tc>
          <w:tcPr>
            <w:tcW w:w="1288" w:type="dxa"/>
            <w:vAlign w:val="center"/>
          </w:tcPr>
          <w:p w14:paraId="2FB2AE0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E85427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学生端分组控制系统接收智慧实验室吊装系统控制软件指令，对学生端模块的照明系统、220V插座系统、摇臂系统进行分组控制。</w:t>
            </w:r>
          </w:p>
        </w:tc>
        <w:tc>
          <w:tcPr>
            <w:tcW w:w="731" w:type="dxa"/>
            <w:vAlign w:val="center"/>
          </w:tcPr>
          <w:p w14:paraId="5C49B1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034FAD5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670B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70479A8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智能吊装集成系统</w:t>
            </w:r>
          </w:p>
        </w:tc>
      </w:tr>
      <w:tr w14:paraId="4254E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B311DC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48CC0BA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主架舱体</w:t>
            </w:r>
          </w:p>
        </w:tc>
        <w:tc>
          <w:tcPr>
            <w:tcW w:w="1288" w:type="dxa"/>
            <w:vAlign w:val="center"/>
          </w:tcPr>
          <w:p w14:paraId="14B4301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463943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1、主框架</w:t>
            </w:r>
            <w:r>
              <w:rPr>
                <w:rFonts w:hint="eastAsia" w:ascii="Times New Roman" w:hAnsi="Times New Roman" w:eastAsia="宋体" w:cs="Times New Roman"/>
                <w:color w:val="auto"/>
                <w:kern w:val="0"/>
                <w:sz w:val="24"/>
                <w:szCs w:val="24"/>
              </w:rPr>
              <w:t>参考</w:t>
            </w:r>
            <w:r>
              <w:rPr>
                <w:rFonts w:ascii="Times New Roman" w:hAnsi="Times New Roman" w:eastAsia="宋体" w:cs="Times New Roman"/>
                <w:color w:val="auto"/>
                <w:kern w:val="0"/>
                <w:sz w:val="24"/>
                <w:szCs w:val="24"/>
              </w:rPr>
              <w:t>尺寸：</w:t>
            </w:r>
            <w:r>
              <w:rPr>
                <w:rFonts w:hint="eastAsia" w:ascii="宋体" w:hAnsi="宋体" w:eastAsia="宋体" w:cs="Times New Roman"/>
                <w:color w:val="auto"/>
                <w:kern w:val="0"/>
                <w:sz w:val="24"/>
                <w:szCs w:val="24"/>
              </w:rPr>
              <w:t>≥</w:t>
            </w:r>
            <w:r>
              <w:rPr>
                <w:rFonts w:ascii="Times New Roman" w:hAnsi="Times New Roman" w:eastAsia="宋体" w:cs="Times New Roman"/>
                <w:color w:val="auto"/>
                <w:kern w:val="0"/>
                <w:sz w:val="24"/>
                <w:szCs w:val="24"/>
              </w:rPr>
              <w:t>1200mm×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220mm，框架整体采用2mm厚冷轧钢板，经激光雕刻机精细雕刻，数控折弯成型，要做到承重性能强和耐酸碱、耐腐蚀。表面经环氧树脂粉末喷涂高温固化处理。具有阻燃性强和耐酸碱、耐腐蚀，光泽度好。模块化安装、安装简单、维修更换便捷。</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2、动力选用超静音安全低压直流24V低压推杆电机，铝合金摆臂，厚度</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1.5mm，模具挤压成型，表面静电喷涂环保粉末高温处理工艺，无有害物质，耐酸碱、防腐性高。动力装置和主体结构模块化组合，安装维护便捷，运行无噪音。</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3、电源系统同步回转机构采用铸铝模具一次压铸成型，壁厚≥6mm。</w:t>
            </w:r>
          </w:p>
        </w:tc>
        <w:tc>
          <w:tcPr>
            <w:tcW w:w="731" w:type="dxa"/>
            <w:vAlign w:val="center"/>
          </w:tcPr>
          <w:p w14:paraId="2A130EA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766085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4BA1F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50408E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39F6626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吊装控制系统</w:t>
            </w:r>
          </w:p>
        </w:tc>
        <w:tc>
          <w:tcPr>
            <w:tcW w:w="1288" w:type="dxa"/>
            <w:vAlign w:val="center"/>
          </w:tcPr>
          <w:p w14:paraId="714947A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6E27A8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系统内置：接线端子一套，智能交直流电源模块一套</w:t>
            </w:r>
            <w:r>
              <w:rPr>
                <w:rFonts w:hint="eastAsia" w:ascii="Times New Roman" w:hAnsi="Times New Roman" w:eastAsia="宋体" w:cs="Times New Roman"/>
                <w:strike w:val="0"/>
                <w:color w:val="auto"/>
                <w:kern w:val="0"/>
                <w:sz w:val="24"/>
                <w:szCs w:val="24"/>
                <w:lang w:val="en-US" w:eastAsia="zh-CN"/>
              </w:rPr>
              <w:t>等</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吊装控制系统接收智慧实验室吊装系统控制软件指令：摇臂升降控制，照明控制、AC220V控制，各元器件保护及复位功能。</w:t>
            </w:r>
          </w:p>
        </w:tc>
        <w:tc>
          <w:tcPr>
            <w:tcW w:w="731" w:type="dxa"/>
            <w:vAlign w:val="center"/>
          </w:tcPr>
          <w:p w14:paraId="59085FA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677B51C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34503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2F8276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1A5C75E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集成功能模块</w:t>
            </w:r>
          </w:p>
        </w:tc>
        <w:tc>
          <w:tcPr>
            <w:tcW w:w="1288" w:type="dxa"/>
            <w:vAlign w:val="center"/>
          </w:tcPr>
          <w:p w14:paraId="756D891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24915D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ABS材质，模具一体成型。模块内部采用双层设计，水电隔离设计，相互不干扰，设备安全可靠。模块内预留高压、低压、网络位置。面板面板采用PC+ABS复合材料制作，连接组件采用高强度铝合金材质，表面喷砂氧化处理。</w:t>
            </w:r>
          </w:p>
        </w:tc>
        <w:tc>
          <w:tcPr>
            <w:tcW w:w="731" w:type="dxa"/>
            <w:vAlign w:val="center"/>
          </w:tcPr>
          <w:p w14:paraId="38D3649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56D6D6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7568B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22A923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78425BF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电源供应模块</w:t>
            </w:r>
          </w:p>
        </w:tc>
        <w:tc>
          <w:tcPr>
            <w:tcW w:w="1288" w:type="dxa"/>
            <w:vAlign w:val="center"/>
          </w:tcPr>
          <w:p w14:paraId="11D25DD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FBBAC5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220V交流阻燃五孔插座，带漏电及过载保护功能。</w:t>
            </w:r>
          </w:p>
        </w:tc>
        <w:tc>
          <w:tcPr>
            <w:tcW w:w="731" w:type="dxa"/>
            <w:vAlign w:val="center"/>
          </w:tcPr>
          <w:p w14:paraId="3E87103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76245CA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48</w:t>
            </w:r>
          </w:p>
        </w:tc>
      </w:tr>
      <w:tr w14:paraId="0FB0E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6EC884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0E78CD5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网络模块</w:t>
            </w:r>
          </w:p>
        </w:tc>
        <w:tc>
          <w:tcPr>
            <w:tcW w:w="1288" w:type="dxa"/>
            <w:vAlign w:val="center"/>
          </w:tcPr>
          <w:p w14:paraId="761B1B5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91E739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采用以太网网络模块接口</w:t>
            </w:r>
            <w:r>
              <w:rPr>
                <w:rFonts w:hint="eastAsia" w:ascii="Times New Roman" w:hAnsi="Times New Roman" w:eastAsia="宋体" w:cs="Times New Roman"/>
                <w:color w:val="auto"/>
                <w:kern w:val="0"/>
                <w:sz w:val="24"/>
                <w:szCs w:val="24"/>
              </w:rPr>
              <w:t>。</w:t>
            </w:r>
          </w:p>
        </w:tc>
        <w:tc>
          <w:tcPr>
            <w:tcW w:w="731" w:type="dxa"/>
            <w:vAlign w:val="center"/>
          </w:tcPr>
          <w:p w14:paraId="3D23C4F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031A28C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451ED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0920E0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59972692">
            <w:pPr>
              <w:widowControl/>
              <w:spacing w:line="280" w:lineRule="exact"/>
              <w:jc w:val="center"/>
              <w:rPr>
                <w:rFonts w:ascii="Times New Roman" w:hAnsi="Times New Roman" w:eastAsia="宋体" w:cs="Times New Roman"/>
                <w:color w:val="auto"/>
                <w:kern w:val="0"/>
                <w:sz w:val="24"/>
                <w:szCs w:val="24"/>
                <w:highlight w:val="yellow"/>
              </w:rPr>
            </w:pPr>
            <w:r>
              <w:rPr>
                <w:rFonts w:ascii="Times New Roman" w:hAnsi="Times New Roman" w:eastAsia="宋体" w:cs="Times New Roman"/>
                <w:color w:val="auto"/>
                <w:kern w:val="0"/>
                <w:sz w:val="24"/>
                <w:szCs w:val="24"/>
              </w:rPr>
              <w:t>智能灯光照明装置</w:t>
            </w:r>
          </w:p>
        </w:tc>
        <w:tc>
          <w:tcPr>
            <w:tcW w:w="1288" w:type="dxa"/>
            <w:vAlign w:val="center"/>
          </w:tcPr>
          <w:p w14:paraId="245608A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715493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采用阻燃防水柔性LED灯带，</w:t>
            </w:r>
            <w:r>
              <w:rPr>
                <w:rFonts w:hint="eastAsia" w:ascii="Times New Roman" w:hAnsi="Times New Roman" w:eastAsia="宋体" w:cs="Times New Roman"/>
                <w:color w:val="auto"/>
                <w:kern w:val="0"/>
                <w:sz w:val="24"/>
                <w:szCs w:val="24"/>
              </w:rPr>
              <w:t>不低于</w:t>
            </w:r>
            <w:r>
              <w:rPr>
                <w:rFonts w:ascii="Times New Roman" w:hAnsi="Times New Roman" w:eastAsia="宋体" w:cs="Times New Roman"/>
                <w:color w:val="auto"/>
                <w:kern w:val="0"/>
                <w:sz w:val="24"/>
                <w:szCs w:val="24"/>
              </w:rPr>
              <w:t>防水等级IP67，蓝光危害等级RG0级，无频闪</w:t>
            </w:r>
            <w:r>
              <w:rPr>
                <w:rFonts w:hint="eastAsia" w:ascii="Times New Roman" w:hAnsi="Times New Roman" w:eastAsia="宋体" w:cs="Times New Roman"/>
                <w:color w:val="auto"/>
                <w:kern w:val="0"/>
                <w:sz w:val="24"/>
                <w:szCs w:val="24"/>
              </w:rPr>
              <w:t>。</w:t>
            </w:r>
          </w:p>
        </w:tc>
        <w:tc>
          <w:tcPr>
            <w:tcW w:w="731" w:type="dxa"/>
            <w:vAlign w:val="center"/>
          </w:tcPr>
          <w:p w14:paraId="62AFAE7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3E41883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6F572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8BE897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1D395E7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电源布线耗材</w:t>
            </w:r>
          </w:p>
        </w:tc>
        <w:tc>
          <w:tcPr>
            <w:tcW w:w="1288" w:type="dxa"/>
            <w:vAlign w:val="center"/>
          </w:tcPr>
          <w:p w14:paraId="1446FC5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433DBA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模块化设计，每组模块间采用活接式连接，方便安装、检修。采用2.5平方电线进行系统布线。</w:t>
            </w:r>
          </w:p>
        </w:tc>
        <w:tc>
          <w:tcPr>
            <w:tcW w:w="731" w:type="dxa"/>
            <w:vAlign w:val="center"/>
          </w:tcPr>
          <w:p w14:paraId="7A3E510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52F21A0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617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0DB94D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2D2E14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集成系统调试</w:t>
            </w:r>
          </w:p>
        </w:tc>
        <w:tc>
          <w:tcPr>
            <w:tcW w:w="1288" w:type="dxa"/>
            <w:vAlign w:val="center"/>
          </w:tcPr>
          <w:p w14:paraId="5AE336E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97698E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1、吊顶式系统采用模块化结构设计，采用吊装安装方式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2、系统结构调试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3、系统控制调试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4、供电系统调试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5、照明系统调试。</w:t>
            </w:r>
          </w:p>
        </w:tc>
        <w:tc>
          <w:tcPr>
            <w:tcW w:w="731" w:type="dxa"/>
            <w:vAlign w:val="center"/>
          </w:tcPr>
          <w:p w14:paraId="60B59A2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0626428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5BB1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2A417B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5B9D80A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安装辅件</w:t>
            </w:r>
          </w:p>
        </w:tc>
        <w:tc>
          <w:tcPr>
            <w:tcW w:w="1288" w:type="dxa"/>
            <w:vAlign w:val="center"/>
          </w:tcPr>
          <w:p w14:paraId="765835A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C46F26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采用双槽钢横梁吊装方式，减少楼板承重，防止左右晃动，可进行上下、左右的平衡调节。主要辅件有：槽钢、三角构件、直角座、龙骨架连接件、吊装挂件、安装连接板等。</w:t>
            </w:r>
          </w:p>
        </w:tc>
        <w:tc>
          <w:tcPr>
            <w:tcW w:w="731" w:type="dxa"/>
            <w:vAlign w:val="center"/>
          </w:tcPr>
          <w:p w14:paraId="7422FF2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322C775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624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45170C2A">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lang w:val="en-US" w:eastAsia="zh-CN"/>
              </w:rPr>
              <w:t>3</w:t>
            </w:r>
            <w:r>
              <w:rPr>
                <w:rFonts w:ascii="Times New Roman" w:hAnsi="Times New Roman" w:eastAsia="宋体" w:cs="Times New Roman"/>
                <w:b/>
                <w:bCs/>
                <w:color w:val="auto"/>
                <w:kern w:val="0"/>
                <w:sz w:val="24"/>
                <w:szCs w:val="24"/>
              </w:rPr>
              <w:t>、显微镜</w:t>
            </w:r>
          </w:p>
        </w:tc>
      </w:tr>
      <w:tr w14:paraId="3AC59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A9FFB1B">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28BB3F4B">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08E1A07B">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639907F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47FAF767">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189BFE77">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5F592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F1B275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45E8ED4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显微镜</w:t>
            </w:r>
          </w:p>
        </w:tc>
        <w:tc>
          <w:tcPr>
            <w:tcW w:w="1288" w:type="dxa"/>
            <w:vAlign w:val="center"/>
          </w:tcPr>
          <w:p w14:paraId="4809C862">
            <w:pPr>
              <w:widowControl/>
              <w:spacing w:line="280" w:lineRule="exact"/>
              <w:jc w:val="center"/>
              <w:rPr>
                <w:rFonts w:ascii="Times New Roman" w:hAnsi="Times New Roman" w:eastAsia="宋体" w:cs="Times New Roman"/>
                <w:color w:val="auto"/>
                <w:kern w:val="0"/>
                <w:sz w:val="24"/>
                <w:szCs w:val="24"/>
              </w:rPr>
            </w:pPr>
            <w:r>
              <w:rPr>
                <w:rFonts w:hint="eastAsia" w:cs="Times New Roman"/>
                <w:color w:val="auto"/>
                <w:kern w:val="0"/>
                <w:sz w:val="24"/>
                <w:szCs w:val="24"/>
                <w:lang w:val="en-US" w:eastAsia="zh-CN"/>
              </w:rPr>
              <w:t>/</w:t>
            </w:r>
            <w:bookmarkStart w:id="0" w:name="_GoBack"/>
            <w:bookmarkEnd w:id="0"/>
          </w:p>
        </w:tc>
        <w:tc>
          <w:tcPr>
            <w:tcW w:w="6240" w:type="dxa"/>
            <w:vAlign w:val="center"/>
          </w:tcPr>
          <w:p w14:paraId="65D4DD6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1、目镜：大视野广角目镜WF10/18mm，双目观察筒</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45°倾斜，可以360°旋转</w:t>
            </w:r>
            <w:r>
              <w:rPr>
                <w:rFonts w:hint="eastAsia" w:ascii="Times New Roman" w:hAnsi="Times New Roman" w:eastAsia="宋体" w:cs="Times New Roman"/>
                <w:color w:val="auto"/>
                <w:kern w:val="0"/>
                <w:sz w:val="24"/>
                <w:szCs w:val="24"/>
              </w:rPr>
              <w:t>。</w:t>
            </w:r>
          </w:p>
          <w:p w14:paraId="742D72F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2、物镜：消色差物镜4X、10X、40X、100X</w:t>
            </w:r>
            <w:r>
              <w:rPr>
                <w:rFonts w:hint="eastAsia" w:ascii="Times New Roman" w:hAnsi="Times New Roman" w:eastAsia="宋体" w:cs="Times New Roman"/>
                <w:color w:val="auto"/>
                <w:kern w:val="0"/>
                <w:sz w:val="24"/>
                <w:szCs w:val="24"/>
              </w:rPr>
              <w:t>。</w:t>
            </w:r>
          </w:p>
          <w:p w14:paraId="5C625A1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3、放大倍率：40X-1000X</w:t>
            </w:r>
            <w:r>
              <w:rPr>
                <w:rFonts w:hint="eastAsia" w:ascii="Times New Roman" w:hAnsi="Times New Roman" w:eastAsia="宋体" w:cs="Times New Roman"/>
                <w:color w:val="auto"/>
                <w:kern w:val="0"/>
                <w:sz w:val="24"/>
                <w:szCs w:val="24"/>
              </w:rPr>
              <w:t>。</w:t>
            </w:r>
          </w:p>
          <w:p w14:paraId="40918026">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4、转换器：四孔物镜转换器，转换器稳定性≤0.025mm</w:t>
            </w:r>
            <w:r>
              <w:rPr>
                <w:rFonts w:hint="eastAsia" w:ascii="Times New Roman" w:hAnsi="Times New Roman" w:eastAsia="宋体" w:cs="Times New Roman"/>
                <w:color w:val="auto"/>
                <w:kern w:val="0"/>
                <w:sz w:val="24"/>
                <w:szCs w:val="24"/>
              </w:rPr>
              <w:t>。</w:t>
            </w:r>
          </w:p>
          <w:p w14:paraId="15E9C08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5、载物台：双层移动载物台，平台尺寸不小于115mm×125mm</w:t>
            </w:r>
            <w:r>
              <w:rPr>
                <w:rFonts w:hint="eastAsia" w:ascii="Times New Roman" w:hAnsi="Times New Roman" w:eastAsia="宋体" w:cs="Times New Roman"/>
                <w:color w:val="auto"/>
                <w:kern w:val="0"/>
                <w:sz w:val="24"/>
                <w:szCs w:val="24"/>
              </w:rPr>
              <w:t>。</w:t>
            </w:r>
          </w:p>
          <w:p w14:paraId="1286E3B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6、聚光镜：阿贝式聚光镜N.A=1.25、光栏：带可变光阑</w:t>
            </w:r>
            <w:r>
              <w:rPr>
                <w:rFonts w:hint="eastAsia" w:ascii="Times New Roman" w:hAnsi="Times New Roman" w:eastAsia="宋体" w:cs="Times New Roman"/>
                <w:color w:val="auto"/>
                <w:kern w:val="0"/>
                <w:sz w:val="24"/>
                <w:szCs w:val="24"/>
              </w:rPr>
              <w:t>。</w:t>
            </w:r>
          </w:p>
          <w:p w14:paraId="43614E8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7、显微镜内置高亮LED</w:t>
            </w:r>
            <w:r>
              <w:rPr>
                <w:rFonts w:ascii="Times New Roman" w:hAnsi="Times New Roman" w:eastAsia="宋体" w:cs="Times New Roman"/>
                <w:strike w:val="0"/>
                <w:color w:val="auto"/>
                <w:kern w:val="0"/>
                <w:sz w:val="24"/>
                <w:szCs w:val="24"/>
              </w:rPr>
              <w:t>可充电式底</w:t>
            </w:r>
            <w:r>
              <w:rPr>
                <w:rFonts w:ascii="Times New Roman" w:hAnsi="Times New Roman" w:eastAsia="宋体" w:cs="Times New Roman"/>
                <w:color w:val="auto"/>
                <w:kern w:val="0"/>
                <w:sz w:val="24"/>
                <w:szCs w:val="24"/>
              </w:rPr>
              <w:t>光源，亮度可调。</w:t>
            </w:r>
          </w:p>
        </w:tc>
        <w:tc>
          <w:tcPr>
            <w:tcW w:w="731" w:type="dxa"/>
            <w:vAlign w:val="center"/>
          </w:tcPr>
          <w:p w14:paraId="5310D11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2DDEAA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bl>
    <w:p w14:paraId="4CDB53A3">
      <w:pPr>
        <w:numPr>
          <w:ilvl w:val="0"/>
          <w:numId w:val="0"/>
        </w:numPr>
        <w:tabs>
          <w:tab w:val="left" w:pos="360"/>
          <w:tab w:val="left" w:pos="900"/>
        </w:tabs>
        <w:snapToGrid w:val="0"/>
        <w:spacing w:line="360" w:lineRule="auto"/>
        <w:ind w:firstLine="482" w:firstLineChars="200"/>
        <w:jc w:val="left"/>
        <w:outlineLvl w:val="1"/>
        <w:rPr>
          <w:rFonts w:hint="eastAsia" w:cs="Times New Roman"/>
          <w:b/>
          <w:bCs/>
          <w:color w:val="auto"/>
          <w:kern w:val="0"/>
          <w:sz w:val="24"/>
          <w:highlight w:val="none"/>
          <w:lang w:val="en-US" w:eastAsia="zh-CN"/>
        </w:rPr>
      </w:pPr>
      <w:r>
        <w:rPr>
          <w:rFonts w:hint="eastAsia" w:ascii="Times New Roman" w:hAnsi="Times New Roman" w:eastAsia="宋体" w:cs="Times New Roman"/>
          <w:b/>
          <w:bCs/>
          <w:color w:val="000000"/>
          <w:kern w:val="0"/>
          <w:sz w:val="24"/>
          <w:szCs w:val="24"/>
        </w:rPr>
        <w:t>★投标人所投</w:t>
      </w:r>
      <w:r>
        <w:rPr>
          <w:rFonts w:ascii="Times New Roman" w:hAnsi="Times New Roman" w:eastAsia="宋体" w:cs="Times New Roman"/>
          <w:b/>
          <w:bCs/>
          <w:color w:val="000000"/>
          <w:kern w:val="0"/>
          <w:sz w:val="24"/>
          <w:szCs w:val="24"/>
        </w:rPr>
        <w:t>水嘴</w:t>
      </w:r>
      <w:r>
        <w:rPr>
          <w:rFonts w:hint="eastAsia" w:ascii="Times New Roman" w:hAnsi="Times New Roman" w:eastAsia="宋体" w:cs="Times New Roman"/>
          <w:b/>
          <w:bCs/>
          <w:color w:val="000000"/>
          <w:kern w:val="0"/>
          <w:sz w:val="24"/>
          <w:szCs w:val="24"/>
          <w:lang w:val="en-US" w:eastAsia="zh-CN"/>
        </w:rPr>
        <w:t>等属于</w:t>
      </w:r>
      <w:r>
        <w:rPr>
          <w:rFonts w:hint="default" w:ascii="Times New Roman" w:hAnsi="Times New Roman" w:eastAsia="宋体" w:cs="Times New Roman"/>
          <w:b/>
          <w:bCs/>
          <w:color w:val="auto"/>
          <w:kern w:val="0"/>
          <w:sz w:val="24"/>
          <w:highlight w:val="none"/>
        </w:rPr>
        <w:t>《节能产品政府采购品目清单》范围中政府强制采购产品</w:t>
      </w:r>
      <w:r>
        <w:rPr>
          <w:rFonts w:hint="eastAsia" w:cs="Times New Roman"/>
          <w:b/>
          <w:bCs/>
          <w:color w:val="auto"/>
          <w:kern w:val="0"/>
          <w:sz w:val="24"/>
          <w:highlight w:val="none"/>
          <w:lang w:eastAsia="zh-CN"/>
        </w:rPr>
        <w:t>的，</w:t>
      </w:r>
      <w:r>
        <w:rPr>
          <w:rFonts w:hint="eastAsia" w:cs="Times New Roman"/>
          <w:b/>
          <w:bCs/>
          <w:color w:val="auto"/>
          <w:kern w:val="0"/>
          <w:sz w:val="24"/>
          <w:highlight w:val="none"/>
          <w:lang w:val="en-US" w:eastAsia="zh-CN"/>
        </w:rPr>
        <w:t>投标人须在投标文件中提供节能产品认证证书复印件，并加盖投标人公章。</w:t>
      </w:r>
    </w:p>
    <w:p w14:paraId="0067E5E3">
      <w:pPr>
        <w:numPr>
          <w:ilvl w:val="0"/>
          <w:numId w:val="0"/>
        </w:numPr>
        <w:tabs>
          <w:tab w:val="left" w:pos="360"/>
          <w:tab w:val="left" w:pos="900"/>
        </w:tabs>
        <w:snapToGrid w:val="0"/>
        <w:spacing w:line="360" w:lineRule="auto"/>
        <w:ind w:firstLine="482" w:firstLineChars="200"/>
        <w:jc w:val="left"/>
        <w:outlineLvl w:val="1"/>
        <w:rPr>
          <w:rFonts w:hint="eastAsia" w:cs="Times New Roman"/>
          <w:b/>
          <w:bCs/>
          <w:color w:val="auto"/>
          <w:kern w:val="0"/>
          <w:sz w:val="24"/>
          <w:highlight w:val="none"/>
          <w:lang w:val="en-US" w:eastAsia="zh-CN"/>
        </w:rPr>
      </w:pPr>
      <w:r>
        <w:rPr>
          <w:rFonts w:hint="default" w:cs="Times New Roman"/>
          <w:b/>
          <w:bCs/>
          <w:color w:val="auto"/>
          <w:kern w:val="0"/>
          <w:sz w:val="24"/>
          <w:highlight w:val="none"/>
          <w:lang w:val="en-US" w:eastAsia="zh-CN"/>
        </w:rPr>
        <w:t>★</w:t>
      </w:r>
      <w:r>
        <w:rPr>
          <w:rFonts w:hint="eastAsia" w:cs="Times New Roman"/>
          <w:b/>
          <w:bCs/>
          <w:color w:val="auto"/>
          <w:kern w:val="0"/>
          <w:sz w:val="24"/>
          <w:highlight w:val="none"/>
          <w:lang w:val="en-US" w:eastAsia="zh-CN"/>
        </w:rPr>
        <w:t>投标人所投</w:t>
      </w:r>
      <w:r>
        <w:rPr>
          <w:rFonts w:hint="default" w:cs="Times New Roman"/>
          <w:b/>
          <w:bCs/>
          <w:color w:val="auto"/>
          <w:kern w:val="0"/>
          <w:sz w:val="24"/>
          <w:highlight w:val="none"/>
          <w:lang w:val="en-US" w:eastAsia="zh-CN"/>
        </w:rPr>
        <w:t>插座</w:t>
      </w:r>
      <w:r>
        <w:rPr>
          <w:rFonts w:hint="eastAsia" w:cs="Times New Roman"/>
          <w:b/>
          <w:bCs/>
          <w:color w:val="auto"/>
          <w:kern w:val="0"/>
          <w:sz w:val="24"/>
          <w:highlight w:val="none"/>
          <w:lang w:val="en-US" w:eastAsia="zh-CN"/>
        </w:rPr>
        <w:t>、边柜电源、室内地上配电耗材、室内地下配电耗材等属于中国强制性产品认证的，须在投标文件中提供3C认证证书复印件，并加盖投标人公章。</w:t>
      </w:r>
    </w:p>
    <w:p w14:paraId="53294979">
      <w:pPr>
        <w:numPr>
          <w:ilvl w:val="0"/>
          <w:numId w:val="0"/>
        </w:numPr>
        <w:tabs>
          <w:tab w:val="left" w:pos="360"/>
          <w:tab w:val="left" w:pos="900"/>
        </w:tabs>
        <w:snapToGrid w:val="0"/>
        <w:spacing w:line="360" w:lineRule="auto"/>
        <w:ind w:firstLine="482" w:firstLineChars="200"/>
        <w:jc w:val="left"/>
        <w:outlineLvl w:val="1"/>
        <w:rPr>
          <w:rFonts w:hint="default" w:cs="Times New Roman"/>
          <w:b/>
          <w:bCs/>
          <w:color w:val="auto"/>
          <w:kern w:val="0"/>
          <w:sz w:val="24"/>
          <w:highlight w:val="none"/>
          <w:lang w:val="en-US" w:eastAsia="zh-CN"/>
        </w:rPr>
      </w:pPr>
    </w:p>
    <w:p w14:paraId="0D9DC50A">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供货要求</w:t>
      </w:r>
    </w:p>
    <w:p w14:paraId="52AA16F4">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1、</w:t>
      </w:r>
      <w:r>
        <w:rPr>
          <w:rFonts w:hint="default" w:ascii="Times New Roman" w:hAnsi="Times New Roman" w:eastAsia="宋体" w:cs="Times New Roman"/>
          <w:color w:val="auto"/>
          <w:kern w:val="0"/>
          <w:sz w:val="24"/>
          <w:lang w:val="en-US" w:eastAsia="zh-CN"/>
        </w:rPr>
        <w:t>投标人</w:t>
      </w:r>
      <w:r>
        <w:rPr>
          <w:rFonts w:hint="default" w:ascii="Times New Roman" w:hAnsi="Times New Roman" w:eastAsia="宋体" w:cs="Times New Roman"/>
          <w:color w:val="auto"/>
          <w:spacing w:val="-2"/>
          <w:kern w:val="2"/>
          <w:sz w:val="24"/>
          <w:szCs w:val="24"/>
          <w:lang w:val="en-US" w:eastAsia="zh-CN" w:bidi="ar-SA"/>
        </w:rPr>
        <w:t>需响应高效，在接到各学校通知后，</w:t>
      </w:r>
      <w:r>
        <w:rPr>
          <w:rFonts w:hint="eastAsia" w:cs="Times New Roman"/>
          <w:color w:val="auto"/>
          <w:spacing w:val="-2"/>
          <w:kern w:val="2"/>
          <w:sz w:val="24"/>
          <w:szCs w:val="24"/>
          <w:lang w:val="en-US" w:eastAsia="zh-CN" w:bidi="ar-SA"/>
        </w:rPr>
        <w:t>5</w:t>
      </w:r>
      <w:r>
        <w:rPr>
          <w:rFonts w:hint="default" w:ascii="Times New Roman" w:hAnsi="Times New Roman" w:eastAsia="宋体" w:cs="Times New Roman"/>
          <w:color w:val="auto"/>
          <w:spacing w:val="-2"/>
          <w:kern w:val="2"/>
          <w:sz w:val="24"/>
          <w:szCs w:val="24"/>
          <w:lang w:val="en-US" w:eastAsia="zh-CN" w:bidi="ar-SA"/>
        </w:rPr>
        <w:t>日内将标的物运至各学校指定地点</w:t>
      </w:r>
      <w:r>
        <w:rPr>
          <w:rFonts w:hint="eastAsia" w:cs="Times New Roman"/>
          <w:color w:val="auto"/>
          <w:spacing w:val="-2"/>
          <w:kern w:val="2"/>
          <w:sz w:val="24"/>
          <w:szCs w:val="24"/>
          <w:lang w:val="en-US" w:eastAsia="zh-CN" w:bidi="ar-SA"/>
        </w:rPr>
        <w:t>，</w:t>
      </w:r>
      <w:r>
        <w:rPr>
          <w:rFonts w:hint="eastAsia" w:cs="Times New Roman"/>
          <w:color w:val="auto"/>
          <w:sz w:val="24"/>
          <w:lang w:val="en-US" w:eastAsia="zh-CN"/>
        </w:rPr>
        <w:t>2026年11月30日</w:t>
      </w:r>
      <w:r>
        <w:rPr>
          <w:rFonts w:hint="default" w:ascii="Times New Roman" w:hAnsi="Times New Roman" w:eastAsia="宋体" w:cs="Times New Roman"/>
          <w:color w:val="auto"/>
          <w:spacing w:val="-2"/>
          <w:kern w:val="2"/>
          <w:sz w:val="24"/>
          <w:szCs w:val="24"/>
          <w:lang w:val="en-US" w:eastAsia="zh-CN" w:bidi="ar-SA"/>
        </w:rPr>
        <w:t>前完成所有学校的安装、调试工作</w:t>
      </w:r>
      <w:r>
        <w:rPr>
          <w:rFonts w:hint="default" w:ascii="Times New Roman" w:hAnsi="Times New Roman" w:eastAsia="宋体" w:cs="Times New Roman"/>
          <w:color w:val="auto"/>
          <w:sz w:val="24"/>
        </w:rPr>
        <w:t>。</w:t>
      </w:r>
    </w:p>
    <w:p w14:paraId="32CAFD6B">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2、</w:t>
      </w:r>
      <w:r>
        <w:rPr>
          <w:rFonts w:hint="default" w:ascii="Times New Roman" w:hAnsi="Times New Roman" w:eastAsia="宋体" w:cs="Times New Roman"/>
          <w:color w:val="auto"/>
          <w:kern w:val="0"/>
          <w:sz w:val="24"/>
          <w:lang w:val="en-US" w:eastAsia="zh-CN"/>
        </w:rPr>
        <w:t>投标人</w:t>
      </w:r>
      <w:r>
        <w:rPr>
          <w:rFonts w:hint="default" w:ascii="Times New Roman" w:hAnsi="Times New Roman" w:eastAsia="宋体" w:cs="Times New Roman"/>
          <w:color w:val="auto"/>
          <w:spacing w:val="-2"/>
          <w:kern w:val="2"/>
          <w:sz w:val="24"/>
          <w:szCs w:val="24"/>
          <w:lang w:val="en-US" w:eastAsia="zh-CN" w:bidi="ar-SA"/>
        </w:rPr>
        <w:t>需提供全新包装的货物，运输及装卸过程应符合产品的物理特性，保证产品质量安全。如运输过程中如出现货物受损应由</w:t>
      </w:r>
      <w:r>
        <w:rPr>
          <w:rFonts w:hint="eastAsia" w:cs="Times New Roman"/>
          <w:color w:val="auto"/>
          <w:spacing w:val="-2"/>
          <w:kern w:val="2"/>
          <w:sz w:val="24"/>
          <w:szCs w:val="24"/>
          <w:lang w:val="en-US" w:eastAsia="zh-CN" w:bidi="ar-SA"/>
        </w:rPr>
        <w:t>投标</w:t>
      </w:r>
      <w:r>
        <w:rPr>
          <w:rFonts w:hint="default" w:ascii="Times New Roman" w:hAnsi="Times New Roman" w:eastAsia="宋体" w:cs="Times New Roman"/>
          <w:color w:val="auto"/>
          <w:spacing w:val="-2"/>
          <w:kern w:val="2"/>
          <w:sz w:val="24"/>
          <w:szCs w:val="24"/>
          <w:lang w:val="en-US" w:eastAsia="zh-CN" w:bidi="ar-SA"/>
        </w:rPr>
        <w:t>人承担。</w:t>
      </w:r>
    </w:p>
    <w:p w14:paraId="7CD6183E">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spacing w:val="-2"/>
          <w:kern w:val="2"/>
          <w:sz w:val="24"/>
          <w:szCs w:val="24"/>
          <w:lang w:val="en-US" w:eastAsia="zh-CN" w:bidi="ar-SA"/>
        </w:rPr>
        <w:t>3、</w:t>
      </w:r>
      <w:r>
        <w:rPr>
          <w:rFonts w:hint="default" w:ascii="Times New Roman" w:hAnsi="Times New Roman" w:eastAsia="宋体" w:cs="Times New Roman"/>
          <w:color w:val="auto"/>
          <w:kern w:val="0"/>
          <w:sz w:val="24"/>
          <w:lang w:val="en-US" w:eastAsia="zh-CN"/>
        </w:rPr>
        <w:t>投标人</w:t>
      </w:r>
      <w:r>
        <w:rPr>
          <w:rFonts w:hint="default" w:ascii="Times New Roman" w:hAnsi="Times New Roman" w:eastAsia="宋体" w:cs="Times New Roman"/>
          <w:color w:val="auto"/>
          <w:spacing w:val="-2"/>
          <w:kern w:val="2"/>
          <w:sz w:val="24"/>
          <w:szCs w:val="24"/>
          <w:lang w:val="en-US" w:eastAsia="zh-CN" w:bidi="ar-SA"/>
        </w:rPr>
        <w:t>需为本项目提供专属车辆进行供货、配送货等服务。</w:t>
      </w:r>
    </w:p>
    <w:p w14:paraId="55E53B4A">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p>
    <w:p w14:paraId="41861576">
      <w:pPr>
        <w:numPr>
          <w:ilvl w:val="0"/>
          <w:numId w:val="1"/>
        </w:numPr>
        <w:spacing w:line="360" w:lineRule="auto"/>
        <w:ind w:left="0" w:leftChars="0" w:firstLine="0" w:firstLineChars="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实施要求</w:t>
      </w:r>
    </w:p>
    <w:p w14:paraId="2BD8EE50">
      <w:pPr>
        <w:numPr>
          <w:ilvl w:val="0"/>
          <w:numId w:val="0"/>
        </w:numPr>
        <w:spacing w:line="360" w:lineRule="auto"/>
        <w:ind w:leftChars="0" w:firstLine="480" w:firstLineChars="200"/>
        <w:rPr>
          <w:rFonts w:hint="default" w:ascii="Times New Roman" w:hAnsi="Times New Roman" w:eastAsia="宋体" w:cs="Times New Roman"/>
          <w:color w:val="auto"/>
          <w:kern w:val="0"/>
          <w:sz w:val="24"/>
          <w:lang w:val="en-US" w:eastAsia="zh-CN"/>
        </w:rPr>
      </w:pPr>
      <w:r>
        <w:rPr>
          <w:rFonts w:hint="default" w:ascii="Times New Roman" w:hAnsi="Times New Roman" w:eastAsia="宋体" w:cs="Times New Roman"/>
          <w:color w:val="auto"/>
          <w:kern w:val="0"/>
          <w:sz w:val="24"/>
          <w:lang w:val="en-US" w:eastAsia="zh-CN"/>
        </w:rPr>
        <w:t>因本项目时间紧，任务重，投标人应在投标文件中为本项目拟定</w:t>
      </w:r>
      <w:r>
        <w:rPr>
          <w:rFonts w:hint="default" w:ascii="Times New Roman" w:hAnsi="Times New Roman" w:eastAsia="宋体" w:cs="Times New Roman"/>
          <w:color w:val="auto"/>
          <w:kern w:val="0"/>
          <w:sz w:val="24"/>
        </w:rPr>
        <w:t>合理</w:t>
      </w:r>
      <w:r>
        <w:rPr>
          <w:rFonts w:hint="default" w:ascii="Times New Roman" w:hAnsi="Times New Roman" w:eastAsia="宋体" w:cs="Times New Roman"/>
          <w:color w:val="auto"/>
          <w:kern w:val="0"/>
          <w:sz w:val="24"/>
          <w:lang w:val="en-US" w:eastAsia="zh-CN"/>
        </w:rPr>
        <w:t>的项目实施进度计划，同时还应根据带量采购项目的特点提供符合本项目的实施组织方式，以确保项目高效、高质执行。</w:t>
      </w:r>
    </w:p>
    <w:p w14:paraId="787E18BC">
      <w:pPr>
        <w:numPr>
          <w:ilvl w:val="0"/>
          <w:numId w:val="0"/>
        </w:numPr>
        <w:spacing w:line="360" w:lineRule="auto"/>
        <w:ind w:leftChars="0" w:firstLine="480" w:firstLineChars="200"/>
        <w:rPr>
          <w:rFonts w:hint="default" w:ascii="Times New Roman" w:hAnsi="Times New Roman" w:eastAsia="宋体" w:cs="Times New Roman"/>
          <w:color w:val="auto"/>
          <w:kern w:val="0"/>
          <w:sz w:val="24"/>
          <w:lang w:val="en-US" w:eastAsia="zh-CN"/>
        </w:rPr>
      </w:pPr>
    </w:p>
    <w:p w14:paraId="7876AC63">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eastAsia" w:ascii="Times New Roman" w:hAnsi="Times New Roman" w:eastAsia="宋体" w:cs="Times New Roman"/>
          <w:b/>
          <w:color w:val="auto"/>
          <w:sz w:val="24"/>
          <w:lang w:val="en-US" w:eastAsia="zh-CN"/>
        </w:rPr>
        <w:t>安装调试</w:t>
      </w:r>
    </w:p>
    <w:p w14:paraId="5AEEACFC">
      <w:pPr>
        <w:numPr>
          <w:ilvl w:val="0"/>
          <w:numId w:val="3"/>
        </w:numPr>
        <w:spacing w:line="360" w:lineRule="auto"/>
        <w:ind w:leftChars="0" w:firstLine="480" w:firstLineChars="200"/>
        <w:rPr>
          <w:rFonts w:hint="eastAsia"/>
          <w:kern w:val="0"/>
          <w:sz w:val="24"/>
          <w:highlight w:val="none"/>
          <w:lang w:val="en-US" w:eastAsia="zh-CN"/>
        </w:rPr>
      </w:pPr>
      <w:r>
        <w:rPr>
          <w:rFonts w:hint="eastAsia"/>
          <w:kern w:val="0"/>
          <w:sz w:val="24"/>
          <w:highlight w:val="none"/>
          <w:lang w:val="en-US" w:eastAsia="zh-CN"/>
        </w:rPr>
        <w:t>投标人应根据各学校实际需求，拆除实验室原有设备</w:t>
      </w:r>
      <w:r>
        <w:rPr>
          <w:kern w:val="0"/>
          <w:sz w:val="24"/>
          <w:highlight w:val="none"/>
        </w:rPr>
        <w:t>，</w:t>
      </w:r>
      <w:r>
        <w:rPr>
          <w:rFonts w:hint="eastAsia"/>
          <w:kern w:val="0"/>
          <w:sz w:val="24"/>
          <w:highlight w:val="none"/>
          <w:lang w:val="en-US" w:eastAsia="zh-CN"/>
        </w:rPr>
        <w:t>并将旧设备运输至各学校指定地点；</w:t>
      </w:r>
    </w:p>
    <w:p w14:paraId="25C3BAC8">
      <w:pPr>
        <w:numPr>
          <w:ilvl w:val="0"/>
          <w:numId w:val="3"/>
        </w:numPr>
        <w:spacing w:line="360" w:lineRule="auto"/>
        <w:ind w:leftChars="0" w:firstLine="480" w:firstLineChars="200"/>
        <w:rPr>
          <w:rFonts w:hint="default" w:ascii="Times New Roman" w:hAnsi="Times New Roman" w:cs="Times New Roman"/>
          <w:kern w:val="0"/>
          <w:sz w:val="24"/>
          <w:highlight w:val="none"/>
          <w:lang w:val="en-US"/>
        </w:rPr>
      </w:pPr>
      <w:r>
        <w:rPr>
          <w:rFonts w:hint="eastAsia"/>
          <w:kern w:val="0"/>
          <w:sz w:val="24"/>
          <w:highlight w:val="none"/>
          <w:lang w:val="en-US" w:eastAsia="zh-CN"/>
        </w:rPr>
        <w:t>投标人需对各学校实验室的安装环境（</w:t>
      </w:r>
      <w:r>
        <w:rPr>
          <w:rFonts w:ascii="Times New Roman" w:hAnsi="Times New Roman" w:eastAsia="宋体" w:cs="Times New Roman"/>
          <w:color w:val="000000"/>
          <w:kern w:val="0"/>
          <w:sz w:val="24"/>
          <w:szCs w:val="24"/>
        </w:rPr>
        <w:t>室内基础设施</w:t>
      </w:r>
      <w:r>
        <w:rPr>
          <w:rFonts w:hint="eastAsia"/>
          <w:kern w:val="0"/>
          <w:sz w:val="24"/>
          <w:highlight w:val="none"/>
          <w:lang w:val="en-US" w:eastAsia="zh-CN"/>
        </w:rPr>
        <w:t>）进行适配设备的改造</w:t>
      </w:r>
      <w:r>
        <w:rPr>
          <w:rFonts w:hint="eastAsia" w:ascii="Times New Roman" w:hAnsi="Times New Roman" w:cs="Times New Roman"/>
          <w:kern w:val="0"/>
          <w:sz w:val="24"/>
          <w:highlight w:val="none"/>
        </w:rPr>
        <w:t>，</w:t>
      </w:r>
      <w:r>
        <w:rPr>
          <w:rFonts w:ascii="Times New Roman" w:hAnsi="Times New Roman" w:cs="Times New Roman"/>
          <w:kern w:val="0"/>
          <w:sz w:val="24"/>
          <w:highlight w:val="none"/>
        </w:rPr>
        <w:t>应尽量</w:t>
      </w:r>
      <w:r>
        <w:rPr>
          <w:rFonts w:hint="eastAsia" w:ascii="Times New Roman" w:hAnsi="Times New Roman" w:cs="Times New Roman"/>
          <w:kern w:val="0"/>
          <w:sz w:val="24"/>
          <w:highlight w:val="none"/>
        </w:rPr>
        <w:t>避免</w:t>
      </w:r>
      <w:r>
        <w:rPr>
          <w:rFonts w:ascii="Times New Roman" w:hAnsi="Times New Roman" w:cs="Times New Roman"/>
          <w:kern w:val="0"/>
          <w:sz w:val="24"/>
          <w:highlight w:val="none"/>
        </w:rPr>
        <w:t>对</w:t>
      </w:r>
      <w:r>
        <w:rPr>
          <w:rFonts w:hint="eastAsia" w:ascii="Times New Roman" w:hAnsi="Times New Roman" w:cs="Times New Roman"/>
          <w:kern w:val="0"/>
          <w:sz w:val="24"/>
          <w:highlight w:val="none"/>
          <w:lang w:val="en-US" w:eastAsia="zh-CN"/>
        </w:rPr>
        <w:t>实验室</w:t>
      </w:r>
      <w:r>
        <w:rPr>
          <w:rFonts w:ascii="Times New Roman" w:hAnsi="Times New Roman" w:cs="Times New Roman"/>
          <w:kern w:val="0"/>
          <w:sz w:val="24"/>
          <w:highlight w:val="none"/>
        </w:rPr>
        <w:t>装饰、装潢、外观及其它公共设施、设备的</w:t>
      </w:r>
      <w:r>
        <w:rPr>
          <w:rFonts w:hint="eastAsia" w:ascii="Times New Roman" w:hAnsi="Times New Roman" w:cs="Times New Roman"/>
          <w:kern w:val="0"/>
          <w:sz w:val="24"/>
          <w:highlight w:val="none"/>
        </w:rPr>
        <w:t>改变</w:t>
      </w:r>
      <w:r>
        <w:rPr>
          <w:rFonts w:ascii="Times New Roman" w:hAnsi="Times New Roman" w:cs="Times New Roman"/>
          <w:kern w:val="0"/>
          <w:sz w:val="24"/>
          <w:highlight w:val="none"/>
        </w:rPr>
        <w:t>。</w:t>
      </w:r>
      <w:r>
        <w:rPr>
          <w:rFonts w:hint="eastAsia" w:cs="Times New Roman"/>
          <w:kern w:val="0"/>
          <w:sz w:val="24"/>
          <w:highlight w:val="none"/>
          <w:lang w:val="en-US" w:eastAsia="zh-CN"/>
        </w:rPr>
        <w:t>投标人的报价须包含适配改造的全部相关费用，各学校不再额外支付其他费用。</w:t>
      </w:r>
    </w:p>
    <w:p w14:paraId="310C1D74">
      <w:pPr>
        <w:numPr>
          <w:ilvl w:val="0"/>
          <w:numId w:val="3"/>
        </w:numPr>
        <w:spacing w:line="360" w:lineRule="auto"/>
        <w:ind w:leftChars="0" w:firstLine="480" w:firstLineChars="200"/>
        <w:rPr>
          <w:rFonts w:hint="default" w:ascii="Times New Roman" w:hAnsi="Times New Roman" w:cs="Times New Roman"/>
          <w:kern w:val="0"/>
          <w:sz w:val="24"/>
          <w:highlight w:val="none"/>
          <w:lang w:val="en-US"/>
        </w:rPr>
      </w:pPr>
      <w:r>
        <w:rPr>
          <w:rFonts w:hint="eastAsia"/>
          <w:kern w:val="0"/>
          <w:sz w:val="24"/>
          <w:highlight w:val="none"/>
          <w:lang w:val="en-US" w:eastAsia="zh-CN"/>
        </w:rPr>
        <w:t>设备安装到位后，投标人需进行调试及试运行，并将试运行情况以书面形式报告各学校，必要时，各学校可派代表出席参与试运行过程。</w:t>
      </w:r>
    </w:p>
    <w:p w14:paraId="28A656BE">
      <w:pPr>
        <w:numPr>
          <w:ilvl w:val="0"/>
          <w:numId w:val="0"/>
        </w:numPr>
        <w:spacing w:line="360" w:lineRule="auto"/>
        <w:ind w:leftChars="200"/>
        <w:rPr>
          <w:rFonts w:hint="default" w:ascii="Times New Roman" w:hAnsi="Times New Roman" w:cs="Times New Roman"/>
          <w:kern w:val="0"/>
          <w:sz w:val="24"/>
          <w:highlight w:val="none"/>
          <w:lang w:val="en-US"/>
        </w:rPr>
      </w:pPr>
    </w:p>
    <w:p w14:paraId="7B27C1E5">
      <w:pPr>
        <w:numPr>
          <w:ilvl w:val="0"/>
          <w:numId w:val="1"/>
        </w:numPr>
        <w:spacing w:line="360" w:lineRule="auto"/>
        <w:ind w:left="0" w:leftChars="0" w:firstLine="0" w:firstLineChars="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售后服务</w:t>
      </w:r>
    </w:p>
    <w:p w14:paraId="30B97049">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rPr>
        <w:t>投标人所供产品需为全新未使用过，符合国家相关要求的产品，对有问题的产品，在接到</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通知后2小时内做出响应，并在24小时内解决问题。</w:t>
      </w:r>
    </w:p>
    <w:p w14:paraId="0BFA1663">
      <w:pPr>
        <w:pStyle w:val="2"/>
        <w:numPr>
          <w:ilvl w:val="0"/>
          <w:numId w:val="4"/>
        </w:numPr>
        <w:adjustRightInd w:val="0"/>
        <w:snapToGrid w:val="0"/>
        <w:spacing w:before="0" w:line="360" w:lineRule="auto"/>
        <w:ind w:firstLine="480" w:firstLineChars="200"/>
        <w:rPr>
          <w:rFonts w:hint="default" w:ascii="Times New Roman" w:hAnsi="Times New Roman" w:eastAsia="宋体" w:cs="Times New Roman"/>
          <w:color w:val="auto"/>
          <w:spacing w:val="-2"/>
        </w:rPr>
      </w:pPr>
      <w:r>
        <w:rPr>
          <w:rFonts w:hint="eastAsia" w:ascii="Times New Roman" w:hAnsi="Times New Roman" w:eastAsia="宋体" w:cs="Times New Roman"/>
          <w:color w:val="auto"/>
          <w:lang w:val="en-US" w:eastAsia="zh-CN"/>
        </w:rPr>
        <w:t>投标人</w:t>
      </w:r>
      <w:r>
        <w:rPr>
          <w:rFonts w:hint="default" w:ascii="Times New Roman" w:hAnsi="Times New Roman" w:eastAsia="宋体" w:cs="Times New Roman"/>
          <w:color w:val="auto"/>
          <w:lang w:val="en-US" w:eastAsia="zh-CN"/>
        </w:rPr>
        <w:t>应建立易损件储备库，配备充足易损件，并能在</w:t>
      </w:r>
      <w:r>
        <w:rPr>
          <w:rFonts w:hint="eastAsia" w:ascii="Times New Roman" w:hAnsi="Times New Roman" w:eastAsia="宋体" w:cs="Times New Roman"/>
          <w:color w:val="auto"/>
          <w:lang w:val="en-US" w:eastAsia="zh-CN"/>
        </w:rPr>
        <w:t>2</w:t>
      </w:r>
      <w:r>
        <w:rPr>
          <w:rFonts w:hint="default" w:ascii="Times New Roman" w:hAnsi="Times New Roman" w:eastAsia="宋体" w:cs="Times New Roman"/>
          <w:color w:val="auto"/>
          <w:lang w:val="en-US" w:eastAsia="zh-CN"/>
        </w:rPr>
        <w:t>小时内送达现场</w:t>
      </w:r>
      <w:r>
        <w:rPr>
          <w:rFonts w:hint="eastAsia" w:ascii="Times New Roman" w:hAnsi="Times New Roman" w:eastAsia="宋体" w:cs="Times New Roman"/>
          <w:color w:val="auto"/>
          <w:lang w:val="en-US" w:eastAsia="zh-CN"/>
        </w:rPr>
        <w:t>，</w:t>
      </w:r>
      <w:r>
        <w:rPr>
          <w:rFonts w:hint="eastAsia" w:ascii="Times New Roman" w:hAnsi="Times New Roman" w:cs="Times New Roman"/>
          <w:color w:val="auto"/>
          <w:lang w:val="en-US" w:eastAsia="zh-CN"/>
        </w:rPr>
        <w:t>24</w:t>
      </w:r>
      <w:r>
        <w:rPr>
          <w:rFonts w:hint="eastAsia" w:ascii="Times New Roman" w:hAnsi="Times New Roman" w:eastAsia="宋体" w:cs="Times New Roman"/>
          <w:color w:val="auto"/>
          <w:lang w:val="en-US" w:eastAsia="zh-CN"/>
        </w:rPr>
        <w:t>小时内完成更换</w:t>
      </w:r>
      <w:r>
        <w:rPr>
          <w:rFonts w:hint="default" w:ascii="Times New Roman" w:hAnsi="Times New Roman" w:eastAsia="宋体" w:cs="Times New Roman"/>
          <w:color w:val="auto"/>
          <w:lang w:val="en-US" w:eastAsia="zh-CN"/>
        </w:rPr>
        <w:t>。</w:t>
      </w:r>
    </w:p>
    <w:p w14:paraId="5E0DF951">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lang w:val="en-US" w:eastAsia="zh-CN"/>
        </w:rPr>
        <w:t>投标人</w:t>
      </w:r>
      <w:r>
        <w:rPr>
          <w:rFonts w:hint="default" w:ascii="Times New Roman" w:hAnsi="Times New Roman" w:eastAsia="宋体" w:cs="Times New Roman"/>
          <w:color w:val="auto"/>
          <w:spacing w:val="-2"/>
        </w:rPr>
        <w:t>应向</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提供</w:t>
      </w:r>
      <w:r>
        <w:rPr>
          <w:rFonts w:hint="default" w:ascii="Times New Roman" w:hAnsi="Times New Roman" w:eastAsia="宋体" w:cs="Times New Roman"/>
          <w:color w:val="auto"/>
          <w:spacing w:val="-2"/>
          <w:lang w:val="en-US" w:eastAsia="zh-CN"/>
        </w:rPr>
        <w:t>产品相关使用说明等材料</w:t>
      </w:r>
      <w:r>
        <w:rPr>
          <w:rFonts w:hint="default" w:ascii="Times New Roman" w:hAnsi="Times New Roman" w:eastAsia="宋体" w:cs="Times New Roman"/>
          <w:color w:val="auto"/>
          <w:spacing w:val="-2"/>
          <w:lang w:eastAsia="zh-CN"/>
        </w:rPr>
        <w:t>，</w:t>
      </w:r>
      <w:r>
        <w:rPr>
          <w:rFonts w:hint="default" w:ascii="Times New Roman" w:hAnsi="Times New Roman" w:eastAsia="宋体" w:cs="Times New Roman"/>
          <w:color w:val="auto"/>
          <w:spacing w:val="-2"/>
        </w:rPr>
        <w:t>以便</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能掌握操作和维护方法。</w:t>
      </w:r>
    </w:p>
    <w:p w14:paraId="2E14F287">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lang w:val="en-US" w:eastAsia="zh-CN"/>
        </w:rPr>
      </w:pPr>
      <w:r>
        <w:rPr>
          <w:rFonts w:hint="eastAsia" w:ascii="Times New Roman" w:hAnsi="Times New Roman" w:eastAsia="宋体" w:cs="Times New Roman"/>
          <w:color w:val="auto"/>
          <w:spacing w:val="-2"/>
          <w:lang w:val="en-US" w:eastAsia="zh-CN"/>
        </w:rPr>
        <w:t>投标人应向</w:t>
      </w:r>
      <w:r>
        <w:rPr>
          <w:rFonts w:hint="default" w:ascii="Times New Roman" w:hAnsi="Times New Roman" w:eastAsia="宋体" w:cs="Times New Roman"/>
          <w:color w:val="auto"/>
          <w:spacing w:val="-2"/>
        </w:rPr>
        <w:t>向</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提供</w:t>
      </w:r>
      <w:r>
        <w:rPr>
          <w:rFonts w:hint="eastAsia" w:ascii="Times New Roman" w:hAnsi="Times New Roman" w:eastAsia="宋体" w:cs="Times New Roman"/>
          <w:color w:val="auto"/>
          <w:spacing w:val="-2"/>
          <w:lang w:val="en-US" w:eastAsia="zh-CN"/>
        </w:rPr>
        <w:t>设备使用、维护等内容的培训服务，培训方式灵活多样，包括不限于设备使用、维护教学视频，线下集中组织操作培训等，其中线下培训各学校均不少于2小时。</w:t>
      </w:r>
    </w:p>
    <w:p w14:paraId="752A2761">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rPr>
        <w:t>投标人需对所供产品进行质量保证，质量保证期为到货验收合格后</w:t>
      </w:r>
      <w:r>
        <w:rPr>
          <w:rFonts w:hint="eastAsia" w:ascii="Times New Roman" w:hAnsi="Times New Roman" w:cs="Times New Roman"/>
          <w:color w:val="auto"/>
          <w:spacing w:val="-2"/>
          <w:lang w:val="en-US" w:eastAsia="zh-CN"/>
        </w:rPr>
        <w:t>3</w:t>
      </w:r>
      <w:r>
        <w:rPr>
          <w:rFonts w:hint="default" w:ascii="Times New Roman" w:hAnsi="Times New Roman" w:eastAsia="宋体" w:cs="Times New Roman"/>
          <w:color w:val="auto"/>
          <w:spacing w:val="-2"/>
        </w:rPr>
        <w:t>年。在质保期内，如果产品发生</w:t>
      </w:r>
      <w:r>
        <w:rPr>
          <w:rFonts w:hint="default" w:ascii="Times New Roman" w:hAnsi="Times New Roman" w:eastAsia="宋体" w:cs="Times New Roman"/>
          <w:color w:val="auto"/>
          <w:spacing w:val="-2"/>
          <w:lang w:val="en-US" w:eastAsia="zh-CN"/>
        </w:rPr>
        <w:t>非因使用者人为操作导致的</w:t>
      </w:r>
      <w:r>
        <w:rPr>
          <w:rFonts w:hint="default" w:ascii="Times New Roman" w:hAnsi="Times New Roman" w:eastAsia="宋体" w:cs="Times New Roman"/>
          <w:color w:val="auto"/>
          <w:spacing w:val="-2"/>
        </w:rPr>
        <w:t>故障或缺陷，投标人</w:t>
      </w:r>
      <w:r>
        <w:rPr>
          <w:rFonts w:hint="default" w:ascii="Times New Roman" w:hAnsi="Times New Roman" w:eastAsia="宋体" w:cs="Times New Roman"/>
          <w:color w:val="auto"/>
          <w:spacing w:val="-2"/>
          <w:lang w:val="en-US" w:eastAsia="zh-CN"/>
        </w:rPr>
        <w:t>应</w:t>
      </w:r>
      <w:r>
        <w:rPr>
          <w:rFonts w:hint="default" w:ascii="Times New Roman" w:hAnsi="Times New Roman" w:eastAsia="宋体" w:cs="Times New Roman"/>
          <w:color w:val="auto"/>
          <w:spacing w:val="-2"/>
        </w:rPr>
        <w:t>更换</w:t>
      </w:r>
      <w:r>
        <w:rPr>
          <w:rFonts w:hint="default" w:ascii="Times New Roman" w:hAnsi="Times New Roman" w:eastAsia="宋体" w:cs="Times New Roman"/>
          <w:color w:val="auto"/>
          <w:spacing w:val="-2"/>
          <w:lang w:val="en-US" w:eastAsia="zh-CN"/>
        </w:rPr>
        <w:t>为全新相同</w:t>
      </w:r>
      <w:r>
        <w:rPr>
          <w:rFonts w:hint="default" w:ascii="Times New Roman" w:hAnsi="Times New Roman" w:eastAsia="宋体" w:cs="Times New Roman"/>
          <w:color w:val="auto"/>
          <w:spacing w:val="-2"/>
        </w:rPr>
        <w:t>产品</w:t>
      </w:r>
      <w:r>
        <w:rPr>
          <w:rFonts w:hint="default" w:ascii="Times New Roman" w:hAnsi="Times New Roman" w:eastAsia="宋体" w:cs="Times New Roman"/>
          <w:color w:val="auto"/>
          <w:spacing w:val="-2"/>
          <w:lang w:eastAsia="zh-CN"/>
        </w:rPr>
        <w:t>，</w:t>
      </w:r>
      <w:r>
        <w:rPr>
          <w:rFonts w:hint="default" w:ascii="Times New Roman" w:hAnsi="Times New Roman" w:eastAsia="宋体" w:cs="Times New Roman"/>
          <w:color w:val="auto"/>
          <w:spacing w:val="-2"/>
          <w:lang w:val="en-US" w:eastAsia="zh-CN"/>
        </w:rPr>
        <w:t>各学校无需支付额外费用</w:t>
      </w:r>
      <w:r>
        <w:rPr>
          <w:rFonts w:hint="default" w:ascii="Times New Roman" w:hAnsi="Times New Roman" w:eastAsia="宋体" w:cs="Times New Roman"/>
          <w:color w:val="auto"/>
          <w:spacing w:val="-2"/>
        </w:rPr>
        <w:t>。</w:t>
      </w:r>
    </w:p>
    <w:p w14:paraId="2DFDD624">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lang w:eastAsia="zh-CN"/>
        </w:rPr>
        <w:t>投标人</w:t>
      </w:r>
      <w:r>
        <w:rPr>
          <w:rFonts w:hint="default" w:ascii="Times New Roman" w:hAnsi="Times New Roman" w:eastAsia="宋体" w:cs="Times New Roman"/>
          <w:color w:val="auto"/>
          <w:spacing w:val="-2"/>
        </w:rPr>
        <w:t>每月定期回访一次，保证产品的正常使用。</w:t>
      </w:r>
    </w:p>
    <w:p w14:paraId="71936CCF">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lang w:val="en-US" w:eastAsia="zh-CN"/>
        </w:rPr>
      </w:pPr>
      <w:r>
        <w:rPr>
          <w:rFonts w:hint="default" w:ascii="Times New Roman" w:hAnsi="Times New Roman" w:eastAsia="宋体" w:cs="Times New Roman"/>
          <w:color w:val="auto"/>
          <w:spacing w:val="-2"/>
          <w:lang w:eastAsia="zh-CN"/>
        </w:rPr>
        <w:t>投标人</w:t>
      </w:r>
      <w:r>
        <w:rPr>
          <w:rFonts w:hint="default" w:ascii="Times New Roman" w:hAnsi="Times New Roman" w:eastAsia="宋体" w:cs="Times New Roman"/>
          <w:color w:val="auto"/>
          <w:spacing w:val="-2"/>
        </w:rPr>
        <w:t>应具有完善的售后服务队伍，及时响应使用方的服务要求，提供</w:t>
      </w:r>
      <w:r>
        <w:rPr>
          <w:rFonts w:hint="default" w:ascii="Times New Roman" w:hAnsi="Times New Roman" w:eastAsia="宋体" w:cs="Times New Roman"/>
          <w:color w:val="auto"/>
          <w:spacing w:val="-2"/>
          <w:lang w:val="en-US" w:eastAsia="zh-CN"/>
        </w:rPr>
        <w:t>7</w:t>
      </w:r>
      <w:r>
        <w:rPr>
          <w:rFonts w:hint="default" w:ascii="Times New Roman" w:hAnsi="Times New Roman" w:eastAsia="宋体" w:cs="Times New Roman"/>
          <w:color w:val="auto"/>
          <w:spacing w:val="-2"/>
        </w:rPr>
        <w:t>×</w:t>
      </w:r>
      <w:r>
        <w:rPr>
          <w:rFonts w:hint="default" w:ascii="Times New Roman" w:hAnsi="Times New Roman" w:eastAsia="宋体" w:cs="Times New Roman"/>
          <w:color w:val="auto"/>
          <w:spacing w:val="-2"/>
          <w:lang w:val="en-US" w:eastAsia="zh-CN"/>
        </w:rPr>
        <w:t>8</w:t>
      </w:r>
      <w:r>
        <w:rPr>
          <w:rFonts w:hint="default" w:ascii="Times New Roman" w:hAnsi="Times New Roman" w:eastAsia="宋体" w:cs="Times New Roman"/>
          <w:color w:val="auto"/>
          <w:spacing w:val="-2"/>
        </w:rPr>
        <w:t>小时</w:t>
      </w:r>
      <w:r>
        <w:rPr>
          <w:rFonts w:hint="default" w:ascii="Times New Roman" w:hAnsi="Times New Roman" w:eastAsia="宋体" w:cs="Times New Roman"/>
          <w:color w:val="auto"/>
          <w:spacing w:val="-2"/>
          <w:lang w:val="en-US" w:eastAsia="zh-CN"/>
        </w:rPr>
        <w:t>服务响应，并提供售后服务网点、电话明细。</w:t>
      </w:r>
    </w:p>
    <w:p w14:paraId="46833850">
      <w:pPr>
        <w:pStyle w:val="2"/>
        <w:spacing w:before="36" w:line="357" w:lineRule="auto"/>
        <w:ind w:right="254" w:firstLine="480"/>
        <w:rPr>
          <w:rFonts w:hint="default" w:ascii="Times New Roman" w:hAnsi="Times New Roman" w:eastAsia="宋体" w:cs="Times New Roman"/>
          <w:color w:val="auto"/>
        </w:rPr>
      </w:pPr>
    </w:p>
    <w:p w14:paraId="7B5F34C1">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履约验收</w:t>
      </w:r>
    </w:p>
    <w:p w14:paraId="0B866A02">
      <w:pPr>
        <w:pStyle w:val="2"/>
        <w:adjustRightInd w:val="0"/>
        <w:snapToGrid w:val="0"/>
        <w:spacing w:before="0" w:line="360" w:lineRule="auto"/>
        <w:ind w:firstLine="472" w:firstLineChars="200"/>
        <w:rPr>
          <w:rFonts w:hint="default" w:ascii="Times New Roman" w:hAnsi="Times New Roman" w:eastAsia="宋体" w:cs="Times New Roman"/>
          <w:color w:val="auto"/>
          <w:kern w:val="1"/>
        </w:rPr>
      </w:pPr>
      <w:r>
        <w:rPr>
          <w:rFonts w:hint="default" w:ascii="Times New Roman" w:hAnsi="Times New Roman" w:eastAsia="宋体" w:cs="Times New Roman"/>
          <w:color w:val="auto"/>
          <w:spacing w:val="-2"/>
        </w:rPr>
        <w:t>验收标准：投标人应向</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提供详细的供货清单，由</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确认。当货物到达</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指定的</w:t>
      </w:r>
      <w:r>
        <w:rPr>
          <w:rFonts w:hint="default" w:ascii="Times New Roman" w:hAnsi="Times New Roman" w:eastAsia="宋体" w:cs="Times New Roman"/>
          <w:color w:val="auto"/>
          <w:spacing w:val="-2"/>
          <w:lang w:val="en-US" w:eastAsia="zh-CN"/>
        </w:rPr>
        <w:t>地点</w:t>
      </w:r>
      <w:r>
        <w:rPr>
          <w:rFonts w:hint="default" w:ascii="Times New Roman" w:hAnsi="Times New Roman" w:eastAsia="宋体" w:cs="Times New Roman"/>
          <w:color w:val="auto"/>
          <w:spacing w:val="-2"/>
        </w:rPr>
        <w:t>后，</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和</w:t>
      </w:r>
      <w:r>
        <w:rPr>
          <w:rFonts w:hint="default" w:ascii="Times New Roman" w:hAnsi="Times New Roman" w:eastAsia="宋体" w:cs="Times New Roman"/>
          <w:color w:val="auto"/>
          <w:spacing w:val="-2"/>
          <w:lang w:eastAsia="zh-CN"/>
        </w:rPr>
        <w:t>投标人</w:t>
      </w:r>
      <w:r>
        <w:rPr>
          <w:rFonts w:hint="default" w:ascii="Times New Roman" w:hAnsi="Times New Roman" w:eastAsia="宋体" w:cs="Times New Roman"/>
          <w:color w:val="auto"/>
          <w:spacing w:val="-2"/>
        </w:rPr>
        <w:t>依据采购产品供货清单共同对采购产品进行抽检，并对采购产品的数量、规格型号及质量进行逐项检查。投标人应严格履行</w:t>
      </w:r>
      <w:r>
        <w:rPr>
          <w:rFonts w:hint="default" w:ascii="Times New Roman" w:hAnsi="Times New Roman" w:eastAsia="宋体" w:cs="Times New Roman"/>
          <w:color w:val="auto"/>
          <w:spacing w:val="-2"/>
          <w:lang w:val="en-US" w:eastAsia="zh-CN"/>
        </w:rPr>
        <w:t>招标文件要求及</w:t>
      </w:r>
      <w:r>
        <w:rPr>
          <w:rFonts w:hint="default" w:ascii="Times New Roman" w:hAnsi="Times New Roman" w:eastAsia="宋体" w:cs="Times New Roman"/>
          <w:color w:val="auto"/>
          <w:spacing w:val="-2"/>
        </w:rPr>
        <w:t>投标文件中产品的</w:t>
      </w:r>
      <w:r>
        <w:rPr>
          <w:rFonts w:hint="default" w:ascii="Times New Roman" w:hAnsi="Times New Roman" w:eastAsia="宋体" w:cs="Times New Roman"/>
          <w:color w:val="auto"/>
          <w:spacing w:val="-2"/>
          <w:lang w:val="en-US" w:eastAsia="zh-CN"/>
        </w:rPr>
        <w:t>技术规格</w:t>
      </w:r>
      <w:r>
        <w:rPr>
          <w:rFonts w:hint="default" w:ascii="Times New Roman" w:hAnsi="Times New Roman" w:eastAsia="宋体" w:cs="Times New Roman"/>
          <w:color w:val="auto"/>
          <w:spacing w:val="-2"/>
        </w:rPr>
        <w:t>及质量，所供产品均需完全符合招标、中标要求，所有规格、内容等必须严格符合相关规定，不可擅自变更。</w:t>
      </w:r>
    </w:p>
    <w:p w14:paraId="4209AA1A">
      <w:pPr>
        <w:tabs>
          <w:tab w:val="left" w:pos="360"/>
          <w:tab w:val="left" w:pos="900"/>
        </w:tabs>
        <w:snapToGrid w:val="0"/>
        <w:spacing w:line="360" w:lineRule="auto"/>
        <w:jc w:val="left"/>
        <w:outlineLvl w:val="1"/>
        <w:rPr>
          <w:rFonts w:hint="default" w:ascii="Times New Roman" w:hAnsi="Times New Roman" w:eastAsia="宋体" w:cs="Times New Roman"/>
          <w:b/>
          <w:color w:val="auto"/>
          <w:sz w:val="24"/>
        </w:rPr>
      </w:pPr>
    </w:p>
    <w:p w14:paraId="456F254A">
      <w:pPr>
        <w:adjustRightInd w:val="0"/>
        <w:snapToGrid w:val="0"/>
        <w:spacing w:line="360" w:lineRule="auto"/>
        <w:ind w:firstLine="482" w:firstLineChars="200"/>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注：投标人请注意，第五章采购需求中的★标识内容均为实质性要求，如不满足，将被视为无效投标。</w:t>
      </w:r>
    </w:p>
    <w:p w14:paraId="7A2FEDD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16AC78"/>
    <w:multiLevelType w:val="singleLevel"/>
    <w:tmpl w:val="9016AC78"/>
    <w:lvl w:ilvl="0" w:tentative="0">
      <w:start w:val="1"/>
      <w:numFmt w:val="decimal"/>
      <w:suff w:val="nothing"/>
      <w:lvlText w:val="%1、"/>
      <w:lvlJc w:val="left"/>
    </w:lvl>
  </w:abstractNum>
  <w:abstractNum w:abstractNumId="1">
    <w:nsid w:val="CD50DC05"/>
    <w:multiLevelType w:val="singleLevel"/>
    <w:tmpl w:val="CD50DC05"/>
    <w:lvl w:ilvl="0" w:tentative="0">
      <w:start w:val="1"/>
      <w:numFmt w:val="decimal"/>
      <w:suff w:val="nothing"/>
      <w:lvlText w:val="%1、"/>
      <w:lvlJc w:val="left"/>
    </w:lvl>
  </w:abstractNum>
  <w:abstractNum w:abstractNumId="2">
    <w:nsid w:val="65A20D52"/>
    <w:multiLevelType w:val="singleLevel"/>
    <w:tmpl w:val="65A20D52"/>
    <w:lvl w:ilvl="0" w:tentative="0">
      <w:start w:val="1"/>
      <w:numFmt w:val="decimal"/>
      <w:suff w:val="nothing"/>
      <w:lvlText w:val="%1、"/>
      <w:lvlJc w:val="left"/>
    </w:lvl>
  </w:abstractNum>
  <w:abstractNum w:abstractNumId="3">
    <w:nsid w:val="6F27A985"/>
    <w:multiLevelType w:val="singleLevel"/>
    <w:tmpl w:val="6F27A985"/>
    <w:lvl w:ilvl="0" w:tentative="0">
      <w:start w:val="1"/>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C364AEE"/>
    <w:rsid w:val="59EA0E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tabs>
        <w:tab w:val="left" w:pos="567"/>
      </w:tabs>
      <w:spacing w:before="120" w:line="22" w:lineRule="atLeast"/>
    </w:pPr>
    <w:rPr>
      <w:rFonts w:ascii="宋体" w:hAnsi="宋体"/>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7556</Words>
  <Characters>8873</Characters>
  <Lines>0</Lines>
  <Paragraphs>0</Paragraphs>
  <TotalTime>0</TotalTime>
  <ScaleCrop>false</ScaleCrop>
  <LinksUpToDate>false</LinksUpToDate>
  <CharactersWithSpaces>9294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2026-09-21T01:58:00Z</dcterms:created>
  <dc:creator>zb</dc:creator>
  <cp:lastModifiedBy>萌</cp:lastModifiedBy>
  <dcterms:modified xsi:type="dcterms:W3CDTF">2026-09-22T07:08:48Z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eyJoZGlkIjoiYTIxZDhhMjYyZjllMjI2ODMxMTdmZWU0ZDBiYTU0MzQiLCJ1c2VySWQiOiI3NjU4NzQ2ODQifQ==</vt:lpwstr>
  </property>
  <property fmtid="{D5CDD505-2E9C-101B-9397-08002B2CF9AE}" pid="4" name="ICV">
    <vt:lpwstr>3AD48A89B48F4EFE9E18A662C8E3B33D_12</vt:lpwstr>
  </property>
</Properties>
</file>