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15B37">
      <w:pPr>
        <w:spacing w:line="360" w:lineRule="auto"/>
        <w:jc w:val="center"/>
        <w:outlineLvl w:val="0"/>
        <w:rPr>
          <w:rFonts w:ascii="仿宋" w:hAnsi="仿宋" w:eastAsia="仿宋" w:cs="仿宋"/>
          <w:b/>
          <w:sz w:val="36"/>
          <w:szCs w:val="36"/>
        </w:rPr>
      </w:pPr>
      <w:bookmarkStart w:id="0" w:name="_Toc99301424"/>
      <w:r>
        <w:rPr>
          <w:rFonts w:hint="eastAsia" w:ascii="仿宋" w:hAnsi="仿宋" w:eastAsia="仿宋" w:cs="仿宋"/>
          <w:b/>
          <w:sz w:val="36"/>
          <w:szCs w:val="36"/>
        </w:rPr>
        <w:t>第五章   采购需求</w:t>
      </w:r>
      <w:bookmarkEnd w:id="0"/>
    </w:p>
    <w:p w14:paraId="72103614">
      <w:pPr>
        <w:widowControl w:val="0"/>
        <w:numPr>
          <w:ilvl w:val="0"/>
          <w:numId w:val="1"/>
        </w:numPr>
        <w:spacing w:line="360" w:lineRule="auto"/>
        <w:ind w:left="500" w:hanging="500" w:firstLineChars="0"/>
        <w:contextualSpacing/>
        <w:jc w:val="both"/>
        <w:rPr>
          <w:rFonts w:ascii="仿宋" w:hAnsi="仿宋" w:eastAsia="仿宋" w:cs="仿宋"/>
          <w:b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kern w:val="2"/>
          <w:sz w:val="24"/>
          <w:szCs w:val="24"/>
          <w:lang w:val="en-US" w:eastAsia="zh-CN" w:bidi="ar-SA"/>
        </w:rPr>
        <w:t>采购标的</w:t>
      </w:r>
    </w:p>
    <w:p w14:paraId="457CC73E">
      <w:pPr>
        <w:spacing w:line="360" w:lineRule="auto"/>
        <w:contextualSpacing/>
        <w:rPr>
          <w:rFonts w:ascii="仿宋" w:hAnsi="仿宋" w:eastAsia="仿宋" w:cs="仿宋"/>
          <w:bCs/>
          <w:sz w:val="24"/>
        </w:rPr>
      </w:pPr>
      <w:r>
        <w:rPr>
          <w:rFonts w:hint="eastAsia" w:ascii="仿宋" w:hAnsi="仿宋" w:eastAsia="仿宋" w:cs="仿宋"/>
          <w:bCs/>
          <w:sz w:val="24"/>
        </w:rPr>
        <w:t>1. 采购标的</w:t>
      </w:r>
    </w:p>
    <w:tbl>
      <w:tblPr>
        <w:tblStyle w:val="2"/>
        <w:tblW w:w="4999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6"/>
        <w:gridCol w:w="4873"/>
        <w:gridCol w:w="2445"/>
      </w:tblGrid>
      <w:tr w14:paraId="375ABA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599" w:type="pct"/>
            <w:vAlign w:val="center"/>
          </w:tcPr>
          <w:p w14:paraId="3F7C19EB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包号</w:t>
            </w:r>
          </w:p>
        </w:tc>
        <w:tc>
          <w:tcPr>
            <w:tcW w:w="2930" w:type="pct"/>
            <w:vAlign w:val="center"/>
          </w:tcPr>
          <w:p w14:paraId="7D9861CC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标的名称</w:t>
            </w:r>
          </w:p>
        </w:tc>
        <w:tc>
          <w:tcPr>
            <w:tcW w:w="1470" w:type="pct"/>
            <w:vAlign w:val="center"/>
          </w:tcPr>
          <w:p w14:paraId="04757F71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数量</w:t>
            </w:r>
          </w:p>
        </w:tc>
      </w:tr>
      <w:tr w14:paraId="104252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  <w:jc w:val="center"/>
        </w:trPr>
        <w:tc>
          <w:tcPr>
            <w:tcW w:w="599" w:type="pct"/>
            <w:vAlign w:val="center"/>
          </w:tcPr>
          <w:p w14:paraId="36B9EC25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1</w:t>
            </w:r>
          </w:p>
        </w:tc>
        <w:tc>
          <w:tcPr>
            <w:tcW w:w="2930" w:type="pct"/>
            <w:vAlign w:val="center"/>
          </w:tcPr>
          <w:p w14:paraId="26F7BA38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</w:rPr>
            </w:pPr>
            <w:r>
              <w:rPr>
                <w:rFonts w:hint="default" w:ascii="仿宋" w:hAnsi="仿宋" w:eastAsia="仿宋" w:cs="仿宋"/>
                <w:kern w:val="0"/>
                <w:sz w:val="24"/>
              </w:rPr>
              <w:t>B/C楼导视及标识系统建设</w:t>
            </w:r>
          </w:p>
        </w:tc>
        <w:tc>
          <w:tcPr>
            <w:tcW w:w="1470" w:type="pct"/>
            <w:vAlign w:val="center"/>
          </w:tcPr>
          <w:p w14:paraId="53052391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1项</w:t>
            </w:r>
          </w:p>
        </w:tc>
      </w:tr>
    </w:tbl>
    <w:p w14:paraId="0F91C42A">
      <w:pPr>
        <w:widowControl w:val="0"/>
        <w:numPr>
          <w:ilvl w:val="0"/>
          <w:numId w:val="1"/>
        </w:numPr>
        <w:spacing w:line="360" w:lineRule="auto"/>
        <w:ind w:left="500" w:hanging="500" w:firstLineChars="0"/>
        <w:contextualSpacing/>
        <w:jc w:val="both"/>
        <w:rPr>
          <w:rFonts w:ascii="仿宋" w:hAnsi="仿宋" w:eastAsia="仿宋" w:cs="仿宋"/>
          <w:b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kern w:val="2"/>
          <w:sz w:val="24"/>
          <w:szCs w:val="24"/>
          <w:lang w:val="en-US" w:eastAsia="zh-CN" w:bidi="ar-SA"/>
        </w:rPr>
        <w:t>商务要求</w:t>
      </w:r>
    </w:p>
    <w:p w14:paraId="59006E2A">
      <w:pPr>
        <w:spacing w:line="360" w:lineRule="auto"/>
        <w:contextualSpacing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1. 交付（实施）的时间（期限）和地点（范围）</w:t>
      </w:r>
    </w:p>
    <w:p w14:paraId="1854898A">
      <w:pPr>
        <w:spacing w:line="360" w:lineRule="auto"/>
        <w:ind w:firstLine="421"/>
        <w:contextualSpacing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1.1服务时间：</w:t>
      </w:r>
      <w:r>
        <w:rPr>
          <w:rFonts w:hint="eastAsia" w:ascii="仿宋" w:hAnsi="仿宋" w:eastAsia="仿宋" w:cs="仿宋"/>
          <w:sz w:val="24"/>
          <w:u w:val="single"/>
        </w:rPr>
        <w:t>自合同签订之日起至项目全部工作完成之日止（须配合B/C楼整体投用计划）</w:t>
      </w:r>
    </w:p>
    <w:p w14:paraId="2B6E9A27">
      <w:pPr>
        <w:spacing w:line="360" w:lineRule="auto"/>
        <w:ind w:firstLine="421"/>
        <w:contextualSpacing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1.2服务地点：</w:t>
      </w:r>
      <w:r>
        <w:rPr>
          <w:rFonts w:hint="eastAsia" w:ascii="仿宋" w:hAnsi="仿宋" w:eastAsia="仿宋" w:cs="仿宋"/>
          <w:sz w:val="24"/>
          <w:u w:val="single"/>
        </w:rPr>
        <w:t>北京中西医结合医院</w:t>
      </w:r>
    </w:p>
    <w:p w14:paraId="2B1CCEFB">
      <w:pPr>
        <w:spacing w:line="360" w:lineRule="auto"/>
        <w:contextualSpacing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2. 付款条件（进度和方式）：以最终合同签为准</w:t>
      </w:r>
    </w:p>
    <w:p w14:paraId="55218BF3">
      <w:pPr>
        <w:widowControl w:val="0"/>
        <w:numPr>
          <w:ilvl w:val="0"/>
          <w:numId w:val="1"/>
        </w:numPr>
        <w:spacing w:line="360" w:lineRule="auto"/>
        <w:ind w:left="500" w:hanging="500" w:firstLineChars="0"/>
        <w:contextualSpacing/>
        <w:jc w:val="both"/>
        <w:rPr>
          <w:rFonts w:ascii="仿宋" w:hAnsi="仿宋" w:eastAsia="仿宋" w:cs="仿宋"/>
          <w:b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kern w:val="2"/>
          <w:sz w:val="24"/>
          <w:szCs w:val="24"/>
          <w:lang w:val="en-US" w:eastAsia="zh-CN" w:bidi="ar-SA"/>
        </w:rPr>
        <w:t>技术要求</w:t>
      </w:r>
    </w:p>
    <w:p w14:paraId="33EF2887">
      <w:pPr>
        <w:widowControl w:val="0"/>
        <w:spacing w:line="360" w:lineRule="auto"/>
        <w:ind w:firstLine="0" w:firstLineChars="0"/>
        <w:contextualSpacing/>
        <w:jc w:val="both"/>
        <w:rPr>
          <w:rFonts w:ascii="仿宋" w:hAnsi="仿宋" w:eastAsia="仿宋" w:cs="仿宋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  <w:t>1.采购目标：主题墙、科室门牌、提示标语牌、吊牌、特殊区域标识、其他功能间牌、分区指引牌、立地指示标牌设计制作及安装，定制艺术字、防撞条制作安装，导视系统的文化设计、图文排版。</w:t>
      </w:r>
    </w:p>
    <w:p w14:paraId="481797E1">
      <w:pPr>
        <w:widowControl w:val="0"/>
        <w:spacing w:line="360" w:lineRule="auto"/>
        <w:ind w:firstLine="0" w:firstLineChars="0"/>
        <w:contextualSpacing/>
        <w:jc w:val="both"/>
        <w:rPr>
          <w:rFonts w:ascii="仿宋" w:hAnsi="仿宋" w:eastAsia="仿宋" w:cs="仿宋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  <w:t>2.采购要求：所有产品材质、工艺、规格符合现有医院风格一致，融合中西医文化元素，材料环保耐用、安装牢固美观，含设计、制作、运输、安装。</w:t>
      </w:r>
    </w:p>
    <w:p w14:paraId="5DAA5A89">
      <w:pPr>
        <w:widowControl w:val="0"/>
        <w:spacing w:line="360" w:lineRule="auto"/>
        <w:ind w:firstLine="0" w:firstLineChars="0"/>
        <w:contextualSpacing/>
        <w:jc w:val="both"/>
        <w:rPr>
          <w:rFonts w:ascii="仿宋" w:hAnsi="仿宋" w:eastAsia="仿宋" w:cs="仿宋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  <w:t>3.服务范围包含但不限于以下内容，总报价须包含深化设计、制作、运输、安装、税费等全部费用：</w:t>
      </w:r>
    </w:p>
    <w:p w14:paraId="0D0AA203">
      <w:pPr>
        <w:widowControl w:val="0"/>
        <w:spacing w:line="360" w:lineRule="auto"/>
        <w:ind w:firstLine="0" w:firstLineChars="0"/>
        <w:contextualSpacing/>
        <w:jc w:val="both"/>
        <w:rPr>
          <w:rFonts w:ascii="仿宋" w:hAnsi="仿宋" w:eastAsia="仿宋" w:cs="仿宋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  <w:t>1）导视系统：包含主题索引墙、科室主门牌、卫生间牌、其他功能间牌、提示标语牌等的深化设计、制作与安装。</w:t>
      </w:r>
    </w:p>
    <w:p w14:paraId="6098F0D7">
      <w:pPr>
        <w:widowControl w:val="0"/>
        <w:spacing w:line="360" w:lineRule="auto"/>
        <w:ind w:firstLine="0" w:firstLineChars="0"/>
        <w:contextualSpacing/>
        <w:jc w:val="both"/>
        <w:rPr>
          <w:rFonts w:ascii="仿宋" w:hAnsi="仿宋" w:eastAsia="仿宋" w:cs="仿宋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  <w:t>2）导引系统：包含分区索引墙、导引标识贴、消防疏散图、综合信息指示牌、楼层指示牌、电梯指示、指引指示、大型吊挂分区指引牌、吊挂指引牌、立地指引标牌等的深化设计、制作与安装。</w:t>
      </w:r>
    </w:p>
    <w:p w14:paraId="64033670">
      <w:pPr>
        <w:widowControl w:val="0"/>
        <w:spacing w:line="360" w:lineRule="auto"/>
        <w:ind w:firstLine="0" w:firstLineChars="0"/>
        <w:contextualSpacing/>
        <w:jc w:val="both"/>
        <w:rPr>
          <w:rFonts w:ascii="仿宋" w:hAnsi="仿宋" w:eastAsia="仿宋" w:cs="仿宋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  <w:t>3）特殊区域标识：包含定制艺术字（多种规格）、防撞条等的深化设计、制作与安装。</w:t>
      </w:r>
    </w:p>
    <w:p w14:paraId="42FA4F86">
      <w:pPr>
        <w:widowControl w:val="0"/>
        <w:spacing w:line="360" w:lineRule="auto"/>
        <w:ind w:firstLine="0" w:firstLineChars="0"/>
        <w:contextualSpacing/>
        <w:jc w:val="both"/>
        <w:rPr>
          <w:rFonts w:ascii="仿宋" w:hAnsi="仿宋" w:eastAsia="仿宋" w:cs="仿宋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  <w:t>4）设计服务：包含全套导视系统的文化设计、图文排版及校对服务。</w:t>
      </w:r>
    </w:p>
    <w:p w14:paraId="3DE8AD88">
      <w:pPr>
        <w:widowControl w:val="0"/>
        <w:spacing w:line="360" w:lineRule="auto"/>
        <w:ind w:firstLine="0" w:firstLineChars="0"/>
        <w:contextualSpacing/>
        <w:jc w:val="both"/>
        <w:rPr>
          <w:rFonts w:ascii="仿宋" w:hAnsi="仿宋" w:eastAsia="仿宋" w:cs="仿宋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  <w:t>5）质量标准：所有产品材质、工艺、规格须符合财政审定标准，确保与A楼现有风格、材质、色彩高度统一，深度融合中西医结合文化元素，且材料环保、耐用，安装牢固、美观。</w:t>
      </w:r>
    </w:p>
    <w:p w14:paraId="008FFA0F">
      <w:pPr>
        <w:widowControl w:val="0"/>
        <w:numPr>
          <w:ilvl w:val="0"/>
          <w:numId w:val="1"/>
        </w:numPr>
        <w:spacing w:line="360" w:lineRule="auto"/>
        <w:ind w:left="500" w:hanging="500" w:firstLineChars="0"/>
        <w:contextualSpacing/>
        <w:jc w:val="both"/>
        <w:rPr>
          <w:rFonts w:ascii="仿宋" w:hAnsi="仿宋" w:eastAsia="仿宋" w:cs="仿宋"/>
          <w:b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kern w:val="2"/>
          <w:sz w:val="24"/>
          <w:szCs w:val="24"/>
          <w:lang w:val="en-US" w:eastAsia="zh-CN" w:bidi="ar-SA"/>
        </w:rPr>
        <w:t>方案样图要求</w:t>
      </w:r>
    </w:p>
    <w:p w14:paraId="5D794B9F">
      <w:pPr>
        <w:widowControl w:val="0"/>
        <w:spacing w:line="360" w:lineRule="auto"/>
        <w:ind w:firstLine="0" w:firstLineChars="0"/>
        <w:contextualSpacing/>
        <w:jc w:val="both"/>
        <w:rPr>
          <w:rFonts w:ascii="仿宋" w:hAnsi="仿宋" w:eastAsia="仿宋" w:cs="仿宋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  <w:t>1.方案目标：供应商针对本项目特点，提供方案样图，方案样图不代表最终确认方案，中标单位后续需与甲方持续深化服务至甲方满意为准。</w:t>
      </w:r>
    </w:p>
    <w:p w14:paraId="2CC466E4">
      <w:pPr>
        <w:widowControl w:val="0"/>
        <w:spacing w:line="360" w:lineRule="auto"/>
        <w:ind w:firstLine="0" w:firstLineChars="0"/>
        <w:contextualSpacing/>
        <w:jc w:val="both"/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  <w:t>2.深化服务方案包含但不限于以下内容（共2</w:t>
      </w:r>
      <w:r>
        <w:rPr>
          <w:rFonts w:ascii="仿宋" w:hAnsi="仿宋" w:eastAsia="仿宋" w:cs="仿宋"/>
          <w:bCs/>
          <w:kern w:val="2"/>
          <w:sz w:val="24"/>
          <w:szCs w:val="24"/>
          <w:lang w:val="en-US" w:eastAsia="zh-CN" w:bidi="ar-SA"/>
        </w:rPr>
        <w:t>5</w:t>
      </w: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  <w:t>项，供应商投标文件中每项均需提供A</w:t>
      </w:r>
      <w:r>
        <w:rPr>
          <w:rFonts w:ascii="仿宋" w:hAnsi="仿宋" w:eastAsia="仿宋" w:cs="仿宋"/>
          <w:bCs/>
          <w:kern w:val="2"/>
          <w:sz w:val="24"/>
          <w:szCs w:val="24"/>
          <w:lang w:val="en-US" w:eastAsia="zh-CN" w:bidi="ar-SA"/>
        </w:rPr>
        <w:t>4</w:t>
      </w: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  <w:t>大小彩色方案样图）：</w:t>
      </w:r>
    </w:p>
    <w:tbl>
      <w:tblPr>
        <w:tblStyle w:val="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2178"/>
        <w:gridCol w:w="5806"/>
      </w:tblGrid>
      <w:tr w14:paraId="299C9056">
        <w:trPr>
          <w:trHeight w:val="540" w:hRule="atLeast"/>
        </w:trPr>
        <w:tc>
          <w:tcPr>
            <w:tcW w:w="9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B0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需提交的方案样图（共2</w:t>
            </w:r>
            <w:r>
              <w:rPr>
                <w:rFonts w:hint="default" w:ascii="仿宋" w:hAnsi="仿宋" w:eastAsia="仿宋" w:cs="宋体"/>
                <w:b/>
                <w:kern w:val="0"/>
                <w:sz w:val="24"/>
              </w:rPr>
              <w:t>5</w:t>
            </w: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项）</w:t>
            </w:r>
          </w:p>
        </w:tc>
      </w:tr>
      <w:tr w14:paraId="718E1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9F9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一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F1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导视系统</w:t>
            </w:r>
          </w:p>
        </w:tc>
        <w:tc>
          <w:tcPr>
            <w:tcW w:w="5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59B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</w:tr>
      <w:tr w14:paraId="7E40F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642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279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主题索引墙</w:t>
            </w:r>
          </w:p>
        </w:tc>
        <w:tc>
          <w:tcPr>
            <w:tcW w:w="58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0C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1.科室文化墙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2.科普墙</w:t>
            </w:r>
          </w:p>
        </w:tc>
      </w:tr>
      <w:tr w14:paraId="4D269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96B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0DC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科室主门牌</w:t>
            </w:r>
          </w:p>
        </w:tc>
        <w:tc>
          <w:tcPr>
            <w:tcW w:w="5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5C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</w:rPr>
              <w:t>3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.科室门牌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default" w:ascii="仿宋" w:hAnsi="仿宋" w:eastAsia="仿宋" w:cs="宋体"/>
                <w:kern w:val="0"/>
                <w:sz w:val="24"/>
              </w:rPr>
              <w:t>4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.功能室门牌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default" w:ascii="仿宋" w:hAnsi="仿宋" w:eastAsia="仿宋" w:cs="宋体"/>
                <w:kern w:val="0"/>
                <w:sz w:val="24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.办公室门牌</w:t>
            </w:r>
          </w:p>
        </w:tc>
      </w:tr>
      <w:tr w14:paraId="45E8E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FA5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C37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卫生间牌</w:t>
            </w:r>
          </w:p>
        </w:tc>
        <w:tc>
          <w:tcPr>
            <w:tcW w:w="5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CDE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</w:rPr>
              <w:t>6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.卫生间牌</w:t>
            </w:r>
          </w:p>
        </w:tc>
      </w:tr>
      <w:tr w14:paraId="67740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CE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E4F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其他功能间牌</w:t>
            </w:r>
          </w:p>
        </w:tc>
        <w:tc>
          <w:tcPr>
            <w:tcW w:w="5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8CD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</w:rPr>
              <w:t>7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.功能间牌</w:t>
            </w:r>
          </w:p>
        </w:tc>
      </w:tr>
      <w:tr w14:paraId="5ACA0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9AF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AAA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提示标语牌</w:t>
            </w:r>
          </w:p>
        </w:tc>
        <w:tc>
          <w:tcPr>
            <w:tcW w:w="5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D36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</w:rPr>
              <w:t>8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.安全警示牌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default" w:ascii="仿宋" w:hAnsi="仿宋" w:eastAsia="仿宋" w:cs="宋体"/>
                <w:kern w:val="0"/>
                <w:sz w:val="24"/>
              </w:rPr>
              <w:t>9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.温馨提示牌</w:t>
            </w:r>
          </w:p>
        </w:tc>
      </w:tr>
      <w:tr w14:paraId="2CA89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6F3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二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9FD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导引系统</w:t>
            </w:r>
          </w:p>
        </w:tc>
        <w:tc>
          <w:tcPr>
            <w:tcW w:w="5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44C7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宋体"/>
                <w:kern w:val="0"/>
                <w:sz w:val="24"/>
              </w:rPr>
            </w:pPr>
          </w:p>
        </w:tc>
      </w:tr>
      <w:tr w14:paraId="71FF2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2FC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895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分区索引墙</w:t>
            </w:r>
          </w:p>
        </w:tc>
        <w:tc>
          <w:tcPr>
            <w:tcW w:w="5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A40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  <w:r>
              <w:rPr>
                <w:rFonts w:hint="default" w:ascii="仿宋" w:hAnsi="仿宋" w:eastAsia="仿宋" w:cs="宋体"/>
                <w:kern w:val="0"/>
                <w:sz w:val="24"/>
              </w:rPr>
              <w:t>0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.楼层信息索引标识(电梯厅)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default" w:ascii="仿宋" w:hAnsi="仿宋" w:eastAsia="仿宋" w:cs="宋体"/>
                <w:kern w:val="0"/>
                <w:sz w:val="24"/>
              </w:rPr>
              <w:t>11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.楼层信息索引标识(楼梯间)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default" w:ascii="仿宋" w:hAnsi="仿宋" w:eastAsia="仿宋" w:cs="宋体"/>
                <w:kern w:val="0"/>
                <w:sz w:val="24"/>
              </w:rPr>
              <w:t>12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.楼层分区索引标识</w:t>
            </w:r>
          </w:p>
        </w:tc>
      </w:tr>
      <w:tr w14:paraId="50638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2D1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宋体"/>
                <w:kern w:val="0"/>
                <w:sz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C4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导引标识贴</w:t>
            </w:r>
          </w:p>
        </w:tc>
        <w:tc>
          <w:tcPr>
            <w:tcW w:w="5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8B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  <w:r>
              <w:rPr>
                <w:rFonts w:hint="default" w:ascii="仿宋" w:hAnsi="仿宋" w:eastAsia="仿宋" w:cs="宋体"/>
                <w:kern w:val="0"/>
                <w:sz w:val="24"/>
              </w:rPr>
              <w:t>3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.地面通道(多方向)指引标识</w:t>
            </w:r>
          </w:p>
        </w:tc>
      </w:tr>
      <w:tr w14:paraId="36979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59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F6E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消防疏散图</w:t>
            </w:r>
          </w:p>
        </w:tc>
        <w:tc>
          <w:tcPr>
            <w:tcW w:w="5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40D0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  <w:r>
              <w:rPr>
                <w:rFonts w:hint="default" w:ascii="仿宋" w:hAnsi="仿宋" w:eastAsia="仿宋" w:cs="宋体"/>
                <w:kern w:val="0"/>
                <w:sz w:val="24"/>
              </w:rPr>
              <w:t>4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.消防疏散图</w:t>
            </w:r>
          </w:p>
        </w:tc>
      </w:tr>
      <w:tr w14:paraId="3EA35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4FA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94D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综合信息指示牌</w:t>
            </w:r>
          </w:p>
        </w:tc>
        <w:tc>
          <w:tcPr>
            <w:tcW w:w="5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71A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  <w:r>
              <w:rPr>
                <w:rFonts w:hint="default" w:ascii="仿宋" w:hAnsi="仿宋" w:eastAsia="仿宋" w:cs="宋体"/>
                <w:kern w:val="0"/>
                <w:sz w:val="24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.综合信息标识(大厅)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default" w:ascii="仿宋" w:hAnsi="仿宋" w:eastAsia="仿宋" w:cs="宋体"/>
                <w:kern w:val="0"/>
                <w:sz w:val="24"/>
              </w:rPr>
              <w:t>16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.综合信息标识(电梯内)</w:t>
            </w:r>
          </w:p>
        </w:tc>
      </w:tr>
      <w:tr w14:paraId="220BE4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C60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8D4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楼层指示牌</w:t>
            </w:r>
          </w:p>
        </w:tc>
        <w:tc>
          <w:tcPr>
            <w:tcW w:w="5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10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  <w:r>
              <w:rPr>
                <w:rFonts w:hint="default" w:ascii="仿宋" w:hAnsi="仿宋" w:eastAsia="仿宋" w:cs="宋体"/>
                <w:kern w:val="0"/>
                <w:sz w:val="24"/>
              </w:rPr>
              <w:t>7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.楼层标示牌(楼梯间、电梯厅)</w:t>
            </w:r>
          </w:p>
        </w:tc>
      </w:tr>
      <w:tr w14:paraId="2344A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3DB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F64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电梯指示</w:t>
            </w:r>
          </w:p>
        </w:tc>
        <w:tc>
          <w:tcPr>
            <w:tcW w:w="5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F677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  <w:r>
              <w:rPr>
                <w:rFonts w:hint="default" w:ascii="仿宋" w:hAnsi="仿宋" w:eastAsia="仿宋" w:cs="宋体"/>
                <w:kern w:val="0"/>
                <w:sz w:val="24"/>
              </w:rPr>
              <w:t>8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.电梯指引牌(几号电梯、运行楼层范围)</w:t>
            </w:r>
          </w:p>
        </w:tc>
      </w:tr>
      <w:tr w14:paraId="724C7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0F3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AB8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指引指示</w:t>
            </w:r>
          </w:p>
        </w:tc>
        <w:tc>
          <w:tcPr>
            <w:tcW w:w="5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816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  <w:r>
              <w:rPr>
                <w:rFonts w:hint="default" w:ascii="仿宋" w:hAnsi="仿宋" w:eastAsia="仿宋" w:cs="宋体"/>
                <w:kern w:val="0"/>
                <w:sz w:val="24"/>
              </w:rPr>
              <w:t>9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.墙面通道(多方向)指引标识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2</w:t>
            </w:r>
            <w:r>
              <w:rPr>
                <w:rFonts w:hint="default" w:ascii="仿宋" w:hAnsi="仿宋" w:eastAsia="仿宋" w:cs="宋体"/>
                <w:kern w:val="0"/>
                <w:sz w:val="24"/>
              </w:rPr>
              <w:t>0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.窗口信息牌(采血、留便)</w:t>
            </w:r>
          </w:p>
        </w:tc>
      </w:tr>
      <w:tr w14:paraId="5619D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780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365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大型吊挂分区指引牌</w:t>
            </w:r>
          </w:p>
        </w:tc>
        <w:tc>
          <w:tcPr>
            <w:tcW w:w="5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423C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</w:rPr>
              <w:t>2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1.大型吊挂类通道(多方向)指引标识</w:t>
            </w:r>
          </w:p>
        </w:tc>
      </w:tr>
      <w:tr w14:paraId="76E3A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B79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69B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吊挂指引牌</w:t>
            </w:r>
          </w:p>
        </w:tc>
        <w:tc>
          <w:tcPr>
            <w:tcW w:w="5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7A8F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</w:rPr>
              <w:t>22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.吊挂类通道(多方向)指引标识</w:t>
            </w:r>
          </w:p>
        </w:tc>
      </w:tr>
      <w:tr w14:paraId="42CF3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65D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FEA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立地指引标牌</w:t>
            </w:r>
          </w:p>
        </w:tc>
        <w:tc>
          <w:tcPr>
            <w:tcW w:w="5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6CC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</w:rPr>
              <w:t>23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.楼宇指示导视(室外)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default" w:ascii="仿宋" w:hAnsi="仿宋" w:eastAsia="仿宋" w:cs="宋体"/>
                <w:kern w:val="0"/>
                <w:sz w:val="24"/>
              </w:rPr>
              <w:t>24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.综合信息标识(大厅)</w:t>
            </w:r>
          </w:p>
        </w:tc>
      </w:tr>
      <w:tr w14:paraId="09A44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623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三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9C0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特殊区域</w:t>
            </w:r>
          </w:p>
        </w:tc>
        <w:tc>
          <w:tcPr>
            <w:tcW w:w="5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6E89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</w:tr>
      <w:tr w14:paraId="208C3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C05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7A6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防撞条</w:t>
            </w:r>
          </w:p>
        </w:tc>
        <w:tc>
          <w:tcPr>
            <w:tcW w:w="5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68F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宋体"/>
                <w:kern w:val="0"/>
                <w:sz w:val="24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</w:rPr>
              <w:t>25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.推拉门牌腰线(防撞条)</w:t>
            </w:r>
          </w:p>
        </w:tc>
      </w:tr>
    </w:tbl>
    <w:p w14:paraId="03E91F53">
      <w:pPr>
        <w:spacing w:line="360" w:lineRule="auto"/>
        <w:contextualSpacing/>
        <w:rPr>
          <w:rFonts w:hint="eastAsia" w:ascii="仿宋" w:hAnsi="仿宋" w:eastAsia="仿宋" w:cs="仿宋"/>
          <w:sz w:val="24"/>
        </w:rPr>
      </w:pPr>
    </w:p>
    <w:p w14:paraId="7B7FCFCE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851098"/>
    <w:multiLevelType w:val="multilevel"/>
    <w:tmpl w:val="13851098"/>
    <w:lvl w:ilvl="0" w:tentative="0">
      <w:start w:val="1"/>
      <w:numFmt w:val="japaneseCounting"/>
      <w:lvlText w:val="%1、"/>
      <w:lvlJc w:val="left"/>
      <w:pPr>
        <w:ind w:left="500" w:hanging="50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0A7C75"/>
    <w:rsid w:val="4BFF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1579</Words>
  <Characters>1639</Characters>
  <Lines>0</Lines>
  <Paragraphs>0</Paragraphs>
  <TotalTime>0</TotalTime>
  <ScaleCrop>false</ScaleCrop>
  <LinksUpToDate>false</LinksUpToDate>
  <CharactersWithSpaces>1674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2026-06-29T05:25:00Z</dcterms:created>
  <dc:creator>Administrator</dc:creator>
  <cp:lastModifiedBy>ZHYR</cp:lastModifiedBy>
  <dcterms:modified xsi:type="dcterms:W3CDTF">2026-09-28T07:23:36Z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eyJoZGlkIjoiMjU5NmUxMDM0NmE0ZTI1ZWYxZGM3MTYyZmE4MDE0ZGQiLCJ1c2VySWQiOiI0MzU0Njc3NTAifQ==</vt:lpwstr>
  </property>
  <property fmtid="{D5CDD505-2E9C-101B-9397-08002B2CF9AE}" pid="4" name="ICV">
    <vt:lpwstr>8E0EEAC4C3024CAFB33A59EF72DC2FA0_12</vt:lpwstr>
  </property>
</Properties>
</file>