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79FF1BE">
      <w:pPr>
        <w:spacing w:line="360" w:lineRule="auto"/>
        <w:jc w:val="center"/>
        <w:outlineLvl w:val="0"/>
        <w:rPr>
          <w:b/>
          <w:sz w:val="36"/>
          <w:szCs w:val="36"/>
          <w:highlight w:val="none"/>
        </w:rPr>
      </w:pPr>
      <w:bookmarkStart w:id="0" w:name="_Toc99301424"/>
      <w:bookmarkStart w:id="1" w:name="_Toc150480793"/>
      <w:bookmarkStart w:id="2" w:name="_Toc226337251"/>
      <w:bookmarkStart w:id="3" w:name="_Toc305158897"/>
      <w:bookmarkStart w:id="4" w:name="_Toc150774760"/>
      <w:bookmarkStart w:id="5" w:name="_Toc353873665"/>
      <w:bookmarkStart w:id="6" w:name="_Toc353873935"/>
      <w:bookmarkStart w:id="7" w:name="_Toc353825545"/>
      <w:bookmarkStart w:id="8" w:name="_Toc265228393"/>
      <w:bookmarkStart w:id="9" w:name="_Toc264969245"/>
      <w:bookmarkStart w:id="10" w:name="_Toc305158823"/>
      <w:bookmarkStart w:id="11" w:name="_Toc142311057"/>
      <w:bookmarkStart w:id="12" w:name="_Toc127151555"/>
      <w:bookmarkStart w:id="13" w:name="_Toc195842920"/>
      <w:bookmarkStart w:id="14" w:name="_Toc226965828"/>
      <w:r>
        <w:rPr>
          <w:b/>
          <w:sz w:val="36"/>
          <w:szCs w:val="36"/>
          <w:highlight w:val="none"/>
        </w:rPr>
        <w:t>第五章   采购需求</w:t>
      </w:r>
      <w:bookmarkEnd w:id="0"/>
    </w:p>
    <w:p w14:paraId="4FFBE017">
      <w:pPr>
        <w:pStyle w:val="72"/>
        <w:keepNext w:val="0"/>
        <w:keepLines w:val="0"/>
        <w:pageBreakBefore w:val="0"/>
        <w:numPr>
          <w:ilvl w:val="0"/>
          <w:numId w:val="8"/>
        </w:numPr>
        <w:wordWrap/>
        <w:overflowPunct/>
        <w:topLinePunct w:val="0"/>
        <w:bidi w:val="0"/>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p w14:paraId="6AF04340">
      <w:pPr>
        <w:keepNext w:val="0"/>
        <w:keepLines w:val="0"/>
        <w:pageBreakBefore w:val="0"/>
        <w:wordWrap/>
        <w:overflowPunct/>
        <w:topLinePunct w:val="0"/>
        <w:bidi w:val="0"/>
        <w:spacing w:line="360" w:lineRule="auto"/>
        <w:ind w:firstLine="482"/>
        <w:contextualSpacing/>
        <w:rPr>
          <w:bCs/>
          <w:sz w:val="24"/>
        </w:rPr>
      </w:pPr>
      <w:r>
        <w:rPr>
          <w:bCs/>
          <w:sz w:val="24"/>
        </w:rPr>
        <w:t>1. 采购标的</w:t>
      </w:r>
      <w:r>
        <w:rPr>
          <w:rFonts w:hint="eastAsia"/>
          <w:bCs/>
          <w:sz w:val="24"/>
          <w:lang w:eastAsia="zh-CN"/>
        </w:rPr>
        <w:t>：</w:t>
      </w:r>
      <w:r>
        <w:rPr>
          <w:rFonts w:hint="eastAsia"/>
          <w:b w:val="0"/>
          <w:bCs/>
          <w:sz w:val="24"/>
        </w:rPr>
        <w:t>对全区未进行“煤改清洁能源”的村庄、社区，全部实施优质燃煤替代。全区型煤供应点共计4个:永定镇、军庄镇、王平镇、斋堂镇(其中:龙镇、清水镇、潭柘寺镇、东辛房街道办事处、大峪街道办事处居民可就近到周边斋堂镇、永定镇等销售网点购买)，用户凭优质燃煤购煤券到销售网点购买优质燃煤。</w:t>
      </w:r>
      <w:r>
        <w:rPr>
          <w:bCs/>
          <w:sz w:val="24"/>
        </w:rPr>
        <w:t>接受进口产品。</w:t>
      </w:r>
    </w:p>
    <w:p w14:paraId="6893FFA1">
      <w:pPr>
        <w:pStyle w:val="72"/>
        <w:keepNext w:val="0"/>
        <w:keepLines w:val="0"/>
        <w:pageBreakBefore w:val="0"/>
        <w:numPr>
          <w:ilvl w:val="0"/>
          <w:numId w:val="8"/>
        </w:numPr>
        <w:wordWrap/>
        <w:overflowPunct/>
        <w:topLinePunct w:val="0"/>
        <w:bidi w:val="0"/>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p w14:paraId="691A610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1.</w:t>
      </w:r>
      <w:r>
        <w:rPr>
          <w:rFonts w:hint="eastAsia" w:asciiTheme="minorEastAsia" w:hAnsiTheme="minorEastAsia" w:eastAsiaTheme="minorEastAsia" w:cstheme="minorEastAsia"/>
          <w:bCs/>
          <w:sz w:val="24"/>
        </w:rPr>
        <w:t>实施时间</w:t>
      </w:r>
      <w:r>
        <w:rPr>
          <w:rFonts w:hint="eastAsia" w:asciiTheme="minorEastAsia" w:hAnsiTheme="minorEastAsia" w:eastAsiaTheme="minorEastAsia" w:cstheme="minorEastAsia"/>
          <w:bCs/>
          <w:sz w:val="24"/>
          <w:lang w:eastAsia="zh-CN"/>
        </w:rPr>
        <w:t>：</w:t>
      </w:r>
      <w:r>
        <w:rPr>
          <w:rFonts w:hint="eastAsia" w:asciiTheme="minorEastAsia" w:hAnsiTheme="minorEastAsia" w:eastAsiaTheme="minorEastAsia" w:cstheme="minorEastAsia"/>
          <w:bCs/>
          <w:sz w:val="24"/>
          <w:lang w:val="en-US" w:eastAsia="zh-CN"/>
        </w:rPr>
        <w:t>2026-2027年采暖季</w:t>
      </w:r>
    </w:p>
    <w:p w14:paraId="5D55AB99">
      <w:pPr>
        <w:keepNext w:val="0"/>
        <w:keepLines w:val="0"/>
        <w:pageBreakBefore w:val="0"/>
        <w:widowControl/>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Theme="minorEastAsia" w:hAnsiTheme="minorEastAsia" w:eastAsiaTheme="minorEastAsia" w:cstheme="minorEastAsia"/>
          <w:sz w:val="24"/>
        </w:rPr>
      </w:pPr>
      <w:bookmarkStart w:id="15" w:name="_Toc12528"/>
      <w:r>
        <w:rPr>
          <w:rFonts w:hint="eastAsia" w:asciiTheme="minorEastAsia" w:hAnsiTheme="minorEastAsia" w:eastAsiaTheme="minorEastAsia" w:cstheme="minorEastAsia"/>
          <w:sz w:val="24"/>
          <w:lang w:val="en-US" w:eastAsia="zh-CN"/>
        </w:rPr>
        <w:t>2.供货</w:t>
      </w:r>
      <w:r>
        <w:rPr>
          <w:rFonts w:hint="eastAsia" w:asciiTheme="minorEastAsia" w:hAnsiTheme="minorEastAsia" w:eastAsiaTheme="minorEastAsia" w:cstheme="minorEastAsia"/>
          <w:sz w:val="24"/>
        </w:rPr>
        <w:t>地点：采购人指定地点</w:t>
      </w:r>
      <w:bookmarkEnd w:id="15"/>
      <w:bookmarkStart w:id="16" w:name="_Toc32438"/>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在合同签订后</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所有货物均由供货方根据采购人要求免费送货至采购人指定的交货地点</w:t>
      </w:r>
      <w:r>
        <w:rPr>
          <w:rFonts w:hint="eastAsia" w:asciiTheme="minorEastAsia" w:hAnsiTheme="minorEastAsia" w:eastAsiaTheme="minorEastAsia" w:cstheme="minorEastAsia"/>
          <w:sz w:val="24"/>
          <w:lang w:eastAsia="zh-CN"/>
        </w:rPr>
        <w:t>。</w:t>
      </w:r>
      <w:bookmarkEnd w:id="16"/>
    </w:p>
    <w:p w14:paraId="41B0B43C">
      <w:pPr>
        <w:keepNext w:val="0"/>
        <w:keepLines w:val="0"/>
        <w:pageBreakBefore w:val="0"/>
        <w:widowControl/>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Theme="minorEastAsia" w:hAnsiTheme="minorEastAsia" w:eastAsiaTheme="minorEastAsia" w:cstheme="minorEastAsia"/>
          <w:sz w:val="24"/>
          <w:lang w:val="en-US" w:eastAsia="zh-CN"/>
        </w:rPr>
      </w:pPr>
      <w:bookmarkStart w:id="17" w:name="_Toc851"/>
      <w:r>
        <w:rPr>
          <w:rFonts w:hint="eastAsia" w:asciiTheme="minorEastAsia" w:hAnsiTheme="minorEastAsia" w:eastAsiaTheme="minorEastAsia" w:cstheme="minorEastAsia"/>
          <w:sz w:val="24"/>
          <w:lang w:val="en-US" w:eastAsia="zh-CN"/>
        </w:rPr>
        <w:t>3.质量保证期：合同签订之日起至本项目采暖季结束</w:t>
      </w:r>
      <w:bookmarkEnd w:id="17"/>
    </w:p>
    <w:p w14:paraId="7D4194A9">
      <w:pPr>
        <w:pStyle w:val="72"/>
        <w:keepNext w:val="0"/>
        <w:keepLines w:val="0"/>
        <w:pageBreakBefore w:val="0"/>
        <w:numPr>
          <w:ilvl w:val="0"/>
          <w:numId w:val="8"/>
        </w:numPr>
        <w:wordWrap/>
        <w:overflowPunct/>
        <w:topLinePunct w:val="0"/>
        <w:bidi w:val="0"/>
        <w:spacing w:line="360" w:lineRule="auto"/>
        <w:ind w:firstLineChars="0"/>
        <w:contextualSpacing/>
        <w:rPr>
          <w:rFonts w:ascii="Times New Roman" w:hAnsi="Times New Roman"/>
          <w:b/>
          <w:sz w:val="24"/>
          <w:szCs w:val="24"/>
        </w:rPr>
      </w:pPr>
      <w:r>
        <w:rPr>
          <w:rFonts w:ascii="Times New Roman" w:hAnsi="Times New Roman"/>
          <w:b/>
          <w:sz w:val="24"/>
          <w:szCs w:val="24"/>
        </w:rPr>
        <w:t>技术要求</w:t>
      </w:r>
    </w:p>
    <w:p w14:paraId="39D38C3B">
      <w:pPr>
        <w:keepNext w:val="0"/>
        <w:keepLines w:val="0"/>
        <w:pageBreakBefore w:val="0"/>
        <w:widowControl/>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default" w:ascii="宋体" w:hAnsi="宋体" w:eastAsia="宋体"/>
          <w:sz w:val="24"/>
          <w:lang w:val="en-US" w:eastAsia="zh-CN"/>
        </w:rPr>
      </w:pPr>
      <w:bookmarkStart w:id="18" w:name="_Toc7822"/>
      <w:r>
        <w:rPr>
          <w:rFonts w:hint="eastAsia" w:ascii="宋体" w:hAnsi="宋体"/>
          <w:sz w:val="24"/>
          <w:lang w:val="en-US" w:eastAsia="zh-CN"/>
        </w:rPr>
        <w:t>1</w:t>
      </w:r>
      <w:r>
        <w:rPr>
          <w:rFonts w:hint="eastAsia" w:ascii="宋体" w:hAnsi="宋体"/>
          <w:sz w:val="24"/>
        </w:rPr>
        <w:t>、</w:t>
      </w:r>
      <w:r>
        <w:rPr>
          <w:rFonts w:hint="eastAsia" w:ascii="宋体" w:hAnsi="宋体"/>
          <w:sz w:val="24"/>
          <w:lang w:val="en-US" w:eastAsia="zh-CN"/>
        </w:rPr>
        <w:t>基本要求：</w:t>
      </w:r>
      <w:bookmarkEnd w:id="18"/>
    </w:p>
    <w:p w14:paraId="48FC9ED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sz w:val="24"/>
          <w:szCs w:val="24"/>
          <w:highlight w:val="none"/>
        </w:rPr>
      </w:pPr>
      <w:bookmarkStart w:id="19" w:name="_Toc23799"/>
      <w:bookmarkStart w:id="20" w:name="_Toc2139"/>
      <w:bookmarkStart w:id="21" w:name="_Toc29375"/>
      <w:r>
        <w:rPr>
          <w:rFonts w:hint="eastAsia" w:ascii="宋体" w:hAnsi="宋体" w:eastAsia="宋体" w:cs="宋体"/>
          <w:sz w:val="24"/>
          <w:szCs w:val="24"/>
          <w:highlight w:val="none"/>
          <w:lang w:val="en-US" w:eastAsia="zh-CN"/>
        </w:rPr>
        <w:t xml:space="preserve">1.1 </w:t>
      </w:r>
      <w:r>
        <w:rPr>
          <w:rFonts w:hint="eastAsia" w:ascii="宋体" w:hAnsi="宋体" w:eastAsia="宋体" w:cs="宋体"/>
          <w:sz w:val="24"/>
          <w:szCs w:val="24"/>
          <w:highlight w:val="none"/>
        </w:rPr>
        <w:t>标的需实现的主要功能或目标：</w:t>
      </w:r>
      <w:r>
        <w:rPr>
          <w:rFonts w:hint="eastAsia"/>
          <w:b w:val="0"/>
          <w:bCs/>
          <w:sz w:val="24"/>
        </w:rPr>
        <w:t>对全区未进行“煤改清洁能源”的村庄、社区，全部实施优质燃煤替代。全区型煤供应点共计4个:永定镇、军庄镇、王平镇、斋堂镇(其中:龙镇、清水镇、潭柘寺镇、东辛房街道办事处、大峪街道办事处居民可就近到周边斋堂镇、永定镇等销售网点购买)，用户凭优质燃煤购煤券到销售网点购买优质燃煤。</w:t>
      </w:r>
    </w:p>
    <w:p w14:paraId="6842DC1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 xml:space="preserve">1.2 </w:t>
      </w:r>
      <w:r>
        <w:rPr>
          <w:rFonts w:hint="eastAsia" w:ascii="宋体" w:hAnsi="宋体" w:eastAsia="宋体" w:cs="宋体"/>
          <w:sz w:val="24"/>
          <w:szCs w:val="24"/>
          <w:highlight w:val="none"/>
        </w:rPr>
        <w:t>标的需满足的质量、服务、安全、时限等要求：</w:t>
      </w:r>
      <w:r>
        <w:rPr>
          <w:rFonts w:hint="eastAsia"/>
          <w:b w:val="0"/>
          <w:bCs/>
          <w:sz w:val="24"/>
        </w:rPr>
        <w:t>由中标公司进行采购、生产优质燃煤，按照优惠价格配送到各镇街的型煤销售网点，由各镇街的型煤销售网点负责销售。用户凭优质燃煤购煤券按照规定时限到销售网点购买优质燃煤,确保燃煤使用安全。</w:t>
      </w:r>
      <w:r>
        <w:rPr>
          <w:rFonts w:hint="eastAsia" w:ascii="Times New Roman" w:hAnsi="Times New Roman" w:eastAsia="宋体" w:cs="Times New Roman"/>
          <w:bCs/>
          <w:sz w:val="24"/>
          <w:lang w:val="en-US" w:eastAsia="zh-CN"/>
        </w:rPr>
        <w:t>（优质燃煤供应计划于2026年10月开始,于2027年3月结束</w:t>
      </w:r>
      <w:r>
        <w:rPr>
          <w:rFonts w:hint="eastAsia" w:cs="Times New Roman"/>
          <w:bCs/>
          <w:sz w:val="24"/>
          <w:lang w:val="en-US" w:eastAsia="zh-CN"/>
        </w:rPr>
        <w:t>)</w:t>
      </w:r>
      <w:r>
        <w:rPr>
          <w:rFonts w:hint="eastAsia"/>
          <w:b w:val="0"/>
          <w:bCs/>
          <w:sz w:val="24"/>
        </w:rPr>
        <w:t>。</w:t>
      </w:r>
    </w:p>
    <w:p w14:paraId="577E70B7">
      <w:pPr>
        <w:keepNext w:val="0"/>
        <w:keepLines w:val="0"/>
        <w:pageBreakBefore w:val="0"/>
        <w:widowControl/>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宋体" w:hAnsi="宋体"/>
          <w:sz w:val="24"/>
        </w:rPr>
      </w:pPr>
      <w:r>
        <w:rPr>
          <w:rFonts w:hint="eastAsia" w:ascii="宋体" w:hAnsi="宋体"/>
          <w:sz w:val="24"/>
          <w:lang w:val="en-US" w:eastAsia="zh-CN"/>
        </w:rPr>
        <w:t>2</w:t>
      </w:r>
      <w:r>
        <w:rPr>
          <w:rFonts w:hint="eastAsia" w:ascii="宋体" w:hAnsi="宋体"/>
          <w:sz w:val="24"/>
        </w:rPr>
        <w:t>、采用标准规范：</w:t>
      </w:r>
      <w:bookmarkEnd w:id="19"/>
      <w:bookmarkEnd w:id="20"/>
      <w:bookmarkEnd w:id="21"/>
    </w:p>
    <w:p w14:paraId="11A5086E">
      <w:pPr>
        <w:keepNext w:val="0"/>
        <w:keepLines w:val="0"/>
        <w:pageBreakBefore w:val="0"/>
        <w:widowControl/>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宋体" w:hAnsi="宋体"/>
          <w:sz w:val="24"/>
        </w:rPr>
      </w:pPr>
      <w:bookmarkStart w:id="22" w:name="_Toc32140"/>
      <w:bookmarkStart w:id="23" w:name="_Toc16814"/>
      <w:bookmarkStart w:id="24" w:name="_Toc27801"/>
      <w:r>
        <w:rPr>
          <w:rFonts w:ascii="宋体" w:hAnsi="宋体" w:cs="宋体"/>
          <w:sz w:val="24"/>
        </w:rPr>
        <w:t>满足国家标准，行业标准及相关技术规范等</w:t>
      </w:r>
      <w:r>
        <w:rPr>
          <w:rFonts w:hint="eastAsia" w:ascii="宋体" w:hAnsi="宋体" w:cs="宋体"/>
          <w:sz w:val="24"/>
          <w:lang w:eastAsia="zh-CN"/>
        </w:rPr>
        <w:t>，</w:t>
      </w:r>
      <w:r>
        <w:rPr>
          <w:rFonts w:hint="eastAsia" w:ascii="宋体" w:hAnsi="宋体"/>
          <w:sz w:val="24"/>
        </w:rPr>
        <w:t>需要</w:t>
      </w:r>
      <w:r>
        <w:rPr>
          <w:rFonts w:hint="eastAsia" w:ascii="宋体" w:hAnsi="宋体"/>
          <w:sz w:val="24"/>
          <w:lang w:val="en-US" w:eastAsia="zh-CN"/>
        </w:rPr>
        <w:t>符合</w:t>
      </w:r>
      <w:r>
        <w:rPr>
          <w:rFonts w:hint="eastAsia" w:ascii="宋体" w:hAnsi="宋体"/>
          <w:sz w:val="24"/>
        </w:rPr>
        <w:t>质量、安全、技术规格、物理特性等要求</w:t>
      </w:r>
      <w:bookmarkEnd w:id="22"/>
      <w:bookmarkEnd w:id="23"/>
      <w:bookmarkEnd w:id="24"/>
      <w:r>
        <w:rPr>
          <w:rFonts w:hint="eastAsia"/>
          <w:b w:val="0"/>
          <w:bCs/>
          <w:sz w:val="24"/>
        </w:rPr>
        <w:t>。</w:t>
      </w:r>
    </w:p>
    <w:p w14:paraId="40C9C874">
      <w:pPr>
        <w:keepNext w:val="0"/>
        <w:keepLines w:val="0"/>
        <w:pageBreakBefore w:val="0"/>
        <w:widowControl/>
        <w:numPr>
          <w:ilvl w:val="0"/>
          <w:numId w:val="0"/>
        </w:numPr>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宋体" w:hAnsi="宋体"/>
          <w:sz w:val="24"/>
          <w:lang w:val="en-US" w:eastAsia="zh-CN"/>
        </w:rPr>
      </w:pPr>
      <w:bookmarkStart w:id="25" w:name="_Toc5702"/>
      <w:r>
        <w:rPr>
          <w:rFonts w:hint="eastAsia" w:ascii="宋体" w:hAnsi="宋体"/>
          <w:sz w:val="24"/>
          <w:lang w:val="en-US" w:eastAsia="zh-CN"/>
        </w:rPr>
        <w:t>3、售后服务要求</w:t>
      </w:r>
      <w:bookmarkEnd w:id="25"/>
    </w:p>
    <w:p w14:paraId="5BC0616D">
      <w:pPr>
        <w:keepNext w:val="0"/>
        <w:keepLines w:val="0"/>
        <w:pageBreakBefore w:val="0"/>
        <w:widowControl/>
        <w:numPr>
          <w:ilvl w:val="0"/>
          <w:numId w:val="0"/>
        </w:numPr>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宋体" w:hAnsi="宋体" w:eastAsia="宋体"/>
          <w:sz w:val="24"/>
          <w:lang w:eastAsia="zh-CN"/>
        </w:rPr>
      </w:pPr>
      <w:bookmarkStart w:id="26" w:name="_Toc5438"/>
      <w:r>
        <w:rPr>
          <w:rFonts w:hint="eastAsia" w:ascii="宋体" w:hAnsi="宋体"/>
          <w:sz w:val="24"/>
          <w:lang w:val="en-US" w:eastAsia="zh-CN"/>
        </w:rPr>
        <w:t>如供货商所提供的货物有任何质量问题，需供货商无条件更换。</w:t>
      </w:r>
      <w:bookmarkEnd w:id="26"/>
    </w:p>
    <w:p w14:paraId="5B27DE58">
      <w:pPr>
        <w:keepNext w:val="0"/>
        <w:keepLines w:val="0"/>
        <w:pageBreakBefore w:val="0"/>
        <w:widowControl/>
        <w:numPr>
          <w:ilvl w:val="0"/>
          <w:numId w:val="0"/>
        </w:numPr>
        <w:tabs>
          <w:tab w:val="left" w:pos="3255"/>
        </w:tabs>
        <w:kinsoku w:val="0"/>
        <w:wordWrap/>
        <w:overflowPunct/>
        <w:topLinePunct w:val="0"/>
        <w:autoSpaceDE w:val="0"/>
        <w:autoSpaceDN w:val="0"/>
        <w:bidi w:val="0"/>
        <w:adjustRightInd w:val="0"/>
        <w:snapToGrid w:val="0"/>
        <w:spacing w:line="360" w:lineRule="auto"/>
        <w:ind w:left="0" w:leftChars="0" w:firstLine="480" w:firstLineChars="200"/>
        <w:textAlignment w:val="baseline"/>
        <w:outlineLvl w:val="0"/>
        <w:rPr>
          <w:rFonts w:hint="eastAsia" w:ascii="宋体" w:hAnsi="宋体" w:eastAsia="宋体" w:cs="Times New Roman"/>
          <w:sz w:val="24"/>
          <w:lang w:val="en-US" w:eastAsia="zh-CN"/>
        </w:rPr>
      </w:pPr>
      <w:bookmarkStart w:id="27" w:name="_Toc31180"/>
      <w:bookmarkStart w:id="28" w:name="_Toc29913"/>
      <w:bookmarkStart w:id="29" w:name="_Toc24372"/>
      <w:r>
        <w:rPr>
          <w:rFonts w:hint="eastAsia" w:ascii="宋体" w:hAnsi="宋体" w:eastAsia="宋体" w:cs="Times New Roman"/>
          <w:sz w:val="24"/>
          <w:lang w:val="en-US" w:eastAsia="zh-CN"/>
        </w:rPr>
        <w:t>4、验收标准</w:t>
      </w:r>
      <w:bookmarkEnd w:id="27"/>
      <w:bookmarkEnd w:id="28"/>
      <w:bookmarkEnd w:id="29"/>
    </w:p>
    <w:p w14:paraId="6A2699B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sz w:val="24"/>
          <w:highlight w:val="none"/>
          <w:lang w:eastAsia="zh-CN"/>
        </w:rPr>
      </w:pPr>
      <w:r>
        <w:rPr>
          <w:rFonts w:hint="eastAsia" w:ascii="宋体" w:hAnsi="宋体"/>
          <w:sz w:val="24"/>
          <w:highlight w:val="none"/>
          <w:lang w:val="en-US" w:eastAsia="zh-CN"/>
        </w:rPr>
        <w:t>4</w:t>
      </w:r>
      <w:r>
        <w:rPr>
          <w:rFonts w:hint="eastAsia" w:ascii="宋体" w:hAnsi="宋体"/>
          <w:sz w:val="24"/>
          <w:highlight w:val="none"/>
        </w:rPr>
        <w:t>.1供应商提供的每批次货物都应出具具有检测资质的北京市检测机构产品合格检验报告</w:t>
      </w:r>
      <w:r>
        <w:rPr>
          <w:rFonts w:hint="eastAsia" w:ascii="宋体" w:hAnsi="宋体"/>
          <w:sz w:val="24"/>
          <w:highlight w:val="none"/>
          <w:lang w:val="en-US" w:eastAsia="zh-CN"/>
        </w:rPr>
        <w:t>；</w:t>
      </w:r>
    </w:p>
    <w:p w14:paraId="06FD33A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sz w:val="24"/>
          <w:lang w:eastAsia="zh-CN"/>
        </w:rPr>
      </w:pPr>
      <w:r>
        <w:rPr>
          <w:rFonts w:hint="eastAsia" w:ascii="宋体" w:hAnsi="宋体"/>
          <w:sz w:val="24"/>
          <w:lang w:val="en-US" w:eastAsia="zh-CN"/>
        </w:rPr>
        <w:t>4</w:t>
      </w:r>
      <w:r>
        <w:rPr>
          <w:rFonts w:hint="eastAsia" w:ascii="宋体" w:hAnsi="宋体"/>
          <w:sz w:val="24"/>
        </w:rPr>
        <w:t>.2采购人有权拒绝接受任何不合格的货物和服务，由此产生的费用及相关后果均由供应商自行承担</w:t>
      </w:r>
      <w:r>
        <w:rPr>
          <w:rFonts w:hint="eastAsia" w:ascii="宋体" w:hAnsi="宋体"/>
          <w:sz w:val="24"/>
          <w:lang w:eastAsia="zh-CN"/>
        </w:rPr>
        <w:t>；</w:t>
      </w:r>
    </w:p>
    <w:p w14:paraId="6FB127E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sz w:val="24"/>
          <w:lang w:eastAsia="zh-CN"/>
        </w:rPr>
      </w:pPr>
      <w:r>
        <w:rPr>
          <w:rFonts w:hint="eastAsia" w:ascii="宋体" w:hAnsi="宋体"/>
          <w:sz w:val="24"/>
          <w:lang w:val="en-US" w:eastAsia="zh-CN"/>
        </w:rPr>
        <w:t>4</w:t>
      </w:r>
      <w:r>
        <w:rPr>
          <w:rFonts w:hint="eastAsia" w:ascii="宋体" w:hAnsi="宋体"/>
          <w:sz w:val="24"/>
        </w:rPr>
        <w:t>.3供应商应保证，在提供本项目的货物、服务或其任何一部分不会产生因第三方依法享有的专利权、商标权或其他知识产权；如果供应商不拥有相应的知识产权，则须在报价中包括合法获取该知识产权的相关费用，并在投标文件中附有相关证明文件，如因第三方提出其专利权、商标权或其他知识产权的侵权之诉，则一切法律责任由供应商承担</w:t>
      </w:r>
      <w:r>
        <w:rPr>
          <w:rFonts w:hint="eastAsia" w:ascii="宋体" w:hAnsi="宋体"/>
          <w:sz w:val="24"/>
          <w:lang w:eastAsia="zh-CN"/>
        </w:rPr>
        <w:t>；</w:t>
      </w:r>
    </w:p>
    <w:p w14:paraId="6507AAF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b/>
          <w:bCs/>
          <w:kern w:val="2"/>
          <w:sz w:val="24"/>
          <w:szCs w:val="20"/>
          <w:lang w:val="en-US" w:eastAsia="zh-CN" w:bidi="ar-SA"/>
        </w:rPr>
      </w:pPr>
      <w:r>
        <w:rPr>
          <w:rFonts w:hint="eastAsia" w:ascii="宋体" w:hAnsi="宋体"/>
          <w:sz w:val="24"/>
          <w:lang w:val="en-US" w:eastAsia="zh-CN"/>
        </w:rPr>
        <w:t>4</w:t>
      </w:r>
      <w:r>
        <w:rPr>
          <w:rFonts w:hint="eastAsia" w:ascii="宋体" w:hAnsi="宋体"/>
          <w:sz w:val="24"/>
        </w:rPr>
        <w:t>.4验收按国家有关的规定、规范进行。</w:t>
      </w:r>
    </w:p>
    <w:p w14:paraId="1A0A3CC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ascii="宋体" w:hAnsi="宋体"/>
          <w:sz w:val="24"/>
          <w:lang w:val="en-US" w:eastAsia="zh-CN"/>
        </w:rPr>
      </w:pPr>
      <w:r>
        <w:rPr>
          <w:rFonts w:hint="eastAsia" w:ascii="宋体" w:hAnsi="宋体" w:cs="宋体"/>
          <w:b w:val="0"/>
          <w:bCs w:val="0"/>
          <w:kern w:val="2"/>
          <w:sz w:val="24"/>
          <w:szCs w:val="20"/>
          <w:lang w:val="en-US" w:eastAsia="zh-CN" w:bidi="ar-SA"/>
        </w:rPr>
        <w:t>5</w:t>
      </w:r>
      <w:r>
        <w:rPr>
          <w:rFonts w:hint="eastAsia" w:ascii="宋体" w:hAnsi="宋体"/>
          <w:sz w:val="24"/>
        </w:rPr>
        <w:t>、</w:t>
      </w:r>
      <w:r>
        <w:rPr>
          <w:rFonts w:hint="eastAsia" w:ascii="宋体" w:hAnsi="宋体"/>
          <w:sz w:val="24"/>
          <w:lang w:val="en-US" w:eastAsia="zh-CN"/>
        </w:rPr>
        <w:t>其他要求</w:t>
      </w:r>
    </w:p>
    <w:p w14:paraId="5ECA584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ascii="宋体" w:hAnsi="宋体"/>
          <w:sz w:val="24"/>
          <w:highlight w:val="none"/>
          <w:lang w:val="en-US" w:eastAsia="zh-CN"/>
        </w:rPr>
      </w:pPr>
      <w:r>
        <w:rPr>
          <w:rFonts w:hint="eastAsia" w:ascii="宋体" w:hAnsi="宋体"/>
          <w:sz w:val="24"/>
          <w:highlight w:val="none"/>
          <w:lang w:val="en-US" w:eastAsia="zh-CN"/>
        </w:rPr>
        <w:t>5.1企业必须保证有充足的库存，具备能及时配送的服务体系；</w:t>
      </w:r>
    </w:p>
    <w:p w14:paraId="58DEA8F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sz w:val="24"/>
          <w:highlight w:val="none"/>
          <w:lang w:eastAsia="zh-CN"/>
        </w:rPr>
      </w:pPr>
      <w:r>
        <w:rPr>
          <w:rFonts w:hint="eastAsia" w:ascii="宋体" w:hAnsi="宋体"/>
          <w:sz w:val="24"/>
          <w:lang w:val="en-US" w:eastAsia="zh-CN"/>
        </w:rPr>
        <w:t>5.2采购单位有权要求对中标单位所提供的产品进行核查，如不符合《商品煤质量管理暂行办法》（中华人民共和国国家发展和改革委员会、中华人民共和国生态环境部、中华人民共和国商务部、中华人民共和国海关总署、国家工商行政管理总局、国家质量监督检验检疫总局第</w:t>
      </w:r>
      <w:r>
        <w:rPr>
          <w:rFonts w:hint="default" w:ascii="宋体" w:hAnsi="宋体"/>
          <w:sz w:val="24"/>
          <w:lang w:val="en-US" w:eastAsia="zh-CN"/>
        </w:rPr>
        <w:t>16</w:t>
      </w:r>
      <w:r>
        <w:rPr>
          <w:rFonts w:hint="eastAsia" w:ascii="宋体" w:hAnsi="宋体"/>
          <w:sz w:val="24"/>
          <w:lang w:val="en-US" w:eastAsia="zh-CN"/>
        </w:rPr>
        <w:t>号令）和北京市《低硫煤及制品环保技术要求》（</w:t>
      </w:r>
      <w:r>
        <w:rPr>
          <w:rFonts w:hint="default" w:ascii="宋体" w:hAnsi="宋体"/>
          <w:sz w:val="24"/>
          <w:lang w:val="en-US" w:eastAsia="zh-CN"/>
        </w:rPr>
        <w:t>DB11/T 097-2019</w:t>
      </w:r>
      <w:r>
        <w:rPr>
          <w:rFonts w:hint="eastAsia" w:ascii="宋体" w:hAnsi="宋体"/>
          <w:sz w:val="24"/>
          <w:lang w:val="en-US" w:eastAsia="zh-CN"/>
        </w:rPr>
        <w:t>）等文件、标准，采购单位有权取消</w:t>
      </w:r>
      <w:r>
        <w:rPr>
          <w:rFonts w:hint="eastAsia" w:ascii="宋体" w:hAnsi="宋体"/>
          <w:sz w:val="24"/>
          <w:highlight w:val="none"/>
          <w:lang w:val="en-US" w:eastAsia="zh-CN"/>
        </w:rPr>
        <w:t>中标公司的中标资格。（</w:t>
      </w:r>
      <w:r>
        <w:rPr>
          <w:rFonts w:hint="eastAsia" w:ascii="宋体" w:hAnsi="宋体" w:eastAsia="宋体" w:cs="宋体"/>
          <w:b/>
          <w:bCs/>
          <w:color w:val="000000"/>
          <w:kern w:val="0"/>
          <w:sz w:val="24"/>
          <w:highlight w:val="none"/>
        </w:rPr>
        <w:t>★</w:t>
      </w:r>
      <w:r>
        <w:rPr>
          <w:rFonts w:hint="eastAsia" w:ascii="宋体" w:hAnsi="宋体" w:cs="宋体"/>
          <w:b/>
          <w:bCs/>
          <w:color w:val="000000"/>
          <w:kern w:val="0"/>
          <w:sz w:val="24"/>
          <w:highlight w:val="none"/>
          <w:lang w:val="en-US" w:eastAsia="zh-CN"/>
        </w:rPr>
        <w:t>投标人需提供针对本条款的承诺函原件并加盖本单位公章</w:t>
      </w:r>
      <w:r>
        <w:rPr>
          <w:rFonts w:hint="eastAsia" w:ascii="宋体" w:hAnsi="宋体"/>
          <w:sz w:val="24"/>
          <w:highlight w:val="none"/>
          <w:lang w:val="en-US" w:eastAsia="zh-CN"/>
        </w:rPr>
        <w:t>）</w:t>
      </w:r>
      <w:r>
        <w:rPr>
          <w:rFonts w:hint="eastAsia" w:ascii="宋体" w:hAnsi="宋体"/>
          <w:sz w:val="24"/>
          <w:highlight w:val="none"/>
          <w:lang w:eastAsia="zh-CN"/>
        </w:rPr>
        <w:t>；</w:t>
      </w:r>
    </w:p>
    <w:p w14:paraId="62212A7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Times New Roman"/>
          <w:sz w:val="24"/>
          <w:lang w:val="en-US" w:eastAsia="zh-CN"/>
        </w:rPr>
      </w:pPr>
      <w:r>
        <w:rPr>
          <w:rFonts w:hint="eastAsia" w:ascii="宋体" w:hAnsi="宋体" w:eastAsia="宋体" w:cs="Times New Roman"/>
          <w:sz w:val="24"/>
          <w:lang w:val="en-US" w:eastAsia="zh-CN"/>
        </w:rPr>
        <w:t>5.3本项目投标价格包含货物产品价（煤原价）、运费、装卸费、包装费、保险费、利息、税金及预估风险等所有费用，即货物运到指定地点的全部费用的总和</w:t>
      </w:r>
      <w:r>
        <w:rPr>
          <w:rFonts w:hint="eastAsia" w:ascii="宋体" w:hAnsi="宋体" w:cs="Times New Roman"/>
          <w:sz w:val="24"/>
          <w:lang w:val="en-US" w:eastAsia="zh-CN"/>
        </w:rPr>
        <w:t>；</w:t>
      </w:r>
    </w:p>
    <w:p w14:paraId="07C1DC1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Times New Roman"/>
          <w:sz w:val="24"/>
          <w:lang w:val="en-US" w:eastAsia="zh-CN"/>
        </w:rPr>
      </w:pPr>
      <w:r>
        <w:rPr>
          <w:rFonts w:hint="eastAsia" w:ascii="宋体" w:hAnsi="宋体" w:eastAsia="宋体" w:cs="Times New Roman"/>
          <w:sz w:val="24"/>
          <w:lang w:val="en-US" w:eastAsia="zh-CN"/>
        </w:rPr>
        <w:t>5.4如供应商中标后无正当理由不与采购人签订合同，或签订合同时提出附加条件，将被取消中标资格</w:t>
      </w:r>
      <w:r>
        <w:rPr>
          <w:rFonts w:hint="eastAsia" w:ascii="宋体" w:hAnsi="宋体" w:cs="Times New Roman"/>
          <w:sz w:val="24"/>
          <w:lang w:val="en-US" w:eastAsia="zh-CN"/>
        </w:rPr>
        <w:t>；</w:t>
      </w:r>
    </w:p>
    <w:p w14:paraId="39B89E6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default" w:eastAsia="宋体"/>
          <w:lang w:val="en-US" w:eastAsia="zh-CN"/>
        </w:rPr>
      </w:pPr>
      <w:r>
        <w:rPr>
          <w:rFonts w:hint="eastAsia" w:ascii="宋体" w:hAnsi="宋体" w:eastAsia="宋体" w:cs="Times New Roman"/>
          <w:sz w:val="24"/>
          <w:lang w:val="en-US" w:eastAsia="zh-CN"/>
        </w:rPr>
        <w:t>5.5具体价格以评审为准。</w:t>
      </w:r>
    </w:p>
    <w:p w14:paraId="6D68D0B9">
      <w:r>
        <w:br w:type="page"/>
      </w:r>
    </w:p>
    <w:p w14:paraId="6649DC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Times New Roman"/>
          <w:sz w:val="24"/>
          <w:lang w:val="en-US" w:eastAsia="zh-CN"/>
        </w:rPr>
      </w:pPr>
      <w:r>
        <w:rPr>
          <w:rFonts w:hint="eastAsia" w:ascii="宋体" w:hAnsi="宋体" w:eastAsia="宋体" w:cs="Times New Roman"/>
          <w:sz w:val="24"/>
          <w:lang w:val="en-US" w:eastAsia="zh-CN"/>
        </w:rPr>
        <w:t>附件：</w:t>
      </w:r>
    </w:p>
    <w:tbl>
      <w:tblPr>
        <w:tblStyle w:val="42"/>
        <w:tblpPr w:leftFromText="180" w:rightFromText="180" w:vertAnchor="text" w:horzAnchor="page" w:tblpXSpec="center" w:tblpY="324"/>
        <w:tblOverlap w:val="never"/>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083"/>
        <w:gridCol w:w="3821"/>
        <w:gridCol w:w="1365"/>
        <w:gridCol w:w="1316"/>
      </w:tblGrid>
      <w:tr w14:paraId="3C44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93" w:type="dxa"/>
            <w:shd w:val="clear" w:color="auto" w:fill="auto"/>
            <w:noWrap w:val="0"/>
            <w:vAlign w:val="center"/>
          </w:tcPr>
          <w:p w14:paraId="46654A40">
            <w:pPr>
              <w:widowControl/>
              <w:jc w:val="center"/>
              <w:rPr>
                <w:rFonts w:hint="eastAsia" w:ascii="宋体" w:hAnsi="宋体" w:cs="宋体"/>
                <w:b/>
                <w:bCs/>
                <w:color w:val="auto"/>
                <w:kern w:val="0"/>
                <w:sz w:val="24"/>
                <w:highlight w:val="none"/>
                <w:shd w:val="clear" w:color="auto" w:fill="auto"/>
              </w:rPr>
            </w:pPr>
            <w:r>
              <w:rPr>
                <w:rFonts w:hint="eastAsia" w:ascii="宋体" w:hAnsi="宋体" w:cs="宋体"/>
                <w:b/>
                <w:bCs/>
                <w:color w:val="auto"/>
                <w:kern w:val="0"/>
                <w:sz w:val="24"/>
                <w:highlight w:val="none"/>
                <w:shd w:val="clear" w:color="auto" w:fill="auto"/>
              </w:rPr>
              <w:t>序号</w:t>
            </w:r>
          </w:p>
        </w:tc>
        <w:tc>
          <w:tcPr>
            <w:tcW w:w="1083" w:type="dxa"/>
            <w:shd w:val="clear" w:color="auto" w:fill="auto"/>
            <w:noWrap w:val="0"/>
            <w:vAlign w:val="center"/>
          </w:tcPr>
          <w:p w14:paraId="179E77FA">
            <w:pPr>
              <w:widowControl/>
              <w:jc w:val="center"/>
              <w:rPr>
                <w:rFonts w:hint="eastAsia" w:ascii="宋体" w:hAnsi="宋体" w:cs="宋体"/>
                <w:b/>
                <w:bCs/>
                <w:color w:val="auto"/>
                <w:kern w:val="0"/>
                <w:sz w:val="24"/>
                <w:highlight w:val="none"/>
                <w:shd w:val="clear" w:color="auto" w:fill="auto"/>
              </w:rPr>
            </w:pPr>
            <w:r>
              <w:rPr>
                <w:rFonts w:hint="eastAsia" w:ascii="宋体" w:hAnsi="宋体" w:cs="宋体"/>
                <w:b/>
                <w:bCs/>
                <w:color w:val="auto"/>
                <w:kern w:val="0"/>
                <w:sz w:val="24"/>
                <w:highlight w:val="none"/>
                <w:shd w:val="clear" w:color="auto" w:fill="auto"/>
              </w:rPr>
              <w:t>商品名称</w:t>
            </w:r>
          </w:p>
        </w:tc>
        <w:tc>
          <w:tcPr>
            <w:tcW w:w="3821" w:type="dxa"/>
            <w:shd w:val="clear" w:color="000000" w:fill="FFFFFF"/>
            <w:noWrap w:val="0"/>
            <w:vAlign w:val="center"/>
          </w:tcPr>
          <w:p w14:paraId="451AB210">
            <w:pPr>
              <w:widowControl/>
              <w:jc w:val="center"/>
              <w:rPr>
                <w:rFonts w:hint="eastAsia" w:ascii="宋体" w:hAnsi="宋体" w:cs="宋体"/>
                <w:b/>
                <w:bCs/>
                <w:color w:val="auto"/>
                <w:kern w:val="0"/>
                <w:sz w:val="24"/>
                <w:highlight w:val="none"/>
                <w:shd w:val="clear" w:color="auto" w:fill="auto"/>
              </w:rPr>
            </w:pPr>
            <w:r>
              <w:rPr>
                <w:rFonts w:hint="eastAsia" w:ascii="宋体" w:hAnsi="宋体" w:cs="宋体"/>
                <w:b/>
                <w:bCs/>
                <w:color w:val="auto"/>
                <w:kern w:val="0"/>
                <w:sz w:val="24"/>
                <w:highlight w:val="none"/>
                <w:shd w:val="clear" w:color="auto" w:fill="auto"/>
              </w:rPr>
              <w:t>规格要求</w:t>
            </w:r>
          </w:p>
        </w:tc>
        <w:tc>
          <w:tcPr>
            <w:tcW w:w="1365" w:type="dxa"/>
            <w:shd w:val="clear" w:color="000000" w:fill="FFFFFF"/>
            <w:noWrap w:val="0"/>
            <w:vAlign w:val="center"/>
          </w:tcPr>
          <w:p w14:paraId="104EFAF7">
            <w:pPr>
              <w:widowControl/>
              <w:jc w:val="center"/>
              <w:rPr>
                <w:rFonts w:hint="eastAsia" w:ascii="宋体" w:hAnsi="宋体" w:cs="宋体"/>
                <w:b/>
                <w:bCs/>
                <w:color w:val="auto"/>
                <w:kern w:val="0"/>
                <w:sz w:val="24"/>
                <w:highlight w:val="none"/>
                <w:shd w:val="clear" w:color="auto" w:fill="auto"/>
              </w:rPr>
            </w:pPr>
            <w:r>
              <w:rPr>
                <w:rFonts w:hint="eastAsia" w:ascii="宋体" w:hAnsi="宋体" w:cs="宋体"/>
                <w:b/>
                <w:bCs/>
                <w:color w:val="auto"/>
                <w:kern w:val="0"/>
                <w:sz w:val="24"/>
                <w:highlight w:val="none"/>
                <w:shd w:val="clear" w:color="auto" w:fill="auto"/>
              </w:rPr>
              <w:t>数量</w:t>
            </w:r>
          </w:p>
          <w:p w14:paraId="7080E1B8">
            <w:pPr>
              <w:widowControl/>
              <w:jc w:val="center"/>
              <w:rPr>
                <w:rFonts w:hint="default" w:ascii="宋体" w:hAnsi="宋体" w:eastAsia="宋体" w:cs="宋体"/>
                <w:b/>
                <w:bCs/>
                <w:color w:val="auto"/>
                <w:kern w:val="0"/>
                <w:sz w:val="24"/>
                <w:highlight w:val="none"/>
                <w:shd w:val="clear" w:color="auto" w:fill="auto"/>
                <w:lang w:val="en-US" w:eastAsia="zh-CN"/>
              </w:rPr>
            </w:pPr>
            <w:r>
              <w:rPr>
                <w:rFonts w:hint="eastAsia" w:ascii="宋体" w:hAnsi="宋体" w:cs="宋体"/>
                <w:b/>
                <w:bCs/>
                <w:color w:val="auto"/>
                <w:kern w:val="0"/>
                <w:sz w:val="24"/>
                <w:highlight w:val="none"/>
                <w:shd w:val="clear" w:color="auto" w:fill="auto"/>
                <w:lang w:val="en-US" w:eastAsia="zh-CN"/>
              </w:rPr>
              <w:t>(吨)</w:t>
            </w:r>
          </w:p>
        </w:tc>
        <w:tc>
          <w:tcPr>
            <w:tcW w:w="1316" w:type="dxa"/>
            <w:noWrap w:val="0"/>
            <w:vAlign w:val="center"/>
          </w:tcPr>
          <w:p w14:paraId="4489BC08">
            <w:pPr>
              <w:widowControl/>
              <w:jc w:val="center"/>
              <w:rPr>
                <w:rFonts w:hint="eastAsia" w:ascii="宋体" w:hAnsi="宋体" w:cs="宋体"/>
                <w:b/>
                <w:bCs/>
                <w:color w:val="auto"/>
                <w:kern w:val="0"/>
                <w:sz w:val="24"/>
                <w:highlight w:val="none"/>
                <w:shd w:val="clear" w:color="auto" w:fill="auto"/>
                <w:lang w:val="en-US" w:eastAsia="zh-CN"/>
              </w:rPr>
            </w:pPr>
            <w:r>
              <w:rPr>
                <w:rFonts w:hint="eastAsia" w:ascii="宋体" w:hAnsi="宋体" w:cs="宋体"/>
                <w:b/>
                <w:bCs/>
                <w:color w:val="auto"/>
                <w:kern w:val="0"/>
                <w:sz w:val="24"/>
                <w:highlight w:val="none"/>
                <w:shd w:val="clear" w:color="auto" w:fill="auto"/>
                <w:lang w:val="en-US" w:eastAsia="zh-CN"/>
              </w:rPr>
              <w:t>最高限价</w:t>
            </w:r>
          </w:p>
          <w:p w14:paraId="7DB2E773">
            <w:pPr>
              <w:widowControl/>
              <w:jc w:val="center"/>
              <w:rPr>
                <w:rFonts w:hint="default" w:ascii="宋体" w:hAnsi="宋体" w:eastAsia="宋体" w:cs="宋体"/>
                <w:b/>
                <w:bCs/>
                <w:color w:val="auto"/>
                <w:kern w:val="0"/>
                <w:sz w:val="24"/>
                <w:highlight w:val="none"/>
                <w:shd w:val="clear" w:color="auto" w:fill="auto"/>
                <w:lang w:val="en-US" w:eastAsia="zh-CN"/>
              </w:rPr>
            </w:pPr>
            <w:r>
              <w:rPr>
                <w:rFonts w:hint="eastAsia" w:ascii="宋体" w:hAnsi="宋体" w:cs="宋体"/>
                <w:b/>
                <w:bCs/>
                <w:color w:val="auto"/>
                <w:kern w:val="0"/>
                <w:sz w:val="24"/>
                <w:highlight w:val="none"/>
                <w:shd w:val="clear" w:color="auto" w:fill="auto"/>
                <w:lang w:val="en-US" w:eastAsia="zh-CN"/>
              </w:rPr>
              <w:t>（元/吨）</w:t>
            </w:r>
          </w:p>
        </w:tc>
      </w:tr>
      <w:tr w14:paraId="1D6B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6" w:hRule="atLeast"/>
          <w:jc w:val="center"/>
        </w:trPr>
        <w:tc>
          <w:tcPr>
            <w:tcW w:w="693" w:type="dxa"/>
            <w:shd w:val="clear" w:color="000000" w:fill="FFFFFF"/>
            <w:noWrap w:val="0"/>
            <w:vAlign w:val="center"/>
          </w:tcPr>
          <w:p w14:paraId="1BFBD65D">
            <w:pPr>
              <w:widowControl/>
              <w:jc w:val="center"/>
              <w:textAlignment w:val="center"/>
              <w:rPr>
                <w:rFonts w:ascii="宋体" w:hAnsi="宋体" w:cs="宋体"/>
                <w:color w:val="auto"/>
                <w:kern w:val="0"/>
                <w:sz w:val="21"/>
                <w:szCs w:val="21"/>
                <w:highlight w:val="none"/>
                <w:shd w:val="clear" w:color="auto" w:fill="auto"/>
              </w:rPr>
            </w:pPr>
            <w:r>
              <w:rPr>
                <w:rFonts w:hint="eastAsia" w:ascii="宋体" w:hAnsi="宋体" w:cs="宋体"/>
                <w:color w:val="auto"/>
                <w:kern w:val="0"/>
                <w:sz w:val="21"/>
                <w:szCs w:val="21"/>
                <w:highlight w:val="none"/>
                <w:shd w:val="clear" w:color="auto" w:fill="auto"/>
                <w:lang w:bidi="ar"/>
              </w:rPr>
              <w:t>1</w:t>
            </w:r>
          </w:p>
        </w:tc>
        <w:tc>
          <w:tcPr>
            <w:tcW w:w="1083" w:type="dxa"/>
            <w:shd w:val="clear" w:color="auto" w:fill="auto"/>
            <w:noWrap w:val="0"/>
            <w:vAlign w:val="center"/>
          </w:tcPr>
          <w:p w14:paraId="4FC1FB98">
            <w:pPr>
              <w:widowControl/>
              <w:jc w:val="center"/>
              <w:textAlignment w:val="center"/>
              <w:rPr>
                <w:rFonts w:ascii="宋体" w:hAnsi="宋体" w:cs="宋体"/>
                <w:color w:val="auto"/>
                <w:kern w:val="0"/>
                <w:sz w:val="21"/>
                <w:szCs w:val="21"/>
                <w:highlight w:val="none"/>
                <w:shd w:val="clear" w:color="auto" w:fill="auto"/>
              </w:rPr>
            </w:pPr>
            <w:r>
              <w:rPr>
                <w:rFonts w:hint="eastAsia" w:ascii="宋体" w:hAnsi="宋体"/>
                <w:color w:val="auto"/>
                <w:sz w:val="21"/>
                <w:szCs w:val="21"/>
                <w:highlight w:val="none"/>
                <w:shd w:val="clear" w:color="auto" w:fill="auto"/>
              </w:rPr>
              <w:t>球形煤</w:t>
            </w:r>
          </w:p>
        </w:tc>
        <w:tc>
          <w:tcPr>
            <w:tcW w:w="3821" w:type="dxa"/>
            <w:shd w:val="clear" w:color="000000" w:fill="FFFFFF"/>
            <w:noWrap w:val="0"/>
            <w:vAlign w:val="center"/>
          </w:tcPr>
          <w:p w14:paraId="01AB59BB">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eastAsia="宋体" w:cs="宋体"/>
                <w:color w:val="000000"/>
                <w:kern w:val="0"/>
                <w:sz w:val="24"/>
                <w:highlight w:val="none"/>
              </w:rPr>
              <w:t>★</w:t>
            </w:r>
            <w:r>
              <w:rPr>
                <w:rFonts w:hint="eastAsia" w:ascii="宋体" w:hAnsi="宋体" w:cs="宋体"/>
                <w:color w:val="auto"/>
                <w:sz w:val="21"/>
                <w:szCs w:val="21"/>
                <w:highlight w:val="none"/>
                <w:shd w:val="clear" w:color="auto" w:fill="auto"/>
              </w:rPr>
              <w:t>符合《商品煤质量管理暂行办法》及北京市《</w:t>
            </w:r>
            <w:r>
              <w:rPr>
                <w:rFonts w:hint="eastAsia" w:ascii="宋体" w:hAnsi="宋体" w:cs="宋体"/>
                <w:color w:val="auto"/>
                <w:sz w:val="21"/>
                <w:szCs w:val="21"/>
                <w:highlight w:val="none"/>
                <w:shd w:val="clear" w:color="auto" w:fill="auto"/>
                <w:lang w:eastAsia="zh-CN"/>
              </w:rPr>
              <w:t>低硫煤及制品环保技术要求</w:t>
            </w:r>
            <w:r>
              <w:rPr>
                <w:rFonts w:hint="eastAsia" w:ascii="宋体" w:hAnsi="宋体" w:cs="宋体"/>
                <w:color w:val="auto"/>
                <w:sz w:val="21"/>
                <w:szCs w:val="21"/>
                <w:highlight w:val="none"/>
                <w:shd w:val="clear" w:color="auto" w:fill="auto"/>
              </w:rPr>
              <w:t>》（DB11/</w:t>
            </w:r>
            <w:r>
              <w:rPr>
                <w:rFonts w:hint="eastAsia" w:ascii="宋体" w:hAnsi="宋体" w:cs="宋体"/>
                <w:color w:val="auto"/>
                <w:sz w:val="21"/>
                <w:szCs w:val="21"/>
                <w:highlight w:val="none"/>
                <w:shd w:val="clear" w:color="auto" w:fill="auto"/>
                <w:lang w:val="en-US" w:eastAsia="zh-CN"/>
              </w:rPr>
              <w:t xml:space="preserve">T </w:t>
            </w:r>
            <w:r>
              <w:rPr>
                <w:rFonts w:hint="eastAsia" w:ascii="宋体" w:hAnsi="宋体" w:cs="宋体"/>
                <w:color w:val="auto"/>
                <w:sz w:val="21"/>
                <w:szCs w:val="21"/>
                <w:highlight w:val="none"/>
                <w:shd w:val="clear" w:color="auto" w:fill="auto"/>
              </w:rPr>
              <w:t>097</w:t>
            </w:r>
            <w:r>
              <w:rPr>
                <w:rFonts w:hint="eastAsia" w:ascii="宋体" w:hAnsi="宋体" w:cs="宋体"/>
                <w:color w:val="auto"/>
                <w:sz w:val="21"/>
                <w:szCs w:val="21"/>
                <w:highlight w:val="none"/>
                <w:shd w:val="clear" w:color="auto" w:fill="auto"/>
                <w:lang w:val="en-US" w:eastAsia="zh-CN"/>
              </w:rPr>
              <w:t>-2019</w:t>
            </w:r>
            <w:r>
              <w:rPr>
                <w:rFonts w:hint="eastAsia" w:ascii="宋体" w:hAnsi="宋体" w:cs="宋体"/>
                <w:color w:val="auto"/>
                <w:sz w:val="21"/>
                <w:szCs w:val="21"/>
                <w:highlight w:val="none"/>
                <w:shd w:val="clear" w:color="auto" w:fill="auto"/>
              </w:rPr>
              <w:t>）等文件、标准。</w:t>
            </w:r>
          </w:p>
          <w:p w14:paraId="743B5020">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⑴灰分≤25%，</w:t>
            </w:r>
          </w:p>
          <w:p w14:paraId="1E4C7B1C">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⑵挥发分≤1</w:t>
            </w:r>
            <w:r>
              <w:rPr>
                <w:rFonts w:hint="eastAsia" w:ascii="宋体" w:hAnsi="宋体" w:cs="宋体"/>
                <w:color w:val="auto"/>
                <w:sz w:val="21"/>
                <w:szCs w:val="21"/>
                <w:highlight w:val="none"/>
                <w:shd w:val="clear" w:color="auto" w:fill="auto"/>
                <w:lang w:val="en-US" w:eastAsia="zh-CN"/>
              </w:rPr>
              <w:t>0</w:t>
            </w:r>
            <w:r>
              <w:rPr>
                <w:rFonts w:hint="eastAsia" w:ascii="宋体" w:hAnsi="宋体" w:cs="宋体"/>
                <w:color w:val="auto"/>
                <w:sz w:val="21"/>
                <w:szCs w:val="21"/>
                <w:highlight w:val="none"/>
                <w:shd w:val="clear" w:color="auto" w:fill="auto"/>
              </w:rPr>
              <w:t>%，</w:t>
            </w:r>
          </w:p>
          <w:p w14:paraId="17C8440E">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⑶全硫≤0.4%，</w:t>
            </w:r>
          </w:p>
          <w:p w14:paraId="682006D2">
            <w:pPr>
              <w:widowControl/>
              <w:jc w:val="left"/>
              <w:textAlignment w:val="center"/>
              <w:rPr>
                <w:rFonts w:hint="eastAsia" w:ascii="宋体" w:hAnsi="宋体" w:eastAsia="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rPr>
              <w:t>⑷发热量≥24MJ/</w:t>
            </w:r>
            <w:r>
              <w:rPr>
                <w:rFonts w:hint="eastAsia" w:ascii="宋体" w:hAnsi="宋体" w:cs="宋体"/>
                <w:color w:val="auto"/>
                <w:sz w:val="21"/>
                <w:szCs w:val="21"/>
                <w:highlight w:val="none"/>
                <w:shd w:val="clear" w:color="auto" w:fill="auto"/>
                <w:lang w:eastAsia="zh-CN"/>
              </w:rPr>
              <w:t>kg，</w:t>
            </w:r>
          </w:p>
          <w:p w14:paraId="59B494DE">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rPr>
              <w:t>⑸</w:t>
            </w:r>
            <w:r>
              <w:rPr>
                <w:rFonts w:hint="eastAsia" w:ascii="宋体" w:hAnsi="宋体" w:cs="宋体"/>
                <w:color w:val="auto"/>
                <w:sz w:val="21"/>
                <w:szCs w:val="21"/>
                <w:highlight w:val="none"/>
                <w:shd w:val="clear" w:color="auto" w:fill="auto"/>
                <w:lang w:val="en-US" w:eastAsia="zh-CN"/>
              </w:rPr>
              <w:t>磷</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氯</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15</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p>
          <w:p w14:paraId="528A8311">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lang w:val="en-US" w:eastAsia="zh-CN"/>
              </w:rPr>
              <w:t>砷</w:t>
            </w:r>
            <w:r>
              <w:rPr>
                <w:rFonts w:hint="eastAsia" w:ascii="宋体" w:hAnsi="宋体" w:cs="宋体"/>
                <w:color w:val="auto"/>
                <w:sz w:val="21"/>
                <w:szCs w:val="21"/>
                <w:highlight w:val="none"/>
                <w:shd w:val="clear" w:color="auto" w:fill="auto"/>
              </w:rPr>
              <w:t>≤2</w:t>
            </w:r>
            <w:r>
              <w:rPr>
                <w:rFonts w:hint="eastAsia" w:ascii="宋体" w:hAnsi="宋体" w:cs="宋体"/>
                <w:color w:val="auto"/>
                <w:sz w:val="21"/>
                <w:szCs w:val="21"/>
                <w:highlight w:val="none"/>
                <w:shd w:val="clear" w:color="auto" w:fill="auto"/>
                <w:lang w:val="en-US" w:eastAsia="zh-CN"/>
              </w:rPr>
              <w:t>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汞</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25</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p>
          <w:p w14:paraId="37883854">
            <w:pPr>
              <w:widowControl/>
              <w:jc w:val="left"/>
              <w:textAlignment w:val="center"/>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氟</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val="en-US" w:eastAsia="zh-CN"/>
              </w:rPr>
              <w:t>200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val="en-US" w:eastAsia="zh-CN"/>
              </w:rPr>
              <w:t>。</w:t>
            </w:r>
          </w:p>
        </w:tc>
        <w:tc>
          <w:tcPr>
            <w:tcW w:w="1365" w:type="dxa"/>
            <w:shd w:val="clear" w:color="auto" w:fill="auto"/>
            <w:noWrap w:val="0"/>
            <w:vAlign w:val="center"/>
          </w:tcPr>
          <w:p w14:paraId="2CAC0D61">
            <w:pPr>
              <w:pStyle w:val="4"/>
              <w:jc w:val="center"/>
              <w:rPr>
                <w:rFonts w:hint="default" w:hAnsi="宋体" w:cs="宋体"/>
                <w:b w:val="0"/>
                <w:kern w:val="0"/>
                <w:sz w:val="21"/>
                <w:szCs w:val="21"/>
                <w:highlight w:val="none"/>
                <w:u w:val="none"/>
                <w:lang w:val="en-US" w:eastAsia="zh-CN" w:bidi="ar"/>
              </w:rPr>
            </w:pPr>
            <w:r>
              <w:rPr>
                <w:rFonts w:hint="eastAsia" w:hAnsi="宋体" w:cs="宋体"/>
                <w:b w:val="0"/>
                <w:kern w:val="0"/>
                <w:sz w:val="21"/>
                <w:szCs w:val="21"/>
                <w:highlight w:val="none"/>
                <w:u w:val="none"/>
                <w:lang w:val="en-US" w:eastAsia="zh-CN" w:bidi="ar"/>
              </w:rPr>
              <w:t>648.5（最终以实际供货量为准）</w:t>
            </w:r>
          </w:p>
        </w:tc>
        <w:tc>
          <w:tcPr>
            <w:tcW w:w="1316" w:type="dxa"/>
            <w:shd w:val="clear" w:color="000000" w:fill="FFFFFF"/>
            <w:noWrap w:val="0"/>
            <w:vAlign w:val="center"/>
          </w:tcPr>
          <w:p w14:paraId="4B2BCBF1">
            <w:pPr>
              <w:pStyle w:val="4"/>
              <w:jc w:val="center"/>
              <w:rPr>
                <w:rFonts w:hint="default" w:ascii="宋体" w:hAnsi="宋体" w:eastAsia="宋体" w:cs="宋体"/>
                <w:b w:val="0"/>
                <w:kern w:val="0"/>
                <w:sz w:val="21"/>
                <w:szCs w:val="21"/>
                <w:highlight w:val="none"/>
                <w:u w:val="none"/>
                <w:lang w:val="en-US" w:eastAsia="zh-CN" w:bidi="ar"/>
              </w:rPr>
            </w:pPr>
            <w:r>
              <w:rPr>
                <w:rFonts w:hint="eastAsia" w:ascii="宋体" w:hAnsi="宋体" w:eastAsia="宋体" w:cs="宋体"/>
                <w:b w:val="0"/>
                <w:kern w:val="0"/>
                <w:sz w:val="21"/>
                <w:szCs w:val="21"/>
                <w:highlight w:val="none"/>
                <w:u w:val="none"/>
                <w:lang w:val="en-US" w:eastAsia="zh-CN" w:bidi="ar"/>
              </w:rPr>
              <w:t>2175</w:t>
            </w:r>
          </w:p>
        </w:tc>
      </w:tr>
      <w:tr w14:paraId="1EB2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7" w:hRule="atLeast"/>
          <w:jc w:val="center"/>
        </w:trPr>
        <w:tc>
          <w:tcPr>
            <w:tcW w:w="693" w:type="dxa"/>
            <w:shd w:val="clear" w:color="000000" w:fill="FFFFFF"/>
            <w:noWrap w:val="0"/>
            <w:vAlign w:val="center"/>
          </w:tcPr>
          <w:p w14:paraId="521656FA">
            <w:pPr>
              <w:widowControl/>
              <w:jc w:val="center"/>
              <w:textAlignment w:val="center"/>
              <w:rPr>
                <w:rFonts w:hint="eastAsia" w:ascii="宋体" w:hAnsi="宋体" w:cs="宋体"/>
                <w:color w:val="auto"/>
                <w:kern w:val="0"/>
                <w:sz w:val="21"/>
                <w:szCs w:val="21"/>
                <w:highlight w:val="none"/>
                <w:shd w:val="clear" w:color="auto" w:fill="auto"/>
                <w:lang w:bidi="ar"/>
              </w:rPr>
            </w:pPr>
            <w:r>
              <w:rPr>
                <w:rFonts w:hint="eastAsia" w:ascii="宋体" w:hAnsi="宋体" w:cs="宋体"/>
                <w:color w:val="auto"/>
                <w:kern w:val="0"/>
                <w:sz w:val="21"/>
                <w:szCs w:val="21"/>
                <w:highlight w:val="none"/>
                <w:shd w:val="clear" w:color="auto" w:fill="auto"/>
                <w:lang w:bidi="ar"/>
              </w:rPr>
              <w:t>2</w:t>
            </w:r>
          </w:p>
        </w:tc>
        <w:tc>
          <w:tcPr>
            <w:tcW w:w="1083" w:type="dxa"/>
            <w:shd w:val="clear" w:color="auto" w:fill="auto"/>
            <w:noWrap w:val="0"/>
            <w:vAlign w:val="center"/>
          </w:tcPr>
          <w:p w14:paraId="29CE08A2">
            <w:pPr>
              <w:widowControl/>
              <w:jc w:val="center"/>
              <w:textAlignment w:val="center"/>
              <w:rPr>
                <w:rFonts w:hint="eastAsia" w:ascii="宋体" w:hAnsi="宋体"/>
                <w:color w:val="auto"/>
                <w:sz w:val="21"/>
                <w:szCs w:val="21"/>
                <w:highlight w:val="none"/>
                <w:shd w:val="clear" w:color="auto" w:fill="auto"/>
              </w:rPr>
            </w:pPr>
            <w:r>
              <w:rPr>
                <w:rFonts w:hint="eastAsia" w:ascii="宋体" w:hAnsi="宋体"/>
                <w:color w:val="auto"/>
                <w:sz w:val="21"/>
                <w:szCs w:val="21"/>
                <w:highlight w:val="none"/>
                <w:shd w:val="clear" w:color="auto" w:fill="auto"/>
              </w:rPr>
              <w:t>蜂窝煤</w:t>
            </w:r>
          </w:p>
          <w:p w14:paraId="0811B926">
            <w:pPr>
              <w:widowControl/>
              <w:jc w:val="center"/>
              <w:textAlignment w:val="center"/>
              <w:rPr>
                <w:rFonts w:hint="eastAsia" w:ascii="宋体" w:hAnsi="宋体" w:eastAsia="宋体"/>
                <w:color w:val="auto"/>
                <w:sz w:val="21"/>
                <w:szCs w:val="21"/>
                <w:highlight w:val="none"/>
                <w:shd w:val="clear" w:color="auto" w:fill="auto"/>
                <w:lang w:val="en-US" w:eastAsia="zh-CN"/>
              </w:rPr>
            </w:pPr>
          </w:p>
        </w:tc>
        <w:tc>
          <w:tcPr>
            <w:tcW w:w="3821" w:type="dxa"/>
            <w:shd w:val="clear" w:color="000000" w:fill="FFFFFF"/>
            <w:noWrap w:val="0"/>
            <w:vAlign w:val="center"/>
          </w:tcPr>
          <w:p w14:paraId="242E4005">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eastAsia="宋体" w:cs="宋体"/>
                <w:color w:val="000000"/>
                <w:kern w:val="0"/>
                <w:sz w:val="24"/>
                <w:highlight w:val="none"/>
              </w:rPr>
              <w:t>★</w:t>
            </w:r>
            <w:r>
              <w:rPr>
                <w:rFonts w:hint="eastAsia" w:ascii="宋体" w:hAnsi="宋体" w:cs="宋体"/>
                <w:color w:val="auto"/>
                <w:sz w:val="21"/>
                <w:szCs w:val="21"/>
                <w:highlight w:val="none"/>
                <w:shd w:val="clear" w:color="auto" w:fill="auto"/>
              </w:rPr>
              <w:t>符合《商品煤质量管理暂行办法》及北京市《</w:t>
            </w:r>
            <w:r>
              <w:rPr>
                <w:rFonts w:hint="eastAsia" w:ascii="宋体" w:hAnsi="宋体" w:cs="宋体"/>
                <w:color w:val="auto"/>
                <w:sz w:val="21"/>
                <w:szCs w:val="21"/>
                <w:highlight w:val="none"/>
                <w:shd w:val="clear" w:color="auto" w:fill="auto"/>
                <w:lang w:eastAsia="zh-CN"/>
              </w:rPr>
              <w:t>低硫煤及制品环保技术要求</w:t>
            </w:r>
            <w:r>
              <w:rPr>
                <w:rFonts w:hint="eastAsia" w:ascii="宋体" w:hAnsi="宋体" w:cs="宋体"/>
                <w:color w:val="auto"/>
                <w:sz w:val="21"/>
                <w:szCs w:val="21"/>
                <w:highlight w:val="none"/>
                <w:shd w:val="clear" w:color="auto" w:fill="auto"/>
              </w:rPr>
              <w:t>》（DB11/</w:t>
            </w:r>
            <w:r>
              <w:rPr>
                <w:rFonts w:hint="eastAsia" w:ascii="宋体" w:hAnsi="宋体" w:cs="宋体"/>
                <w:color w:val="auto"/>
                <w:sz w:val="21"/>
                <w:szCs w:val="21"/>
                <w:highlight w:val="none"/>
                <w:shd w:val="clear" w:color="auto" w:fill="auto"/>
                <w:lang w:val="en-US" w:eastAsia="zh-CN"/>
              </w:rPr>
              <w:t xml:space="preserve">T </w:t>
            </w:r>
            <w:r>
              <w:rPr>
                <w:rFonts w:hint="eastAsia" w:ascii="宋体" w:hAnsi="宋体" w:cs="宋体"/>
                <w:color w:val="auto"/>
                <w:sz w:val="21"/>
                <w:szCs w:val="21"/>
                <w:highlight w:val="none"/>
                <w:shd w:val="clear" w:color="auto" w:fill="auto"/>
              </w:rPr>
              <w:t>097</w:t>
            </w:r>
            <w:r>
              <w:rPr>
                <w:rFonts w:hint="eastAsia" w:ascii="宋体" w:hAnsi="宋体" w:cs="宋体"/>
                <w:color w:val="auto"/>
                <w:sz w:val="21"/>
                <w:szCs w:val="21"/>
                <w:highlight w:val="none"/>
                <w:shd w:val="clear" w:color="auto" w:fill="auto"/>
                <w:lang w:val="en-US" w:eastAsia="zh-CN"/>
              </w:rPr>
              <w:t>-2019</w:t>
            </w:r>
            <w:r>
              <w:rPr>
                <w:rFonts w:hint="eastAsia" w:ascii="宋体" w:hAnsi="宋体" w:cs="宋体"/>
                <w:color w:val="auto"/>
                <w:sz w:val="21"/>
                <w:szCs w:val="21"/>
                <w:highlight w:val="none"/>
                <w:shd w:val="clear" w:color="auto" w:fill="auto"/>
              </w:rPr>
              <w:t>）等文件、标准。</w:t>
            </w:r>
          </w:p>
          <w:p w14:paraId="50D679EF">
            <w:pPr>
              <w:widowControl/>
              <w:jc w:val="left"/>
              <w:textAlignment w:val="center"/>
              <w:rPr>
                <w:rFonts w:hint="eastAsia"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类别：圆形，直径</w:t>
            </w:r>
            <w:r>
              <w:rPr>
                <w:rFonts w:ascii="Helvetica" w:hAnsi="Helvetica" w:eastAsia="Helvetica" w:cs="Helvetica"/>
                <w:i w:val="0"/>
                <w:caps w:val="0"/>
                <w:color w:val="000000"/>
                <w:spacing w:val="0"/>
                <w:sz w:val="21"/>
                <w:szCs w:val="21"/>
                <w:highlight w:val="none"/>
                <w:shd w:val="clear" w:color="auto" w:fill="FFFFFF"/>
              </w:rPr>
              <w:t>Φ</w:t>
            </w:r>
            <w:r>
              <w:rPr>
                <w:rFonts w:hint="eastAsia" w:ascii="宋体" w:hAnsi="宋体" w:cs="宋体"/>
                <w:color w:val="auto"/>
                <w:sz w:val="21"/>
                <w:szCs w:val="21"/>
                <w:highlight w:val="none"/>
                <w:shd w:val="clear" w:color="auto" w:fill="auto"/>
                <w:lang w:val="en-US" w:eastAsia="zh-CN"/>
              </w:rPr>
              <w:t>125mm。</w:t>
            </w:r>
          </w:p>
          <w:p w14:paraId="7BBA81EA">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⑴灰分≤31%，</w:t>
            </w:r>
          </w:p>
          <w:p w14:paraId="6D5212F4">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⑵挥发分≤10%，</w:t>
            </w:r>
          </w:p>
          <w:p w14:paraId="4CDC89F3">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⑶全硫≤0.4%，</w:t>
            </w:r>
          </w:p>
          <w:p w14:paraId="0F2CE8D7">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rPr>
              <w:t>⑷发热量≥21MJ/</w:t>
            </w:r>
            <w:r>
              <w:rPr>
                <w:rFonts w:hint="eastAsia" w:ascii="宋体" w:hAnsi="宋体" w:cs="宋体"/>
                <w:color w:val="auto"/>
                <w:sz w:val="21"/>
                <w:szCs w:val="21"/>
                <w:highlight w:val="none"/>
                <w:shd w:val="clear" w:color="auto" w:fill="auto"/>
                <w:lang w:eastAsia="zh-CN"/>
              </w:rPr>
              <w:t>kg，</w:t>
            </w:r>
          </w:p>
          <w:p w14:paraId="54E818BA">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rPr>
              <w:t>⑸</w:t>
            </w:r>
            <w:r>
              <w:rPr>
                <w:rFonts w:hint="eastAsia" w:ascii="宋体" w:hAnsi="宋体" w:cs="宋体"/>
                <w:color w:val="auto"/>
                <w:sz w:val="21"/>
                <w:szCs w:val="21"/>
                <w:highlight w:val="none"/>
                <w:shd w:val="clear" w:color="auto" w:fill="auto"/>
                <w:lang w:val="en-US" w:eastAsia="zh-CN"/>
              </w:rPr>
              <w:t>磷</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氯</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15</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p>
          <w:p w14:paraId="4DA51738">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lang w:val="en-US" w:eastAsia="zh-CN"/>
              </w:rPr>
              <w:t>砷</w:t>
            </w:r>
            <w:r>
              <w:rPr>
                <w:rFonts w:hint="eastAsia" w:ascii="宋体" w:hAnsi="宋体" w:cs="宋体"/>
                <w:color w:val="auto"/>
                <w:sz w:val="21"/>
                <w:szCs w:val="21"/>
                <w:highlight w:val="none"/>
                <w:shd w:val="clear" w:color="auto" w:fill="auto"/>
              </w:rPr>
              <w:t>≤2</w:t>
            </w:r>
            <w:r>
              <w:rPr>
                <w:rFonts w:hint="eastAsia" w:ascii="宋体" w:hAnsi="宋体" w:cs="宋体"/>
                <w:color w:val="auto"/>
                <w:sz w:val="21"/>
                <w:szCs w:val="21"/>
                <w:highlight w:val="none"/>
                <w:shd w:val="clear" w:color="auto" w:fill="auto"/>
                <w:lang w:val="en-US" w:eastAsia="zh-CN"/>
              </w:rPr>
              <w:t>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汞</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25</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p>
          <w:p w14:paraId="2A0AE1CB">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lang w:val="en-US" w:eastAsia="zh-CN"/>
              </w:rPr>
              <w:t>氟</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val="en-US" w:eastAsia="zh-CN"/>
              </w:rPr>
              <w:t>200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val="en-US" w:eastAsia="zh-CN"/>
              </w:rPr>
              <w:t>。</w:t>
            </w:r>
          </w:p>
        </w:tc>
        <w:tc>
          <w:tcPr>
            <w:tcW w:w="1365" w:type="dxa"/>
            <w:shd w:val="clear" w:color="auto" w:fill="auto"/>
            <w:noWrap w:val="0"/>
            <w:vAlign w:val="center"/>
          </w:tcPr>
          <w:p w14:paraId="5CBA398A">
            <w:pPr>
              <w:pStyle w:val="4"/>
              <w:jc w:val="center"/>
              <w:rPr>
                <w:rFonts w:hint="default" w:hAnsi="宋体" w:cs="宋体"/>
                <w:b w:val="0"/>
                <w:kern w:val="0"/>
                <w:sz w:val="21"/>
                <w:szCs w:val="21"/>
                <w:highlight w:val="none"/>
                <w:u w:val="none"/>
                <w:lang w:val="en-US" w:eastAsia="zh-CN" w:bidi="ar"/>
              </w:rPr>
            </w:pPr>
            <w:r>
              <w:rPr>
                <w:rFonts w:hint="eastAsia" w:hAnsi="宋体" w:cs="宋体"/>
                <w:b w:val="0"/>
                <w:kern w:val="0"/>
                <w:sz w:val="21"/>
                <w:szCs w:val="21"/>
                <w:highlight w:val="none"/>
                <w:u w:val="none"/>
                <w:lang w:val="en-US" w:eastAsia="zh-CN" w:bidi="ar"/>
              </w:rPr>
              <w:t>61（最终以实际供货量为准）</w:t>
            </w:r>
          </w:p>
        </w:tc>
        <w:tc>
          <w:tcPr>
            <w:tcW w:w="1316" w:type="dxa"/>
            <w:shd w:val="clear" w:color="000000" w:fill="FFFFFF"/>
            <w:noWrap w:val="0"/>
            <w:vAlign w:val="center"/>
          </w:tcPr>
          <w:p w14:paraId="0A167BAC">
            <w:pPr>
              <w:widowControl/>
              <w:jc w:val="center"/>
              <w:textAlignment w:val="center"/>
              <w:rPr>
                <w:rFonts w:hint="default"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2157</w:t>
            </w:r>
          </w:p>
        </w:tc>
      </w:tr>
      <w:tr w14:paraId="5515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jc w:val="center"/>
        </w:trPr>
        <w:tc>
          <w:tcPr>
            <w:tcW w:w="693" w:type="dxa"/>
            <w:shd w:val="clear" w:color="000000" w:fill="FFFFFF"/>
            <w:noWrap w:val="0"/>
            <w:vAlign w:val="center"/>
          </w:tcPr>
          <w:p w14:paraId="144E0034">
            <w:pPr>
              <w:widowControl/>
              <w:jc w:val="center"/>
              <w:textAlignment w:val="center"/>
              <w:rPr>
                <w:rFonts w:hint="eastAsia" w:ascii="宋体" w:hAnsi="宋体" w:cs="宋体"/>
                <w:color w:val="auto"/>
                <w:kern w:val="0"/>
                <w:sz w:val="21"/>
                <w:szCs w:val="21"/>
                <w:highlight w:val="none"/>
                <w:shd w:val="clear" w:color="auto" w:fill="auto"/>
                <w:lang w:bidi="ar"/>
              </w:rPr>
            </w:pPr>
            <w:r>
              <w:rPr>
                <w:rFonts w:hint="eastAsia" w:ascii="宋体" w:hAnsi="宋体" w:cs="宋体"/>
                <w:color w:val="auto"/>
                <w:kern w:val="0"/>
                <w:sz w:val="21"/>
                <w:szCs w:val="21"/>
                <w:highlight w:val="none"/>
                <w:shd w:val="clear" w:color="auto" w:fill="auto"/>
                <w:lang w:bidi="ar"/>
              </w:rPr>
              <w:t>3</w:t>
            </w:r>
          </w:p>
        </w:tc>
        <w:tc>
          <w:tcPr>
            <w:tcW w:w="1083" w:type="dxa"/>
            <w:shd w:val="clear" w:color="auto" w:fill="auto"/>
            <w:noWrap w:val="0"/>
            <w:vAlign w:val="center"/>
          </w:tcPr>
          <w:p w14:paraId="07173D0D">
            <w:pPr>
              <w:widowControl/>
              <w:jc w:val="center"/>
              <w:textAlignment w:val="center"/>
              <w:rPr>
                <w:rFonts w:hint="eastAsia" w:ascii="宋体" w:hAnsi="宋体"/>
                <w:color w:val="auto"/>
                <w:sz w:val="21"/>
                <w:szCs w:val="21"/>
                <w:highlight w:val="none"/>
                <w:shd w:val="clear" w:color="auto" w:fill="auto"/>
              </w:rPr>
            </w:pPr>
            <w:r>
              <w:rPr>
                <w:rFonts w:hint="eastAsia" w:ascii="宋体" w:hAnsi="宋体"/>
                <w:color w:val="auto"/>
                <w:sz w:val="21"/>
                <w:szCs w:val="21"/>
                <w:highlight w:val="none"/>
                <w:shd w:val="clear" w:color="auto" w:fill="auto"/>
              </w:rPr>
              <w:t>优质块煤</w:t>
            </w:r>
          </w:p>
        </w:tc>
        <w:tc>
          <w:tcPr>
            <w:tcW w:w="3821" w:type="dxa"/>
            <w:shd w:val="clear" w:color="000000" w:fill="FFFFFF"/>
            <w:noWrap w:val="0"/>
            <w:vAlign w:val="center"/>
          </w:tcPr>
          <w:p w14:paraId="52832345">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eastAsia="宋体" w:cs="宋体"/>
                <w:color w:val="000000"/>
                <w:kern w:val="0"/>
                <w:sz w:val="24"/>
                <w:highlight w:val="none"/>
              </w:rPr>
              <w:t>★</w:t>
            </w:r>
            <w:r>
              <w:rPr>
                <w:rFonts w:hint="eastAsia" w:ascii="宋体" w:hAnsi="宋体" w:cs="宋体"/>
                <w:color w:val="auto"/>
                <w:sz w:val="21"/>
                <w:szCs w:val="21"/>
                <w:highlight w:val="none"/>
                <w:shd w:val="clear" w:color="auto" w:fill="auto"/>
              </w:rPr>
              <w:t>符合《商品煤质量管理暂行办法》及北京市《</w:t>
            </w:r>
            <w:r>
              <w:rPr>
                <w:rFonts w:hint="eastAsia" w:ascii="宋体" w:hAnsi="宋体" w:cs="宋体"/>
                <w:color w:val="auto"/>
                <w:sz w:val="21"/>
                <w:szCs w:val="21"/>
                <w:highlight w:val="none"/>
                <w:shd w:val="clear" w:color="auto" w:fill="auto"/>
                <w:lang w:eastAsia="zh-CN"/>
              </w:rPr>
              <w:t>低硫煤及制品环保技术要求</w:t>
            </w:r>
            <w:r>
              <w:rPr>
                <w:rFonts w:hint="eastAsia" w:ascii="宋体" w:hAnsi="宋体" w:cs="宋体"/>
                <w:color w:val="auto"/>
                <w:sz w:val="21"/>
                <w:szCs w:val="21"/>
                <w:highlight w:val="none"/>
                <w:shd w:val="clear" w:color="auto" w:fill="auto"/>
              </w:rPr>
              <w:t>》（DB11/</w:t>
            </w:r>
            <w:r>
              <w:rPr>
                <w:rFonts w:hint="eastAsia" w:ascii="宋体" w:hAnsi="宋体" w:cs="宋体"/>
                <w:color w:val="auto"/>
                <w:sz w:val="21"/>
                <w:szCs w:val="21"/>
                <w:highlight w:val="none"/>
                <w:shd w:val="clear" w:color="auto" w:fill="auto"/>
                <w:lang w:val="en-US" w:eastAsia="zh-CN"/>
              </w:rPr>
              <w:t xml:space="preserve">T </w:t>
            </w:r>
            <w:r>
              <w:rPr>
                <w:rFonts w:hint="eastAsia" w:ascii="宋体" w:hAnsi="宋体" w:cs="宋体"/>
                <w:color w:val="auto"/>
                <w:sz w:val="21"/>
                <w:szCs w:val="21"/>
                <w:highlight w:val="none"/>
                <w:shd w:val="clear" w:color="auto" w:fill="auto"/>
              </w:rPr>
              <w:t>097</w:t>
            </w:r>
            <w:r>
              <w:rPr>
                <w:rFonts w:hint="eastAsia" w:ascii="宋体" w:hAnsi="宋体" w:cs="宋体"/>
                <w:color w:val="auto"/>
                <w:sz w:val="21"/>
                <w:szCs w:val="21"/>
                <w:highlight w:val="none"/>
                <w:shd w:val="clear" w:color="auto" w:fill="auto"/>
                <w:lang w:val="en-US" w:eastAsia="zh-CN"/>
              </w:rPr>
              <w:t>-2019</w:t>
            </w:r>
            <w:r>
              <w:rPr>
                <w:rFonts w:hint="eastAsia" w:ascii="宋体" w:hAnsi="宋体" w:cs="宋体"/>
                <w:color w:val="auto"/>
                <w:sz w:val="21"/>
                <w:szCs w:val="21"/>
                <w:highlight w:val="none"/>
                <w:shd w:val="clear" w:color="auto" w:fill="auto"/>
              </w:rPr>
              <w:t>）等文件、标准。</w:t>
            </w:r>
          </w:p>
          <w:p w14:paraId="7D435278">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⑴灰分≤16%，</w:t>
            </w:r>
          </w:p>
          <w:p w14:paraId="5103ACDD">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⑵挥发分≤10%，</w:t>
            </w:r>
          </w:p>
          <w:p w14:paraId="75875531">
            <w:pPr>
              <w:widowControl/>
              <w:jc w:val="left"/>
              <w:textAlignment w:val="center"/>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⑶全硫≤0.4%，</w:t>
            </w:r>
          </w:p>
          <w:p w14:paraId="6F127116">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rPr>
              <w:t>⑷</w:t>
            </w:r>
            <w:r>
              <w:rPr>
                <w:rFonts w:hint="eastAsia" w:ascii="宋体" w:hAnsi="宋体" w:cs="宋体"/>
                <w:color w:val="auto"/>
                <w:sz w:val="21"/>
                <w:szCs w:val="21"/>
                <w:highlight w:val="none"/>
                <w:shd w:val="clear" w:color="auto" w:fill="auto"/>
                <w:lang w:val="en-US" w:eastAsia="zh-CN"/>
              </w:rPr>
              <w:t>磷</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氯</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15</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w:t>
            </w:r>
          </w:p>
          <w:p w14:paraId="51E42B19">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lang w:val="en-US" w:eastAsia="zh-CN"/>
              </w:rPr>
              <w:t>砷</w:t>
            </w:r>
            <w:r>
              <w:rPr>
                <w:rFonts w:hint="eastAsia" w:ascii="宋体" w:hAnsi="宋体" w:cs="宋体"/>
                <w:color w:val="auto"/>
                <w:sz w:val="21"/>
                <w:szCs w:val="21"/>
                <w:highlight w:val="none"/>
                <w:shd w:val="clear" w:color="auto" w:fill="auto"/>
              </w:rPr>
              <w:t>≤2</w:t>
            </w:r>
            <w:r>
              <w:rPr>
                <w:rFonts w:hint="eastAsia" w:ascii="宋体" w:hAnsi="宋体" w:cs="宋体"/>
                <w:color w:val="auto"/>
                <w:sz w:val="21"/>
                <w:szCs w:val="21"/>
                <w:highlight w:val="none"/>
                <w:shd w:val="clear" w:color="auto" w:fill="auto"/>
                <w:lang w:val="en-US" w:eastAsia="zh-CN"/>
              </w:rPr>
              <w:t>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r>
              <w:rPr>
                <w:rFonts w:hint="eastAsia" w:ascii="宋体" w:hAnsi="宋体" w:cs="宋体"/>
                <w:color w:val="auto"/>
                <w:sz w:val="21"/>
                <w:szCs w:val="21"/>
                <w:highlight w:val="none"/>
                <w:shd w:val="clear" w:color="auto" w:fill="auto"/>
                <w:lang w:val="en-US" w:eastAsia="zh-CN"/>
              </w:rPr>
              <w:t>汞</w:t>
            </w:r>
            <w:r>
              <w:rPr>
                <w:rFonts w:hint="eastAsia" w:ascii="宋体" w:hAnsi="宋体" w:cs="宋体"/>
                <w:color w:val="auto"/>
                <w:sz w:val="21"/>
                <w:szCs w:val="21"/>
                <w:highlight w:val="none"/>
                <w:shd w:val="clear" w:color="auto" w:fill="auto"/>
              </w:rPr>
              <w:t>≤0.</w:t>
            </w:r>
            <w:r>
              <w:rPr>
                <w:rFonts w:hint="eastAsia" w:ascii="宋体" w:hAnsi="宋体" w:cs="宋体"/>
                <w:color w:val="auto"/>
                <w:sz w:val="21"/>
                <w:szCs w:val="21"/>
                <w:highlight w:val="none"/>
                <w:shd w:val="clear" w:color="auto" w:fill="auto"/>
                <w:lang w:val="en-US" w:eastAsia="zh-CN"/>
              </w:rPr>
              <w:t>25</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eastAsia="zh-CN"/>
              </w:rPr>
              <w:t>，</w:t>
            </w:r>
          </w:p>
          <w:p w14:paraId="47553803">
            <w:pPr>
              <w:widowControl/>
              <w:jc w:val="left"/>
              <w:textAlignment w:val="center"/>
              <w:rPr>
                <w:rFonts w:hint="eastAsia" w:ascii="宋体" w:hAnsi="宋体" w:cs="宋体"/>
                <w:color w:val="auto"/>
                <w:sz w:val="21"/>
                <w:szCs w:val="21"/>
                <w:highlight w:val="none"/>
                <w:shd w:val="clear" w:color="auto" w:fill="auto"/>
                <w:lang w:eastAsia="zh-CN"/>
              </w:rPr>
            </w:pPr>
            <w:r>
              <w:rPr>
                <w:rFonts w:hint="eastAsia" w:ascii="宋体" w:hAnsi="宋体" w:cs="宋体"/>
                <w:color w:val="auto"/>
                <w:sz w:val="21"/>
                <w:szCs w:val="21"/>
                <w:highlight w:val="none"/>
                <w:shd w:val="clear" w:color="auto" w:fill="auto"/>
                <w:lang w:val="en-US" w:eastAsia="zh-CN"/>
              </w:rPr>
              <w:t>氟</w:t>
            </w:r>
            <w:r>
              <w:rPr>
                <w:rFonts w:hint="eastAsia" w:ascii="宋体" w:hAnsi="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val="en-US" w:eastAsia="zh-CN"/>
              </w:rPr>
              <w:t>200</w:t>
            </w:r>
            <w:r>
              <w:rPr>
                <w:rFonts w:ascii="Arial" w:hAnsi="Arial" w:eastAsia="宋体" w:cs="Arial"/>
                <w:i w:val="0"/>
                <w:caps w:val="0"/>
                <w:color w:val="333333"/>
                <w:spacing w:val="0"/>
                <w:sz w:val="21"/>
                <w:szCs w:val="21"/>
                <w:highlight w:val="none"/>
                <w:shd w:val="clear" w:color="auto" w:fill="FFFFFF"/>
              </w:rPr>
              <w:t>μg</w:t>
            </w:r>
            <w:r>
              <w:rPr>
                <w:rFonts w:hint="eastAsia" w:ascii="Arial" w:hAnsi="Arial" w:eastAsia="宋体" w:cs="Arial"/>
                <w:i w:val="0"/>
                <w:caps w:val="0"/>
                <w:color w:val="333333"/>
                <w:spacing w:val="0"/>
                <w:sz w:val="21"/>
                <w:szCs w:val="21"/>
                <w:highlight w:val="none"/>
                <w:shd w:val="clear" w:color="auto" w:fill="FFFFFF"/>
                <w:lang w:val="en-US" w:eastAsia="zh-CN"/>
              </w:rPr>
              <w:t>/g</w:t>
            </w:r>
            <w:r>
              <w:rPr>
                <w:rFonts w:hint="eastAsia" w:ascii="宋体" w:hAnsi="宋体" w:cs="宋体"/>
                <w:color w:val="auto"/>
                <w:sz w:val="21"/>
                <w:szCs w:val="21"/>
                <w:highlight w:val="none"/>
                <w:shd w:val="clear" w:color="auto" w:fill="auto"/>
                <w:lang w:val="en-US" w:eastAsia="zh-CN"/>
              </w:rPr>
              <w:t>。</w:t>
            </w:r>
          </w:p>
        </w:tc>
        <w:tc>
          <w:tcPr>
            <w:tcW w:w="1365" w:type="dxa"/>
            <w:shd w:val="clear" w:color="auto" w:fill="auto"/>
            <w:noWrap w:val="0"/>
            <w:vAlign w:val="center"/>
          </w:tcPr>
          <w:p w14:paraId="1BAEAE87">
            <w:pPr>
              <w:pStyle w:val="4"/>
              <w:jc w:val="center"/>
              <w:rPr>
                <w:rFonts w:hint="default" w:hAnsi="宋体" w:cs="宋体"/>
                <w:b w:val="0"/>
                <w:kern w:val="0"/>
                <w:sz w:val="21"/>
                <w:szCs w:val="21"/>
                <w:highlight w:val="none"/>
                <w:u w:val="none"/>
                <w:lang w:val="en-US" w:eastAsia="zh-CN" w:bidi="ar"/>
              </w:rPr>
            </w:pPr>
            <w:r>
              <w:rPr>
                <w:rFonts w:hint="eastAsia" w:hAnsi="宋体" w:cs="宋体"/>
                <w:b w:val="0"/>
                <w:kern w:val="0"/>
                <w:sz w:val="21"/>
                <w:szCs w:val="21"/>
                <w:highlight w:val="none"/>
                <w:u w:val="none"/>
                <w:lang w:val="en-US" w:eastAsia="zh-CN" w:bidi="ar"/>
              </w:rPr>
              <w:t>376.5（最终以实际供货量为准）</w:t>
            </w:r>
          </w:p>
        </w:tc>
        <w:tc>
          <w:tcPr>
            <w:tcW w:w="1316" w:type="dxa"/>
            <w:shd w:val="clear" w:color="000000" w:fill="FFFFFF"/>
            <w:noWrap w:val="0"/>
            <w:vAlign w:val="center"/>
          </w:tcPr>
          <w:p w14:paraId="0F26E8D8">
            <w:pPr>
              <w:pStyle w:val="4"/>
              <w:jc w:val="center"/>
              <w:rPr>
                <w:rFonts w:hint="default" w:ascii="宋体" w:hAnsi="宋体" w:eastAsia="宋体" w:cs="宋体"/>
                <w:b w:val="0"/>
                <w:kern w:val="0"/>
                <w:sz w:val="21"/>
                <w:szCs w:val="21"/>
                <w:highlight w:val="none"/>
                <w:u w:val="none"/>
                <w:lang w:val="en-US" w:eastAsia="zh-CN" w:bidi="ar"/>
              </w:rPr>
            </w:pPr>
            <w:r>
              <w:rPr>
                <w:rFonts w:hint="eastAsia" w:ascii="宋体" w:hAnsi="宋体" w:eastAsia="宋体" w:cs="宋体"/>
                <w:b w:val="0"/>
                <w:kern w:val="0"/>
                <w:sz w:val="21"/>
                <w:szCs w:val="21"/>
                <w:highlight w:val="none"/>
                <w:u w:val="none"/>
                <w:lang w:val="en-US" w:eastAsia="zh-CN" w:bidi="ar"/>
              </w:rPr>
              <w:t>1755</w:t>
            </w:r>
          </w:p>
        </w:tc>
      </w:tr>
    </w:tbl>
    <w:p w14:paraId="2FB483AD">
      <w:pPr>
        <w:pStyle w:val="3"/>
      </w:pPr>
    </w:p>
    <w:p w14:paraId="566021DC">
      <w:pPr>
        <w:pStyle w:val="254"/>
        <w:wordWrap/>
        <w:spacing w:line="640" w:lineRule="exact"/>
        <w:ind w:firstLine="1084" w:firstLineChars="300"/>
        <w:rPr>
          <w:rFonts w:asciiTheme="minorEastAsia" w:hAnsiTheme="minorEastAsia" w:eastAsiaTheme="minorEastAsia"/>
          <w:b/>
          <w:sz w:val="30"/>
          <w:szCs w:val="30"/>
        </w:rPr>
      </w:pPr>
      <w:r>
        <w:rPr>
          <w:b/>
          <w:sz w:val="36"/>
          <w:szCs w:val="36"/>
        </w:rPr>
        <w:br w:type="page"/>
      </w:r>
      <w:bookmarkStart w:id="30" w:name="_Toc99301425"/>
      <w:r>
        <w:rPr>
          <w:rFonts w:hint="eastAsia" w:asciiTheme="minorEastAsia" w:hAnsiTheme="minorEastAsia" w:eastAsiaTheme="minorEastAsia"/>
          <w:b/>
          <w:sz w:val="30"/>
          <w:szCs w:val="30"/>
        </w:rPr>
        <w:t>各镇街202</w:t>
      </w:r>
      <w:r>
        <w:rPr>
          <w:rFonts w:hint="eastAsia" w:asciiTheme="minorEastAsia" w:hAnsiTheme="minorEastAsia" w:eastAsiaTheme="minorEastAsia"/>
          <w:b/>
          <w:sz w:val="30"/>
          <w:szCs w:val="30"/>
          <w:lang w:val="en-US" w:eastAsia="zh-CN"/>
        </w:rPr>
        <w:t>6</w:t>
      </w:r>
      <w:r>
        <w:rPr>
          <w:rFonts w:hint="eastAsia" w:asciiTheme="minorEastAsia" w:hAnsiTheme="minorEastAsia" w:eastAsiaTheme="minorEastAsia"/>
          <w:b/>
          <w:sz w:val="30"/>
          <w:szCs w:val="30"/>
        </w:rPr>
        <w:t>-202</w:t>
      </w:r>
      <w:r>
        <w:rPr>
          <w:rFonts w:hint="eastAsia" w:asciiTheme="minorEastAsia" w:hAnsiTheme="minorEastAsia" w:eastAsiaTheme="minorEastAsia"/>
          <w:b/>
          <w:sz w:val="30"/>
          <w:szCs w:val="30"/>
          <w:lang w:val="en-US" w:eastAsia="zh-CN"/>
        </w:rPr>
        <w:t>7</w:t>
      </w:r>
      <w:r>
        <w:rPr>
          <w:rFonts w:hint="eastAsia" w:asciiTheme="minorEastAsia" w:hAnsiTheme="minorEastAsia" w:eastAsiaTheme="minorEastAsia"/>
          <w:b/>
          <w:sz w:val="30"/>
          <w:szCs w:val="30"/>
        </w:rPr>
        <w:t xml:space="preserve">年采暖季优质燃煤需求量汇总表              </w:t>
      </w:r>
    </w:p>
    <w:p w14:paraId="10EE0E84"/>
    <w:tbl>
      <w:tblPr>
        <w:tblStyle w:val="42"/>
        <w:tblpPr w:leftFromText="180" w:rightFromText="180" w:vertAnchor="text" w:horzAnchor="page" w:tblpX="2160" w:tblpY="321"/>
        <w:tblOverlap w:val="never"/>
        <w:tblW w:w="8379" w:type="dxa"/>
        <w:tblInd w:w="0" w:type="dxa"/>
        <w:tblLayout w:type="autofit"/>
        <w:tblCellMar>
          <w:top w:w="0" w:type="dxa"/>
          <w:left w:w="108" w:type="dxa"/>
          <w:bottom w:w="0" w:type="dxa"/>
          <w:right w:w="108" w:type="dxa"/>
        </w:tblCellMar>
      </w:tblPr>
      <w:tblGrid>
        <w:gridCol w:w="1725"/>
        <w:gridCol w:w="1602"/>
        <w:gridCol w:w="1848"/>
        <w:gridCol w:w="1848"/>
        <w:gridCol w:w="1356"/>
      </w:tblGrid>
      <w:tr w14:paraId="16AB2DC5">
        <w:tblPrEx>
          <w:tblCellMar>
            <w:top w:w="0" w:type="dxa"/>
            <w:left w:w="108" w:type="dxa"/>
            <w:bottom w:w="0" w:type="dxa"/>
            <w:right w:w="108" w:type="dxa"/>
          </w:tblCellMar>
        </w:tblPrEx>
        <w:trPr>
          <w:trHeight w:val="657" w:hRule="atLeast"/>
        </w:trPr>
        <w:tc>
          <w:tcPr>
            <w:tcW w:w="1725" w:type="dxa"/>
            <w:vMerge w:val="restart"/>
            <w:tcBorders>
              <w:top w:val="single" w:color="auto" w:sz="4" w:space="0"/>
              <w:left w:val="single" w:color="auto" w:sz="4" w:space="0"/>
              <w:bottom w:val="single" w:color="auto" w:sz="4" w:space="0"/>
              <w:right w:val="single" w:color="auto" w:sz="4" w:space="0"/>
            </w:tcBorders>
            <w:noWrap/>
            <w:vAlign w:val="center"/>
          </w:tcPr>
          <w:p w14:paraId="11B2DDD1">
            <w:pPr>
              <w:widowControl/>
              <w:ind w:firstLine="151" w:firstLineChars="50"/>
              <w:rPr>
                <w:b/>
                <w:kern w:val="0"/>
                <w:sz w:val="24"/>
                <w:szCs w:val="24"/>
              </w:rPr>
            </w:pPr>
            <w:r>
              <w:rPr>
                <w:rFonts w:hint="eastAsia" w:ascii="仿宋_GB2312" w:eastAsia="仿宋_GB2312"/>
                <w:b/>
                <w:sz w:val="30"/>
                <w:szCs w:val="30"/>
              </w:rPr>
              <w:t>镇街名称</w:t>
            </w:r>
          </w:p>
        </w:tc>
        <w:tc>
          <w:tcPr>
            <w:tcW w:w="6654" w:type="dxa"/>
            <w:gridSpan w:val="4"/>
            <w:tcBorders>
              <w:top w:val="single" w:color="auto" w:sz="4" w:space="0"/>
              <w:left w:val="nil"/>
              <w:bottom w:val="single" w:color="auto" w:sz="4" w:space="0"/>
              <w:right w:val="single" w:color="auto" w:sz="4" w:space="0"/>
            </w:tcBorders>
            <w:noWrap/>
            <w:vAlign w:val="center"/>
          </w:tcPr>
          <w:p w14:paraId="75D85621">
            <w:pPr>
              <w:widowControl/>
              <w:jc w:val="center"/>
              <w:rPr>
                <w:rFonts w:hint="eastAsia" w:ascii="仿宋_GB2312" w:eastAsia="仿宋_GB2312"/>
                <w:b/>
                <w:sz w:val="30"/>
                <w:szCs w:val="30"/>
              </w:rPr>
            </w:pPr>
            <w:r>
              <w:rPr>
                <w:rFonts w:hint="eastAsia" w:ascii="仿宋_GB2312" w:eastAsia="仿宋_GB2312"/>
                <w:b/>
                <w:sz w:val="30"/>
                <w:szCs w:val="30"/>
              </w:rPr>
              <w:t>燃煤类型（单位：吨）</w:t>
            </w:r>
          </w:p>
        </w:tc>
      </w:tr>
      <w:tr w14:paraId="6DFBB6E7">
        <w:tblPrEx>
          <w:tblCellMar>
            <w:top w:w="0" w:type="dxa"/>
            <w:left w:w="108" w:type="dxa"/>
            <w:bottom w:w="0" w:type="dxa"/>
            <w:right w:w="108" w:type="dxa"/>
          </w:tblCellMar>
        </w:tblPrEx>
        <w:trPr>
          <w:trHeight w:val="657" w:hRule="atLeast"/>
        </w:trPr>
        <w:tc>
          <w:tcPr>
            <w:tcW w:w="1725" w:type="dxa"/>
            <w:vMerge w:val="continue"/>
            <w:tcBorders>
              <w:top w:val="single" w:color="auto" w:sz="4" w:space="0"/>
              <w:left w:val="single" w:color="auto" w:sz="4" w:space="0"/>
              <w:bottom w:val="single" w:color="auto" w:sz="4" w:space="0"/>
              <w:right w:val="single" w:color="auto" w:sz="4" w:space="0"/>
            </w:tcBorders>
            <w:vAlign w:val="center"/>
          </w:tcPr>
          <w:p w14:paraId="476BF89F">
            <w:pPr>
              <w:widowControl/>
              <w:jc w:val="left"/>
              <w:rPr>
                <w:b/>
                <w:kern w:val="0"/>
                <w:sz w:val="24"/>
                <w:szCs w:val="24"/>
              </w:rPr>
            </w:pPr>
          </w:p>
        </w:tc>
        <w:tc>
          <w:tcPr>
            <w:tcW w:w="1602" w:type="dxa"/>
            <w:tcBorders>
              <w:top w:val="nil"/>
              <w:left w:val="nil"/>
              <w:bottom w:val="single" w:color="auto" w:sz="4" w:space="0"/>
              <w:right w:val="single" w:color="auto" w:sz="4" w:space="0"/>
            </w:tcBorders>
            <w:noWrap/>
            <w:vAlign w:val="center"/>
          </w:tcPr>
          <w:p w14:paraId="2CBBD3DA">
            <w:pPr>
              <w:widowControl/>
              <w:ind w:firstLine="452" w:firstLineChars="150"/>
              <w:rPr>
                <w:b/>
                <w:kern w:val="0"/>
                <w:sz w:val="24"/>
                <w:szCs w:val="24"/>
              </w:rPr>
            </w:pPr>
            <w:r>
              <w:rPr>
                <w:rFonts w:hint="eastAsia" w:ascii="仿宋_GB2312" w:eastAsia="仿宋_GB2312"/>
                <w:b/>
                <w:sz w:val="30"/>
                <w:szCs w:val="30"/>
              </w:rPr>
              <w:t>球形煤</w:t>
            </w:r>
          </w:p>
        </w:tc>
        <w:tc>
          <w:tcPr>
            <w:tcW w:w="1848" w:type="dxa"/>
            <w:tcBorders>
              <w:top w:val="nil"/>
              <w:left w:val="nil"/>
              <w:bottom w:val="single" w:color="auto" w:sz="4" w:space="0"/>
              <w:right w:val="single" w:color="auto" w:sz="4" w:space="0"/>
            </w:tcBorders>
            <w:noWrap/>
            <w:vAlign w:val="center"/>
          </w:tcPr>
          <w:p w14:paraId="06FF02D6">
            <w:pPr>
              <w:widowControl/>
              <w:ind w:firstLine="301" w:firstLineChars="100"/>
              <w:rPr>
                <w:b/>
                <w:kern w:val="0"/>
                <w:sz w:val="24"/>
                <w:szCs w:val="24"/>
              </w:rPr>
            </w:pPr>
            <w:r>
              <w:rPr>
                <w:rFonts w:hint="eastAsia" w:ascii="仿宋_GB2312" w:eastAsia="仿宋_GB2312"/>
                <w:b/>
                <w:sz w:val="30"/>
                <w:szCs w:val="30"/>
              </w:rPr>
              <w:t>优质块煤</w:t>
            </w:r>
          </w:p>
        </w:tc>
        <w:tc>
          <w:tcPr>
            <w:tcW w:w="1848" w:type="dxa"/>
            <w:tcBorders>
              <w:top w:val="nil"/>
              <w:left w:val="nil"/>
              <w:bottom w:val="single" w:color="auto" w:sz="4" w:space="0"/>
              <w:right w:val="single" w:color="auto" w:sz="4" w:space="0"/>
            </w:tcBorders>
            <w:noWrap/>
            <w:vAlign w:val="center"/>
          </w:tcPr>
          <w:p w14:paraId="43049A07">
            <w:pPr>
              <w:widowControl/>
              <w:jc w:val="center"/>
              <w:rPr>
                <w:b/>
                <w:kern w:val="0"/>
                <w:sz w:val="24"/>
                <w:szCs w:val="24"/>
              </w:rPr>
            </w:pPr>
            <w:r>
              <w:rPr>
                <w:rFonts w:hint="eastAsia" w:ascii="仿宋_GB2312" w:eastAsia="仿宋_GB2312"/>
                <w:b/>
                <w:sz w:val="30"/>
                <w:szCs w:val="30"/>
              </w:rPr>
              <w:t>蜂窝煤</w:t>
            </w:r>
          </w:p>
        </w:tc>
        <w:tc>
          <w:tcPr>
            <w:tcW w:w="1356" w:type="dxa"/>
            <w:tcBorders>
              <w:top w:val="nil"/>
              <w:left w:val="nil"/>
              <w:bottom w:val="single" w:color="auto" w:sz="4" w:space="0"/>
              <w:right w:val="single" w:color="auto" w:sz="4" w:space="0"/>
            </w:tcBorders>
          </w:tcPr>
          <w:p w14:paraId="09D8AC96">
            <w:pPr>
              <w:widowControl/>
              <w:jc w:val="center"/>
              <w:rPr>
                <w:rFonts w:hint="eastAsia" w:ascii="仿宋_GB2312" w:eastAsia="仿宋_GB2312"/>
                <w:b/>
                <w:sz w:val="30"/>
                <w:szCs w:val="30"/>
              </w:rPr>
            </w:pPr>
            <w:r>
              <w:rPr>
                <w:rFonts w:hint="eastAsia" w:ascii="仿宋_GB2312" w:eastAsia="仿宋_GB2312"/>
                <w:b/>
                <w:sz w:val="30"/>
                <w:szCs w:val="30"/>
              </w:rPr>
              <w:t>小计</w:t>
            </w:r>
          </w:p>
        </w:tc>
      </w:tr>
      <w:tr w14:paraId="3A1DE8A8">
        <w:tblPrEx>
          <w:tblCellMar>
            <w:top w:w="0" w:type="dxa"/>
            <w:left w:w="108" w:type="dxa"/>
            <w:bottom w:w="0" w:type="dxa"/>
            <w:right w:w="108" w:type="dxa"/>
          </w:tblCellMar>
        </w:tblPrEx>
        <w:trPr>
          <w:trHeight w:val="798" w:hRule="atLeast"/>
        </w:trPr>
        <w:tc>
          <w:tcPr>
            <w:tcW w:w="1725" w:type="dxa"/>
            <w:tcBorders>
              <w:top w:val="nil"/>
              <w:left w:val="single" w:color="auto" w:sz="4" w:space="0"/>
              <w:bottom w:val="single" w:color="auto" w:sz="4" w:space="0"/>
              <w:right w:val="single" w:color="auto" w:sz="4" w:space="0"/>
            </w:tcBorders>
            <w:noWrap/>
            <w:vAlign w:val="center"/>
          </w:tcPr>
          <w:p w14:paraId="115E852C">
            <w:pPr>
              <w:widowControl/>
              <w:ind w:firstLine="360" w:firstLineChars="150"/>
              <w:rPr>
                <w:rFonts w:ascii="仿宋_GB2312" w:eastAsia="仿宋_GB2312"/>
                <w:color w:val="auto"/>
                <w:sz w:val="24"/>
                <w:szCs w:val="24"/>
              </w:rPr>
            </w:pPr>
            <w:r>
              <w:rPr>
                <w:rFonts w:hint="eastAsia" w:ascii="仿宋_GB2312" w:eastAsia="仿宋_GB2312"/>
                <w:color w:val="auto"/>
                <w:sz w:val="24"/>
                <w:szCs w:val="24"/>
              </w:rPr>
              <w:t>斋堂镇</w:t>
            </w:r>
          </w:p>
        </w:tc>
        <w:tc>
          <w:tcPr>
            <w:tcW w:w="1602" w:type="dxa"/>
            <w:tcBorders>
              <w:top w:val="nil"/>
              <w:left w:val="nil"/>
              <w:bottom w:val="single" w:color="auto" w:sz="4" w:space="0"/>
              <w:right w:val="single" w:color="auto" w:sz="4" w:space="0"/>
            </w:tcBorders>
            <w:noWrap/>
            <w:vAlign w:val="center"/>
          </w:tcPr>
          <w:p w14:paraId="34D1D6A0">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350</w:t>
            </w:r>
          </w:p>
        </w:tc>
        <w:tc>
          <w:tcPr>
            <w:tcW w:w="1848" w:type="dxa"/>
            <w:tcBorders>
              <w:top w:val="nil"/>
              <w:left w:val="nil"/>
              <w:bottom w:val="single" w:color="auto" w:sz="4" w:space="0"/>
              <w:right w:val="single" w:color="auto" w:sz="4" w:space="0"/>
            </w:tcBorders>
            <w:noWrap/>
            <w:vAlign w:val="center"/>
          </w:tcPr>
          <w:p w14:paraId="15D09E11">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eastAsia" w:ascii="仿宋_GB2312" w:eastAsia="仿宋_GB2312"/>
                <w:color w:val="auto"/>
                <w:sz w:val="24"/>
                <w:szCs w:val="24"/>
                <w:highlight w:val="yellow"/>
                <w:lang w:eastAsia="zh-CN"/>
              </w:rPr>
            </w:pPr>
            <w:r>
              <w:rPr>
                <w:rFonts w:hint="eastAsia" w:ascii="仿宋_GB2312" w:eastAsia="仿宋_GB2312"/>
                <w:color w:val="auto"/>
                <w:sz w:val="24"/>
                <w:szCs w:val="24"/>
                <w:lang w:val="en-US" w:eastAsia="zh-CN"/>
              </w:rPr>
              <w:t>4</w:t>
            </w:r>
          </w:p>
        </w:tc>
        <w:tc>
          <w:tcPr>
            <w:tcW w:w="1848" w:type="dxa"/>
            <w:tcBorders>
              <w:top w:val="nil"/>
              <w:left w:val="nil"/>
              <w:bottom w:val="single" w:color="auto" w:sz="4" w:space="0"/>
              <w:right w:val="single" w:color="auto" w:sz="4" w:space="0"/>
            </w:tcBorders>
            <w:noWrap/>
            <w:vAlign w:val="center"/>
          </w:tcPr>
          <w:p w14:paraId="5F74AD0E">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highlight w:val="yellow"/>
              </w:rPr>
            </w:pPr>
            <w:r>
              <w:rPr>
                <w:rFonts w:hint="eastAsia" w:ascii="仿宋_GB2312" w:eastAsia="仿宋_GB2312"/>
                <w:color w:val="auto"/>
                <w:sz w:val="24"/>
                <w:szCs w:val="24"/>
              </w:rPr>
              <w:t>0</w:t>
            </w:r>
          </w:p>
        </w:tc>
        <w:tc>
          <w:tcPr>
            <w:tcW w:w="1356" w:type="dxa"/>
            <w:tcBorders>
              <w:top w:val="nil"/>
              <w:left w:val="nil"/>
              <w:bottom w:val="single" w:color="auto" w:sz="4" w:space="0"/>
              <w:right w:val="single" w:color="auto" w:sz="4" w:space="0"/>
            </w:tcBorders>
            <w:vAlign w:val="center"/>
          </w:tcPr>
          <w:p w14:paraId="636EA688">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354</w:t>
            </w:r>
          </w:p>
        </w:tc>
      </w:tr>
      <w:tr w14:paraId="61D7F240">
        <w:tblPrEx>
          <w:tblCellMar>
            <w:top w:w="0" w:type="dxa"/>
            <w:left w:w="108" w:type="dxa"/>
            <w:bottom w:w="0" w:type="dxa"/>
            <w:right w:w="108" w:type="dxa"/>
          </w:tblCellMar>
        </w:tblPrEx>
        <w:trPr>
          <w:trHeight w:val="688" w:hRule="atLeast"/>
        </w:trPr>
        <w:tc>
          <w:tcPr>
            <w:tcW w:w="1725" w:type="dxa"/>
            <w:tcBorders>
              <w:top w:val="nil"/>
              <w:left w:val="single" w:color="auto" w:sz="4" w:space="0"/>
              <w:bottom w:val="single" w:color="auto" w:sz="4" w:space="0"/>
              <w:right w:val="single" w:color="auto" w:sz="4" w:space="0"/>
            </w:tcBorders>
            <w:noWrap/>
            <w:vAlign w:val="center"/>
          </w:tcPr>
          <w:p w14:paraId="4BA106FD">
            <w:pPr>
              <w:widowControl/>
              <w:ind w:firstLine="360" w:firstLineChars="150"/>
              <w:rPr>
                <w:rFonts w:ascii="仿宋_GB2312" w:eastAsia="仿宋_GB2312"/>
                <w:color w:val="auto"/>
                <w:sz w:val="24"/>
                <w:szCs w:val="24"/>
              </w:rPr>
            </w:pPr>
            <w:r>
              <w:rPr>
                <w:rFonts w:hint="eastAsia" w:ascii="仿宋_GB2312" w:eastAsia="仿宋_GB2312"/>
                <w:color w:val="auto"/>
                <w:sz w:val="24"/>
                <w:szCs w:val="24"/>
              </w:rPr>
              <w:t>军庄镇</w:t>
            </w:r>
          </w:p>
        </w:tc>
        <w:tc>
          <w:tcPr>
            <w:tcW w:w="1602" w:type="dxa"/>
            <w:tcBorders>
              <w:top w:val="nil"/>
              <w:left w:val="nil"/>
              <w:bottom w:val="single" w:color="auto" w:sz="4" w:space="0"/>
              <w:right w:val="single" w:color="auto" w:sz="4" w:space="0"/>
            </w:tcBorders>
            <w:noWrap/>
            <w:vAlign w:val="center"/>
          </w:tcPr>
          <w:p w14:paraId="27A867C5">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139</w:t>
            </w:r>
          </w:p>
        </w:tc>
        <w:tc>
          <w:tcPr>
            <w:tcW w:w="1848" w:type="dxa"/>
            <w:tcBorders>
              <w:top w:val="nil"/>
              <w:left w:val="nil"/>
              <w:bottom w:val="single" w:color="auto" w:sz="4" w:space="0"/>
              <w:right w:val="single" w:color="auto" w:sz="4" w:space="0"/>
            </w:tcBorders>
            <w:noWrap/>
            <w:vAlign w:val="center"/>
          </w:tcPr>
          <w:p w14:paraId="1122C281">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153</w:t>
            </w:r>
          </w:p>
        </w:tc>
        <w:tc>
          <w:tcPr>
            <w:tcW w:w="1848" w:type="dxa"/>
            <w:tcBorders>
              <w:top w:val="nil"/>
              <w:left w:val="nil"/>
              <w:bottom w:val="single" w:color="auto" w:sz="4" w:space="0"/>
              <w:right w:val="single" w:color="auto" w:sz="4" w:space="0"/>
            </w:tcBorders>
            <w:noWrap/>
            <w:vAlign w:val="center"/>
          </w:tcPr>
          <w:p w14:paraId="196AF83E">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0</w:t>
            </w:r>
          </w:p>
        </w:tc>
        <w:tc>
          <w:tcPr>
            <w:tcW w:w="1356" w:type="dxa"/>
            <w:tcBorders>
              <w:top w:val="nil"/>
              <w:left w:val="nil"/>
              <w:bottom w:val="single" w:color="auto" w:sz="4" w:space="0"/>
              <w:right w:val="single" w:color="auto" w:sz="4" w:space="0"/>
            </w:tcBorders>
            <w:vAlign w:val="center"/>
          </w:tcPr>
          <w:p w14:paraId="25091D98">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292</w:t>
            </w:r>
          </w:p>
        </w:tc>
      </w:tr>
      <w:tr w14:paraId="5E6F642F">
        <w:tblPrEx>
          <w:tblCellMar>
            <w:top w:w="0" w:type="dxa"/>
            <w:left w:w="108" w:type="dxa"/>
            <w:bottom w:w="0" w:type="dxa"/>
            <w:right w:w="108" w:type="dxa"/>
          </w:tblCellMar>
        </w:tblPrEx>
        <w:trPr>
          <w:trHeight w:val="709" w:hRule="atLeast"/>
        </w:trPr>
        <w:tc>
          <w:tcPr>
            <w:tcW w:w="1725" w:type="dxa"/>
            <w:tcBorders>
              <w:top w:val="nil"/>
              <w:left w:val="single" w:color="auto" w:sz="4" w:space="0"/>
              <w:bottom w:val="single" w:color="auto" w:sz="4" w:space="0"/>
              <w:right w:val="single" w:color="auto" w:sz="4" w:space="0"/>
            </w:tcBorders>
            <w:noWrap/>
            <w:vAlign w:val="center"/>
          </w:tcPr>
          <w:p w14:paraId="595924FD">
            <w:pPr>
              <w:widowControl/>
              <w:ind w:firstLine="360" w:firstLineChars="150"/>
              <w:rPr>
                <w:rFonts w:ascii="仿宋_GB2312" w:eastAsia="仿宋_GB2312"/>
                <w:color w:val="auto"/>
                <w:sz w:val="24"/>
                <w:szCs w:val="24"/>
              </w:rPr>
            </w:pPr>
            <w:r>
              <w:rPr>
                <w:rFonts w:hint="eastAsia" w:ascii="仿宋_GB2312" w:eastAsia="仿宋_GB2312"/>
                <w:color w:val="auto"/>
                <w:sz w:val="24"/>
                <w:szCs w:val="24"/>
              </w:rPr>
              <w:t>龙泉镇</w:t>
            </w:r>
          </w:p>
        </w:tc>
        <w:tc>
          <w:tcPr>
            <w:tcW w:w="1602" w:type="dxa"/>
            <w:tcBorders>
              <w:top w:val="nil"/>
              <w:left w:val="nil"/>
              <w:bottom w:val="single" w:color="auto" w:sz="4" w:space="0"/>
              <w:right w:val="single" w:color="auto" w:sz="4" w:space="0"/>
            </w:tcBorders>
            <w:noWrap/>
            <w:vAlign w:val="center"/>
          </w:tcPr>
          <w:p w14:paraId="68EEC7D9">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18</w:t>
            </w:r>
          </w:p>
        </w:tc>
        <w:tc>
          <w:tcPr>
            <w:tcW w:w="1848" w:type="dxa"/>
            <w:tcBorders>
              <w:top w:val="nil"/>
              <w:left w:val="nil"/>
              <w:bottom w:val="single" w:color="auto" w:sz="4" w:space="0"/>
              <w:right w:val="single" w:color="auto" w:sz="4" w:space="0"/>
            </w:tcBorders>
            <w:noWrap/>
            <w:vAlign w:val="center"/>
          </w:tcPr>
          <w:p w14:paraId="0E3A612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60</w:t>
            </w:r>
          </w:p>
        </w:tc>
        <w:tc>
          <w:tcPr>
            <w:tcW w:w="1848" w:type="dxa"/>
            <w:tcBorders>
              <w:top w:val="nil"/>
              <w:left w:val="nil"/>
              <w:bottom w:val="single" w:color="auto" w:sz="4" w:space="0"/>
              <w:right w:val="single" w:color="auto" w:sz="4" w:space="0"/>
            </w:tcBorders>
            <w:noWrap/>
            <w:vAlign w:val="center"/>
          </w:tcPr>
          <w:p w14:paraId="765EA2A9">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4</w:t>
            </w:r>
          </w:p>
        </w:tc>
        <w:tc>
          <w:tcPr>
            <w:tcW w:w="1356" w:type="dxa"/>
            <w:tcBorders>
              <w:top w:val="nil"/>
              <w:left w:val="nil"/>
              <w:bottom w:val="single" w:color="auto" w:sz="4" w:space="0"/>
              <w:right w:val="single" w:color="auto" w:sz="4" w:space="0"/>
            </w:tcBorders>
            <w:vAlign w:val="center"/>
          </w:tcPr>
          <w:p w14:paraId="1C2B26F5">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82</w:t>
            </w:r>
          </w:p>
        </w:tc>
      </w:tr>
      <w:tr w14:paraId="44B61162">
        <w:tblPrEx>
          <w:tblCellMar>
            <w:top w:w="0" w:type="dxa"/>
            <w:left w:w="108" w:type="dxa"/>
            <w:bottom w:w="0" w:type="dxa"/>
            <w:right w:w="108" w:type="dxa"/>
          </w:tblCellMar>
        </w:tblPrEx>
        <w:trPr>
          <w:trHeight w:val="728" w:hRule="atLeast"/>
        </w:trPr>
        <w:tc>
          <w:tcPr>
            <w:tcW w:w="1725" w:type="dxa"/>
            <w:tcBorders>
              <w:top w:val="nil"/>
              <w:left w:val="single" w:color="auto" w:sz="4" w:space="0"/>
              <w:bottom w:val="single" w:color="auto" w:sz="4" w:space="0"/>
              <w:right w:val="single" w:color="auto" w:sz="4" w:space="0"/>
            </w:tcBorders>
            <w:noWrap/>
            <w:vAlign w:val="center"/>
          </w:tcPr>
          <w:p w14:paraId="0D01EE5B">
            <w:pPr>
              <w:widowControl/>
              <w:ind w:firstLine="240" w:firstLineChars="100"/>
              <w:rPr>
                <w:rFonts w:ascii="仿宋_GB2312" w:eastAsia="仿宋_GB2312"/>
                <w:color w:val="auto"/>
                <w:sz w:val="24"/>
                <w:szCs w:val="24"/>
              </w:rPr>
            </w:pPr>
            <w:r>
              <w:rPr>
                <w:rFonts w:hint="eastAsia" w:ascii="仿宋_GB2312" w:eastAsia="仿宋_GB2312"/>
                <w:color w:val="auto"/>
                <w:sz w:val="24"/>
                <w:szCs w:val="24"/>
              </w:rPr>
              <w:t>潭柘寺镇</w:t>
            </w:r>
          </w:p>
        </w:tc>
        <w:tc>
          <w:tcPr>
            <w:tcW w:w="1602" w:type="dxa"/>
            <w:tcBorders>
              <w:top w:val="nil"/>
              <w:left w:val="nil"/>
              <w:bottom w:val="single" w:color="auto" w:sz="4" w:space="0"/>
              <w:right w:val="single" w:color="auto" w:sz="4" w:space="0"/>
            </w:tcBorders>
            <w:noWrap/>
            <w:vAlign w:val="center"/>
          </w:tcPr>
          <w:p w14:paraId="39705B05">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14</w:t>
            </w:r>
          </w:p>
        </w:tc>
        <w:tc>
          <w:tcPr>
            <w:tcW w:w="1848" w:type="dxa"/>
            <w:tcBorders>
              <w:top w:val="nil"/>
              <w:left w:val="nil"/>
              <w:bottom w:val="single" w:color="auto" w:sz="4" w:space="0"/>
              <w:right w:val="single" w:color="auto" w:sz="4" w:space="0"/>
            </w:tcBorders>
            <w:noWrap/>
            <w:vAlign w:val="center"/>
          </w:tcPr>
          <w:p w14:paraId="7EB8744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38</w:t>
            </w:r>
          </w:p>
        </w:tc>
        <w:tc>
          <w:tcPr>
            <w:tcW w:w="1848" w:type="dxa"/>
            <w:tcBorders>
              <w:top w:val="nil"/>
              <w:left w:val="nil"/>
              <w:bottom w:val="single" w:color="auto" w:sz="4" w:space="0"/>
              <w:right w:val="single" w:color="auto" w:sz="4" w:space="0"/>
            </w:tcBorders>
            <w:noWrap/>
            <w:vAlign w:val="center"/>
          </w:tcPr>
          <w:p w14:paraId="49C52E80">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0</w:t>
            </w:r>
          </w:p>
        </w:tc>
        <w:tc>
          <w:tcPr>
            <w:tcW w:w="1356" w:type="dxa"/>
            <w:tcBorders>
              <w:top w:val="nil"/>
              <w:left w:val="nil"/>
              <w:bottom w:val="single" w:color="auto" w:sz="4" w:space="0"/>
              <w:right w:val="single" w:color="auto" w:sz="4" w:space="0"/>
            </w:tcBorders>
            <w:vAlign w:val="center"/>
          </w:tcPr>
          <w:p w14:paraId="54D1D52A">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52</w:t>
            </w:r>
          </w:p>
        </w:tc>
      </w:tr>
      <w:tr w14:paraId="47BA9F08">
        <w:tblPrEx>
          <w:tblCellMar>
            <w:top w:w="0" w:type="dxa"/>
            <w:left w:w="108" w:type="dxa"/>
            <w:bottom w:w="0" w:type="dxa"/>
            <w:right w:w="108" w:type="dxa"/>
          </w:tblCellMar>
        </w:tblPrEx>
        <w:trPr>
          <w:trHeight w:val="749" w:hRule="atLeast"/>
        </w:trPr>
        <w:tc>
          <w:tcPr>
            <w:tcW w:w="1725" w:type="dxa"/>
            <w:tcBorders>
              <w:top w:val="nil"/>
              <w:left w:val="single" w:color="auto" w:sz="4" w:space="0"/>
              <w:bottom w:val="single" w:color="auto" w:sz="4" w:space="0"/>
              <w:right w:val="single" w:color="auto" w:sz="4" w:space="0"/>
            </w:tcBorders>
            <w:noWrap/>
            <w:vAlign w:val="center"/>
          </w:tcPr>
          <w:p w14:paraId="6750831B">
            <w:pPr>
              <w:widowControl/>
              <w:ind w:firstLine="360" w:firstLineChars="150"/>
              <w:rPr>
                <w:rFonts w:ascii="仿宋_GB2312" w:eastAsia="仿宋_GB2312"/>
                <w:color w:val="auto"/>
                <w:sz w:val="24"/>
                <w:szCs w:val="24"/>
              </w:rPr>
            </w:pPr>
            <w:r>
              <w:rPr>
                <w:rFonts w:hint="eastAsia" w:ascii="仿宋_GB2312" w:eastAsia="仿宋_GB2312"/>
                <w:color w:val="auto"/>
                <w:sz w:val="24"/>
                <w:szCs w:val="24"/>
              </w:rPr>
              <w:t>永定镇</w:t>
            </w:r>
          </w:p>
        </w:tc>
        <w:tc>
          <w:tcPr>
            <w:tcW w:w="1602" w:type="dxa"/>
            <w:tcBorders>
              <w:top w:val="nil"/>
              <w:left w:val="nil"/>
              <w:bottom w:val="single" w:color="auto" w:sz="4" w:space="0"/>
              <w:right w:val="single" w:color="auto" w:sz="4" w:space="0"/>
            </w:tcBorders>
            <w:noWrap/>
            <w:vAlign w:val="center"/>
          </w:tcPr>
          <w:p w14:paraId="26F1FFBC">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0</w:t>
            </w:r>
          </w:p>
        </w:tc>
        <w:tc>
          <w:tcPr>
            <w:tcW w:w="1848" w:type="dxa"/>
            <w:tcBorders>
              <w:top w:val="nil"/>
              <w:left w:val="nil"/>
              <w:bottom w:val="single" w:color="auto" w:sz="4" w:space="0"/>
              <w:right w:val="single" w:color="auto" w:sz="4" w:space="0"/>
            </w:tcBorders>
            <w:noWrap/>
            <w:vAlign w:val="center"/>
          </w:tcPr>
          <w:p w14:paraId="143D58CC">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40</w:t>
            </w:r>
          </w:p>
        </w:tc>
        <w:tc>
          <w:tcPr>
            <w:tcW w:w="1848" w:type="dxa"/>
            <w:tcBorders>
              <w:top w:val="nil"/>
              <w:left w:val="nil"/>
              <w:bottom w:val="single" w:color="auto" w:sz="4" w:space="0"/>
              <w:right w:val="single" w:color="auto" w:sz="4" w:space="0"/>
            </w:tcBorders>
            <w:noWrap/>
            <w:vAlign w:val="center"/>
          </w:tcPr>
          <w:p w14:paraId="5E83EA8E">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0</w:t>
            </w:r>
          </w:p>
        </w:tc>
        <w:tc>
          <w:tcPr>
            <w:tcW w:w="1356" w:type="dxa"/>
            <w:tcBorders>
              <w:top w:val="nil"/>
              <w:left w:val="nil"/>
              <w:bottom w:val="single" w:color="auto" w:sz="4" w:space="0"/>
              <w:right w:val="single" w:color="auto" w:sz="4" w:space="0"/>
            </w:tcBorders>
            <w:vAlign w:val="center"/>
          </w:tcPr>
          <w:p w14:paraId="43AB559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eastAsia" w:ascii="仿宋_GB2312" w:eastAsia="仿宋_GB2312"/>
                <w:color w:val="auto"/>
                <w:sz w:val="24"/>
                <w:szCs w:val="24"/>
              </w:rPr>
            </w:pPr>
            <w:r>
              <w:rPr>
                <w:rFonts w:hint="eastAsia" w:ascii="仿宋_GB2312" w:eastAsia="仿宋_GB2312"/>
                <w:color w:val="auto"/>
                <w:sz w:val="24"/>
                <w:szCs w:val="24"/>
              </w:rPr>
              <w:t>40</w:t>
            </w:r>
          </w:p>
        </w:tc>
      </w:tr>
      <w:tr w14:paraId="0D2E114A">
        <w:tblPrEx>
          <w:tblCellMar>
            <w:top w:w="0" w:type="dxa"/>
            <w:left w:w="108" w:type="dxa"/>
            <w:bottom w:w="0" w:type="dxa"/>
            <w:right w:w="108" w:type="dxa"/>
          </w:tblCellMar>
        </w:tblPrEx>
        <w:trPr>
          <w:trHeight w:val="780" w:hRule="atLeast"/>
        </w:trPr>
        <w:tc>
          <w:tcPr>
            <w:tcW w:w="1725" w:type="dxa"/>
            <w:tcBorders>
              <w:top w:val="nil"/>
              <w:left w:val="single" w:color="auto" w:sz="4" w:space="0"/>
              <w:bottom w:val="single" w:color="auto" w:sz="4" w:space="0"/>
              <w:right w:val="single" w:color="auto" w:sz="4" w:space="0"/>
            </w:tcBorders>
            <w:noWrap/>
            <w:vAlign w:val="center"/>
          </w:tcPr>
          <w:p w14:paraId="4BDC3D6D">
            <w:pPr>
              <w:widowControl/>
              <w:ind w:firstLine="360" w:firstLineChars="150"/>
              <w:rPr>
                <w:rFonts w:ascii="仿宋_GB2312" w:eastAsia="仿宋_GB2312"/>
                <w:color w:val="auto"/>
                <w:sz w:val="24"/>
                <w:szCs w:val="24"/>
                <w:highlight w:val="none"/>
              </w:rPr>
            </w:pPr>
            <w:r>
              <w:rPr>
                <w:rFonts w:hint="eastAsia" w:ascii="仿宋_GB2312" w:eastAsia="仿宋_GB2312"/>
                <w:color w:val="auto"/>
                <w:sz w:val="24"/>
                <w:szCs w:val="24"/>
                <w:highlight w:val="none"/>
              </w:rPr>
              <w:t>王平镇</w:t>
            </w:r>
          </w:p>
        </w:tc>
        <w:tc>
          <w:tcPr>
            <w:tcW w:w="1602" w:type="dxa"/>
            <w:tcBorders>
              <w:top w:val="nil"/>
              <w:left w:val="nil"/>
              <w:bottom w:val="single" w:color="auto" w:sz="4" w:space="0"/>
              <w:right w:val="single" w:color="auto" w:sz="4" w:space="0"/>
            </w:tcBorders>
            <w:noWrap/>
            <w:vAlign w:val="center"/>
          </w:tcPr>
          <w:p w14:paraId="28278044">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highlight w:val="none"/>
                <w:lang w:val="en-US" w:eastAsia="zh-CN"/>
              </w:rPr>
            </w:pPr>
            <w:r>
              <w:rPr>
                <w:rFonts w:hint="eastAsia" w:ascii="仿宋_GB2312" w:eastAsia="仿宋_GB2312"/>
                <w:color w:val="auto"/>
                <w:sz w:val="24"/>
                <w:szCs w:val="24"/>
                <w:highlight w:val="none"/>
                <w:lang w:val="en-US" w:eastAsia="zh-CN"/>
              </w:rPr>
              <w:t>70</w:t>
            </w:r>
          </w:p>
        </w:tc>
        <w:tc>
          <w:tcPr>
            <w:tcW w:w="1848" w:type="dxa"/>
            <w:tcBorders>
              <w:top w:val="nil"/>
              <w:left w:val="nil"/>
              <w:bottom w:val="single" w:color="auto" w:sz="4" w:space="0"/>
              <w:right w:val="single" w:color="auto" w:sz="4" w:space="0"/>
            </w:tcBorders>
            <w:noWrap/>
            <w:vAlign w:val="center"/>
          </w:tcPr>
          <w:p w14:paraId="55FAAB85">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highlight w:val="none"/>
              </w:rPr>
            </w:pPr>
            <w:r>
              <w:rPr>
                <w:rFonts w:hint="eastAsia" w:ascii="仿宋_GB2312" w:eastAsia="仿宋_GB2312"/>
                <w:color w:val="auto"/>
                <w:sz w:val="24"/>
                <w:szCs w:val="24"/>
                <w:highlight w:val="none"/>
              </w:rPr>
              <w:t>0</w:t>
            </w:r>
          </w:p>
        </w:tc>
        <w:tc>
          <w:tcPr>
            <w:tcW w:w="1848" w:type="dxa"/>
            <w:tcBorders>
              <w:top w:val="nil"/>
              <w:left w:val="nil"/>
              <w:bottom w:val="single" w:color="auto" w:sz="4" w:space="0"/>
              <w:right w:val="single" w:color="auto" w:sz="4" w:space="0"/>
            </w:tcBorders>
            <w:noWrap/>
            <w:vAlign w:val="center"/>
          </w:tcPr>
          <w:p w14:paraId="23AC021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highlight w:val="none"/>
              </w:rPr>
            </w:pPr>
            <w:r>
              <w:rPr>
                <w:rFonts w:hint="eastAsia" w:ascii="仿宋_GB2312" w:eastAsia="仿宋_GB2312"/>
                <w:color w:val="auto"/>
                <w:sz w:val="24"/>
                <w:szCs w:val="24"/>
                <w:highlight w:val="none"/>
              </w:rPr>
              <w:t>0</w:t>
            </w:r>
          </w:p>
        </w:tc>
        <w:tc>
          <w:tcPr>
            <w:tcW w:w="1356" w:type="dxa"/>
            <w:tcBorders>
              <w:top w:val="nil"/>
              <w:left w:val="nil"/>
              <w:bottom w:val="single" w:color="auto" w:sz="4" w:space="0"/>
              <w:right w:val="single" w:color="auto" w:sz="4" w:space="0"/>
            </w:tcBorders>
            <w:vAlign w:val="center"/>
          </w:tcPr>
          <w:p w14:paraId="1736BA3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highlight w:val="none"/>
                <w:lang w:val="en-US" w:eastAsia="zh-CN"/>
              </w:rPr>
            </w:pPr>
            <w:r>
              <w:rPr>
                <w:rFonts w:hint="eastAsia" w:ascii="仿宋_GB2312" w:eastAsia="仿宋_GB2312"/>
                <w:color w:val="auto"/>
                <w:sz w:val="24"/>
                <w:szCs w:val="24"/>
                <w:highlight w:val="none"/>
                <w:lang w:val="en-US" w:eastAsia="zh-CN"/>
              </w:rPr>
              <w:t>70</w:t>
            </w:r>
          </w:p>
        </w:tc>
      </w:tr>
      <w:tr w14:paraId="18177A76">
        <w:tblPrEx>
          <w:tblCellMar>
            <w:top w:w="0" w:type="dxa"/>
            <w:left w:w="108" w:type="dxa"/>
            <w:bottom w:w="0" w:type="dxa"/>
            <w:right w:w="108" w:type="dxa"/>
          </w:tblCellMar>
        </w:tblPrEx>
        <w:trPr>
          <w:trHeight w:val="684" w:hRule="atLeast"/>
        </w:trPr>
        <w:tc>
          <w:tcPr>
            <w:tcW w:w="1725" w:type="dxa"/>
            <w:tcBorders>
              <w:top w:val="nil"/>
              <w:left w:val="single" w:color="auto" w:sz="4" w:space="0"/>
              <w:bottom w:val="single" w:color="auto" w:sz="4" w:space="0"/>
              <w:right w:val="single" w:color="auto" w:sz="4" w:space="0"/>
            </w:tcBorders>
            <w:noWrap/>
            <w:vAlign w:val="center"/>
          </w:tcPr>
          <w:p w14:paraId="5F2BF062">
            <w:pPr>
              <w:widowControl/>
              <w:ind w:firstLine="360" w:firstLineChars="150"/>
              <w:rPr>
                <w:rFonts w:ascii="仿宋_GB2312" w:eastAsia="仿宋_GB2312"/>
                <w:color w:val="auto"/>
                <w:sz w:val="24"/>
                <w:szCs w:val="24"/>
              </w:rPr>
            </w:pPr>
            <w:r>
              <w:rPr>
                <w:rFonts w:hint="eastAsia" w:ascii="仿宋_GB2312" w:eastAsia="仿宋_GB2312"/>
                <w:color w:val="auto"/>
                <w:sz w:val="24"/>
                <w:szCs w:val="24"/>
              </w:rPr>
              <w:t>清水镇</w:t>
            </w:r>
          </w:p>
        </w:tc>
        <w:tc>
          <w:tcPr>
            <w:tcW w:w="1602" w:type="dxa"/>
            <w:tcBorders>
              <w:top w:val="nil"/>
              <w:left w:val="nil"/>
              <w:bottom w:val="single" w:color="auto" w:sz="4" w:space="0"/>
              <w:right w:val="single" w:color="auto" w:sz="4" w:space="0"/>
            </w:tcBorders>
            <w:noWrap/>
            <w:vAlign w:val="center"/>
          </w:tcPr>
          <w:p w14:paraId="444C873C">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22.5</w:t>
            </w:r>
          </w:p>
        </w:tc>
        <w:tc>
          <w:tcPr>
            <w:tcW w:w="1848" w:type="dxa"/>
            <w:tcBorders>
              <w:top w:val="nil"/>
              <w:left w:val="nil"/>
              <w:bottom w:val="single" w:color="auto" w:sz="4" w:space="0"/>
              <w:right w:val="single" w:color="auto" w:sz="4" w:space="0"/>
            </w:tcBorders>
            <w:noWrap/>
            <w:vAlign w:val="center"/>
          </w:tcPr>
          <w:p w14:paraId="43FCB9C4">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rPr>
              <w:t>1</w:t>
            </w:r>
            <w:r>
              <w:rPr>
                <w:rFonts w:hint="eastAsia" w:ascii="仿宋_GB2312" w:eastAsia="仿宋_GB2312"/>
                <w:color w:val="auto"/>
                <w:sz w:val="24"/>
                <w:szCs w:val="24"/>
                <w:lang w:val="en-US" w:eastAsia="zh-CN"/>
              </w:rPr>
              <w:t>3.5</w:t>
            </w:r>
          </w:p>
        </w:tc>
        <w:tc>
          <w:tcPr>
            <w:tcW w:w="1848" w:type="dxa"/>
            <w:tcBorders>
              <w:top w:val="nil"/>
              <w:left w:val="nil"/>
              <w:bottom w:val="single" w:color="auto" w:sz="4" w:space="0"/>
              <w:right w:val="single" w:color="auto" w:sz="4" w:space="0"/>
            </w:tcBorders>
            <w:noWrap/>
            <w:vAlign w:val="center"/>
          </w:tcPr>
          <w:p w14:paraId="1C20C126">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ascii="仿宋_GB2312" w:eastAsia="仿宋_GB2312"/>
                <w:color w:val="auto"/>
                <w:sz w:val="24"/>
                <w:szCs w:val="24"/>
              </w:rPr>
            </w:pPr>
            <w:r>
              <w:rPr>
                <w:rFonts w:hint="eastAsia" w:ascii="仿宋_GB2312" w:eastAsia="仿宋_GB2312"/>
                <w:color w:val="auto"/>
                <w:sz w:val="24"/>
                <w:szCs w:val="24"/>
              </w:rPr>
              <w:t>0</w:t>
            </w:r>
          </w:p>
        </w:tc>
        <w:tc>
          <w:tcPr>
            <w:tcW w:w="1356" w:type="dxa"/>
            <w:tcBorders>
              <w:top w:val="nil"/>
              <w:left w:val="nil"/>
              <w:bottom w:val="single" w:color="auto" w:sz="4" w:space="0"/>
              <w:right w:val="single" w:color="auto" w:sz="4" w:space="0"/>
            </w:tcBorders>
            <w:vAlign w:val="center"/>
          </w:tcPr>
          <w:p w14:paraId="557CCBCD">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36</w:t>
            </w:r>
          </w:p>
        </w:tc>
      </w:tr>
      <w:tr w14:paraId="0236F5B5">
        <w:tblPrEx>
          <w:tblCellMar>
            <w:top w:w="0" w:type="dxa"/>
            <w:left w:w="108" w:type="dxa"/>
            <w:bottom w:w="0" w:type="dxa"/>
            <w:right w:w="108" w:type="dxa"/>
          </w:tblCellMar>
        </w:tblPrEx>
        <w:trPr>
          <w:trHeight w:val="838" w:hRule="atLeast"/>
        </w:trPr>
        <w:tc>
          <w:tcPr>
            <w:tcW w:w="1725" w:type="dxa"/>
            <w:tcBorders>
              <w:top w:val="nil"/>
              <w:left w:val="single" w:color="auto" w:sz="4" w:space="0"/>
              <w:bottom w:val="single" w:color="auto" w:sz="4" w:space="0"/>
              <w:right w:val="single" w:color="auto" w:sz="4" w:space="0"/>
            </w:tcBorders>
            <w:noWrap/>
            <w:vAlign w:val="center"/>
          </w:tcPr>
          <w:p w14:paraId="640FC6F4">
            <w:pPr>
              <w:widowControl/>
              <w:jc w:val="center"/>
              <w:rPr>
                <w:rFonts w:ascii="仿宋_GB2312" w:eastAsia="仿宋_GB2312"/>
                <w:color w:val="auto"/>
                <w:sz w:val="24"/>
                <w:szCs w:val="24"/>
              </w:rPr>
            </w:pPr>
            <w:r>
              <w:rPr>
                <w:rFonts w:hint="eastAsia" w:ascii="仿宋_GB2312" w:eastAsia="仿宋_GB2312"/>
                <w:color w:val="auto"/>
                <w:sz w:val="24"/>
                <w:szCs w:val="24"/>
              </w:rPr>
              <w:t>大峪街道办事处</w:t>
            </w:r>
          </w:p>
        </w:tc>
        <w:tc>
          <w:tcPr>
            <w:tcW w:w="1602" w:type="dxa"/>
            <w:tcBorders>
              <w:top w:val="nil"/>
              <w:left w:val="nil"/>
              <w:bottom w:val="single" w:color="auto" w:sz="4" w:space="0"/>
              <w:right w:val="single" w:color="auto" w:sz="4" w:space="0"/>
            </w:tcBorders>
            <w:noWrap/>
            <w:vAlign w:val="center"/>
          </w:tcPr>
          <w:p w14:paraId="231D4D9D">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32</w:t>
            </w:r>
          </w:p>
        </w:tc>
        <w:tc>
          <w:tcPr>
            <w:tcW w:w="1848" w:type="dxa"/>
            <w:tcBorders>
              <w:top w:val="nil"/>
              <w:left w:val="nil"/>
              <w:bottom w:val="single" w:color="auto" w:sz="4" w:space="0"/>
              <w:right w:val="single" w:color="auto" w:sz="4" w:space="0"/>
            </w:tcBorders>
            <w:noWrap/>
            <w:vAlign w:val="center"/>
          </w:tcPr>
          <w:p w14:paraId="29B92742">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58</w:t>
            </w:r>
          </w:p>
        </w:tc>
        <w:tc>
          <w:tcPr>
            <w:tcW w:w="1848" w:type="dxa"/>
            <w:tcBorders>
              <w:top w:val="nil"/>
              <w:left w:val="nil"/>
              <w:bottom w:val="single" w:color="auto" w:sz="4" w:space="0"/>
              <w:right w:val="single" w:color="auto" w:sz="4" w:space="0"/>
            </w:tcBorders>
            <w:noWrap/>
            <w:vAlign w:val="center"/>
          </w:tcPr>
          <w:p w14:paraId="1F783C8A">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50</w:t>
            </w:r>
          </w:p>
        </w:tc>
        <w:tc>
          <w:tcPr>
            <w:tcW w:w="1356" w:type="dxa"/>
            <w:tcBorders>
              <w:top w:val="nil"/>
              <w:left w:val="nil"/>
              <w:bottom w:val="single" w:color="auto" w:sz="4" w:space="0"/>
              <w:right w:val="single" w:color="auto" w:sz="4" w:space="0"/>
            </w:tcBorders>
            <w:vAlign w:val="center"/>
          </w:tcPr>
          <w:p w14:paraId="4D1814A6">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140</w:t>
            </w:r>
          </w:p>
        </w:tc>
      </w:tr>
      <w:tr w14:paraId="2506F726">
        <w:tblPrEx>
          <w:tblCellMar>
            <w:top w:w="0" w:type="dxa"/>
            <w:left w:w="108" w:type="dxa"/>
            <w:bottom w:w="0" w:type="dxa"/>
            <w:right w:w="108" w:type="dxa"/>
          </w:tblCellMar>
        </w:tblPrEx>
        <w:trPr>
          <w:trHeight w:val="873" w:hRule="atLeast"/>
        </w:trPr>
        <w:tc>
          <w:tcPr>
            <w:tcW w:w="1725" w:type="dxa"/>
            <w:tcBorders>
              <w:top w:val="single" w:color="auto" w:sz="4" w:space="0"/>
              <w:left w:val="single" w:color="auto" w:sz="4" w:space="0"/>
              <w:bottom w:val="single" w:color="auto" w:sz="4" w:space="0"/>
              <w:right w:val="single" w:color="auto" w:sz="4" w:space="0"/>
            </w:tcBorders>
            <w:noWrap/>
            <w:vAlign w:val="center"/>
          </w:tcPr>
          <w:p w14:paraId="1BEC7932">
            <w:pPr>
              <w:widowControl/>
              <w:jc w:val="center"/>
              <w:rPr>
                <w:rFonts w:ascii="仿宋_GB2312" w:eastAsia="仿宋_GB2312"/>
                <w:color w:val="auto"/>
                <w:sz w:val="24"/>
                <w:szCs w:val="24"/>
              </w:rPr>
            </w:pPr>
            <w:r>
              <w:rPr>
                <w:rFonts w:hint="eastAsia" w:ascii="仿宋_GB2312" w:eastAsia="仿宋_GB2312"/>
                <w:color w:val="auto"/>
                <w:sz w:val="24"/>
                <w:szCs w:val="24"/>
              </w:rPr>
              <w:t>东辛房街道办事处</w:t>
            </w:r>
          </w:p>
        </w:tc>
        <w:tc>
          <w:tcPr>
            <w:tcW w:w="1602" w:type="dxa"/>
            <w:tcBorders>
              <w:top w:val="nil"/>
              <w:left w:val="nil"/>
              <w:bottom w:val="single" w:color="auto" w:sz="4" w:space="0"/>
              <w:right w:val="single" w:color="auto" w:sz="4" w:space="0"/>
            </w:tcBorders>
            <w:noWrap/>
            <w:vAlign w:val="center"/>
          </w:tcPr>
          <w:p w14:paraId="5B7565F7">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3</w:t>
            </w:r>
          </w:p>
        </w:tc>
        <w:tc>
          <w:tcPr>
            <w:tcW w:w="1848" w:type="dxa"/>
            <w:tcBorders>
              <w:top w:val="nil"/>
              <w:left w:val="nil"/>
              <w:bottom w:val="single" w:color="auto" w:sz="4" w:space="0"/>
              <w:right w:val="single" w:color="auto" w:sz="4" w:space="0"/>
            </w:tcBorders>
            <w:noWrap/>
            <w:vAlign w:val="center"/>
          </w:tcPr>
          <w:p w14:paraId="595D4D80">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10</w:t>
            </w:r>
          </w:p>
        </w:tc>
        <w:tc>
          <w:tcPr>
            <w:tcW w:w="1848" w:type="dxa"/>
            <w:tcBorders>
              <w:top w:val="nil"/>
              <w:left w:val="nil"/>
              <w:bottom w:val="single" w:color="auto" w:sz="4" w:space="0"/>
              <w:right w:val="single" w:color="auto" w:sz="4" w:space="0"/>
            </w:tcBorders>
            <w:noWrap/>
            <w:vAlign w:val="center"/>
          </w:tcPr>
          <w:p w14:paraId="7A370DEC">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7</w:t>
            </w:r>
          </w:p>
        </w:tc>
        <w:tc>
          <w:tcPr>
            <w:tcW w:w="1356" w:type="dxa"/>
            <w:tcBorders>
              <w:top w:val="nil"/>
              <w:left w:val="nil"/>
              <w:bottom w:val="single" w:color="auto" w:sz="4" w:space="0"/>
              <w:right w:val="single" w:color="auto" w:sz="4" w:space="0"/>
            </w:tcBorders>
            <w:vAlign w:val="center"/>
          </w:tcPr>
          <w:p w14:paraId="5D3CACDA">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color w:val="auto"/>
                <w:sz w:val="24"/>
                <w:szCs w:val="24"/>
                <w:lang w:val="en-US" w:eastAsia="zh-CN"/>
              </w:rPr>
            </w:pPr>
            <w:r>
              <w:rPr>
                <w:rFonts w:hint="eastAsia" w:ascii="仿宋_GB2312" w:eastAsia="仿宋_GB2312"/>
                <w:color w:val="auto"/>
                <w:sz w:val="24"/>
                <w:szCs w:val="24"/>
                <w:lang w:val="en-US" w:eastAsia="zh-CN"/>
              </w:rPr>
              <w:t>20</w:t>
            </w:r>
          </w:p>
        </w:tc>
      </w:tr>
      <w:tr w14:paraId="788FF9F7">
        <w:tblPrEx>
          <w:tblCellMar>
            <w:top w:w="0" w:type="dxa"/>
            <w:left w:w="108" w:type="dxa"/>
            <w:bottom w:w="0" w:type="dxa"/>
            <w:right w:w="108" w:type="dxa"/>
          </w:tblCellMar>
        </w:tblPrEx>
        <w:trPr>
          <w:trHeight w:val="1025" w:hRule="atLeast"/>
        </w:trPr>
        <w:tc>
          <w:tcPr>
            <w:tcW w:w="1725" w:type="dxa"/>
            <w:tcBorders>
              <w:top w:val="single" w:color="auto" w:sz="4" w:space="0"/>
              <w:left w:val="single" w:color="auto" w:sz="4" w:space="0"/>
              <w:bottom w:val="single" w:color="auto" w:sz="4" w:space="0"/>
              <w:right w:val="single" w:color="auto" w:sz="4" w:space="0"/>
            </w:tcBorders>
            <w:noWrap/>
            <w:vAlign w:val="center"/>
          </w:tcPr>
          <w:p w14:paraId="1501DD45">
            <w:pPr>
              <w:widowControl/>
              <w:jc w:val="center"/>
              <w:rPr>
                <w:rFonts w:ascii="仿宋_GB2312" w:eastAsia="仿宋_GB2312"/>
                <w:sz w:val="24"/>
                <w:szCs w:val="24"/>
              </w:rPr>
            </w:pPr>
            <w:r>
              <w:rPr>
                <w:rFonts w:hint="eastAsia" w:ascii="仿宋_GB2312" w:eastAsia="仿宋_GB2312"/>
                <w:sz w:val="24"/>
                <w:szCs w:val="24"/>
              </w:rPr>
              <w:t>合计</w:t>
            </w:r>
          </w:p>
        </w:tc>
        <w:tc>
          <w:tcPr>
            <w:tcW w:w="1602" w:type="dxa"/>
            <w:tcBorders>
              <w:top w:val="single" w:color="auto" w:sz="4" w:space="0"/>
              <w:left w:val="nil"/>
              <w:bottom w:val="single" w:color="auto" w:sz="4" w:space="0"/>
              <w:right w:val="single" w:color="auto" w:sz="4" w:space="0"/>
            </w:tcBorders>
            <w:noWrap/>
            <w:vAlign w:val="center"/>
          </w:tcPr>
          <w:p w14:paraId="4F53E2DE">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sz w:val="24"/>
                <w:szCs w:val="24"/>
                <w:lang w:val="en-US" w:eastAsia="zh-CN"/>
              </w:rPr>
            </w:pPr>
            <w:r>
              <w:rPr>
                <w:rFonts w:hint="eastAsia" w:ascii="仿宋_GB2312" w:eastAsia="仿宋_GB2312"/>
                <w:sz w:val="24"/>
                <w:szCs w:val="24"/>
                <w:lang w:val="en-US" w:eastAsia="zh-CN"/>
              </w:rPr>
              <w:t>648.5</w:t>
            </w:r>
          </w:p>
        </w:tc>
        <w:tc>
          <w:tcPr>
            <w:tcW w:w="1848" w:type="dxa"/>
            <w:tcBorders>
              <w:top w:val="single" w:color="auto" w:sz="4" w:space="0"/>
              <w:left w:val="nil"/>
              <w:bottom w:val="single" w:color="auto" w:sz="4" w:space="0"/>
              <w:right w:val="single" w:color="auto" w:sz="4" w:space="0"/>
            </w:tcBorders>
            <w:noWrap/>
            <w:vAlign w:val="center"/>
          </w:tcPr>
          <w:p w14:paraId="401182F3">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sz w:val="24"/>
                <w:szCs w:val="24"/>
                <w:lang w:val="en-US" w:eastAsia="zh-CN"/>
              </w:rPr>
            </w:pPr>
            <w:r>
              <w:rPr>
                <w:rFonts w:hint="eastAsia" w:ascii="仿宋_GB2312" w:eastAsia="仿宋_GB2312"/>
                <w:sz w:val="24"/>
                <w:szCs w:val="24"/>
                <w:lang w:val="en-US" w:eastAsia="zh-CN"/>
              </w:rPr>
              <w:t>376.5</w:t>
            </w:r>
          </w:p>
        </w:tc>
        <w:tc>
          <w:tcPr>
            <w:tcW w:w="1848" w:type="dxa"/>
            <w:tcBorders>
              <w:top w:val="single" w:color="auto" w:sz="4" w:space="0"/>
              <w:left w:val="nil"/>
              <w:bottom w:val="single" w:color="auto" w:sz="4" w:space="0"/>
              <w:right w:val="single" w:color="auto" w:sz="4" w:space="0"/>
            </w:tcBorders>
            <w:noWrap/>
            <w:vAlign w:val="center"/>
          </w:tcPr>
          <w:p w14:paraId="46F2A8E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sz w:val="24"/>
                <w:szCs w:val="24"/>
                <w:lang w:val="en-US" w:eastAsia="zh-CN"/>
              </w:rPr>
            </w:pPr>
            <w:r>
              <w:rPr>
                <w:rFonts w:hint="eastAsia" w:ascii="仿宋_GB2312" w:eastAsia="仿宋_GB2312"/>
                <w:sz w:val="24"/>
                <w:szCs w:val="24"/>
                <w:lang w:val="en-US" w:eastAsia="zh-CN"/>
              </w:rPr>
              <w:t>61</w:t>
            </w:r>
          </w:p>
        </w:tc>
        <w:tc>
          <w:tcPr>
            <w:tcW w:w="1356" w:type="dxa"/>
            <w:tcBorders>
              <w:top w:val="single" w:color="auto" w:sz="4" w:space="0"/>
              <w:left w:val="nil"/>
              <w:bottom w:val="single" w:color="auto" w:sz="4" w:space="0"/>
              <w:right w:val="single" w:color="auto" w:sz="4" w:space="0"/>
            </w:tcBorders>
            <w:vAlign w:val="center"/>
          </w:tcPr>
          <w:p w14:paraId="50E7EF2F">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center"/>
              <w:rPr>
                <w:rFonts w:hint="default" w:ascii="仿宋_GB2312" w:eastAsia="仿宋_GB2312"/>
                <w:sz w:val="24"/>
                <w:szCs w:val="24"/>
                <w:lang w:val="en-US" w:eastAsia="zh-CN"/>
              </w:rPr>
            </w:pPr>
            <w:r>
              <w:rPr>
                <w:rFonts w:hint="eastAsia" w:ascii="仿宋_GB2312" w:eastAsia="仿宋_GB2312"/>
                <w:color w:val="auto"/>
                <w:sz w:val="24"/>
                <w:szCs w:val="24"/>
                <w:lang w:val="en-US" w:eastAsia="zh-CN"/>
              </w:rPr>
              <w:t>1086</w:t>
            </w:r>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30"/>
    </w:tbl>
    <w:p w14:paraId="5DBB6CBE">
      <w:pPr>
        <w:rPr>
          <w:b/>
          <w:sz w:val="36"/>
          <w:szCs w:val="36"/>
        </w:rPr>
      </w:pPr>
      <w:bookmarkStart w:id="31" w:name="_GoBack"/>
      <w:bookmarkEnd w:id="31"/>
    </w:p>
    <w:sectPr>
      <w:headerReference r:id="rId3" w:type="default"/>
      <w:footerReference r:id="rId4"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Helvetica">
    <w:panose1 w:val="020B0504020202030204"/>
    <w:charset w:val="00"/>
    <w:family w:val="auto"/>
    <w:pitch w:val="default"/>
    <w:sig w:usb0="00000007" w:usb1="00000000" w:usb2="00000000" w:usb3="00000000" w:csb0="00000093"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6A248">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B387F2">
                          <w:pPr>
                            <w:pStyle w:val="2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BB387F2">
                    <w:pPr>
                      <w:pStyle w:val="2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4F0A">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6B15AB9"/>
    <w:rsid w:val="0AE269F3"/>
    <w:rsid w:val="0B660C1A"/>
    <w:rsid w:val="0E922EAC"/>
    <w:rsid w:val="17F93E0B"/>
    <w:rsid w:val="1C455CA5"/>
    <w:rsid w:val="1D2C69D2"/>
    <w:rsid w:val="239E00B4"/>
    <w:rsid w:val="251E74A4"/>
    <w:rsid w:val="27843CE5"/>
    <w:rsid w:val="32EB653A"/>
    <w:rsid w:val="3BCB6780"/>
    <w:rsid w:val="3E06265C"/>
    <w:rsid w:val="42CD0A98"/>
    <w:rsid w:val="431A0C09"/>
    <w:rsid w:val="480E2158"/>
    <w:rsid w:val="4B65373A"/>
    <w:rsid w:val="4D00163A"/>
    <w:rsid w:val="4F0F5BE3"/>
    <w:rsid w:val="52422029"/>
    <w:rsid w:val="55040901"/>
    <w:rsid w:val="56DF05DE"/>
    <w:rsid w:val="57354E39"/>
    <w:rsid w:val="57FC6189"/>
    <w:rsid w:val="5F073306"/>
    <w:rsid w:val="5F5F73B9"/>
    <w:rsid w:val="61F01847"/>
    <w:rsid w:val="6838144E"/>
    <w:rsid w:val="68AA7398"/>
    <w:rsid w:val="6CB93531"/>
    <w:rsid w:val="742C597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1"/>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4"/>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12"/>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12"/>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12"/>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5"/>
    <w:qFormat/>
    <w:uiPriority w:val="0"/>
    <w:rPr>
      <w:sz w:val="24"/>
    </w:rPr>
  </w:style>
  <w:style w:type="character" w:customStyle="1" w:styleId="230">
    <w:name w:val="标题 5 字符"/>
    <w:basedOn w:val="45"/>
    <w:link w:val="6"/>
    <w:qFormat/>
    <w:uiPriority w:val="0"/>
    <w:rPr>
      <w:b/>
      <w:sz w:val="28"/>
    </w:rPr>
  </w:style>
  <w:style w:type="character" w:customStyle="1" w:styleId="231">
    <w:name w:val="标题 6 字符"/>
    <w:basedOn w:val="45"/>
    <w:link w:val="7"/>
    <w:qFormat/>
    <w:uiPriority w:val="0"/>
    <w:rPr>
      <w:rFonts w:ascii="Arial" w:hAnsi="Arial" w:eastAsia="黑体"/>
      <w:b/>
      <w:sz w:val="24"/>
    </w:rPr>
  </w:style>
  <w:style w:type="character" w:customStyle="1" w:styleId="232">
    <w:name w:val="标题 7 字符"/>
    <w:basedOn w:val="45"/>
    <w:link w:val="8"/>
    <w:qFormat/>
    <w:uiPriority w:val="0"/>
    <w:rPr>
      <w:b/>
      <w:sz w:val="24"/>
    </w:rPr>
  </w:style>
  <w:style w:type="character" w:customStyle="1" w:styleId="233">
    <w:name w:val="标题 8 字符"/>
    <w:basedOn w:val="45"/>
    <w:link w:val="9"/>
    <w:qFormat/>
    <w:uiPriority w:val="0"/>
    <w:rPr>
      <w:rFonts w:ascii="Arial" w:hAnsi="Arial" w:eastAsia="黑体"/>
      <w:sz w:val="24"/>
    </w:rPr>
  </w:style>
  <w:style w:type="character" w:customStyle="1" w:styleId="234">
    <w:name w:val="标题 9 字符"/>
    <w:basedOn w:val="45"/>
    <w:link w:val="10"/>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53">
    <w:name w:val="样式 首行缩进:  2 字符"/>
    <w:basedOn w:val="1"/>
    <w:qFormat/>
    <w:uiPriority w:val="0"/>
    <w:pPr>
      <w:spacing w:line="400" w:lineRule="exact"/>
      <w:ind w:firstLine="200" w:firstLineChars="200"/>
    </w:pPr>
    <w:rPr>
      <w:rFonts w:cs="宋体"/>
      <w:sz w:val="24"/>
    </w:rPr>
  </w:style>
  <w:style w:type="paragraph" w:customStyle="1" w:styleId="254">
    <w:name w:val="toc 1_7ca4c91b-db4b-4574-8286-acceb42f38bc"/>
    <w:next w:val="1"/>
    <w:qFormat/>
    <w:uiPriority w:val="0"/>
    <w:pPr>
      <w:wordWrap w:val="0"/>
      <w:jc w:val="both"/>
    </w:pPr>
    <w:rPr>
      <w:rFonts w:ascii="Times New Roman" w:hAnsi="Times New Roman" w:eastAsia="宋体" w:cs="Times New Roman"/>
      <w:kern w:val="0"/>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18219</Words>
  <Characters>19157</Characters>
  <Lines>1296</Lines>
  <Paragraphs>1101</Paragraphs>
  <TotalTime>18</TotalTime>
  <ScaleCrop>false</ScaleCrop>
  <LinksUpToDate>false</LinksUpToDate>
  <CharactersWithSpaces>19286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WPS_1693193111</cp:lastModifiedBy>
  <cp:lastPrinted>2020-04-02T03:13:00Z</cp:lastPrinted>
  <dcterms:modified xsi:type="dcterms:W3CDTF">2026-09-20T02:01:04Z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eyJoZGlkIjoiNDA3NTcyYjA1NDgxNGEyYzYxNGZjOGRkNDkwNDQ2MjkiLCJ1c2VySWQiOiIxNTI0NzUwODYzIn0=</vt:lpwstr>
  </property>
</Properties>
</file>