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1B042">
      <w:pPr>
        <w:numPr>
          <w:numId w:val="0"/>
        </w:numPr>
        <w:spacing w:line="360" w:lineRule="auto"/>
        <w:jc w:val="center"/>
        <w:outlineLvl w:val="0"/>
        <w:rPr>
          <w:rFonts w:hint="default" w:ascii="Times New Roman" w:hAnsi="Times New Roman" w:eastAsia="宋体" w:cs="Times New Roman"/>
          <w:b/>
          <w:color w:val="auto"/>
          <w:sz w:val="36"/>
          <w:szCs w:val="36"/>
        </w:rPr>
      </w:pPr>
      <w:bookmarkStart w:id="0" w:name="_Toc99301424"/>
      <w:r>
        <w:rPr>
          <w:rFonts w:hint="eastAsia" w:cs="Times New Roman"/>
          <w:b/>
          <w:color w:val="auto"/>
          <w:sz w:val="36"/>
          <w:szCs w:val="36"/>
          <w:lang w:val="en-US" w:eastAsia="zh-CN"/>
        </w:rPr>
        <w:t xml:space="preserve">第五包 </w:t>
      </w:r>
      <w:bookmarkStart w:id="1" w:name="_GoBack"/>
      <w:bookmarkEnd w:id="1"/>
      <w:r>
        <w:rPr>
          <w:rFonts w:hint="default" w:ascii="Times New Roman" w:hAnsi="Times New Roman" w:eastAsia="宋体" w:cs="Times New Roman"/>
          <w:b/>
          <w:color w:val="auto"/>
          <w:sz w:val="36"/>
          <w:szCs w:val="36"/>
        </w:rPr>
        <w:t>采购需求</w:t>
      </w:r>
      <w:bookmarkEnd w:id="0"/>
    </w:p>
    <w:p w14:paraId="715C096B">
      <w:pPr>
        <w:numPr>
          <w:ilvl w:val="0"/>
          <w:numId w:val="1"/>
        </w:numPr>
        <w:tabs>
          <w:tab w:val="left" w:pos="360"/>
          <w:tab w:val="left" w:pos="900"/>
        </w:tabs>
        <w:snapToGrid w:val="0"/>
        <w:spacing w:line="360" w:lineRule="auto"/>
        <w:jc w:val="left"/>
        <w:outlineLvl w:val="1"/>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采购目标</w:t>
      </w:r>
    </w:p>
    <w:p w14:paraId="2F103EF4">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1、本项目为北京市东城区教育技术装备中心</w:t>
      </w:r>
      <w:r>
        <w:rPr>
          <w:rFonts w:hint="eastAsia" w:cs="Times New Roman"/>
          <w:color w:val="auto"/>
          <w:spacing w:val="-2"/>
          <w:kern w:val="2"/>
          <w:sz w:val="24"/>
          <w:szCs w:val="24"/>
          <w:lang w:val="en-US" w:eastAsia="zh-CN" w:bidi="ar-SA"/>
        </w:rPr>
        <w:t>实验室</w:t>
      </w:r>
      <w:r>
        <w:rPr>
          <w:rFonts w:hint="default" w:ascii="Times New Roman" w:hAnsi="Times New Roman" w:eastAsia="宋体" w:cs="Times New Roman"/>
          <w:color w:val="auto"/>
          <w:spacing w:val="-2"/>
          <w:kern w:val="2"/>
          <w:sz w:val="24"/>
          <w:szCs w:val="24"/>
          <w:lang w:val="en-US" w:eastAsia="zh-CN" w:bidi="ar-SA"/>
        </w:rPr>
        <w:t>集中带量采购，请供应商充分了解本项目下的全部技术、商务条款，并在投标文件中如实响应，若投标人存在提供虚假材料谋取中标的行为，按我国相关法律法规处理。投标人为本次项目提供的货物必须通过合法渠道获得，生产制造严格遵循我国相关强制标准及规范，不侵犯任何第三方的知识产权。</w:t>
      </w:r>
    </w:p>
    <w:p w14:paraId="2642A570">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2、供应商的报价应包括货物及其所涉及的全部费用，包括：产品制造、包装、劳务、管理、运输、保险、</w:t>
      </w:r>
      <w:r>
        <w:rPr>
          <w:rFonts w:hint="eastAsia" w:cs="Times New Roman"/>
          <w:color w:val="auto"/>
          <w:spacing w:val="-2"/>
          <w:kern w:val="2"/>
          <w:sz w:val="24"/>
          <w:szCs w:val="24"/>
          <w:lang w:val="en-US" w:eastAsia="zh-CN" w:bidi="ar-SA"/>
        </w:rPr>
        <w:t>原设备拆除、环境优化及改造、</w:t>
      </w:r>
      <w:r>
        <w:rPr>
          <w:rFonts w:hint="default" w:ascii="Times New Roman" w:hAnsi="Times New Roman" w:eastAsia="宋体" w:cs="Times New Roman"/>
          <w:color w:val="auto"/>
          <w:spacing w:val="-2"/>
          <w:kern w:val="2"/>
          <w:sz w:val="24"/>
          <w:szCs w:val="24"/>
          <w:lang w:val="en-US" w:eastAsia="zh-CN" w:bidi="ar-SA"/>
        </w:rPr>
        <w:t xml:space="preserve">安装、搬运、调试、检验（或抽样送检）、技术培训及技术资料、维护、保修、验收、安装调试后的计量质控检测、外贸代理费（若有）、关税（若有）、保险增值税发票等，以及所有根据合同或其它原因应由投标人支付的税金和其它应缴费用，以及可合理推断的责任和义务。还要考虑到合同中可能出现的索赔和变更。 </w:t>
      </w:r>
    </w:p>
    <w:p w14:paraId="53B55CB2">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3、本项目采用统招分签模式，中标人需与北京市东城区教育技术装备中心签订总合同、与本项目涉及的各学校分别签订供货分合同。</w:t>
      </w:r>
      <w:r>
        <w:rPr>
          <w:rFonts w:hint="eastAsia" w:cs="Times New Roman"/>
          <w:color w:val="auto"/>
          <w:spacing w:val="-2"/>
          <w:kern w:val="2"/>
          <w:sz w:val="24"/>
          <w:szCs w:val="24"/>
          <w:lang w:val="en-US" w:eastAsia="zh-CN" w:bidi="ar-SA"/>
        </w:rPr>
        <w:t>本分包</w:t>
      </w:r>
      <w:r>
        <w:rPr>
          <w:rFonts w:hint="default" w:ascii="Times New Roman" w:hAnsi="Times New Roman" w:eastAsia="宋体" w:cs="Times New Roman"/>
          <w:color w:val="auto"/>
          <w:spacing w:val="-2"/>
          <w:kern w:val="2"/>
          <w:sz w:val="24"/>
          <w:szCs w:val="24"/>
          <w:lang w:val="en-US" w:eastAsia="zh-CN" w:bidi="ar-SA"/>
        </w:rPr>
        <w:t>各学校需求情况如下：</w:t>
      </w:r>
    </w:p>
    <w:tbl>
      <w:tblPr>
        <w:tblStyle w:val="3"/>
        <w:tblW w:w="821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47"/>
        <w:gridCol w:w="1921"/>
        <w:gridCol w:w="1921"/>
        <w:gridCol w:w="1921"/>
      </w:tblGrid>
      <w:tr w14:paraId="54E77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4AA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eastAsia" w:ascii="Times New Roman" w:hAnsi="Times New Roman" w:eastAsia="宋体" w:cs="Times New Roman"/>
                <w:b/>
                <w:bCs/>
                <w:i w:val="0"/>
                <w:iCs w:val="0"/>
                <w:color w:val="000000"/>
                <w:kern w:val="0"/>
                <w:sz w:val="15"/>
                <w:szCs w:val="15"/>
                <w:u w:val="none"/>
                <w:lang w:val="en-US" w:eastAsia="zh-CN" w:bidi="ar"/>
              </w:rPr>
              <w:t>学校名称</w:t>
            </w:r>
          </w:p>
        </w:tc>
        <w:tc>
          <w:tcPr>
            <w:tcW w:w="1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3BF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中学物理实验室家具及设施改造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610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中学化学实验室家具及设施改造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9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DA5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中学生物实验室家具及设施改造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r>
      <w:tr w14:paraId="2F6BA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FB4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北京汇文中学</w:t>
            </w:r>
          </w:p>
        </w:tc>
        <w:tc>
          <w:tcPr>
            <w:tcW w:w="1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638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w:t>
            </w:r>
          </w:p>
        </w:tc>
        <w:tc>
          <w:tcPr>
            <w:tcW w:w="1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D76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w:t>
            </w:r>
          </w:p>
        </w:tc>
        <w:tc>
          <w:tcPr>
            <w:tcW w:w="1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3CE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w:t>
            </w:r>
          </w:p>
        </w:tc>
      </w:tr>
      <w:tr w14:paraId="53A3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B4C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b/>
                <w:bCs/>
                <w:i w:val="0"/>
                <w:iCs w:val="0"/>
                <w:color w:val="000000"/>
                <w:kern w:val="0"/>
                <w:sz w:val="15"/>
                <w:szCs w:val="15"/>
                <w:u w:val="none"/>
                <w:lang w:val="en-US" w:eastAsia="zh-CN" w:bidi="ar"/>
              </w:rPr>
              <w:t>合计</w:t>
            </w:r>
          </w:p>
        </w:tc>
        <w:tc>
          <w:tcPr>
            <w:tcW w:w="1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71E5">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ascii="Times New Roman" w:hAnsi="Times New Roman" w:eastAsia="宋体" w:cs="Times New Roman"/>
                <w:b/>
                <w:bCs/>
                <w:i w:val="0"/>
                <w:iCs w:val="0"/>
                <w:color w:val="000000"/>
                <w:kern w:val="0"/>
                <w:sz w:val="15"/>
                <w:szCs w:val="15"/>
                <w:u w:val="none"/>
                <w:lang w:val="en-US" w:eastAsia="zh-CN" w:bidi="ar"/>
              </w:rPr>
              <w:t>5</w:t>
            </w:r>
          </w:p>
        </w:tc>
        <w:tc>
          <w:tcPr>
            <w:tcW w:w="1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894C9">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ascii="Times New Roman" w:hAnsi="Times New Roman" w:eastAsia="宋体" w:cs="Times New Roman"/>
                <w:b/>
                <w:bCs/>
                <w:i w:val="0"/>
                <w:iCs w:val="0"/>
                <w:color w:val="000000"/>
                <w:kern w:val="0"/>
                <w:sz w:val="15"/>
                <w:szCs w:val="15"/>
                <w:u w:val="none"/>
                <w:lang w:val="en-US" w:eastAsia="zh-CN" w:bidi="ar"/>
              </w:rPr>
              <w:t>5</w:t>
            </w:r>
          </w:p>
        </w:tc>
        <w:tc>
          <w:tcPr>
            <w:tcW w:w="1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778F2">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ascii="Times New Roman" w:hAnsi="Times New Roman" w:eastAsia="宋体" w:cs="Times New Roman"/>
                <w:b/>
                <w:bCs/>
                <w:i w:val="0"/>
                <w:iCs w:val="0"/>
                <w:color w:val="000000"/>
                <w:kern w:val="0"/>
                <w:sz w:val="15"/>
                <w:szCs w:val="15"/>
                <w:u w:val="none"/>
                <w:lang w:val="en-US" w:eastAsia="zh-CN" w:bidi="ar"/>
              </w:rPr>
              <w:t>6</w:t>
            </w:r>
          </w:p>
        </w:tc>
      </w:tr>
    </w:tbl>
    <w:p w14:paraId="38D5823D">
      <w:pPr>
        <w:numPr>
          <w:ilvl w:val="0"/>
          <w:numId w:val="0"/>
        </w:numPr>
        <w:spacing w:line="360" w:lineRule="auto"/>
        <w:ind w:leftChars="0"/>
        <w:rPr>
          <w:rFonts w:hint="default" w:ascii="Times New Roman" w:hAnsi="Times New Roman" w:eastAsia="宋体" w:cs="Times New Roman"/>
          <w:b/>
          <w:color w:val="auto"/>
          <w:sz w:val="24"/>
          <w:szCs w:val="24"/>
          <w:lang w:val="en-US" w:eastAsia="zh-CN"/>
        </w:rPr>
      </w:pPr>
    </w:p>
    <w:p w14:paraId="41D529F0">
      <w:pPr>
        <w:numPr>
          <w:ilvl w:val="0"/>
          <w:numId w:val="1"/>
        </w:numPr>
        <w:spacing w:line="360" w:lineRule="auto"/>
        <w:ind w:left="0" w:leftChars="0" w:firstLine="0" w:firstLineChars="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采购</w:t>
      </w:r>
      <w:r>
        <w:rPr>
          <w:rFonts w:hint="eastAsia" w:cs="Times New Roman"/>
          <w:b/>
          <w:color w:val="auto"/>
          <w:sz w:val="24"/>
          <w:szCs w:val="24"/>
          <w:lang w:val="en-US" w:eastAsia="zh-CN"/>
        </w:rPr>
        <w:t>内容</w:t>
      </w:r>
    </w:p>
    <w:tbl>
      <w:tblPr>
        <w:tblStyle w:val="3"/>
        <w:tblW w:w="4822" w:type="pct"/>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4354"/>
        <w:gridCol w:w="893"/>
        <w:gridCol w:w="2194"/>
      </w:tblGrid>
      <w:tr w14:paraId="4C97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3" w:type="pct"/>
            <w:vAlign w:val="center"/>
          </w:tcPr>
          <w:p w14:paraId="2CAC4923">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序号</w:t>
            </w:r>
          </w:p>
        </w:tc>
        <w:tc>
          <w:tcPr>
            <w:tcW w:w="2648" w:type="pct"/>
            <w:vAlign w:val="center"/>
          </w:tcPr>
          <w:p w14:paraId="2C3E53BF">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采购内容</w:t>
            </w:r>
          </w:p>
        </w:tc>
        <w:tc>
          <w:tcPr>
            <w:tcW w:w="543" w:type="pct"/>
            <w:vAlign w:val="center"/>
          </w:tcPr>
          <w:p w14:paraId="4855B225">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数量</w:t>
            </w:r>
          </w:p>
        </w:tc>
        <w:tc>
          <w:tcPr>
            <w:tcW w:w="1334" w:type="pct"/>
            <w:vAlign w:val="center"/>
          </w:tcPr>
          <w:p w14:paraId="61B1CF7D">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val="en-US" w:eastAsia="zh-CN"/>
              </w:rPr>
              <w:t>★单价</w:t>
            </w:r>
            <w:r>
              <w:rPr>
                <w:rFonts w:hint="eastAsia" w:cs="Times New Roman"/>
                <w:b/>
                <w:bCs w:val="0"/>
                <w:color w:val="auto"/>
                <w:sz w:val="24"/>
                <w:szCs w:val="24"/>
                <w:lang w:val="en-US" w:eastAsia="zh-CN"/>
              </w:rPr>
              <w:t>最高</w:t>
            </w:r>
            <w:r>
              <w:rPr>
                <w:rFonts w:hint="eastAsia" w:ascii="Times New Roman" w:hAnsi="Times New Roman" w:eastAsia="宋体" w:cs="Times New Roman"/>
                <w:b/>
                <w:bCs w:val="0"/>
                <w:color w:val="auto"/>
                <w:sz w:val="24"/>
                <w:szCs w:val="24"/>
                <w:lang w:val="en-US" w:eastAsia="zh-CN"/>
              </w:rPr>
              <w:t>限价</w:t>
            </w:r>
          </w:p>
        </w:tc>
      </w:tr>
      <w:tr w14:paraId="522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73" w:type="pct"/>
            <w:vAlign w:val="center"/>
          </w:tcPr>
          <w:p w14:paraId="0FE0D467">
            <w:pPr>
              <w:keepNext w:val="0"/>
              <w:keepLines w:val="0"/>
              <w:widowControl/>
              <w:suppressLineNumbers w:val="0"/>
              <w:jc w:val="center"/>
              <w:textAlignment w:val="center"/>
              <w:rPr>
                <w:rFonts w:hint="default" w:ascii="Times New Roman" w:hAnsi="Times New Roman" w:eastAsia="宋体" w:cs="Times New Roman"/>
                <w:bCs/>
                <w:color w:val="auto"/>
                <w:sz w:val="24"/>
                <w:szCs w:val="24"/>
                <w:lang w:val="en-US" w:eastAsia="zh-CN"/>
              </w:rPr>
            </w:pPr>
            <w:r>
              <w:rPr>
                <w:rFonts w:hint="eastAsia" w:cs="Times New Roman"/>
                <w:bCs/>
                <w:color w:val="auto"/>
                <w:sz w:val="24"/>
                <w:szCs w:val="24"/>
                <w:lang w:val="en-US" w:eastAsia="zh-CN"/>
              </w:rPr>
              <w:t>1</w:t>
            </w:r>
          </w:p>
        </w:tc>
        <w:tc>
          <w:tcPr>
            <w:tcW w:w="2648" w:type="pct"/>
            <w:vAlign w:val="center"/>
          </w:tcPr>
          <w:p w14:paraId="6C6600FC">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中学物理实验室家具及设施改造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543" w:type="pct"/>
            <w:vAlign w:val="center"/>
          </w:tcPr>
          <w:p w14:paraId="53A34042">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5</w:t>
            </w:r>
            <w:r>
              <w:rPr>
                <w:rFonts w:hint="default" w:ascii="Times New Roman" w:hAnsi="Times New Roman" w:cs="Times New Roman"/>
                <w:bCs/>
                <w:color w:val="auto"/>
                <w:sz w:val="24"/>
                <w:szCs w:val="24"/>
                <w:lang w:val="en-US" w:eastAsia="zh-CN"/>
              </w:rPr>
              <w:t>间</w:t>
            </w:r>
          </w:p>
        </w:tc>
        <w:tc>
          <w:tcPr>
            <w:tcW w:w="1334" w:type="pct"/>
            <w:vAlign w:val="center"/>
          </w:tcPr>
          <w:p w14:paraId="38AF375E">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281200</w:t>
            </w:r>
            <w:r>
              <w:rPr>
                <w:rFonts w:hint="eastAsia" w:ascii="Times New Roman" w:hAnsi="Times New Roman" w:eastAsia="宋体" w:cs="Times New Roman"/>
                <w:b w:val="0"/>
                <w:bCs w:val="0"/>
                <w:color w:val="auto"/>
                <w:sz w:val="24"/>
                <w:szCs w:val="24"/>
                <w:lang w:val="en-US" w:eastAsia="zh-CN"/>
              </w:rPr>
              <w:t>元/间</w:t>
            </w:r>
          </w:p>
        </w:tc>
      </w:tr>
      <w:tr w14:paraId="5CAB8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73" w:type="pct"/>
            <w:vAlign w:val="center"/>
          </w:tcPr>
          <w:p w14:paraId="7A15BA6A">
            <w:pPr>
              <w:spacing w:line="240" w:lineRule="auto"/>
              <w:jc w:val="center"/>
              <w:rPr>
                <w:rFonts w:hint="default" w:ascii="Times New Roman" w:hAnsi="Times New Roman" w:eastAsia="宋体"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2</w:t>
            </w:r>
          </w:p>
        </w:tc>
        <w:tc>
          <w:tcPr>
            <w:tcW w:w="2648" w:type="pct"/>
            <w:vAlign w:val="center"/>
          </w:tcPr>
          <w:p w14:paraId="5F04EC64">
            <w:pPr>
              <w:spacing w:line="240" w:lineRule="auto"/>
              <w:jc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中学化学实验室家具及设施改造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543" w:type="pct"/>
            <w:vAlign w:val="center"/>
          </w:tcPr>
          <w:p w14:paraId="7D690EAB">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5</w:t>
            </w:r>
            <w:r>
              <w:rPr>
                <w:rFonts w:hint="default" w:ascii="Times New Roman" w:hAnsi="Times New Roman" w:cs="Times New Roman"/>
                <w:bCs/>
                <w:color w:val="auto"/>
                <w:sz w:val="24"/>
                <w:szCs w:val="24"/>
                <w:lang w:val="en-US" w:eastAsia="zh-CN"/>
              </w:rPr>
              <w:t>间</w:t>
            </w:r>
          </w:p>
        </w:tc>
        <w:tc>
          <w:tcPr>
            <w:tcW w:w="1334" w:type="pct"/>
            <w:vAlign w:val="center"/>
          </w:tcPr>
          <w:p w14:paraId="273F2942">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430850</w:t>
            </w:r>
            <w:r>
              <w:rPr>
                <w:rFonts w:hint="eastAsia" w:ascii="Times New Roman" w:hAnsi="Times New Roman" w:eastAsia="宋体" w:cs="Times New Roman"/>
                <w:b w:val="0"/>
                <w:bCs w:val="0"/>
                <w:color w:val="auto"/>
                <w:sz w:val="24"/>
                <w:szCs w:val="24"/>
                <w:lang w:val="en-US" w:eastAsia="zh-CN"/>
              </w:rPr>
              <w:t>元/间</w:t>
            </w:r>
          </w:p>
        </w:tc>
      </w:tr>
      <w:tr w14:paraId="3766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473" w:type="pct"/>
            <w:vAlign w:val="center"/>
          </w:tcPr>
          <w:p w14:paraId="4B07E4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3</w:t>
            </w:r>
          </w:p>
        </w:tc>
        <w:tc>
          <w:tcPr>
            <w:tcW w:w="2648" w:type="pct"/>
            <w:vAlign w:val="center"/>
          </w:tcPr>
          <w:p w14:paraId="55E77BDE">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中学生物实验室家具及设施改造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543" w:type="pct"/>
            <w:vAlign w:val="center"/>
          </w:tcPr>
          <w:p w14:paraId="16C299D9">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6</w:t>
            </w:r>
            <w:r>
              <w:rPr>
                <w:rFonts w:hint="default" w:ascii="Times New Roman" w:hAnsi="Times New Roman" w:cs="Times New Roman"/>
                <w:bCs/>
                <w:color w:val="auto"/>
                <w:sz w:val="24"/>
                <w:szCs w:val="24"/>
                <w:lang w:val="en-US" w:eastAsia="zh-CN"/>
              </w:rPr>
              <w:t>间</w:t>
            </w:r>
          </w:p>
        </w:tc>
        <w:tc>
          <w:tcPr>
            <w:tcW w:w="1334" w:type="pct"/>
            <w:vAlign w:val="center"/>
          </w:tcPr>
          <w:p w14:paraId="0A862A17">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341750</w:t>
            </w:r>
            <w:r>
              <w:rPr>
                <w:rFonts w:hint="eastAsia" w:ascii="Times New Roman" w:hAnsi="Times New Roman" w:eastAsia="宋体" w:cs="Times New Roman"/>
                <w:b w:val="0"/>
                <w:bCs w:val="0"/>
                <w:color w:val="auto"/>
                <w:sz w:val="24"/>
                <w:szCs w:val="24"/>
                <w:lang w:val="en-US" w:eastAsia="zh-CN"/>
              </w:rPr>
              <w:t>元/间</w:t>
            </w:r>
          </w:p>
        </w:tc>
      </w:tr>
    </w:tbl>
    <w:p w14:paraId="06451DFF">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pacing w:val="-2"/>
          <w:kern w:val="2"/>
          <w:sz w:val="24"/>
          <w:szCs w:val="24"/>
          <w:lang w:val="en-US" w:eastAsia="zh-CN" w:bidi="ar-SA"/>
        </w:rPr>
      </w:pPr>
    </w:p>
    <w:p w14:paraId="06B3E3D3">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采购标的交付时间、地点</w:t>
      </w:r>
    </w:p>
    <w:p w14:paraId="6C6DF4A2">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交付时间：</w:t>
      </w:r>
      <w:r>
        <w:rPr>
          <w:rFonts w:hint="default" w:ascii="Times New Roman" w:hAnsi="Times New Roman" w:eastAsia="宋体" w:cs="Times New Roman"/>
          <w:color w:val="auto"/>
          <w:sz w:val="24"/>
          <w:lang w:val="en-US" w:eastAsia="zh-CN"/>
        </w:rPr>
        <w:t>2026年</w:t>
      </w:r>
      <w:r>
        <w:rPr>
          <w:rFonts w:hint="eastAsia" w:cs="Times New Roman"/>
          <w:color w:val="auto"/>
          <w:sz w:val="24"/>
          <w:lang w:val="en-US" w:eastAsia="zh-CN"/>
        </w:rPr>
        <w:t>10</w:t>
      </w:r>
      <w:r>
        <w:rPr>
          <w:rFonts w:hint="default" w:ascii="Times New Roman" w:hAnsi="Times New Roman" w:eastAsia="宋体" w:cs="Times New Roman"/>
          <w:color w:val="auto"/>
          <w:sz w:val="24"/>
          <w:lang w:val="en-US" w:eastAsia="zh-CN"/>
        </w:rPr>
        <w:t>月</w:t>
      </w:r>
      <w:r>
        <w:rPr>
          <w:rFonts w:hint="eastAsia" w:cs="Times New Roman"/>
          <w:color w:val="auto"/>
          <w:sz w:val="24"/>
          <w:lang w:val="en-US" w:eastAsia="zh-CN"/>
        </w:rPr>
        <w:t>29</w:t>
      </w:r>
      <w:r>
        <w:rPr>
          <w:rFonts w:hint="default" w:ascii="Times New Roman" w:hAnsi="Times New Roman" w:eastAsia="宋体" w:cs="Times New Roman"/>
          <w:color w:val="auto"/>
          <w:sz w:val="24"/>
          <w:lang w:val="en-US" w:eastAsia="zh-CN"/>
        </w:rPr>
        <w:t>日前</w:t>
      </w:r>
      <w:r>
        <w:rPr>
          <w:rFonts w:hint="default" w:ascii="Times New Roman" w:hAnsi="Times New Roman" w:eastAsia="宋体" w:cs="Times New Roman"/>
          <w:color w:val="auto"/>
          <w:sz w:val="24"/>
        </w:rPr>
        <w:t>完成</w:t>
      </w:r>
      <w:r>
        <w:rPr>
          <w:rFonts w:hint="default" w:ascii="Times New Roman" w:hAnsi="Times New Roman" w:eastAsia="宋体" w:cs="Times New Roman"/>
          <w:color w:val="auto"/>
          <w:sz w:val="24"/>
          <w:lang w:val="en-US" w:eastAsia="zh-CN"/>
        </w:rPr>
        <w:t>备货</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具体时间</w:t>
      </w:r>
      <w:r>
        <w:rPr>
          <w:rFonts w:hint="default" w:ascii="Times New Roman" w:hAnsi="Times New Roman" w:eastAsia="宋体" w:cs="Times New Roman"/>
          <w:color w:val="auto"/>
          <w:sz w:val="24"/>
        </w:rPr>
        <w:t>由</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z w:val="24"/>
        </w:rPr>
        <w:t>分别与各</w:t>
      </w:r>
      <w:r>
        <w:rPr>
          <w:rFonts w:hint="default" w:ascii="Times New Roman" w:hAnsi="Times New Roman" w:eastAsia="宋体" w:cs="Times New Roman"/>
          <w:color w:val="auto"/>
          <w:sz w:val="24"/>
          <w:lang w:val="en-US" w:eastAsia="zh-CN"/>
        </w:rPr>
        <w:t>学校</w:t>
      </w:r>
      <w:r>
        <w:rPr>
          <w:rFonts w:hint="default" w:ascii="Times New Roman" w:hAnsi="Times New Roman" w:eastAsia="宋体" w:cs="Times New Roman"/>
          <w:color w:val="auto"/>
          <w:sz w:val="24"/>
        </w:rPr>
        <w:t xml:space="preserve">通过签订分合同确定。 </w:t>
      </w:r>
    </w:p>
    <w:p w14:paraId="49D21A0C">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交付地点：</w:t>
      </w:r>
      <w:r>
        <w:rPr>
          <w:rFonts w:hint="default" w:ascii="Times New Roman" w:hAnsi="Times New Roman" w:eastAsia="宋体" w:cs="Times New Roman"/>
          <w:color w:val="auto"/>
          <w:sz w:val="24"/>
        </w:rPr>
        <w:t>各</w:t>
      </w:r>
      <w:r>
        <w:rPr>
          <w:rFonts w:hint="default" w:ascii="Times New Roman" w:hAnsi="Times New Roman" w:eastAsia="宋体" w:cs="Times New Roman"/>
          <w:color w:val="auto"/>
          <w:sz w:val="24"/>
          <w:lang w:val="en-US" w:eastAsia="zh-CN"/>
        </w:rPr>
        <w:t>学校指定地点</w:t>
      </w:r>
      <w:r>
        <w:rPr>
          <w:rFonts w:hint="default" w:ascii="Times New Roman" w:hAnsi="Times New Roman" w:eastAsia="宋体" w:cs="Times New Roman"/>
          <w:color w:val="auto"/>
          <w:sz w:val="24"/>
        </w:rPr>
        <w:t>。</w:t>
      </w:r>
    </w:p>
    <w:p w14:paraId="1AFA444D">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z w:val="24"/>
        </w:rPr>
      </w:pPr>
    </w:p>
    <w:p w14:paraId="6D1FD073">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技术参数要求</w:t>
      </w:r>
    </w:p>
    <w:tbl>
      <w:tblPr>
        <w:tblStyle w:val="3"/>
        <w:tblW w:w="10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07"/>
        <w:gridCol w:w="1288"/>
        <w:gridCol w:w="6240"/>
        <w:gridCol w:w="731"/>
        <w:gridCol w:w="717"/>
      </w:tblGrid>
      <w:tr w14:paraId="0954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81A2B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1</w:t>
            </w:r>
            <w:r>
              <w:rPr>
                <w:rFonts w:ascii="Times New Roman" w:hAnsi="Times New Roman" w:eastAsia="宋体" w:cs="Times New Roman"/>
                <w:b/>
                <w:bCs/>
                <w:color w:val="auto"/>
                <w:kern w:val="0"/>
                <w:sz w:val="24"/>
                <w:szCs w:val="24"/>
              </w:rPr>
              <w:t>、中学物理实验室家具及设施改造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2A08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733C7E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E1512E4">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4E497A4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6ADCC1D">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13BE48D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3D7895C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4E43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3D3F29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7B89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1211A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教师、学生实验操作及学习区</w:t>
            </w:r>
          </w:p>
        </w:tc>
      </w:tr>
      <w:tr w14:paraId="26D9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9089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5E34FA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65CE0B4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A0F72D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 xml:space="preserve">3000mm×700mm×850mm </w:t>
            </w:r>
          </w:p>
          <w:p w14:paraId="0983392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关门减少噪音；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7EA627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D2E8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5C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9CAD3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1640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E69D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70F0E8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r>
              <w:rPr>
                <w:rFonts w:hint="eastAsia" w:ascii="Times New Roman" w:hAnsi="Times New Roman" w:eastAsia="宋体" w:cs="Times New Roman"/>
                <w:color w:val="auto"/>
                <w:kern w:val="0"/>
                <w:sz w:val="24"/>
                <w:szCs w:val="24"/>
              </w:rPr>
              <w:t>。</w:t>
            </w:r>
          </w:p>
        </w:tc>
        <w:tc>
          <w:tcPr>
            <w:tcW w:w="731" w:type="dxa"/>
            <w:vAlign w:val="center"/>
          </w:tcPr>
          <w:p w14:paraId="38F347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384D16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21D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CBB2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5F692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67BD816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63E4C7A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1BEA544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64B377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1727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6C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C2A5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35AF46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DE165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646C172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6EF00C8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1、产品结构：钢塑</w:t>
            </w:r>
            <w:r>
              <w:rPr>
                <w:rFonts w:hint="eastAsia" w:ascii="Times New Roman" w:hAnsi="Times New Roman" w:eastAsia="宋体" w:cs="Times New Roman"/>
                <w:color w:val="auto"/>
                <w:kern w:val="0"/>
                <w:sz w:val="24"/>
                <w:szCs w:val="24"/>
              </w:rPr>
              <w:t>或铝塑</w:t>
            </w:r>
            <w:r>
              <w:rPr>
                <w:rFonts w:ascii="Times New Roman" w:hAnsi="Times New Roman" w:eastAsia="宋体" w:cs="Times New Roman"/>
                <w:color w:val="auto"/>
                <w:kern w:val="0"/>
                <w:sz w:val="24"/>
                <w:szCs w:val="24"/>
              </w:rPr>
              <w:t>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各处光滑。台面围栏采用铝合金型材，规格尺寸为：≥85mm×8（12）mm×1.5mm；台面底的矩形托架采用规格为≥30mm×20mm×1.0mm钢管加工制作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、台身参数：立腿采用≥40mm×80mm×1.5mm厚钢管</w:t>
            </w:r>
            <w:r>
              <w:rPr>
                <w:rFonts w:hint="eastAsia"/>
                <w:color w:val="auto"/>
                <w:sz w:val="24"/>
                <w:szCs w:val="24"/>
              </w:rPr>
              <w:t>或铝管</w:t>
            </w:r>
            <w:r>
              <w:rPr>
                <w:rFonts w:ascii="Times New Roman" w:hAnsi="Times New Roman" w:eastAsia="宋体" w:cs="Times New Roman"/>
                <w:color w:val="auto"/>
                <w:kern w:val="0"/>
                <w:sz w:val="24"/>
                <w:szCs w:val="24"/>
              </w:rPr>
              <w:t>加工制作，表面经高压静电喷涂环氧树脂防护层，耐酸碱，耐腐蚀处理。立腿上端采用增强尼龙一次性注塑成型的连接件，尺寸</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≥380mm×4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mm×24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mm，预埋铜质螺母便于整体连接；支脚采用≥40mm×80mm×1.5mm厚钢管焊接，底脚采用一体注塑成型支撑脚，内部设计固定孔，通过膨胀螺栓固定桌腿。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、桌脚：采用可调脚，整体可拆装</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、书斗：书包斗采用注塑模具一次成型，整体壁厚≥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t>。</w:t>
            </w:r>
          </w:p>
        </w:tc>
        <w:tc>
          <w:tcPr>
            <w:tcW w:w="731" w:type="dxa"/>
            <w:vAlign w:val="center"/>
          </w:tcPr>
          <w:p w14:paraId="15350A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BF974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54F1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047D7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663D46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4F12FF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313CFC93">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212E1E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6D54178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37982D4E">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D8403C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1782B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4FF1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F939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6D5BEE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67DFFB4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EA758B">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549F56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43EEF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34E1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6B6F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06CBAF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教师桌面电源</w:t>
            </w:r>
          </w:p>
        </w:tc>
        <w:tc>
          <w:tcPr>
            <w:tcW w:w="1288" w:type="dxa"/>
            <w:vAlign w:val="center"/>
          </w:tcPr>
          <w:p w14:paraId="09F0EA7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3B728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1、采用ABS工程塑料主体，面板采用PC材质一体注塑成型。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6、直流稳压低压输出范围【0—24V】精度0.1V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7、交流低压稳压输出范围【0—24V】精度0.1V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自行调节电压时触摸按键升降输入电压值。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10、</w:t>
            </w:r>
            <w:r>
              <w:rPr>
                <w:rFonts w:hint="eastAsia" w:ascii="Times New Roman" w:hAnsi="Times New Roman" w:eastAsia="宋体" w:cs="Times New Roman"/>
                <w:color w:val="auto"/>
                <w:kern w:val="0"/>
                <w:sz w:val="24"/>
                <w:szCs w:val="24"/>
              </w:rPr>
              <w:t>≥1个U</w:t>
            </w:r>
            <w:r>
              <w:rPr>
                <w:rFonts w:ascii="Times New Roman" w:hAnsi="Times New Roman" w:eastAsia="宋体" w:cs="Times New Roman"/>
                <w:color w:val="auto"/>
                <w:kern w:val="0"/>
                <w:sz w:val="24"/>
                <w:szCs w:val="24"/>
              </w:rPr>
              <w:t>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57820A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81BC3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299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ADEE2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41025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1A3E10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EEC1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27D991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173468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A5F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F491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9FF98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1AD0D30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7B629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-75mm U-PVC材料。</w:t>
            </w:r>
          </w:p>
        </w:tc>
        <w:tc>
          <w:tcPr>
            <w:tcW w:w="731" w:type="dxa"/>
            <w:vAlign w:val="center"/>
          </w:tcPr>
          <w:p w14:paraId="3E20374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117E8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71C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CE8DD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477E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147A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204E52E">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智能控制</w:t>
            </w:r>
            <w:r>
              <w:rPr>
                <w:rFonts w:hint="eastAsia" w:ascii="Times New Roman" w:hAnsi="Times New Roman" w:eastAsia="宋体" w:cs="Times New Roman"/>
                <w:color w:val="auto"/>
                <w:kern w:val="0"/>
                <w:sz w:val="24"/>
                <w:szCs w:val="24"/>
              </w:rPr>
              <w:t>柜</w:t>
            </w:r>
          </w:p>
        </w:tc>
        <w:tc>
          <w:tcPr>
            <w:tcW w:w="1288" w:type="dxa"/>
            <w:vAlign w:val="center"/>
          </w:tcPr>
          <w:p w14:paraId="4AB85E4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tc>
        <w:tc>
          <w:tcPr>
            <w:tcW w:w="6240" w:type="dxa"/>
            <w:vAlign w:val="center"/>
          </w:tcPr>
          <w:p w14:paraId="15727C8D">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p w14:paraId="28A5526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1、教师端主控，控制显示采用≥10寸液晶工业触摸屏和数据显示一体化。</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2、系统具备电路安全防护功能。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4、教师有线控制学生</w:t>
            </w:r>
            <w:r>
              <w:rPr>
                <w:rFonts w:hint="eastAsia" w:ascii="Times New Roman" w:hAnsi="Times New Roman" w:eastAsia="宋体" w:cs="Times New Roman"/>
                <w:color w:val="auto"/>
                <w:kern w:val="0"/>
                <w:sz w:val="24"/>
                <w:szCs w:val="24"/>
              </w:rPr>
              <w:t>不低于2种</w:t>
            </w:r>
            <w:r>
              <w:rPr>
                <w:rFonts w:ascii="Times New Roman" w:hAnsi="Times New Roman" w:eastAsia="宋体" w:cs="Times New Roman"/>
                <w:color w:val="auto"/>
                <w:kern w:val="0"/>
                <w:sz w:val="24"/>
                <w:szCs w:val="24"/>
              </w:rPr>
              <w:t>模式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7AD74D9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5、具备过载保护点智能侦测功能。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6、教师可控制学生每组或者单个摆臂的升降。</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7、教师控制学生摆臂灯光开关。</w:t>
            </w:r>
          </w:p>
        </w:tc>
        <w:tc>
          <w:tcPr>
            <w:tcW w:w="731" w:type="dxa"/>
            <w:vAlign w:val="center"/>
          </w:tcPr>
          <w:p w14:paraId="0A00FFC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85EE9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967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78F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D0E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4A8FB7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78F42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3B29AF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FD3B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B2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0E91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48D30E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77D545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88608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r>
              <w:rPr>
                <w:rFonts w:hint="eastAsia" w:ascii="Times New Roman" w:hAnsi="Times New Roman" w:eastAsia="宋体" w:cs="Times New Roman"/>
                <w:color w:val="auto"/>
                <w:kern w:val="0"/>
                <w:sz w:val="24"/>
                <w:szCs w:val="24"/>
              </w:rPr>
              <w:t>包括</w:t>
            </w:r>
            <w:r>
              <w:rPr>
                <w:rFonts w:ascii="Times New Roman" w:hAnsi="Times New Roman" w:eastAsia="宋体" w:cs="Times New Roman"/>
                <w:color w:val="auto"/>
                <w:kern w:val="0"/>
                <w:sz w:val="24"/>
                <w:szCs w:val="24"/>
              </w:rPr>
              <w:t>各种操作如：高压系统、低压系统实现统一控制管理，</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3、低压系统：系统需具有各种控制模式，满足老师对学生的教学应用，如：教师控制、学生控制、教师演示等</w:t>
            </w:r>
          </w:p>
          <w:p w14:paraId="410BD2C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hint="eastAsia" w:ascii="Times New Roman" w:hAnsi="Times New Roman" w:eastAsia="宋体" w:cs="Times New Roman"/>
                <w:color w:val="auto"/>
                <w:kern w:val="0"/>
                <w:sz w:val="24"/>
                <w:szCs w:val="24"/>
              </w:rPr>
              <w:t>。</w:t>
            </w:r>
          </w:p>
          <w:p w14:paraId="597CBE8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hint="eastAsia" w:ascii="Times New Roman" w:hAnsi="Times New Roman" w:eastAsia="宋体" w:cs="Times New Roman"/>
                <w:color w:val="auto"/>
                <w:kern w:val="0"/>
                <w:sz w:val="24"/>
                <w:szCs w:val="24"/>
              </w:rPr>
              <w:t>。</w:t>
            </w:r>
          </w:p>
          <w:p w14:paraId="3B5680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教师演示，系统需具有可设置电压进行教师演示操作示范</w:t>
            </w:r>
            <w:r>
              <w:rPr>
                <w:rFonts w:hint="eastAsia" w:ascii="Times New Roman" w:hAnsi="Times New Roman" w:eastAsia="宋体" w:cs="Times New Roman"/>
                <w:color w:val="auto"/>
                <w:kern w:val="0"/>
                <w:sz w:val="24"/>
                <w:szCs w:val="24"/>
              </w:rPr>
              <w:t>。</w:t>
            </w:r>
          </w:p>
          <w:p w14:paraId="31A08DE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4、具有结束关闭按钮。</w:t>
            </w:r>
          </w:p>
        </w:tc>
        <w:tc>
          <w:tcPr>
            <w:tcW w:w="731" w:type="dxa"/>
            <w:vAlign w:val="center"/>
          </w:tcPr>
          <w:p w14:paraId="6FD9F7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1F43F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4B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9A01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03565A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14A576B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EE80F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学生端分组控制系统接收智慧实验室吊装系统控制软件指令，对学生端模块的照明系统、220V插座系统、低压电源系统、摇臂系统进行分组控制。</w:t>
            </w:r>
          </w:p>
        </w:tc>
        <w:tc>
          <w:tcPr>
            <w:tcW w:w="731" w:type="dxa"/>
            <w:vAlign w:val="center"/>
          </w:tcPr>
          <w:p w14:paraId="255EAB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94DC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6E6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6CD0E05">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吊装控制系统</w:t>
            </w:r>
          </w:p>
        </w:tc>
      </w:tr>
      <w:tr w14:paraId="1C84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9E2B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BA413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4A8EA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7ED53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吊装控制系统接收智慧实验室吊装系统控制软件指令：摇臂升降控制、照明控制、低压电源控制、AC220V控制，各元器件保护及复位功能。</w:t>
            </w:r>
          </w:p>
        </w:tc>
        <w:tc>
          <w:tcPr>
            <w:tcW w:w="731" w:type="dxa"/>
            <w:vAlign w:val="center"/>
          </w:tcPr>
          <w:p w14:paraId="50E56F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C3085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510B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D48C9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BABFD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模块主架舱体</w:t>
            </w:r>
          </w:p>
        </w:tc>
        <w:tc>
          <w:tcPr>
            <w:tcW w:w="1288" w:type="dxa"/>
            <w:vAlign w:val="center"/>
          </w:tcPr>
          <w:p w14:paraId="524FB43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CEC95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采用标准模块化组成，</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mm×220mm为一组；主体框架采用标准模块化组成。</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外形及材质：主框架采用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mm厚冷轧钢板及1.5mm-2mm厚铝合金模具成型，冷轧钢板经激光雕刻机精细雕刻，数控折弯成型，要做到承重性能强和耐酸碱、耐腐蚀。表面经环氧树脂粉末喷涂高温固化处理。具有阻燃性强和耐酸碱、耐腐蚀，光泽度好。舱体左右装饰条采用铝板制作。</w:t>
            </w:r>
          </w:p>
        </w:tc>
        <w:tc>
          <w:tcPr>
            <w:tcW w:w="731" w:type="dxa"/>
            <w:vAlign w:val="center"/>
          </w:tcPr>
          <w:p w14:paraId="5BA52E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784D6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F3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1234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16332F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集成功能模块舱体</w:t>
            </w:r>
          </w:p>
        </w:tc>
        <w:tc>
          <w:tcPr>
            <w:tcW w:w="1288" w:type="dxa"/>
            <w:vAlign w:val="center"/>
          </w:tcPr>
          <w:p w14:paraId="02098F6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F27931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32F04FD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A37477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714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953AA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03048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4B21FA0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80B3B6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交流模块：220V阻燃五孔插座，带漏电保护。</w:t>
            </w:r>
          </w:p>
          <w:p w14:paraId="7353A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51F4E44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2E832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w:t>
            </w:r>
          </w:p>
          <w:p w14:paraId="34B650DD">
            <w:pPr>
              <w:widowControl/>
              <w:spacing w:line="280" w:lineRule="exact"/>
              <w:jc w:val="left"/>
              <w:rPr>
                <w:rFonts w:ascii="Times New Roman" w:hAnsi="Times New Roman" w:eastAsia="宋体" w:cs="Times New Roman"/>
                <w:strike/>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72954E3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1AF7B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自行调节电压时触摸屏输入电压值。</w:t>
            </w:r>
          </w:p>
          <w:p w14:paraId="31BEDD2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 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 xml:space="preserve">+0.1)V。 </w:t>
            </w:r>
          </w:p>
        </w:tc>
        <w:tc>
          <w:tcPr>
            <w:tcW w:w="731" w:type="dxa"/>
            <w:vAlign w:val="center"/>
          </w:tcPr>
          <w:p w14:paraId="693223B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DB49A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1A24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1ECE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0D66AD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4CDE4A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以太网模块</w:t>
            </w:r>
          </w:p>
        </w:tc>
        <w:tc>
          <w:tcPr>
            <w:tcW w:w="6240" w:type="dxa"/>
            <w:vAlign w:val="center"/>
          </w:tcPr>
          <w:p w14:paraId="1F2D07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112F4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215C54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368D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20C9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06AFD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380EFB5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4F6D0D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接收智能化控制系统控制，配置LED</w:t>
            </w:r>
            <w:r>
              <w:rPr>
                <w:rFonts w:hint="eastAsia" w:ascii="Times New Roman" w:hAnsi="Times New Roman" w:eastAsia="宋体" w:cs="Times New Roman"/>
                <w:color w:val="auto"/>
                <w:kern w:val="0"/>
                <w:sz w:val="24"/>
                <w:szCs w:val="24"/>
              </w:rPr>
              <w:t>照明光源</w:t>
            </w:r>
            <w:r>
              <w:rPr>
                <w:rFonts w:ascii="Times New Roman" w:hAnsi="Times New Roman" w:eastAsia="宋体" w:cs="Times New Roman"/>
                <w:color w:val="auto"/>
                <w:kern w:val="0"/>
                <w:sz w:val="24"/>
                <w:szCs w:val="24"/>
              </w:rPr>
              <w:t>，灯罩采用亚克力扩散板一次成型，设计安装磨砂透明均光板。</w:t>
            </w:r>
          </w:p>
        </w:tc>
        <w:tc>
          <w:tcPr>
            <w:tcW w:w="731" w:type="dxa"/>
            <w:vAlign w:val="center"/>
          </w:tcPr>
          <w:p w14:paraId="66334C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AA4B4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63A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12283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0E9A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吊装舱体末端端头</w:t>
            </w:r>
          </w:p>
        </w:tc>
        <w:tc>
          <w:tcPr>
            <w:tcW w:w="1288" w:type="dxa"/>
            <w:vAlign w:val="center"/>
          </w:tcPr>
          <w:p w14:paraId="3A24657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AFB279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端盖采用ABS材质，模具一体成型，铝合金装饰条。端盖底板采用冷轧钢板制作。</w:t>
            </w:r>
          </w:p>
        </w:tc>
        <w:tc>
          <w:tcPr>
            <w:tcW w:w="731" w:type="dxa"/>
            <w:vAlign w:val="center"/>
          </w:tcPr>
          <w:p w14:paraId="4CC2EB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41A79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1C42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91E96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7332EC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电源供应线路</w:t>
            </w:r>
          </w:p>
        </w:tc>
        <w:tc>
          <w:tcPr>
            <w:tcW w:w="1288" w:type="dxa"/>
            <w:vAlign w:val="center"/>
          </w:tcPr>
          <w:p w14:paraId="0C9D54B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49AF88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vAlign w:val="center"/>
          </w:tcPr>
          <w:p w14:paraId="3C0D9A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5CE026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04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A584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4A8DD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智能控制系统线路</w:t>
            </w:r>
          </w:p>
        </w:tc>
        <w:tc>
          <w:tcPr>
            <w:tcW w:w="1288" w:type="dxa"/>
            <w:vAlign w:val="center"/>
          </w:tcPr>
          <w:p w14:paraId="7C5B2B8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B2DCE6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p>
        </w:tc>
        <w:tc>
          <w:tcPr>
            <w:tcW w:w="731" w:type="dxa"/>
            <w:vAlign w:val="center"/>
          </w:tcPr>
          <w:p w14:paraId="17ECC39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15D6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7F4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24B79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30E44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支架功能封板</w:t>
            </w:r>
          </w:p>
        </w:tc>
        <w:tc>
          <w:tcPr>
            <w:tcW w:w="1288" w:type="dxa"/>
            <w:vAlign w:val="center"/>
          </w:tcPr>
          <w:p w14:paraId="1B3F7C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FF22A8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能隐藏水电通风管道及电线，采用PVC材质，方便检修。</w:t>
            </w:r>
          </w:p>
        </w:tc>
        <w:tc>
          <w:tcPr>
            <w:tcW w:w="731" w:type="dxa"/>
            <w:vAlign w:val="center"/>
          </w:tcPr>
          <w:p w14:paraId="535F2C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ABBF6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C4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3C49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241CD9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安装支架</w:t>
            </w:r>
          </w:p>
        </w:tc>
        <w:tc>
          <w:tcPr>
            <w:tcW w:w="1288" w:type="dxa"/>
            <w:vAlign w:val="center"/>
          </w:tcPr>
          <w:p w14:paraId="378B722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732DCB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采用专业连接件、直角座、龙骨架连接件、吊装挂件、安装连接板等。</w:t>
            </w:r>
          </w:p>
        </w:tc>
        <w:tc>
          <w:tcPr>
            <w:tcW w:w="731" w:type="dxa"/>
            <w:vAlign w:val="center"/>
          </w:tcPr>
          <w:p w14:paraId="7478B6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AC625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E4A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E061E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121640D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5581B29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E42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采用双槽钢横梁吊装方式，减少楼板承重，防止左右晃动，可进行上下、左右的平衡调节，实验功能板离地2m左右。主要辅件有：槽钢、三角构件、直角座、龙骨架连接件、吊装挂件、安装连接板等。</w:t>
            </w:r>
          </w:p>
        </w:tc>
        <w:tc>
          <w:tcPr>
            <w:tcW w:w="731" w:type="dxa"/>
            <w:vAlign w:val="center"/>
          </w:tcPr>
          <w:p w14:paraId="053CA9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B2CBB6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24A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6297C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30D0B7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p>
        </w:tc>
        <w:tc>
          <w:tcPr>
            <w:tcW w:w="1288" w:type="dxa"/>
            <w:vAlign w:val="center"/>
          </w:tcPr>
          <w:p w14:paraId="6CAD502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A63E1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5、照明系统调试。</w:t>
            </w:r>
          </w:p>
        </w:tc>
        <w:tc>
          <w:tcPr>
            <w:tcW w:w="731" w:type="dxa"/>
            <w:vAlign w:val="center"/>
          </w:tcPr>
          <w:p w14:paraId="4F8BC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55EDC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ECC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4C4E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6578BA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顶装安装</w:t>
            </w:r>
          </w:p>
        </w:tc>
        <w:tc>
          <w:tcPr>
            <w:tcW w:w="1288" w:type="dxa"/>
            <w:vAlign w:val="center"/>
          </w:tcPr>
          <w:p w14:paraId="2FC1A2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E3479C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标准化安装</w:t>
            </w:r>
            <w:r>
              <w:rPr>
                <w:rFonts w:hint="eastAsia" w:ascii="Times New Roman" w:hAnsi="Times New Roman" w:eastAsia="宋体" w:cs="Times New Roman"/>
                <w:color w:val="auto"/>
                <w:kern w:val="0"/>
                <w:sz w:val="24"/>
                <w:szCs w:val="24"/>
              </w:rPr>
              <w:t>。</w:t>
            </w:r>
          </w:p>
        </w:tc>
        <w:tc>
          <w:tcPr>
            <w:tcW w:w="731" w:type="dxa"/>
            <w:vAlign w:val="center"/>
          </w:tcPr>
          <w:p w14:paraId="1E7193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DAB64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F3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1B4BEBE">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2</w:t>
            </w:r>
            <w:r>
              <w:rPr>
                <w:rFonts w:ascii="Times New Roman" w:hAnsi="Times New Roman" w:eastAsia="宋体" w:cs="Times New Roman"/>
                <w:b/>
                <w:bCs/>
                <w:color w:val="auto"/>
                <w:kern w:val="0"/>
                <w:sz w:val="24"/>
                <w:szCs w:val="24"/>
              </w:rPr>
              <w:t>、中学化学实验室家具及设施改造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3EE1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F71AE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655B7F7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1D6837AA">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0F3FA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1A9C025">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2CA6D666">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C85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8D038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3715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AED93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9328C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306412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52743E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5335DE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w:t>
            </w:r>
            <w:r>
              <w:rPr>
                <w:rFonts w:hint="eastAsia" w:ascii="Times New Roman" w:hAnsi="Times New Roman" w:eastAsia="宋体" w:cs="Times New Roman"/>
                <w:color w:val="auto"/>
                <w:kern w:val="0"/>
                <w:sz w:val="24"/>
                <w:szCs w:val="24"/>
              </w:rPr>
              <w:t>达到</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《人造板及饰面人造板理化性能试验方法》的要求，并</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符合该标准要求相应的第三方检测机构出具的产品符合</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30329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w:t>
            </w:r>
            <w:r>
              <w:rPr>
                <w:rFonts w:hint="eastAsia" w:ascii="Times New Roman" w:hAnsi="Times New Roman" w:eastAsia="宋体" w:cs="Times New Roman"/>
                <w:color w:val="auto"/>
                <w:kern w:val="0"/>
                <w:sz w:val="24"/>
                <w:szCs w:val="24"/>
              </w:rPr>
              <w:t>第三方检测机构出具的产品符合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7F26E5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5B3C7CB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C09C6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764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A737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E6B06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4814269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4673D82">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0C7826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187857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F52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D872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713A2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教师电源</w:t>
            </w:r>
          </w:p>
        </w:tc>
        <w:tc>
          <w:tcPr>
            <w:tcW w:w="1288" w:type="dxa"/>
            <w:vAlign w:val="center"/>
          </w:tcPr>
          <w:p w14:paraId="4C117F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EA2F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1、采用ABS工程塑料主体，面板采用PC材质一体注塑成型。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3、可自行设置地址无限频率信道防止与学校网络冲突。</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2AB8AD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6、直流稳压低压输出范围【0—24V】精度0.1V,电流过载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usb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04336D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15E10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93B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2041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3B734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3DCE29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545E11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54429E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C8F771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96C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25BD0E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8822B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EB0D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3ADBB1B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71E26D1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AB933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506B4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471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6D2EA4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27020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紧急洗眼器</w:t>
            </w:r>
          </w:p>
        </w:tc>
        <w:tc>
          <w:tcPr>
            <w:tcW w:w="1288" w:type="dxa"/>
            <w:vAlign w:val="center"/>
          </w:tcPr>
          <w:p w14:paraId="722BDB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96D480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2、高亮度环氧树脂涂层，耐腐蚀、耐热，防紫外线辐射，喷淋头为软性橡胶，防止冲伤眼睛。</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3、防尘盖为PP材质，使用时自动被水冲开。</w:t>
            </w:r>
          </w:p>
        </w:tc>
        <w:tc>
          <w:tcPr>
            <w:tcW w:w="731" w:type="dxa"/>
            <w:vAlign w:val="center"/>
          </w:tcPr>
          <w:p w14:paraId="021203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付</w:t>
            </w:r>
          </w:p>
        </w:tc>
        <w:tc>
          <w:tcPr>
            <w:tcW w:w="717" w:type="dxa"/>
            <w:vAlign w:val="center"/>
          </w:tcPr>
          <w:p w14:paraId="5E1692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41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86D1B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2ED04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44EFD10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3C04594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7AD174D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752E856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0D2656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22D7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1463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5CF8C9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01DFAC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0A88BC9F">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F797792">
            <w:pPr>
              <w:widowControl/>
              <w:jc w:val="left"/>
              <w:rPr>
                <w:rFonts w:ascii="宋体" w:hAnsi="宋体" w:eastAsia="宋体" w:cs="宋体"/>
                <w:color w:val="auto"/>
                <w:kern w:val="0"/>
                <w:sz w:val="24"/>
                <w:szCs w:val="24"/>
              </w:rPr>
            </w:pPr>
            <w:r>
              <w:rPr>
                <w:rFonts w:ascii="Times New Roman" w:hAnsi="Times New Roman" w:eastAsia="宋体" w:cs="Times New Roman"/>
                <w:color w:val="auto"/>
                <w:kern w:val="0"/>
                <w:sz w:val="24"/>
                <w:szCs w:val="24"/>
              </w:rPr>
              <w:t>1、分为柜体、水槽、底脚三部分。外接触面均做圆角处理，无安全隐患。</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×330mm×230mm，采用共聚PP材料，一体注塑成型，具有良好的耐酸碱、耐高温、耐腐蚀的特性。壁厚≥2.0mm，内凹造型，水槽内部置抗腐蚀金属过滤网，网格尺寸≥35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×100×1.5mm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strike w:val="0"/>
                <w:color w:val="auto"/>
                <w:kern w:val="0"/>
                <w:sz w:val="24"/>
                <w:szCs w:val="24"/>
              </w:rPr>
              <w:t>3、柜体采用≥1.0mm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4、地脚：采用PP材质，磨具一次成型，耐酸碱腐蚀。</w:t>
            </w:r>
          </w:p>
          <w:p w14:paraId="4D2DDE1C">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45B4B5A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2D37C5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D1F03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35A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995F3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8B7DE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D3C19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A634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154822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2112C7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D52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CD77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D2AD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52B26F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29BAFA28">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65096B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4B6EBE6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 </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0D5502B1">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43C33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3C58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8EF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E9B52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707B7D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1F73083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tc>
        <w:tc>
          <w:tcPr>
            <w:tcW w:w="6240" w:type="dxa"/>
            <w:vAlign w:val="center"/>
          </w:tcPr>
          <w:p w14:paraId="7A9923B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p w14:paraId="1B504C5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 xml:space="preserve">mm×1.0mm两根，承重力强。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4、门铰链：采用PP材料模具一次成型，伸缩式PP旋转门轴，永不生锈，耐腐蚀性好。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strike w:val="0"/>
                <w:color w:val="auto"/>
                <w:kern w:val="0"/>
                <w:sz w:val="24"/>
                <w:szCs w:val="24"/>
                <w:lang w:val="en-US" w:eastAsia="zh-CN"/>
              </w:rPr>
              <w:t>150</w:t>
            </w:r>
            <w:r>
              <w:rPr>
                <w:rFonts w:ascii="Times New Roman" w:hAnsi="Times New Roman" w:eastAsia="宋体" w:cs="Times New Roman"/>
                <w:color w:val="auto"/>
                <w:kern w:val="0"/>
                <w:sz w:val="24"/>
                <w:szCs w:val="24"/>
              </w:rPr>
              <w:t>mm×9mm厚，稳定性能好，强度高，便于安装及外形美观，不晃动。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5B0B22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86AB0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33A5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92023CA">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控制系统</w:t>
            </w:r>
          </w:p>
        </w:tc>
      </w:tr>
      <w:tr w14:paraId="4BA1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E58AF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0D6E835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3AAAF9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7CE63D9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0A3B9CA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color w:val="auto"/>
                <w:kern w:val="0"/>
                <w:sz w:val="24"/>
                <w:szCs w:val="24"/>
                <w:lang w:val="en-US" w:eastAsia="zh-CN"/>
              </w:rPr>
              <w:t>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31893A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、教师可通过液晶屏控制学生通风风量开启、关闭和设置风量等功能。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8</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9</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1BD70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764A4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A8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F0C594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B13FC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1DA9BBC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1E95B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539042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0B5F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ADD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6F8A0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1047631">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596C384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1A1590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智能实验室操作控制系统软件，方便老师对实验室设备进行各种操作如：供水系统、通风系统、高压系统、低压系统实现统一控制管理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、通风系统：系统需具有对通风设备进行开启、关闭、设置转速等功能。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4</w:t>
            </w:r>
            <w:r>
              <w:rPr>
                <w:rFonts w:ascii="Times New Roman" w:hAnsi="Times New Roman" w:eastAsia="宋体" w:cs="Times New Roman"/>
                <w:color w:val="auto"/>
                <w:kern w:val="0"/>
                <w:sz w:val="24"/>
                <w:szCs w:val="24"/>
              </w:rPr>
              <w:t>、低压系统：系统需具有各种控制模式，满足老师对学生的教学应用，如：教师控制、学生控制等。</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5</w:t>
            </w:r>
            <w:r>
              <w:rPr>
                <w:rFonts w:ascii="Times New Roman" w:hAnsi="Times New Roman" w:eastAsia="宋体" w:cs="Times New Roman"/>
                <w:color w:val="auto"/>
                <w:kern w:val="0"/>
                <w:sz w:val="24"/>
                <w:szCs w:val="24"/>
              </w:rPr>
              <w:t>、具有结束关闭按钮。</w:t>
            </w:r>
          </w:p>
        </w:tc>
        <w:tc>
          <w:tcPr>
            <w:tcW w:w="731" w:type="dxa"/>
            <w:vAlign w:val="center"/>
          </w:tcPr>
          <w:p w14:paraId="3DD9FF3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38E79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C48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4A03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100D8D06">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学生端分组控制系统</w:t>
            </w:r>
          </w:p>
        </w:tc>
        <w:tc>
          <w:tcPr>
            <w:tcW w:w="1288" w:type="dxa"/>
            <w:vAlign w:val="center"/>
          </w:tcPr>
          <w:p w14:paraId="209592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F3A8B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学生端分组控制系统接收智慧实验室吊装系统控制软件指令，对学生端模块的排风系统、供水系统、照明系统、220V插座系统、低压电源系统、摇臂系统进行分组控制。</w:t>
            </w:r>
          </w:p>
        </w:tc>
        <w:tc>
          <w:tcPr>
            <w:tcW w:w="731" w:type="dxa"/>
            <w:vAlign w:val="center"/>
          </w:tcPr>
          <w:p w14:paraId="44771A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F7328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76E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0516B43">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通风系统</w:t>
            </w:r>
          </w:p>
        </w:tc>
      </w:tr>
      <w:tr w14:paraId="1B0E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960C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37D2CF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万向吸风罩</w:t>
            </w:r>
          </w:p>
        </w:tc>
        <w:tc>
          <w:tcPr>
            <w:tcW w:w="1288" w:type="dxa"/>
            <w:vAlign w:val="center"/>
          </w:tcPr>
          <w:p w14:paraId="4CAF78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91BC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1、关节：高密度PP材质，可360°旋转调节方向。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2、关节密封圈：不易老化之高密度橡胶。</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3、关节链接杆：304不锈钢。</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4、关节松紧旋钮：高密度PP材质，内嵌不锈钢轴承，与关节连接杆锁合。</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5、气流调节阀：手动调节外部阀门旋钮，控制进入之气流量。</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6、拱形/环形集气罩：高密度PP/PC材质。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7、伸缩导管：Φ75mmPP。</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8、360°旋转装置：以固定架为中心最大活动半径可达1500mm。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9、固定底座：高密度PVC材质，非粘接而成，模具注塑一体成型，牢度强，不脱底。</w:t>
            </w:r>
          </w:p>
        </w:tc>
        <w:tc>
          <w:tcPr>
            <w:tcW w:w="731" w:type="dxa"/>
            <w:vAlign w:val="center"/>
          </w:tcPr>
          <w:p w14:paraId="76568E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F471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4F1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CEA840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44FD71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通风系统装置 </w:t>
            </w:r>
          </w:p>
        </w:tc>
        <w:tc>
          <w:tcPr>
            <w:tcW w:w="1288" w:type="dxa"/>
            <w:vAlign w:val="center"/>
          </w:tcPr>
          <w:p w14:paraId="1CFDFE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E250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1、万向通风系统采用伸缩</w:t>
            </w:r>
            <w:r>
              <w:rPr>
                <w:rFonts w:hint="eastAsia" w:ascii="Times New Roman" w:hAnsi="Times New Roman" w:eastAsia="宋体" w:cs="Times New Roman"/>
                <w:color w:val="auto"/>
                <w:kern w:val="0"/>
                <w:sz w:val="24"/>
                <w:szCs w:val="24"/>
                <w:lang w:val="en-US" w:eastAsia="zh-CN"/>
              </w:rPr>
              <w:t>组件</w:t>
            </w:r>
            <w:r>
              <w:rPr>
                <w:rFonts w:ascii="Times New Roman" w:hAnsi="Times New Roman" w:eastAsia="宋体" w:cs="Times New Roman"/>
                <w:color w:val="auto"/>
                <w:kern w:val="0"/>
                <w:sz w:val="24"/>
                <w:szCs w:val="24"/>
              </w:rPr>
              <w:t>组成，伸缩组件采用高强度铝合金挤压一次成型，表面采用粉末静电喷涂，高温固化处理，防酸防碱耐腐蚀。</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2、通风系统采用轨道式辅助机构，内设阻尼运动构件，可实现通风管道任意位置可停，同时有效防止管道旋转，方便使用。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3、卡扣式固定机构，实现360°任意位置固定。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4、通风系统可实现360°，可任意弯曲，自动定型。</w:t>
            </w:r>
          </w:p>
        </w:tc>
        <w:tc>
          <w:tcPr>
            <w:tcW w:w="731" w:type="dxa"/>
            <w:vAlign w:val="center"/>
          </w:tcPr>
          <w:p w14:paraId="3BF8C2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B9C3D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73BE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64E7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90877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室内风管及配件</w:t>
            </w:r>
          </w:p>
        </w:tc>
        <w:tc>
          <w:tcPr>
            <w:tcW w:w="1288" w:type="dxa"/>
            <w:vAlign w:val="center"/>
          </w:tcPr>
          <w:p w14:paraId="0C2AF6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3AA5C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规格：标准模块化组成，≥1200mm×300mm为一组。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通风主管道、支管道均采用防腐蚀 PP塑料板焊接而成，主管道：φ160mm-φ200mm风道；通风支管道：≥φ110mm圆型风道，接口采用专用胶固定后专用焊条焊接连接。</w:t>
            </w:r>
          </w:p>
        </w:tc>
        <w:tc>
          <w:tcPr>
            <w:tcW w:w="731" w:type="dxa"/>
            <w:vAlign w:val="center"/>
          </w:tcPr>
          <w:p w14:paraId="5FD10D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F507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r>
      <w:tr w14:paraId="0CA2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DDCBF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8DED2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室外行程管道</w:t>
            </w:r>
          </w:p>
        </w:tc>
        <w:tc>
          <w:tcPr>
            <w:tcW w:w="1288" w:type="dxa"/>
            <w:vAlign w:val="center"/>
          </w:tcPr>
          <w:p w14:paraId="41DACFD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8DF1E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采用防腐蚀PP材质，整体焊接成型，具有整体结构性能好、严密性高等优点。同时具有耐酸碱性能。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规格：φ300。管卡采用碳钢制作，表面经镀铬处理，具有耐腐蚀、防火、防潮等功能。</w:t>
            </w:r>
          </w:p>
        </w:tc>
        <w:tc>
          <w:tcPr>
            <w:tcW w:w="731" w:type="dxa"/>
            <w:vAlign w:val="center"/>
          </w:tcPr>
          <w:p w14:paraId="3A1091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0DBA3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19F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DF5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31CF9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全室通风机</w:t>
            </w:r>
          </w:p>
        </w:tc>
        <w:tc>
          <w:tcPr>
            <w:tcW w:w="1288" w:type="dxa"/>
            <w:vAlign w:val="center"/>
          </w:tcPr>
          <w:p w14:paraId="383B00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B4502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1、PP风机。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2、6A离心式通风机，每小时换气20次，噪声要求按行业标准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55分贝，材质采用PP材料制作，带进出口消音器，防水帽，电机，电机防护罩，减震器等。电动机功率5.5 KW。</w:t>
            </w:r>
          </w:p>
        </w:tc>
        <w:tc>
          <w:tcPr>
            <w:tcW w:w="731" w:type="dxa"/>
            <w:vAlign w:val="center"/>
          </w:tcPr>
          <w:p w14:paraId="79569C5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6FE898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5B2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FE932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A3B58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风机布线耗材</w:t>
            </w:r>
          </w:p>
        </w:tc>
        <w:tc>
          <w:tcPr>
            <w:tcW w:w="1288" w:type="dxa"/>
            <w:vAlign w:val="center"/>
          </w:tcPr>
          <w:p w14:paraId="1ECEF9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1B5B57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2.5平方×3+1.5平方×2塑铜线。</w:t>
            </w:r>
          </w:p>
        </w:tc>
        <w:tc>
          <w:tcPr>
            <w:tcW w:w="731" w:type="dxa"/>
            <w:vAlign w:val="center"/>
          </w:tcPr>
          <w:p w14:paraId="2E29D9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2C5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4F3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5EB3FC">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749F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3651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6856F94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50FEA184">
            <w:pPr>
              <w:widowControl/>
              <w:spacing w:line="280" w:lineRule="exact"/>
              <w:jc w:val="center"/>
              <w:rPr>
                <w:rFonts w:ascii="Times New Roman" w:hAnsi="Times New Roman"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D61D8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4、电源系统和通风系统同步回转机构采用铸铝模具一次压铸成型，壁厚≥6mm。</w:t>
            </w:r>
          </w:p>
        </w:tc>
        <w:tc>
          <w:tcPr>
            <w:tcW w:w="731" w:type="dxa"/>
            <w:vAlign w:val="center"/>
          </w:tcPr>
          <w:p w14:paraId="1C3860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A75A5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713B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D3BA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5CEA81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601333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F1FEB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hint="eastAsia" w:ascii="Times New Roman" w:hAnsi="Times New Roman" w:eastAsia="宋体" w:cs="Times New Roman"/>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吊装控制系统接收智慧实验室吊装系统控制软件指令：摇臂升降控制、供水控制、照明控制、低压电源控制、AC220V控制，各元器件保护及复位功能。</w:t>
            </w:r>
          </w:p>
        </w:tc>
        <w:tc>
          <w:tcPr>
            <w:tcW w:w="731" w:type="dxa"/>
            <w:vAlign w:val="center"/>
          </w:tcPr>
          <w:p w14:paraId="6918C0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45426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17D8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B380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6FD3A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55FF3D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431AD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模块内预留高压、低压、网络、上下水接口位置。面板面板采用PC+ABS复合材料制作，连接组件采用高强度铝合金材质，表面喷砂氧化处理。</w:t>
            </w:r>
          </w:p>
        </w:tc>
        <w:tc>
          <w:tcPr>
            <w:tcW w:w="731" w:type="dxa"/>
            <w:vAlign w:val="center"/>
          </w:tcPr>
          <w:p w14:paraId="6B1796C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FEF31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81B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13C5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1C376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7423580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96AD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交流模块：220V交流阻燃五孔插座，带漏电及过载保护功能。</w:t>
            </w:r>
          </w:p>
          <w:p w14:paraId="75CDF4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3E4B24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4EBDC9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2、可自行设置地址无限频率信道防止与学校网络冲突。</w:t>
            </w:r>
          </w:p>
          <w:p w14:paraId="11F99F17">
            <w:pPr>
              <w:widowControl/>
              <w:spacing w:line="280" w:lineRule="exact"/>
              <w:jc w:val="left"/>
              <w:rPr>
                <w:rFonts w:ascii="Times New Roman" w:hAnsi="Times New Roman" w:eastAsia="宋体" w:cs="Times New Roman"/>
                <w:strike/>
                <w:color w:val="auto"/>
                <w:kern w:val="0"/>
                <w:sz w:val="24"/>
                <w:szCs w:val="24"/>
              </w:rPr>
            </w:pP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4DF4D1F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2DD5B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lang w:eastAsia="zh-CN"/>
              </w:rPr>
              <w:t>，</w:t>
            </w:r>
            <w:r>
              <w:rPr>
                <w:rFonts w:ascii="Times New Roman" w:hAnsi="Times New Roman" w:eastAsia="宋体" w:cs="Times New Roman"/>
                <w:color w:val="auto"/>
                <w:kern w:val="0"/>
                <w:sz w:val="24"/>
                <w:szCs w:val="24"/>
              </w:rPr>
              <w:t>自行调节电压时触摸屏输入电压值。</w:t>
            </w:r>
          </w:p>
          <w:p w14:paraId="4CC85BC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p>
          <w:p w14:paraId="69F5B65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7、弱电输出稳定，加载50W，压降小于0.2V。</w:t>
            </w:r>
          </w:p>
          <w:p w14:paraId="7199BF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8、防插拔摆臂系统。</w:t>
            </w:r>
          </w:p>
        </w:tc>
        <w:tc>
          <w:tcPr>
            <w:tcW w:w="731" w:type="dxa"/>
            <w:tcBorders>
              <w:top w:val="single" w:color="000000" w:sz="4" w:space="0"/>
              <w:left w:val="single" w:color="000000" w:sz="4" w:space="0"/>
              <w:bottom w:val="single" w:color="000000" w:sz="4" w:space="0"/>
              <w:right w:val="single" w:color="000000" w:sz="4" w:space="0"/>
            </w:tcBorders>
            <w:vAlign w:val="center"/>
          </w:tcPr>
          <w:p w14:paraId="103CD301">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套</w:t>
            </w:r>
          </w:p>
        </w:tc>
        <w:tc>
          <w:tcPr>
            <w:tcW w:w="717" w:type="dxa"/>
            <w:tcBorders>
              <w:top w:val="single" w:color="000000" w:sz="4" w:space="0"/>
              <w:left w:val="nil"/>
              <w:bottom w:val="single" w:color="000000" w:sz="4" w:space="0"/>
            </w:tcBorders>
            <w:vAlign w:val="center"/>
          </w:tcPr>
          <w:p w14:paraId="73C01B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3834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D0C1A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1679C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5E036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55344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678FE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A63AC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24ED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A32A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982D9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54ACD7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D291C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6752E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117C9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6A71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0A09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5B603B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34F6D3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820253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678A13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B3AE3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CB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C6C0B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15124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4389AD4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0808AB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6DFA925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63151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398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8BC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B8B99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46D4E6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83DE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0BD9A1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51D0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8B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C9557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5BF184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44420CB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D8A9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给水主管选用φ20-32mmPP-R给水管，模块化设计，每组模块间采用活接式连接，方便安装、检修。</w:t>
            </w:r>
          </w:p>
        </w:tc>
        <w:tc>
          <w:tcPr>
            <w:tcW w:w="731" w:type="dxa"/>
            <w:vAlign w:val="center"/>
          </w:tcPr>
          <w:p w14:paraId="23589B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4B173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1B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34626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5B3375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vAlign w:val="center"/>
          </w:tcPr>
          <w:p w14:paraId="6EB9D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B6B820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排水管选用加厚φ50-75mmPVC-U管（具有防酸、防碱、耐腐蚀功能），模块化设计，每组模块间采用活接式连接，方便安装、检修。</w:t>
            </w:r>
          </w:p>
        </w:tc>
        <w:tc>
          <w:tcPr>
            <w:tcW w:w="731" w:type="dxa"/>
            <w:vAlign w:val="center"/>
          </w:tcPr>
          <w:p w14:paraId="56157F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C9BBD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87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4AFC4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5DF51A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vAlign w:val="center"/>
          </w:tcPr>
          <w:p w14:paraId="57A725E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09BC94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采用2.5平方电线进行系统布线。</w:t>
            </w:r>
          </w:p>
        </w:tc>
        <w:tc>
          <w:tcPr>
            <w:tcW w:w="731" w:type="dxa"/>
            <w:vAlign w:val="center"/>
          </w:tcPr>
          <w:p w14:paraId="5B2159E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FE49DD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91F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351D6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7FCC0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vAlign w:val="center"/>
          </w:tcPr>
          <w:p w14:paraId="7C4275E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B73D9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7、照明系统调试。</w:t>
            </w:r>
          </w:p>
        </w:tc>
        <w:tc>
          <w:tcPr>
            <w:tcW w:w="731" w:type="dxa"/>
            <w:vAlign w:val="center"/>
          </w:tcPr>
          <w:p w14:paraId="383F1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615427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D7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973D1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2A5189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0D98346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D0AB6E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主要辅件有：槽钢、三角构件、直角座、龙骨架连接件、吊装挂件、安装连接板等。</w:t>
            </w:r>
          </w:p>
        </w:tc>
        <w:tc>
          <w:tcPr>
            <w:tcW w:w="731" w:type="dxa"/>
            <w:vAlign w:val="center"/>
          </w:tcPr>
          <w:p w14:paraId="1BB063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1D5DC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F4C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6EAC1C">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3</w:t>
            </w:r>
            <w:r>
              <w:rPr>
                <w:rFonts w:ascii="Times New Roman" w:hAnsi="Times New Roman" w:eastAsia="宋体" w:cs="Times New Roman"/>
                <w:b/>
                <w:bCs/>
                <w:color w:val="auto"/>
                <w:kern w:val="0"/>
                <w:sz w:val="24"/>
                <w:szCs w:val="24"/>
              </w:rPr>
              <w:t>、中学生物实验室家具及设施改造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7634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2C3FB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61232D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7BB9B1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140D56A2">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78E85DA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7E1AF69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252A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69B9F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5A41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0369CE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教师、学生实验区</w:t>
            </w:r>
          </w:p>
        </w:tc>
      </w:tr>
      <w:tr w14:paraId="363D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BF0C9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ADB63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76AA5F3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EC07C91">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0F5F412">
            <w:pPr>
              <w:widowControl/>
              <w:spacing w:line="32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台面化学性能指标达到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检测标准检测标准，</w:t>
            </w:r>
            <w:r>
              <w:rPr>
                <w:rFonts w:hint="eastAsia" w:ascii="Times New Roman" w:hAnsi="Times New Roman" w:eastAsia="宋体" w:cs="Times New Roman"/>
                <w:color w:val="auto"/>
                <w:kern w:val="0"/>
                <w:sz w:val="24"/>
                <w:szCs w:val="24"/>
              </w:rPr>
              <w:t>并</w:t>
            </w:r>
            <w:r>
              <w:rPr>
                <w:rFonts w:ascii="Times New Roman" w:hAnsi="Times New Roman" w:eastAsia="宋体" w:cs="Times New Roman"/>
                <w:color w:val="auto"/>
                <w:kern w:val="0"/>
                <w:sz w:val="24"/>
                <w:szCs w:val="24"/>
              </w:rPr>
              <w:t>提供第三方检测机构出具的产品</w:t>
            </w:r>
            <w:r>
              <w:rPr>
                <w:rFonts w:hint="eastAsia" w:ascii="Times New Roman" w:hAnsi="Times New Roman" w:eastAsia="宋体" w:cs="Times New Roman"/>
                <w:color w:val="auto"/>
                <w:kern w:val="0"/>
                <w:sz w:val="24"/>
                <w:szCs w:val="24"/>
              </w:rPr>
              <w:t>符合该</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0F42087">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判定为ENF级。提供第三方检测机构出具的产品</w:t>
            </w:r>
            <w:r>
              <w:rPr>
                <w:rFonts w:hint="eastAsia" w:ascii="Times New Roman" w:hAnsi="Times New Roman" w:eastAsia="宋体" w:cs="Times New Roman"/>
                <w:color w:val="auto"/>
                <w:kern w:val="0"/>
                <w:sz w:val="24"/>
                <w:szCs w:val="24"/>
              </w:rPr>
              <w:t>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08C741E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6F57AC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DF8EE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D5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59BE2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30F31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23E927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3448095">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393F9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34D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4B1F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AF5C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AB0BA4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0B440B8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DE442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217060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3C63D7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77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BC959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DBD48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42E9236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08A3BF5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327203A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63008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928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ED5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6608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2DBB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906B5C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0E5538E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2D814F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034585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B995E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7A0B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ADB2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00E084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E1CA1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2F1EFEE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60F1C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分为柜体、水槽、底脚三部分。外接触面均做圆角处理，无安全隐患。</w:t>
            </w:r>
          </w:p>
          <w:p w14:paraId="6714B57E">
            <w:pPr>
              <w:widowControl/>
              <w:jc w:val="left"/>
              <w:rPr>
                <w:rFonts w:ascii="宋体" w:hAnsi="宋体" w:eastAsia="宋体" w:cs="宋体"/>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w:t>
            </w:r>
            <w:r>
              <w:rPr>
                <w:rFonts w:hint="eastAsia" w:ascii="宋体" w:hAnsi="宋体" w:eastAsia="宋体" w:cs="宋体"/>
                <w:color w:val="auto"/>
                <w:kern w:val="0"/>
                <w:sz w:val="24"/>
                <w:szCs w:val="24"/>
              </w:rPr>
              <w:t xml:space="preserve"> </w:t>
            </w:r>
            <w:r>
              <w:rPr>
                <w:rFonts w:ascii="Times New Roman" w:hAnsi="Times New Roman" w:eastAsia="宋体" w:cs="Times New Roman"/>
                <w:color w:val="auto"/>
                <w:kern w:val="0"/>
                <w:sz w:val="24"/>
                <w:szCs w:val="24"/>
              </w:rPr>
              <w:t>，采用共聚PP材料，具有良好的耐酸碱、耐腐蚀的特性。壁厚≥2.0mm，内凹造型，水槽内部置抗腐蚀金属过滤网，网格尺寸≥35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mm×100mm×1.5mm；</w:t>
            </w:r>
          </w:p>
          <w:p w14:paraId="5121CC3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strike w:val="0"/>
                <w:color w:val="auto"/>
                <w:kern w:val="0"/>
                <w:sz w:val="24"/>
                <w:szCs w:val="24"/>
                <w:lang w:val="en-US" w:eastAsia="zh-CN"/>
              </w:rPr>
              <w:t>3、</w:t>
            </w:r>
            <w:r>
              <w:rPr>
                <w:rFonts w:ascii="Times New Roman" w:hAnsi="Times New Roman" w:eastAsia="宋体" w:cs="Times New Roman"/>
                <w:strike w:val="0"/>
                <w:color w:val="auto"/>
                <w:kern w:val="0"/>
                <w:sz w:val="24"/>
                <w:szCs w:val="24"/>
              </w:rPr>
              <w:t>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p>
          <w:p w14:paraId="27FF9C7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地脚：采用PP材质，磨具一次成型，耐酸碱腐蚀。</w:t>
            </w:r>
          </w:p>
          <w:p w14:paraId="6FEE1E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684E613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1F4BE4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0283BA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993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2955AD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37F1BB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948FC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CFAF16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7E4B44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070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3CC9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6572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D0E5B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13EE6FF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4B7C7BEC">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3591925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3529953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50563A2D">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5961F9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90DA3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157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0E312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276D5EA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7B04996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4173EFC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6FA1874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mm×1.0mm两根，承重力强。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4、门铰链：采用PP材料模具一次成型，伸缩式PP旋转门轴，永不生锈，耐腐蚀性好。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strike w:val="0"/>
                <w:color w:val="auto"/>
                <w:kern w:val="0"/>
                <w:sz w:val="24"/>
                <w:szCs w:val="24"/>
                <w:lang w:eastAsia="zh-CN"/>
              </w:rPr>
              <w:t>1</w:t>
            </w:r>
            <w:r>
              <w:rPr>
                <w:rFonts w:hint="eastAsia" w:ascii="Times New Roman" w:hAnsi="Times New Roman" w:eastAsia="宋体" w:cs="Times New Roman"/>
                <w:strike w:val="0"/>
                <w:color w:val="auto"/>
                <w:kern w:val="0"/>
                <w:sz w:val="24"/>
                <w:szCs w:val="24"/>
                <w:lang w:val="en-US" w:eastAsia="zh-CN"/>
              </w:rPr>
              <w:t>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69C24A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F1BD0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51D1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06555F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6696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5BB6B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19BBC13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65B505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516E40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2A9337B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CEC5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8</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706C85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17DD8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7D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7166C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26B5F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221379B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71A526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25D159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F942B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050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62D4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604F0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2394A91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47619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智能实验室操作控制系统软件，方便老师对实验室设备进行各种操作如：供水系统、高压系统实现统一控制管理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、具有结束关闭按钮。</w:t>
            </w:r>
          </w:p>
        </w:tc>
        <w:tc>
          <w:tcPr>
            <w:tcW w:w="731" w:type="dxa"/>
            <w:vAlign w:val="center"/>
          </w:tcPr>
          <w:p w14:paraId="20A90F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881093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2C9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02DC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1BA60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2A881C2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F8A14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1、学生端分组控制系统接收智慧实验室吊装系统控制软件指令，对学生端模块的供水系统、照明系统、220V插座系统、摇臂系统进行分组控制。</w:t>
            </w:r>
          </w:p>
        </w:tc>
        <w:tc>
          <w:tcPr>
            <w:tcW w:w="731" w:type="dxa"/>
            <w:vAlign w:val="center"/>
          </w:tcPr>
          <w:p w14:paraId="7536F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BB1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81B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29E672D">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6678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vAlign w:val="center"/>
          </w:tcPr>
          <w:p w14:paraId="58E32940">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1</w:t>
            </w:r>
          </w:p>
        </w:tc>
        <w:tc>
          <w:tcPr>
            <w:tcW w:w="807" w:type="dxa"/>
            <w:vAlign w:val="center"/>
          </w:tcPr>
          <w:p w14:paraId="4658AD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4FD387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9C78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p>
          <w:p w14:paraId="386919C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、电源系统同步回转机构采用铸铝模具一次压铸成型，壁厚≥6mm。</w:t>
            </w:r>
          </w:p>
        </w:tc>
        <w:tc>
          <w:tcPr>
            <w:tcW w:w="731" w:type="dxa"/>
            <w:vAlign w:val="center"/>
          </w:tcPr>
          <w:p w14:paraId="3A035A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70EB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E2C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E54900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w:t>
            </w:r>
          </w:p>
        </w:tc>
        <w:tc>
          <w:tcPr>
            <w:tcW w:w="807" w:type="dxa"/>
            <w:vAlign w:val="center"/>
          </w:tcPr>
          <w:p w14:paraId="7AB1E5D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6CB9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4AA054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系统内置：采用协议控制，接线端子一套，智能交直流电源模块一套</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吊装控制系统接收智慧实验室吊装系统控制软件指令：摇臂升降控制、供水控制、照明控制、AC220V控制，各元器件保护及复位功能。</w:t>
            </w:r>
          </w:p>
        </w:tc>
        <w:tc>
          <w:tcPr>
            <w:tcW w:w="731" w:type="dxa"/>
            <w:vAlign w:val="center"/>
          </w:tcPr>
          <w:p w14:paraId="1DBEA6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134B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F44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026471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p>
        </w:tc>
        <w:tc>
          <w:tcPr>
            <w:tcW w:w="807" w:type="dxa"/>
            <w:vAlign w:val="center"/>
          </w:tcPr>
          <w:p w14:paraId="2417C8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092E322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99F90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4639E7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0B0EF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19D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0DFC1B9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p>
        </w:tc>
        <w:tc>
          <w:tcPr>
            <w:tcW w:w="807" w:type="dxa"/>
            <w:vAlign w:val="center"/>
          </w:tcPr>
          <w:p w14:paraId="1BAB8E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120343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4D22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220V交流阻燃五孔插座，带漏电及过载保护功能。</w:t>
            </w:r>
          </w:p>
        </w:tc>
        <w:tc>
          <w:tcPr>
            <w:tcW w:w="731" w:type="dxa"/>
            <w:vAlign w:val="center"/>
          </w:tcPr>
          <w:p w14:paraId="691EF1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6D7C9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48</w:t>
            </w:r>
          </w:p>
        </w:tc>
      </w:tr>
      <w:tr w14:paraId="2DA5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98A834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5</w:t>
            </w:r>
          </w:p>
        </w:tc>
        <w:tc>
          <w:tcPr>
            <w:tcW w:w="807" w:type="dxa"/>
            <w:vAlign w:val="center"/>
          </w:tcPr>
          <w:p w14:paraId="098473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351E22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7AD79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2D180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71378C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54B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3E6F2CFC">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6</w:t>
            </w:r>
          </w:p>
        </w:tc>
        <w:tc>
          <w:tcPr>
            <w:tcW w:w="807" w:type="dxa"/>
            <w:vAlign w:val="center"/>
          </w:tcPr>
          <w:p w14:paraId="4403E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6657C6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E5FF99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2F02D0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41CD19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402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8B2812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7</w:t>
            </w:r>
          </w:p>
        </w:tc>
        <w:tc>
          <w:tcPr>
            <w:tcW w:w="807" w:type="dxa"/>
            <w:vAlign w:val="center"/>
          </w:tcPr>
          <w:p w14:paraId="4BE13C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554F20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64261E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584282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D0D3AF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0A90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40BDA3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8</w:t>
            </w:r>
          </w:p>
        </w:tc>
        <w:tc>
          <w:tcPr>
            <w:tcW w:w="807" w:type="dxa"/>
            <w:vAlign w:val="center"/>
          </w:tcPr>
          <w:p w14:paraId="52C84C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5A5D09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F3B7AB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4D9383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6D85A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1B2A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65374D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9</w:t>
            </w:r>
          </w:p>
        </w:tc>
        <w:tc>
          <w:tcPr>
            <w:tcW w:w="807" w:type="dxa"/>
            <w:vAlign w:val="center"/>
          </w:tcPr>
          <w:p w14:paraId="358372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14A4844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5BBFB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4550AB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9095E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D0E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14BBBB7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10</w:t>
            </w:r>
          </w:p>
        </w:tc>
        <w:tc>
          <w:tcPr>
            <w:tcW w:w="807" w:type="dxa"/>
            <w:vAlign w:val="center"/>
          </w:tcPr>
          <w:p w14:paraId="1BCEE4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753B1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7589F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给水主管选用φ20mm-32mmPP-R给水管，模块化设计，每组模块间采用活接式连接，方便安装、检修。</w:t>
            </w:r>
          </w:p>
        </w:tc>
        <w:tc>
          <w:tcPr>
            <w:tcW w:w="731" w:type="dxa"/>
            <w:vAlign w:val="center"/>
          </w:tcPr>
          <w:p w14:paraId="6F77B6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925A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3A9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auto" w:sz="4" w:space="0"/>
              <w:right w:val="single" w:color="000000" w:sz="4" w:space="0"/>
            </w:tcBorders>
            <w:vAlign w:val="center"/>
          </w:tcPr>
          <w:p w14:paraId="30A235F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p>
        </w:tc>
        <w:tc>
          <w:tcPr>
            <w:tcW w:w="807" w:type="dxa"/>
            <w:tcBorders>
              <w:bottom w:val="single" w:color="auto" w:sz="4" w:space="0"/>
            </w:tcBorders>
            <w:vAlign w:val="center"/>
          </w:tcPr>
          <w:p w14:paraId="1C99E8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tcBorders>
              <w:bottom w:val="single" w:color="auto" w:sz="4" w:space="0"/>
            </w:tcBorders>
            <w:vAlign w:val="center"/>
          </w:tcPr>
          <w:p w14:paraId="4820F4E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bottom w:val="single" w:color="auto" w:sz="4" w:space="0"/>
            </w:tcBorders>
            <w:vAlign w:val="center"/>
          </w:tcPr>
          <w:p w14:paraId="6307203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排水管选用加厚φ50mm-75mmPVC-U管（具有防酸、防碱、耐腐蚀功能），模块化设计，每组模块间采用活接式连接，方便安装、检修。</w:t>
            </w:r>
          </w:p>
        </w:tc>
        <w:tc>
          <w:tcPr>
            <w:tcW w:w="731" w:type="dxa"/>
            <w:tcBorders>
              <w:bottom w:val="single" w:color="auto" w:sz="4" w:space="0"/>
            </w:tcBorders>
            <w:vAlign w:val="center"/>
          </w:tcPr>
          <w:p w14:paraId="5A479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bottom w:val="single" w:color="auto" w:sz="4" w:space="0"/>
            </w:tcBorders>
            <w:vAlign w:val="center"/>
          </w:tcPr>
          <w:p w14:paraId="3F7C1F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E1D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4E4005D2">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w:t>
            </w:r>
          </w:p>
        </w:tc>
        <w:tc>
          <w:tcPr>
            <w:tcW w:w="807" w:type="dxa"/>
            <w:tcBorders>
              <w:top w:val="single" w:color="auto" w:sz="4" w:space="0"/>
              <w:left w:val="single" w:color="auto" w:sz="4" w:space="0"/>
              <w:bottom w:val="single" w:color="auto" w:sz="4" w:space="0"/>
              <w:right w:val="single" w:color="auto" w:sz="4" w:space="0"/>
            </w:tcBorders>
            <w:vAlign w:val="center"/>
          </w:tcPr>
          <w:p w14:paraId="188E0A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tcBorders>
              <w:top w:val="single" w:color="auto" w:sz="4" w:space="0"/>
              <w:left w:val="single" w:color="auto" w:sz="4" w:space="0"/>
              <w:bottom w:val="single" w:color="auto" w:sz="4" w:space="0"/>
              <w:right w:val="single" w:color="auto" w:sz="4" w:space="0"/>
            </w:tcBorders>
            <w:vAlign w:val="center"/>
          </w:tcPr>
          <w:p w14:paraId="070A30D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14BC2C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tcBorders>
              <w:top w:val="single" w:color="auto" w:sz="4" w:space="0"/>
              <w:left w:val="single" w:color="auto" w:sz="4" w:space="0"/>
              <w:bottom w:val="single" w:color="auto" w:sz="4" w:space="0"/>
              <w:right w:val="single" w:color="auto" w:sz="4" w:space="0"/>
            </w:tcBorders>
            <w:vAlign w:val="center"/>
          </w:tcPr>
          <w:p w14:paraId="119B66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top w:val="single" w:color="auto" w:sz="4" w:space="0"/>
              <w:left w:val="single" w:color="auto" w:sz="4" w:space="0"/>
              <w:bottom w:val="single" w:color="auto" w:sz="4" w:space="0"/>
            </w:tcBorders>
            <w:vAlign w:val="center"/>
          </w:tcPr>
          <w:p w14:paraId="78AE59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69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56F2D9E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13</w:t>
            </w:r>
          </w:p>
        </w:tc>
        <w:tc>
          <w:tcPr>
            <w:tcW w:w="807" w:type="dxa"/>
            <w:tcBorders>
              <w:top w:val="single" w:color="auto" w:sz="4" w:space="0"/>
              <w:left w:val="single" w:color="auto" w:sz="4" w:space="0"/>
              <w:bottom w:val="single" w:color="auto" w:sz="4" w:space="0"/>
              <w:right w:val="single" w:color="auto" w:sz="4" w:space="0"/>
            </w:tcBorders>
            <w:vAlign w:val="center"/>
          </w:tcPr>
          <w:p w14:paraId="770E868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tcBorders>
              <w:top w:val="single" w:color="auto" w:sz="4" w:space="0"/>
              <w:left w:val="single" w:color="auto" w:sz="4" w:space="0"/>
              <w:bottom w:val="single" w:color="auto" w:sz="4" w:space="0"/>
              <w:right w:val="single" w:color="auto" w:sz="4" w:space="0"/>
            </w:tcBorders>
            <w:vAlign w:val="center"/>
          </w:tcPr>
          <w:p w14:paraId="110217C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3EB04E2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6、照明系统调试。</w:t>
            </w:r>
          </w:p>
        </w:tc>
        <w:tc>
          <w:tcPr>
            <w:tcW w:w="731" w:type="dxa"/>
            <w:tcBorders>
              <w:top w:val="single" w:color="auto" w:sz="4" w:space="0"/>
              <w:left w:val="single" w:color="auto" w:sz="4" w:space="0"/>
              <w:bottom w:val="single" w:color="auto" w:sz="4" w:space="0"/>
              <w:right w:val="single" w:color="auto" w:sz="4" w:space="0"/>
            </w:tcBorders>
            <w:vAlign w:val="center"/>
          </w:tcPr>
          <w:p w14:paraId="1FBF5E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38C468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631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170FCCFE">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14</w:t>
            </w:r>
          </w:p>
        </w:tc>
        <w:tc>
          <w:tcPr>
            <w:tcW w:w="807" w:type="dxa"/>
            <w:tcBorders>
              <w:top w:val="single" w:color="auto" w:sz="4" w:space="0"/>
              <w:left w:val="single" w:color="auto" w:sz="4" w:space="0"/>
              <w:bottom w:val="single" w:color="auto" w:sz="4" w:space="0"/>
              <w:right w:val="single" w:color="auto" w:sz="4" w:space="0"/>
            </w:tcBorders>
            <w:vAlign w:val="center"/>
          </w:tcPr>
          <w:p w14:paraId="273EA7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tcBorders>
              <w:top w:val="single" w:color="auto" w:sz="4" w:space="0"/>
              <w:left w:val="single" w:color="auto" w:sz="4" w:space="0"/>
              <w:bottom w:val="single" w:color="auto" w:sz="4" w:space="0"/>
              <w:right w:val="single" w:color="auto" w:sz="4" w:space="0"/>
            </w:tcBorders>
            <w:vAlign w:val="center"/>
          </w:tcPr>
          <w:p w14:paraId="1082075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042B749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采用双槽钢横梁吊装方式，减少楼板承重，防止左右晃动，可进行上下、左右的平衡调节。主要辅件有：槽钢、三角构件、直角座、龙骨架连接件、吊装挂件、安装连接板等。</w:t>
            </w:r>
          </w:p>
        </w:tc>
        <w:tc>
          <w:tcPr>
            <w:tcW w:w="731" w:type="dxa"/>
            <w:tcBorders>
              <w:top w:val="single" w:color="auto" w:sz="4" w:space="0"/>
              <w:left w:val="single" w:color="auto" w:sz="4" w:space="0"/>
              <w:bottom w:val="single" w:color="auto" w:sz="4" w:space="0"/>
              <w:right w:val="single" w:color="auto" w:sz="4" w:space="0"/>
            </w:tcBorders>
            <w:vAlign w:val="center"/>
          </w:tcPr>
          <w:p w14:paraId="3C95B0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4ABCEB7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bl>
    <w:p w14:paraId="626DA969">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eastAsia" w:ascii="Times New Roman" w:hAnsi="Times New Roman" w:eastAsia="宋体" w:cs="Times New Roman"/>
          <w:b/>
          <w:bCs/>
          <w:color w:val="000000"/>
          <w:kern w:val="0"/>
          <w:sz w:val="24"/>
          <w:szCs w:val="24"/>
        </w:rPr>
        <w:t>★投标人所投</w:t>
      </w:r>
      <w:r>
        <w:rPr>
          <w:rFonts w:ascii="Times New Roman" w:hAnsi="Times New Roman" w:eastAsia="宋体" w:cs="Times New Roman"/>
          <w:b/>
          <w:bCs/>
          <w:color w:val="000000"/>
          <w:kern w:val="0"/>
          <w:sz w:val="24"/>
          <w:szCs w:val="24"/>
        </w:rPr>
        <w:t>水嘴</w:t>
      </w:r>
      <w:r>
        <w:rPr>
          <w:rFonts w:hint="eastAsia" w:ascii="Times New Roman" w:hAnsi="Times New Roman" w:eastAsia="宋体" w:cs="Times New Roman"/>
          <w:b/>
          <w:bCs/>
          <w:color w:val="000000"/>
          <w:kern w:val="0"/>
          <w:sz w:val="24"/>
          <w:szCs w:val="24"/>
          <w:lang w:val="en-US" w:eastAsia="zh-CN"/>
        </w:rPr>
        <w:t>等属于</w:t>
      </w:r>
      <w:r>
        <w:rPr>
          <w:rFonts w:hint="default" w:ascii="Times New Roman" w:hAnsi="Times New Roman" w:eastAsia="宋体" w:cs="Times New Roman"/>
          <w:b/>
          <w:bCs/>
          <w:color w:val="auto"/>
          <w:kern w:val="0"/>
          <w:sz w:val="24"/>
          <w:highlight w:val="none"/>
        </w:rPr>
        <w:t>《节能产品政府采购品目清单》范围中政府强制采购产品</w:t>
      </w:r>
      <w:r>
        <w:rPr>
          <w:rFonts w:hint="eastAsia" w:cs="Times New Roman"/>
          <w:b/>
          <w:bCs/>
          <w:color w:val="auto"/>
          <w:kern w:val="0"/>
          <w:sz w:val="24"/>
          <w:highlight w:val="none"/>
          <w:lang w:eastAsia="zh-CN"/>
        </w:rPr>
        <w:t>的，</w:t>
      </w:r>
      <w:r>
        <w:rPr>
          <w:rFonts w:hint="eastAsia" w:cs="Times New Roman"/>
          <w:b/>
          <w:bCs/>
          <w:color w:val="auto"/>
          <w:kern w:val="0"/>
          <w:sz w:val="24"/>
          <w:highlight w:val="none"/>
          <w:lang w:val="en-US" w:eastAsia="zh-CN"/>
        </w:rPr>
        <w:t>投标人须在投标文件中提供节能产品认证证书复印件，并加盖投标人公章。</w:t>
      </w:r>
    </w:p>
    <w:p w14:paraId="303621FC">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default" w:cs="Times New Roman"/>
          <w:b/>
          <w:bCs/>
          <w:color w:val="auto"/>
          <w:kern w:val="0"/>
          <w:sz w:val="24"/>
          <w:highlight w:val="none"/>
          <w:lang w:val="en-US" w:eastAsia="zh-CN"/>
        </w:rPr>
        <w:t>★</w:t>
      </w:r>
      <w:r>
        <w:rPr>
          <w:rFonts w:hint="eastAsia" w:cs="Times New Roman"/>
          <w:b/>
          <w:bCs/>
          <w:color w:val="auto"/>
          <w:kern w:val="0"/>
          <w:sz w:val="24"/>
          <w:highlight w:val="none"/>
          <w:lang w:val="en-US" w:eastAsia="zh-CN"/>
        </w:rPr>
        <w:t>投标人所投</w:t>
      </w:r>
      <w:r>
        <w:rPr>
          <w:rFonts w:hint="default" w:cs="Times New Roman"/>
          <w:b/>
          <w:bCs/>
          <w:color w:val="auto"/>
          <w:kern w:val="0"/>
          <w:sz w:val="24"/>
          <w:highlight w:val="none"/>
          <w:lang w:val="en-US" w:eastAsia="zh-CN"/>
        </w:rPr>
        <w:t>插座</w:t>
      </w:r>
      <w:r>
        <w:rPr>
          <w:rFonts w:hint="eastAsia" w:cs="Times New Roman"/>
          <w:b/>
          <w:bCs/>
          <w:color w:val="auto"/>
          <w:kern w:val="0"/>
          <w:sz w:val="24"/>
          <w:highlight w:val="none"/>
          <w:lang w:val="en-US" w:eastAsia="zh-CN"/>
        </w:rPr>
        <w:t>、边柜电源、室内地上配电耗材、室内地下配电耗材等属于中国强制性产品认证的，须在投标文件中提供3C认证证书复印件，并加盖投标人公章。</w:t>
      </w:r>
    </w:p>
    <w:p w14:paraId="00BEB73F">
      <w:pPr>
        <w:numPr>
          <w:ilvl w:val="0"/>
          <w:numId w:val="0"/>
        </w:numPr>
        <w:tabs>
          <w:tab w:val="left" w:pos="360"/>
          <w:tab w:val="left" w:pos="900"/>
        </w:tabs>
        <w:snapToGrid w:val="0"/>
        <w:spacing w:line="360" w:lineRule="auto"/>
        <w:ind w:firstLine="482" w:firstLineChars="200"/>
        <w:jc w:val="left"/>
        <w:outlineLvl w:val="1"/>
        <w:rPr>
          <w:rFonts w:hint="default" w:cs="Times New Roman"/>
          <w:b/>
          <w:bCs/>
          <w:color w:val="auto"/>
          <w:kern w:val="0"/>
          <w:sz w:val="24"/>
          <w:highlight w:val="none"/>
          <w:lang w:val="en-US" w:eastAsia="zh-CN"/>
        </w:rPr>
      </w:pPr>
    </w:p>
    <w:p w14:paraId="0FFDB7F1">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供货要求</w:t>
      </w:r>
    </w:p>
    <w:p w14:paraId="1A11EB28">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需响应高效，在接到各学校通知后，</w:t>
      </w:r>
      <w:r>
        <w:rPr>
          <w:rFonts w:hint="eastAsia" w:cs="Times New Roman"/>
          <w:color w:val="auto"/>
          <w:spacing w:val="-2"/>
          <w:kern w:val="2"/>
          <w:sz w:val="24"/>
          <w:szCs w:val="24"/>
          <w:lang w:val="en-US" w:eastAsia="zh-CN" w:bidi="ar-SA"/>
        </w:rPr>
        <w:t>5</w:t>
      </w:r>
      <w:r>
        <w:rPr>
          <w:rFonts w:hint="default" w:ascii="Times New Roman" w:hAnsi="Times New Roman" w:eastAsia="宋体" w:cs="Times New Roman"/>
          <w:color w:val="auto"/>
          <w:spacing w:val="-2"/>
          <w:kern w:val="2"/>
          <w:sz w:val="24"/>
          <w:szCs w:val="24"/>
          <w:lang w:val="en-US" w:eastAsia="zh-CN" w:bidi="ar-SA"/>
        </w:rPr>
        <w:t>日内将标的物运至各学校指定地点</w:t>
      </w:r>
      <w:r>
        <w:rPr>
          <w:rFonts w:hint="eastAsia" w:cs="Times New Roman"/>
          <w:color w:val="auto"/>
          <w:spacing w:val="-2"/>
          <w:kern w:val="2"/>
          <w:sz w:val="24"/>
          <w:szCs w:val="24"/>
          <w:lang w:val="en-US" w:eastAsia="zh-CN" w:bidi="ar-SA"/>
        </w:rPr>
        <w:t>，</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p>
    <w:p w14:paraId="16CB3672">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需提供全新包装的货物，运输及装卸过程应符合产品的物理特性，保证产品质量安全。如运输过程中如出现货物受损应由</w:t>
      </w:r>
      <w:r>
        <w:rPr>
          <w:rFonts w:hint="eastAsia" w:cs="Times New Roman"/>
          <w:color w:val="auto"/>
          <w:spacing w:val="-2"/>
          <w:kern w:val="2"/>
          <w:sz w:val="24"/>
          <w:szCs w:val="24"/>
          <w:lang w:val="en-US" w:eastAsia="zh-CN" w:bidi="ar-SA"/>
        </w:rPr>
        <w:t>投标</w:t>
      </w:r>
      <w:r>
        <w:rPr>
          <w:rFonts w:hint="default" w:ascii="Times New Roman" w:hAnsi="Times New Roman" w:eastAsia="宋体" w:cs="Times New Roman"/>
          <w:color w:val="auto"/>
          <w:spacing w:val="-2"/>
          <w:kern w:val="2"/>
          <w:sz w:val="24"/>
          <w:szCs w:val="24"/>
          <w:lang w:val="en-US" w:eastAsia="zh-CN" w:bidi="ar-SA"/>
        </w:rPr>
        <w:t>人承担。</w:t>
      </w:r>
    </w:p>
    <w:p w14:paraId="184859B2">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pacing w:val="-2"/>
          <w:kern w:val="2"/>
          <w:sz w:val="24"/>
          <w:szCs w:val="24"/>
          <w:lang w:val="en-US" w:eastAsia="zh-CN" w:bidi="ar-SA"/>
        </w:rPr>
        <w:t>3、</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需为本项目提供专属车辆进行供货、配送货等服务。</w:t>
      </w:r>
    </w:p>
    <w:p w14:paraId="037A37BE">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p>
    <w:p w14:paraId="4309BEB3">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实施要求</w:t>
      </w:r>
    </w:p>
    <w:p w14:paraId="22F391A3">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因本项目时间紧，任务重，投标人应在投标文件中为本项目拟定</w:t>
      </w:r>
      <w:r>
        <w:rPr>
          <w:rFonts w:hint="default" w:ascii="Times New Roman" w:hAnsi="Times New Roman" w:eastAsia="宋体" w:cs="Times New Roman"/>
          <w:color w:val="auto"/>
          <w:kern w:val="0"/>
          <w:sz w:val="24"/>
        </w:rPr>
        <w:t>合理</w:t>
      </w:r>
      <w:r>
        <w:rPr>
          <w:rFonts w:hint="default" w:ascii="Times New Roman" w:hAnsi="Times New Roman" w:eastAsia="宋体" w:cs="Times New Roman"/>
          <w:color w:val="auto"/>
          <w:kern w:val="0"/>
          <w:sz w:val="24"/>
          <w:lang w:val="en-US" w:eastAsia="zh-CN"/>
        </w:rPr>
        <w:t>的项目实施进度计划，同时还应根据带量采购项目的特点提供符合本项目的实施组织方式，以确保项目高效、高质执行。</w:t>
      </w:r>
    </w:p>
    <w:p w14:paraId="1605DC22">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p>
    <w:p w14:paraId="2F5E2C68">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安装调试</w:t>
      </w:r>
    </w:p>
    <w:p w14:paraId="42241A8B">
      <w:pPr>
        <w:numPr>
          <w:ilvl w:val="0"/>
          <w:numId w:val="3"/>
        </w:numPr>
        <w:spacing w:line="360" w:lineRule="auto"/>
        <w:ind w:leftChars="0" w:firstLine="480" w:firstLineChars="200"/>
        <w:rPr>
          <w:rFonts w:hint="eastAsia"/>
          <w:kern w:val="0"/>
          <w:sz w:val="24"/>
          <w:highlight w:val="none"/>
          <w:lang w:val="en-US" w:eastAsia="zh-CN"/>
        </w:rPr>
      </w:pPr>
      <w:r>
        <w:rPr>
          <w:rFonts w:hint="eastAsia"/>
          <w:kern w:val="0"/>
          <w:sz w:val="24"/>
          <w:highlight w:val="none"/>
          <w:lang w:val="en-US" w:eastAsia="zh-CN"/>
        </w:rPr>
        <w:t>投标人应根据各学校实际需求，拆除实验室原有设备</w:t>
      </w:r>
      <w:r>
        <w:rPr>
          <w:kern w:val="0"/>
          <w:sz w:val="24"/>
          <w:highlight w:val="none"/>
        </w:rPr>
        <w:t>，</w:t>
      </w:r>
      <w:r>
        <w:rPr>
          <w:rFonts w:hint="eastAsia"/>
          <w:kern w:val="0"/>
          <w:sz w:val="24"/>
          <w:highlight w:val="none"/>
          <w:lang w:val="en-US" w:eastAsia="zh-CN"/>
        </w:rPr>
        <w:t>并将旧设备运输至各学校指定地点；</w:t>
      </w:r>
    </w:p>
    <w:p w14:paraId="4B37362D">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投标人需对各学校实验室的安装环境（</w:t>
      </w:r>
      <w:r>
        <w:rPr>
          <w:rFonts w:ascii="Times New Roman" w:hAnsi="Times New Roman" w:eastAsia="宋体" w:cs="Times New Roman"/>
          <w:color w:val="000000"/>
          <w:kern w:val="0"/>
          <w:sz w:val="24"/>
          <w:szCs w:val="24"/>
        </w:rPr>
        <w:t>室内基础设施</w:t>
      </w:r>
      <w:r>
        <w:rPr>
          <w:rFonts w:hint="eastAsia"/>
          <w:kern w:val="0"/>
          <w:sz w:val="24"/>
          <w:highlight w:val="none"/>
          <w:lang w:val="en-US" w:eastAsia="zh-CN"/>
        </w:rPr>
        <w:t>）进行适配设备的改造</w:t>
      </w:r>
      <w:r>
        <w:rPr>
          <w:rFonts w:hint="eastAsia" w:ascii="Times New Roman" w:hAnsi="Times New Roman" w:cs="Times New Roman"/>
          <w:kern w:val="0"/>
          <w:sz w:val="24"/>
          <w:highlight w:val="none"/>
        </w:rPr>
        <w:t>，</w:t>
      </w:r>
      <w:r>
        <w:rPr>
          <w:rFonts w:ascii="Times New Roman" w:hAnsi="Times New Roman" w:cs="Times New Roman"/>
          <w:kern w:val="0"/>
          <w:sz w:val="24"/>
          <w:highlight w:val="none"/>
        </w:rPr>
        <w:t>应尽量</w:t>
      </w:r>
      <w:r>
        <w:rPr>
          <w:rFonts w:hint="eastAsia" w:ascii="Times New Roman" w:hAnsi="Times New Roman" w:cs="Times New Roman"/>
          <w:kern w:val="0"/>
          <w:sz w:val="24"/>
          <w:highlight w:val="none"/>
        </w:rPr>
        <w:t>避免</w:t>
      </w:r>
      <w:r>
        <w:rPr>
          <w:rFonts w:ascii="Times New Roman" w:hAnsi="Times New Roman" w:cs="Times New Roman"/>
          <w:kern w:val="0"/>
          <w:sz w:val="24"/>
          <w:highlight w:val="none"/>
        </w:rPr>
        <w:t>对</w:t>
      </w:r>
      <w:r>
        <w:rPr>
          <w:rFonts w:hint="eastAsia" w:ascii="Times New Roman" w:hAnsi="Times New Roman" w:cs="Times New Roman"/>
          <w:kern w:val="0"/>
          <w:sz w:val="24"/>
          <w:highlight w:val="none"/>
          <w:lang w:val="en-US" w:eastAsia="zh-CN"/>
        </w:rPr>
        <w:t>实验室</w:t>
      </w:r>
      <w:r>
        <w:rPr>
          <w:rFonts w:ascii="Times New Roman" w:hAnsi="Times New Roman" w:cs="Times New Roman"/>
          <w:kern w:val="0"/>
          <w:sz w:val="24"/>
          <w:highlight w:val="none"/>
        </w:rPr>
        <w:t>装饰、装潢、外观及其它公共设施、设备的</w:t>
      </w:r>
      <w:r>
        <w:rPr>
          <w:rFonts w:hint="eastAsia" w:ascii="Times New Roman" w:hAnsi="Times New Roman" w:cs="Times New Roman"/>
          <w:kern w:val="0"/>
          <w:sz w:val="24"/>
          <w:highlight w:val="none"/>
        </w:rPr>
        <w:t>改变</w:t>
      </w:r>
      <w:r>
        <w:rPr>
          <w:rFonts w:ascii="Times New Roman" w:hAnsi="Times New Roman" w:cs="Times New Roman"/>
          <w:kern w:val="0"/>
          <w:sz w:val="24"/>
          <w:highlight w:val="none"/>
        </w:rPr>
        <w:t>。</w:t>
      </w:r>
      <w:r>
        <w:rPr>
          <w:rFonts w:hint="eastAsia" w:cs="Times New Roman"/>
          <w:kern w:val="0"/>
          <w:sz w:val="24"/>
          <w:highlight w:val="none"/>
          <w:lang w:val="en-US" w:eastAsia="zh-CN"/>
        </w:rPr>
        <w:t>投标人的报价须包含适配改造的全部相关费用，各学校不再额外支付其他费用。</w:t>
      </w:r>
    </w:p>
    <w:p w14:paraId="0120C054">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设备安装到位后，投标人需进行调试及试运行，并将试运行情况以书面形式报告各学校，必要时，各学校可派代表出席参与试运行过程。</w:t>
      </w:r>
    </w:p>
    <w:p w14:paraId="4FFC656A">
      <w:pPr>
        <w:numPr>
          <w:ilvl w:val="0"/>
          <w:numId w:val="0"/>
        </w:numPr>
        <w:spacing w:line="360" w:lineRule="auto"/>
        <w:ind w:leftChars="200"/>
        <w:rPr>
          <w:rFonts w:hint="default" w:ascii="Times New Roman" w:hAnsi="Times New Roman" w:cs="Times New Roman"/>
          <w:kern w:val="0"/>
          <w:sz w:val="24"/>
          <w:highlight w:val="none"/>
          <w:lang w:val="en-US"/>
        </w:rPr>
      </w:pPr>
    </w:p>
    <w:p w14:paraId="0B6510A2">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售后服务</w:t>
      </w:r>
    </w:p>
    <w:p w14:paraId="0B0CEA7A">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投标人所供产品需为全新未使用过，符合国家相关要求的产品，对有问题的产品，在接到</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通知后2小时内做出响应，并在24小时内解决问题。</w:t>
      </w:r>
    </w:p>
    <w:p w14:paraId="34A7A75F">
      <w:pPr>
        <w:pStyle w:val="2"/>
        <w:numPr>
          <w:ilvl w:val="0"/>
          <w:numId w:val="4"/>
        </w:numPr>
        <w:adjustRightInd w:val="0"/>
        <w:snapToGrid w:val="0"/>
        <w:spacing w:before="0" w:line="360" w:lineRule="auto"/>
        <w:ind w:firstLine="480" w:firstLineChars="200"/>
        <w:rPr>
          <w:rFonts w:hint="default" w:ascii="Times New Roman" w:hAnsi="Times New Roman" w:eastAsia="宋体" w:cs="Times New Roman"/>
          <w:color w:val="auto"/>
          <w:spacing w:val="-2"/>
        </w:rPr>
      </w:pPr>
      <w:r>
        <w:rPr>
          <w:rFonts w:hint="eastAsia" w:ascii="Times New Roman" w:hAnsi="Times New Roman" w:eastAsia="宋体" w:cs="Times New Roman"/>
          <w:color w:val="auto"/>
          <w:lang w:val="en-US" w:eastAsia="zh-CN"/>
        </w:rPr>
        <w:t>投标人</w:t>
      </w:r>
      <w:r>
        <w:rPr>
          <w:rFonts w:hint="default" w:ascii="Times New Roman" w:hAnsi="Times New Roman" w:eastAsia="宋体" w:cs="Times New Roman"/>
          <w:color w:val="auto"/>
          <w:lang w:val="en-US" w:eastAsia="zh-CN"/>
        </w:rPr>
        <w:t>应建立易损件储备库，配备充足易损件，并能在</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lang w:val="en-US" w:eastAsia="zh-CN"/>
        </w:rPr>
        <w:t>小时内送达现场</w:t>
      </w:r>
      <w:r>
        <w:rPr>
          <w:rFonts w:hint="eastAsia" w:ascii="Times New Roman" w:hAnsi="Times New Roman" w:eastAsia="宋体" w:cs="Times New Roman"/>
          <w:color w:val="auto"/>
          <w:lang w:val="en-US" w:eastAsia="zh-CN"/>
        </w:rPr>
        <w:t>，</w:t>
      </w:r>
      <w:r>
        <w:rPr>
          <w:rFonts w:hint="eastAsia" w:ascii="Times New Roman" w:hAnsi="Times New Roman" w:cs="Times New Roman"/>
          <w:color w:val="auto"/>
          <w:lang w:val="en-US" w:eastAsia="zh-CN"/>
        </w:rPr>
        <w:t>24</w:t>
      </w:r>
      <w:r>
        <w:rPr>
          <w:rFonts w:hint="eastAsia" w:ascii="Times New Roman" w:hAnsi="Times New Roman" w:eastAsia="宋体" w:cs="Times New Roman"/>
          <w:color w:val="auto"/>
          <w:lang w:val="en-US" w:eastAsia="zh-CN"/>
        </w:rPr>
        <w:t>小时内完成更换</w:t>
      </w:r>
      <w:r>
        <w:rPr>
          <w:rFonts w:hint="default" w:ascii="Times New Roman" w:hAnsi="Times New Roman" w:eastAsia="宋体" w:cs="Times New Roman"/>
          <w:color w:val="auto"/>
          <w:lang w:val="en-US" w:eastAsia="zh-CN"/>
        </w:rPr>
        <w:t>。</w:t>
      </w:r>
    </w:p>
    <w:p w14:paraId="100554AC">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val="en-US" w:eastAsia="zh-CN"/>
        </w:rPr>
        <w:t>投标人</w:t>
      </w:r>
      <w:r>
        <w:rPr>
          <w:rFonts w:hint="default" w:ascii="Times New Roman" w:hAnsi="Times New Roman" w:eastAsia="宋体" w:cs="Times New Roman"/>
          <w:color w:val="auto"/>
          <w:spacing w:val="-2"/>
        </w:rPr>
        <w:t>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default" w:ascii="Times New Roman" w:hAnsi="Times New Roman" w:eastAsia="宋体" w:cs="Times New Roman"/>
          <w:color w:val="auto"/>
          <w:spacing w:val="-2"/>
          <w:lang w:val="en-US" w:eastAsia="zh-CN"/>
        </w:rPr>
        <w:t>产品相关使用说明等材料</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rPr>
        <w:t>以便</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能掌握操作和维护方法。</w:t>
      </w:r>
    </w:p>
    <w:p w14:paraId="6089A2E5">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eastAsia" w:ascii="Times New Roman" w:hAnsi="Times New Roman" w:eastAsia="宋体" w:cs="Times New Roman"/>
          <w:color w:val="auto"/>
          <w:spacing w:val="-2"/>
          <w:lang w:val="en-US" w:eastAsia="zh-CN"/>
        </w:rPr>
        <w:t>投标人应向</w:t>
      </w:r>
      <w:r>
        <w:rPr>
          <w:rFonts w:hint="default" w:ascii="Times New Roman" w:hAnsi="Times New Roman" w:eastAsia="宋体" w:cs="Times New Roman"/>
          <w:color w:val="auto"/>
          <w:spacing w:val="-2"/>
        </w:rPr>
        <w:t>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eastAsia" w:ascii="Times New Roman" w:hAnsi="Times New Roman" w:eastAsia="宋体" w:cs="Times New Roman"/>
          <w:color w:val="auto"/>
          <w:spacing w:val="-2"/>
          <w:lang w:val="en-US" w:eastAsia="zh-CN"/>
        </w:rPr>
        <w:t>设备使用、维护等内容的培训服务，培训方式灵活多样，包括不限于设备使用、维护教学视频，线下集中组织操作培训等，其中线下培训各学校均不少于2小时。</w:t>
      </w:r>
    </w:p>
    <w:p w14:paraId="5B055C27">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投标人需对所供产品进行质量保证，质量保证期为到货验收合格后</w:t>
      </w:r>
      <w:r>
        <w:rPr>
          <w:rFonts w:hint="eastAsia" w:ascii="Times New Roman" w:hAnsi="Times New Roman" w:cs="Times New Roman"/>
          <w:color w:val="auto"/>
          <w:spacing w:val="-2"/>
          <w:lang w:val="en-US" w:eastAsia="zh-CN"/>
        </w:rPr>
        <w:t>3</w:t>
      </w:r>
      <w:r>
        <w:rPr>
          <w:rFonts w:hint="default" w:ascii="Times New Roman" w:hAnsi="Times New Roman" w:eastAsia="宋体" w:cs="Times New Roman"/>
          <w:color w:val="auto"/>
          <w:spacing w:val="-2"/>
        </w:rPr>
        <w:t>年。在质保期内，如果产品发生</w:t>
      </w:r>
      <w:r>
        <w:rPr>
          <w:rFonts w:hint="default" w:ascii="Times New Roman" w:hAnsi="Times New Roman" w:eastAsia="宋体" w:cs="Times New Roman"/>
          <w:color w:val="auto"/>
          <w:spacing w:val="-2"/>
          <w:lang w:val="en-US" w:eastAsia="zh-CN"/>
        </w:rPr>
        <w:t>非因使用者人为操作导致的</w:t>
      </w:r>
      <w:r>
        <w:rPr>
          <w:rFonts w:hint="default" w:ascii="Times New Roman" w:hAnsi="Times New Roman" w:eastAsia="宋体" w:cs="Times New Roman"/>
          <w:color w:val="auto"/>
          <w:spacing w:val="-2"/>
        </w:rPr>
        <w:t>故障或缺陷，投标人</w:t>
      </w:r>
      <w:r>
        <w:rPr>
          <w:rFonts w:hint="default" w:ascii="Times New Roman" w:hAnsi="Times New Roman" w:eastAsia="宋体" w:cs="Times New Roman"/>
          <w:color w:val="auto"/>
          <w:spacing w:val="-2"/>
          <w:lang w:val="en-US" w:eastAsia="zh-CN"/>
        </w:rPr>
        <w:t>应</w:t>
      </w:r>
      <w:r>
        <w:rPr>
          <w:rFonts w:hint="default" w:ascii="Times New Roman" w:hAnsi="Times New Roman" w:eastAsia="宋体" w:cs="Times New Roman"/>
          <w:color w:val="auto"/>
          <w:spacing w:val="-2"/>
        </w:rPr>
        <w:t>更换</w:t>
      </w:r>
      <w:r>
        <w:rPr>
          <w:rFonts w:hint="default" w:ascii="Times New Roman" w:hAnsi="Times New Roman" w:eastAsia="宋体" w:cs="Times New Roman"/>
          <w:color w:val="auto"/>
          <w:spacing w:val="-2"/>
          <w:lang w:val="en-US" w:eastAsia="zh-CN"/>
        </w:rPr>
        <w:t>为全新相同</w:t>
      </w:r>
      <w:r>
        <w:rPr>
          <w:rFonts w:hint="default" w:ascii="Times New Roman" w:hAnsi="Times New Roman" w:eastAsia="宋体" w:cs="Times New Roman"/>
          <w:color w:val="auto"/>
          <w:spacing w:val="-2"/>
        </w:rPr>
        <w:t>产品</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lang w:val="en-US" w:eastAsia="zh-CN"/>
        </w:rPr>
        <w:t>各学校无需支付额外费用</w:t>
      </w:r>
      <w:r>
        <w:rPr>
          <w:rFonts w:hint="default" w:ascii="Times New Roman" w:hAnsi="Times New Roman" w:eastAsia="宋体" w:cs="Times New Roman"/>
          <w:color w:val="auto"/>
          <w:spacing w:val="-2"/>
        </w:rPr>
        <w:t>。</w:t>
      </w:r>
    </w:p>
    <w:p w14:paraId="7FFD278E">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每月定期回访一次，保证产品的正常使用。</w:t>
      </w:r>
    </w:p>
    <w:p w14:paraId="38399896">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应具有完善的售后服务队伍，及时响应使用方的服务要求，提供</w:t>
      </w:r>
      <w:r>
        <w:rPr>
          <w:rFonts w:hint="default" w:ascii="Times New Roman" w:hAnsi="Times New Roman" w:eastAsia="宋体" w:cs="Times New Roman"/>
          <w:color w:val="auto"/>
          <w:spacing w:val="-2"/>
          <w:lang w:val="en-US" w:eastAsia="zh-CN"/>
        </w:rPr>
        <w:t>7</w:t>
      </w:r>
      <w:r>
        <w:rPr>
          <w:rFonts w:hint="default" w:ascii="Times New Roman" w:hAnsi="Times New Roman" w:eastAsia="宋体" w:cs="Times New Roman"/>
          <w:color w:val="auto"/>
          <w:spacing w:val="-2"/>
        </w:rPr>
        <w:t>×</w:t>
      </w:r>
      <w:r>
        <w:rPr>
          <w:rFonts w:hint="default" w:ascii="Times New Roman" w:hAnsi="Times New Roman" w:eastAsia="宋体" w:cs="Times New Roman"/>
          <w:color w:val="auto"/>
          <w:spacing w:val="-2"/>
          <w:lang w:val="en-US" w:eastAsia="zh-CN"/>
        </w:rPr>
        <w:t>8</w:t>
      </w:r>
      <w:r>
        <w:rPr>
          <w:rFonts w:hint="default" w:ascii="Times New Roman" w:hAnsi="Times New Roman" w:eastAsia="宋体" w:cs="Times New Roman"/>
          <w:color w:val="auto"/>
          <w:spacing w:val="-2"/>
        </w:rPr>
        <w:t>小时</w:t>
      </w:r>
      <w:r>
        <w:rPr>
          <w:rFonts w:hint="default" w:ascii="Times New Roman" w:hAnsi="Times New Roman" w:eastAsia="宋体" w:cs="Times New Roman"/>
          <w:color w:val="auto"/>
          <w:spacing w:val="-2"/>
          <w:lang w:val="en-US" w:eastAsia="zh-CN"/>
        </w:rPr>
        <w:t>服务响应，并提供售后服务网点、电话明细。</w:t>
      </w:r>
    </w:p>
    <w:p w14:paraId="082D43E8">
      <w:pPr>
        <w:pStyle w:val="2"/>
        <w:spacing w:before="36" w:line="357" w:lineRule="auto"/>
        <w:ind w:right="254" w:firstLine="480"/>
        <w:rPr>
          <w:rFonts w:hint="default" w:ascii="Times New Roman" w:hAnsi="Times New Roman" w:eastAsia="宋体" w:cs="Times New Roman"/>
          <w:color w:val="auto"/>
        </w:rPr>
      </w:pPr>
    </w:p>
    <w:p w14:paraId="76044D39">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履约验收</w:t>
      </w:r>
    </w:p>
    <w:p w14:paraId="456C0622">
      <w:pPr>
        <w:pStyle w:val="2"/>
        <w:adjustRightInd w:val="0"/>
        <w:snapToGrid w:val="0"/>
        <w:spacing w:before="0" w:line="360" w:lineRule="auto"/>
        <w:ind w:firstLine="472" w:firstLineChars="200"/>
        <w:rPr>
          <w:rFonts w:hint="default" w:ascii="Times New Roman" w:hAnsi="Times New Roman" w:eastAsia="宋体" w:cs="Times New Roman"/>
          <w:color w:val="auto"/>
          <w:kern w:val="1"/>
        </w:rPr>
      </w:pPr>
      <w:r>
        <w:rPr>
          <w:rFonts w:hint="default" w:ascii="Times New Roman" w:hAnsi="Times New Roman" w:eastAsia="宋体" w:cs="Times New Roman"/>
          <w:color w:val="auto"/>
          <w:spacing w:val="-2"/>
        </w:rPr>
        <w:t>验收标准：投标人应向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提供详细的供货清单，由</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确认。当货物到达</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指定的</w:t>
      </w:r>
      <w:r>
        <w:rPr>
          <w:rFonts w:hint="default" w:ascii="Times New Roman" w:hAnsi="Times New Roman" w:eastAsia="宋体" w:cs="Times New Roman"/>
          <w:color w:val="auto"/>
          <w:spacing w:val="-2"/>
          <w:lang w:val="en-US" w:eastAsia="zh-CN"/>
        </w:rPr>
        <w:t>地点</w:t>
      </w:r>
      <w:r>
        <w:rPr>
          <w:rFonts w:hint="default" w:ascii="Times New Roman" w:hAnsi="Times New Roman" w:eastAsia="宋体" w:cs="Times New Roman"/>
          <w:color w:val="auto"/>
          <w:spacing w:val="-2"/>
        </w:rPr>
        <w:t>后，</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和</w:t>
      </w: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依据采购产品供货清单共同对采购产品进行抽检，并对采购产品的数量、规格型号及质量进行逐项检查。投标人应严格履行</w:t>
      </w:r>
      <w:r>
        <w:rPr>
          <w:rFonts w:hint="default" w:ascii="Times New Roman" w:hAnsi="Times New Roman" w:eastAsia="宋体" w:cs="Times New Roman"/>
          <w:color w:val="auto"/>
          <w:spacing w:val="-2"/>
          <w:lang w:val="en-US" w:eastAsia="zh-CN"/>
        </w:rPr>
        <w:t>招标文件要求及</w:t>
      </w:r>
      <w:r>
        <w:rPr>
          <w:rFonts w:hint="default" w:ascii="Times New Roman" w:hAnsi="Times New Roman" w:eastAsia="宋体" w:cs="Times New Roman"/>
          <w:color w:val="auto"/>
          <w:spacing w:val="-2"/>
        </w:rPr>
        <w:t>投标文件中产品的</w:t>
      </w:r>
      <w:r>
        <w:rPr>
          <w:rFonts w:hint="default" w:ascii="Times New Roman" w:hAnsi="Times New Roman" w:eastAsia="宋体" w:cs="Times New Roman"/>
          <w:color w:val="auto"/>
          <w:spacing w:val="-2"/>
          <w:lang w:val="en-US" w:eastAsia="zh-CN"/>
        </w:rPr>
        <w:t>技术规格</w:t>
      </w:r>
      <w:r>
        <w:rPr>
          <w:rFonts w:hint="default" w:ascii="Times New Roman" w:hAnsi="Times New Roman" w:eastAsia="宋体" w:cs="Times New Roman"/>
          <w:color w:val="auto"/>
          <w:spacing w:val="-2"/>
        </w:rPr>
        <w:t>及质量，所供产品均需完全符合招标、中标要求，所有规格、内容等必须严格符合相关规定，不可擅自变更。</w:t>
      </w:r>
    </w:p>
    <w:p w14:paraId="12D9C3E6">
      <w:pPr>
        <w:tabs>
          <w:tab w:val="left" w:pos="360"/>
          <w:tab w:val="left" w:pos="900"/>
        </w:tabs>
        <w:snapToGrid w:val="0"/>
        <w:spacing w:line="360" w:lineRule="auto"/>
        <w:jc w:val="left"/>
        <w:outlineLvl w:val="1"/>
        <w:rPr>
          <w:rFonts w:hint="default" w:ascii="Times New Roman" w:hAnsi="Times New Roman" w:eastAsia="宋体" w:cs="Times New Roman"/>
          <w:b/>
          <w:color w:val="auto"/>
          <w:sz w:val="24"/>
        </w:rPr>
      </w:pPr>
    </w:p>
    <w:p w14:paraId="28D3946A">
      <w:pPr>
        <w:adjustRightInd w:val="0"/>
        <w:snapToGrid w:val="0"/>
        <w:spacing w:line="360" w:lineRule="auto"/>
        <w:ind w:firstLine="482" w:firstLineChars="20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注：投标人请注意，第五章采购需求中的★标识内容均为实质性要求，如不满足，将被视为无效投标。</w:t>
      </w:r>
    </w:p>
    <w:p w14:paraId="2472A7EB">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6AC78"/>
    <w:multiLevelType w:val="singleLevel"/>
    <w:tmpl w:val="9016AC78"/>
    <w:lvl w:ilvl="0" w:tentative="0">
      <w:start w:val="1"/>
      <w:numFmt w:val="decimal"/>
      <w:suff w:val="nothing"/>
      <w:lvlText w:val="%1、"/>
      <w:lvlJc w:val="left"/>
    </w:lvl>
  </w:abstractNum>
  <w:abstractNum w:abstractNumId="1">
    <w:nsid w:val="CD50DC05"/>
    <w:multiLevelType w:val="singleLevel"/>
    <w:tmpl w:val="CD50DC05"/>
    <w:lvl w:ilvl="0" w:tentative="0">
      <w:start w:val="1"/>
      <w:numFmt w:val="decimal"/>
      <w:suff w:val="nothing"/>
      <w:lvlText w:val="%1、"/>
      <w:lvlJc w:val="left"/>
    </w:lvl>
  </w:abstractNum>
  <w:abstractNum w:abstractNumId="2">
    <w:nsid w:val="65A20D52"/>
    <w:multiLevelType w:val="singleLevel"/>
    <w:tmpl w:val="65A20D52"/>
    <w:lvl w:ilvl="0" w:tentative="0">
      <w:start w:val="1"/>
      <w:numFmt w:val="decimal"/>
      <w:suff w:val="nothing"/>
      <w:lvlText w:val="%1、"/>
      <w:lvlJc w:val="left"/>
    </w:lvl>
  </w:abstractNum>
  <w:abstractNum w:abstractNumId="3">
    <w:nsid w:val="6F27A985"/>
    <w:multiLevelType w:val="singleLevel"/>
    <w:tmpl w:val="6F27A985"/>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081CE4"/>
    <w:rsid w:val="488B3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5">
    <w:name w:val="List Paragraph"/>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2026-09-21T01:55:48Z</dcterms:created>
  <dc:creator>zb</dc:creator>
  <cp:lastModifiedBy>萌</cp:lastModifiedBy>
  <dcterms:modified xsi:type="dcterms:W3CDTF">2026-09-21T01:57:39Z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eyJoZGlkIjoiYTIxZDhhMjYyZjllMjI2ODMxMTdmZWU0ZDBiYTU0MzQiLCJ1c2VySWQiOiI3NjU4NzQ2ODQifQ==</vt:lpwstr>
  </property>
  <property fmtid="{D5CDD505-2E9C-101B-9397-08002B2CF9AE}" pid="4" name="ICV">
    <vt:lpwstr>D547BA9E11584770B83E703BB76E5B3B_12</vt:lpwstr>
  </property>
</Properties>
</file>