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EBA5DC0">
      <w:pPr>
        <w:spacing w:line="360" w:lineRule="auto"/>
        <w:ind w:left="2829" w:hanging="1899"/>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cs="宋体"/>
          <w:i w:val="0"/>
          <w:iCs w:val="0"/>
          <w:caps w:val="0"/>
          <w:spacing w:val="0"/>
          <w:sz w:val="36"/>
          <w:szCs w:val="36"/>
          <w:shd w:val="clear" w:fill="FFFFFF"/>
          <w:lang w:eastAsia="zh-CN"/>
        </w:rPr>
        <w:t>大兴区旧宫医院购置医疗设备项目（</w:t>
      </w:r>
      <w:r>
        <w:rPr>
          <w:rFonts w:hint="eastAsia" w:ascii="宋体" w:hAnsi="宋体" w:cs="宋体"/>
          <w:i w:val="0"/>
          <w:iCs w:val="0"/>
          <w:caps w:val="0"/>
          <w:spacing w:val="0"/>
          <w:sz w:val="36"/>
          <w:szCs w:val="36"/>
          <w:shd w:val="clear" w:fill="FFFFFF"/>
          <w:lang w:val="en-US" w:eastAsia="zh-CN"/>
        </w:rPr>
        <w:t>第五包</w:t>
      </w:r>
      <w:r>
        <w:rPr>
          <w:rFonts w:hint="eastAsia" w:ascii="宋体" w:hAnsi="宋体" w:cs="宋体"/>
          <w:i w:val="0"/>
          <w:iCs w:val="0"/>
          <w:caps w:val="0"/>
          <w:spacing w:val="0"/>
          <w:sz w:val="36"/>
          <w:szCs w:val="36"/>
          <w:shd w:val="clear" w:fill="FFFFFF"/>
          <w:lang w:eastAsia="zh-CN"/>
        </w:rPr>
        <w:t>）</w:t>
      </w:r>
    </w:p>
    <w:p w14:paraId="67586D38">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项目编号/包号：</w:t>
      </w:r>
      <w:r>
        <w:rPr>
          <w:rFonts w:hint="eastAsia"/>
          <w:bCs/>
          <w:spacing w:val="0"/>
          <w:kern w:val="0"/>
          <w:position w:val="0"/>
          <w:sz w:val="36"/>
          <w:szCs w:val="36"/>
          <w:lang w:eastAsia="zh-CN"/>
        </w:rPr>
        <w:t>11011525210200029015-XM001</w:t>
      </w:r>
      <w:r>
        <w:rPr>
          <w:rFonts w:hint="eastAsia"/>
          <w:bCs/>
          <w:spacing w:val="0"/>
          <w:kern w:val="0"/>
          <w:position w:val="0"/>
          <w:sz w:val="36"/>
          <w:szCs w:val="36"/>
          <w:lang w:val="en-US" w:eastAsia="zh-CN"/>
        </w:rPr>
        <w:t>/05</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46</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35393790"/>
      <w:bookmarkStart w:id="3" w:name="_Toc35393621"/>
      <w:bookmarkStart w:id="4" w:name="_Toc28359079"/>
      <w:bookmarkStart w:id="5" w:name="_Toc28359002"/>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11011525210200029015-XM001</w:t>
      </w:r>
    </w:p>
    <w:p w14:paraId="648800ED">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大兴区旧宫医院购置医疗设备项目</w:t>
      </w:r>
      <w:bookmarkEnd w:id="6"/>
      <w:r>
        <w:rPr>
          <w:rFonts w:hint="eastAsia" w:eastAsia="宋体"/>
          <w:spacing w:val="0"/>
          <w:kern w:val="0"/>
          <w:position w:val="0"/>
          <w:sz w:val="24"/>
          <w:u w:val="single"/>
          <w:lang w:eastAsia="zh-CN"/>
        </w:rPr>
        <w:t>（第五包）</w:t>
      </w:r>
    </w:p>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207</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rFonts w:hint="default" w:eastAsia="宋体"/>
          <w:spacing w:val="0"/>
          <w:kern w:val="0"/>
          <w:position w:val="0"/>
          <w:sz w:val="24"/>
          <w:lang w:val="en-US" w:eastAsia="zh-CN"/>
        </w:rPr>
      </w:pPr>
      <w:r>
        <w:rPr>
          <w:rFonts w:hint="eastAsia"/>
          <w:spacing w:val="0"/>
          <w:kern w:val="0"/>
          <w:position w:val="0"/>
          <w:sz w:val="24"/>
          <w:lang w:val="en-US" w:eastAsia="zh-CN"/>
        </w:rPr>
        <w:t>包号：05包预算金额：</w:t>
      </w:r>
      <w:r>
        <w:rPr>
          <w:rFonts w:hint="eastAsia"/>
          <w:spacing w:val="0"/>
          <w:kern w:val="0"/>
          <w:position w:val="0"/>
          <w:sz w:val="24"/>
          <w:u w:val="single"/>
          <w:lang w:val="en-US" w:eastAsia="zh-CN"/>
        </w:rPr>
        <w:t>49</w:t>
      </w:r>
      <w:r>
        <w:rPr>
          <w:rFonts w:hint="eastAsia"/>
          <w:spacing w:val="0"/>
          <w:kern w:val="0"/>
          <w:position w:val="0"/>
          <w:sz w:val="24"/>
          <w:lang w:val="en-US" w:eastAsia="zh-CN"/>
        </w:rPr>
        <w:t>万元、05包</w:t>
      </w:r>
      <w:r>
        <w:rPr>
          <w:spacing w:val="0"/>
          <w:kern w:val="0"/>
          <w:position w:val="0"/>
          <w:sz w:val="24"/>
        </w:rPr>
        <w:t>最高限价（如有）：</w:t>
      </w:r>
      <w:r>
        <w:rPr>
          <w:rFonts w:hint="eastAsia"/>
          <w:spacing w:val="0"/>
          <w:kern w:val="0"/>
          <w:position w:val="0"/>
          <w:sz w:val="24"/>
          <w:u w:val="single"/>
          <w:lang w:val="en-US" w:eastAsia="zh-CN"/>
        </w:rPr>
        <w:t>49</w:t>
      </w:r>
      <w:r>
        <w:rPr>
          <w:spacing w:val="0"/>
          <w:kern w:val="0"/>
          <w:position w:val="0"/>
          <w:sz w:val="24"/>
        </w:rPr>
        <w:t>万元</w:t>
      </w:r>
    </w:p>
    <w:p w14:paraId="12A7CD05">
      <w:pPr>
        <w:spacing w:line="360" w:lineRule="auto"/>
        <w:ind w:firstLine="480" w:firstLineChars="200"/>
        <w:rPr>
          <w:rFonts w:hint="eastAsia"/>
          <w:spacing w:val="0"/>
          <w:kern w:val="0"/>
          <w:position w:val="0"/>
          <w:sz w:val="24"/>
          <w:highlight w:val="none"/>
        </w:rPr>
      </w:pPr>
      <w:r>
        <w:rPr>
          <w:spacing w:val="0"/>
          <w:kern w:val="0"/>
          <w:position w:val="0"/>
          <w:sz w:val="24"/>
          <w:highlight w:val="none"/>
        </w:rPr>
        <w:t>4.采购需求：</w:t>
      </w:r>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381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22CB">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4BCEBB72">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0DC94B41">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4E4037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1122A083">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63A9879E">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471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74BC5">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05</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93064C1">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磁刺激仪</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FCA069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DA76D9A">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0D877A02">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45A02CB7">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49D31ED9">
      <w:pPr>
        <w:pStyle w:val="42"/>
      </w:pPr>
    </w:p>
    <w:p w14:paraId="2122E755">
      <w:pPr>
        <w:spacing w:line="360" w:lineRule="auto"/>
        <w:ind w:firstLine="480" w:firstLineChars="200"/>
        <w:rPr>
          <w:rFonts w:hint="default" w:eastAsia="宋体"/>
          <w:spacing w:val="0"/>
          <w:kern w:val="0"/>
          <w:position w:val="0"/>
          <w:sz w:val="24"/>
          <w:u w:val="single"/>
          <w:lang w:val="en-US" w:eastAsia="zh-CN"/>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rFonts w:hint="eastAsia"/>
          <w:spacing w:val="0"/>
          <w:kern w:val="0"/>
          <w:position w:val="0"/>
          <w:sz w:val="24"/>
          <w:highlight w:val="none"/>
        </w:rPr>
        <w:t>自合同签订起15个日历天内完成供货。</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35393791"/>
      <w:bookmarkStart w:id="8" w:name="_Toc28359003"/>
      <w:bookmarkStart w:id="9" w:name="_Toc35393622"/>
      <w:bookmarkStart w:id="10" w:name="_Toc28359080"/>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 xml:space="preserve">本项目专门面向  </w:t>
      </w:r>
      <w:r>
        <w:rPr>
          <w:rFonts w:hint="eastAsia" w:ascii="宋体" w:hAnsi="宋体" w:cs="宋体"/>
          <w:spacing w:val="0"/>
          <w:kern w:val="0"/>
          <w:position w:val="0"/>
          <w:sz w:val="24"/>
          <w:lang w:eastAsia="zh-CN"/>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lang w:eastAsia="zh-CN"/>
        </w:rPr>
      </w:pPr>
      <w:r>
        <w:rPr>
          <w:spacing w:val="0"/>
          <w:kern w:val="0"/>
          <w:position w:val="0"/>
          <w:sz w:val="24"/>
        </w:rPr>
        <w:t>3.2其他特定资格要求</w:t>
      </w:r>
      <w:r>
        <w:rPr>
          <w:rFonts w:eastAsiaTheme="minorEastAsia"/>
          <w:spacing w:val="0"/>
          <w:kern w:val="0"/>
          <w:position w:val="0"/>
          <w:sz w:val="24"/>
        </w:rPr>
        <w:t>：</w:t>
      </w:r>
    </w:p>
    <w:p w14:paraId="40268D73">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1</w:t>
      </w: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投标产品属于医疗器械的，供应商如为代理商，应具有合法的医疗器械经营资格，所投产品属于第二类医疗器械的应具有《医疗器械经营备案凭证》，属于第三类医疗器械的应具有《医疗器械经营许可证》；</w:t>
      </w:r>
    </w:p>
    <w:p w14:paraId="2A16D3DE">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ascii="Times New Roman" w:hAnsi="Times New Roman" w:cs="Times New Roman" w:eastAsiaTheme="minorEastAsia"/>
          <w:spacing w:val="0"/>
          <w:kern w:val="0"/>
          <w:position w:val="0"/>
          <w:sz w:val="24"/>
          <w:highlight w:val="none"/>
          <w:u w:val="single"/>
          <w:lang w:val="en-US" w:eastAsia="zh-CN"/>
        </w:rPr>
        <w:t>（2）</w:t>
      </w:r>
      <w:r>
        <w:rPr>
          <w:rFonts w:hint="eastAsia" w:eastAsiaTheme="minorEastAsia"/>
          <w:spacing w:val="0"/>
          <w:kern w:val="0"/>
          <w:position w:val="0"/>
          <w:sz w:val="24"/>
          <w:highlight w:val="none"/>
          <w:u w:val="single"/>
          <w:lang w:val="en-US" w:eastAsia="zh-CN"/>
        </w:rPr>
        <w:t xml:space="preserve">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783BC22D">
      <w:pPr>
        <w:tabs>
          <w:tab w:val="left" w:pos="900"/>
          <w:tab w:val="left" w:pos="1134"/>
          <w:tab w:val="left" w:pos="1589"/>
          <w:tab w:val="left" w:pos="5521"/>
        </w:tabs>
        <w:snapToGrid w:val="0"/>
        <w:spacing w:line="360" w:lineRule="auto"/>
        <w:ind w:firstLine="480" w:firstLineChars="200"/>
        <w:rPr>
          <w:spacing w:val="0"/>
          <w:kern w:val="0"/>
          <w:position w:val="0"/>
          <w:sz w:val="24"/>
          <w:highlight w:val="none"/>
        </w:rPr>
      </w:pPr>
      <w:r>
        <w:rPr>
          <w:rFonts w:hint="eastAsia" w:eastAsiaTheme="minorEastAsia"/>
          <w:spacing w:val="0"/>
          <w:kern w:val="0"/>
          <w:position w:val="0"/>
          <w:sz w:val="24"/>
          <w:highlight w:val="none"/>
          <w:u w:val="single"/>
          <w:lang w:val="en-US" w:eastAsia="zh-CN"/>
        </w:rPr>
        <w:t>（3）投标产品属于医疗器械的，应按原国家食品药品监督管理总局颁发的《医疗器械注册管理办法》，办理医疗器械注册证或者办理备案，供应商须提供有效的医疗器械注册证复印件或备案凭证并加盖公章。</w:t>
      </w:r>
    </w:p>
    <w:p w14:paraId="4974B477">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注：1、须提供上述相关有效资质证明复印件并加盖单位公章。</w:t>
      </w:r>
    </w:p>
    <w:p w14:paraId="259AD302">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 xml:space="preserve">    2、若供应商存在上级代理商，还应提供上级代理商有效的医疗器械经营资格证明文件复印件加盖单位公章。</w:t>
      </w:r>
    </w:p>
    <w:p w14:paraId="1E6555AE">
      <w:pPr>
        <w:spacing w:line="360" w:lineRule="auto"/>
        <w:ind w:firstLine="480" w:firstLineChars="200"/>
        <w:rPr>
          <w:i/>
          <w:iCs/>
          <w:spacing w:val="0"/>
          <w:kern w:val="0"/>
          <w:position w:val="0"/>
          <w:sz w:val="24"/>
          <w:u w:val="single"/>
        </w:rPr>
      </w:pP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792"/>
      <w:bookmarkStart w:id="14" w:name="_Toc35393623"/>
      <w:r>
        <w:rPr>
          <w:rFonts w:ascii="Times New Roman" w:hAnsi="Times New Roman" w:eastAsia="宋体"/>
          <w:spacing w:val="0"/>
          <w:kern w:val="0"/>
          <w:position w:val="0"/>
          <w:sz w:val="24"/>
          <w:szCs w:val="24"/>
        </w:rPr>
        <w:t>三、获取招标文件</w:t>
      </w:r>
      <w:bookmarkEnd w:id="13"/>
      <w:bookmarkEnd w:id="14"/>
    </w:p>
    <w:p w14:paraId="763BD0F3">
      <w:pPr>
        <w:adjustRightInd w:val="0"/>
        <w:snapToGrid w:val="0"/>
        <w:spacing w:line="360" w:lineRule="auto"/>
        <w:ind w:firstLine="480" w:firstLineChars="200"/>
        <w:rPr>
          <w:spacing w:val="0"/>
          <w:kern w:val="0"/>
          <w:position w:val="0"/>
          <w:sz w:val="24"/>
          <w:lang w:bidi="ar"/>
        </w:rPr>
      </w:pPr>
      <w:r>
        <w:rPr>
          <w:spacing w:val="0"/>
          <w:kern w:val="0"/>
          <w:position w:val="0"/>
          <w:sz w:val="24"/>
          <w:lang w:bidi="ar"/>
        </w:rPr>
        <w:t>1.时间：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19</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25</w:t>
      </w:r>
      <w:r>
        <w:rPr>
          <w:spacing w:val="0"/>
          <w:kern w:val="0"/>
          <w:position w:val="0"/>
          <w:sz w:val="24"/>
          <w:highlight w:val="none"/>
          <w:lang w:bidi="ar"/>
        </w:rPr>
        <w:t>日</w:t>
      </w:r>
      <w:r>
        <w:rPr>
          <w:spacing w:val="0"/>
          <w:kern w:val="0"/>
          <w:position w:val="0"/>
          <w:sz w:val="24"/>
          <w:lang w:bidi="ar"/>
        </w:rPr>
        <w:t>，每天上午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69DEC4F8">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14AD2395">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3.方式：供应商使用CA数字证书或电子营业执照登录北京市政府采购电子交易平台（http://zbcg-bjzc.zhongcy.com/bjczj-portal-site/index.html#/home）获取电子版招标文件。</w:t>
      </w:r>
    </w:p>
    <w:p w14:paraId="70C35D6F">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36E7AB81">
      <w:pPr>
        <w:tabs>
          <w:tab w:val="left" w:pos="900"/>
          <w:tab w:val="left" w:pos="1980"/>
        </w:tabs>
        <w:snapToGrid w:val="0"/>
        <w:spacing w:line="360" w:lineRule="auto"/>
        <w:ind w:left="840"/>
        <w:rPr>
          <w:spacing w:val="0"/>
          <w:kern w:val="0"/>
          <w:position w:val="0"/>
          <w:sz w:val="24"/>
        </w:rPr>
      </w:pPr>
    </w:p>
    <w:p w14:paraId="3CE1B78E">
      <w:pPr>
        <w:pStyle w:val="3"/>
        <w:widowControl/>
        <w:spacing w:before="0" w:line="360" w:lineRule="auto"/>
        <w:jc w:val="left"/>
        <w:rPr>
          <w:rFonts w:ascii="Times New Roman" w:hAnsi="Times New Roman" w:eastAsia="宋体"/>
          <w:spacing w:val="0"/>
          <w:kern w:val="0"/>
          <w:position w:val="0"/>
          <w:sz w:val="24"/>
          <w:szCs w:val="24"/>
        </w:rPr>
      </w:pPr>
      <w:bookmarkStart w:id="15" w:name="_Toc28359082"/>
      <w:bookmarkStart w:id="16" w:name="_Toc28359005"/>
      <w:bookmarkStart w:id="17" w:name="_Toc35393793"/>
      <w:bookmarkStart w:id="18" w:name="_Toc35393624"/>
      <w:r>
        <w:rPr>
          <w:rFonts w:ascii="Times New Roman" w:hAnsi="Times New Roman" w:eastAsia="宋体"/>
          <w:spacing w:val="0"/>
          <w:kern w:val="0"/>
          <w:position w:val="0"/>
          <w:sz w:val="24"/>
          <w:szCs w:val="24"/>
        </w:rPr>
        <w:t>四、提交投标文件</w:t>
      </w:r>
      <w:bookmarkEnd w:id="15"/>
      <w:bookmarkEnd w:id="16"/>
      <w:r>
        <w:rPr>
          <w:rFonts w:ascii="Times New Roman" w:hAnsi="Times New Roman" w:eastAsia="宋体"/>
          <w:spacing w:val="0"/>
          <w:kern w:val="0"/>
          <w:position w:val="0"/>
          <w:sz w:val="24"/>
          <w:szCs w:val="24"/>
        </w:rPr>
        <w:t>截止时间、开标时间和地点</w:t>
      </w:r>
      <w:bookmarkEnd w:id="17"/>
      <w:bookmarkEnd w:id="18"/>
    </w:p>
    <w:p w14:paraId="37EE8467">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10</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1AC8D288">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38F9FBE1">
      <w:pPr>
        <w:spacing w:line="360" w:lineRule="auto"/>
        <w:ind w:firstLine="480" w:firstLineChars="200"/>
        <w:rPr>
          <w:bCs/>
          <w:spacing w:val="0"/>
          <w:kern w:val="0"/>
          <w:position w:val="0"/>
          <w:sz w:val="24"/>
          <w:u w:val="single"/>
        </w:rPr>
      </w:pPr>
    </w:p>
    <w:p w14:paraId="7949F40F">
      <w:pPr>
        <w:pStyle w:val="3"/>
        <w:spacing w:before="0" w:line="360" w:lineRule="auto"/>
        <w:jc w:val="left"/>
        <w:rPr>
          <w:rFonts w:ascii="Times New Roman" w:hAnsi="Times New Roman" w:eastAsia="宋体"/>
          <w:spacing w:val="0"/>
          <w:kern w:val="0"/>
          <w:position w:val="0"/>
          <w:sz w:val="24"/>
          <w:szCs w:val="24"/>
        </w:rPr>
      </w:pPr>
      <w:bookmarkStart w:id="19" w:name="_Toc28359007"/>
      <w:bookmarkStart w:id="20" w:name="_Toc28359084"/>
      <w:bookmarkStart w:id="21" w:name="_Toc35393625"/>
      <w:bookmarkStart w:id="22" w:name="_Toc35393794"/>
      <w:r>
        <w:rPr>
          <w:rFonts w:ascii="Times New Roman" w:hAnsi="Times New Roman" w:eastAsia="宋体"/>
          <w:spacing w:val="0"/>
          <w:kern w:val="0"/>
          <w:position w:val="0"/>
          <w:sz w:val="24"/>
          <w:szCs w:val="24"/>
        </w:rPr>
        <w:t>五、公告期限</w:t>
      </w:r>
      <w:bookmarkEnd w:id="19"/>
      <w:bookmarkEnd w:id="20"/>
      <w:bookmarkEnd w:id="21"/>
      <w:bookmarkEnd w:id="22"/>
    </w:p>
    <w:p w14:paraId="3C902EB9">
      <w:pPr>
        <w:spacing w:line="360" w:lineRule="auto"/>
        <w:ind w:firstLine="480" w:firstLineChars="200"/>
        <w:rPr>
          <w:spacing w:val="0"/>
          <w:kern w:val="0"/>
          <w:position w:val="0"/>
          <w:sz w:val="24"/>
        </w:rPr>
      </w:pPr>
      <w:r>
        <w:rPr>
          <w:spacing w:val="0"/>
          <w:kern w:val="0"/>
          <w:position w:val="0"/>
          <w:sz w:val="24"/>
        </w:rPr>
        <w:t>自本公告发布之日起5个工作日。</w:t>
      </w:r>
    </w:p>
    <w:p w14:paraId="5A1B90CD">
      <w:pPr>
        <w:spacing w:line="360" w:lineRule="auto"/>
        <w:ind w:firstLine="480" w:firstLineChars="200"/>
        <w:rPr>
          <w:spacing w:val="0"/>
          <w:kern w:val="0"/>
          <w:position w:val="0"/>
          <w:sz w:val="24"/>
        </w:rPr>
      </w:pPr>
    </w:p>
    <w:p w14:paraId="1DC4B468">
      <w:pPr>
        <w:pStyle w:val="3"/>
        <w:spacing w:before="0" w:line="360" w:lineRule="auto"/>
        <w:jc w:val="left"/>
        <w:rPr>
          <w:rFonts w:ascii="Times New Roman" w:hAnsi="Times New Roman" w:eastAsia="宋体"/>
          <w:spacing w:val="0"/>
          <w:kern w:val="0"/>
          <w:position w:val="0"/>
          <w:sz w:val="24"/>
          <w:szCs w:val="24"/>
        </w:rPr>
      </w:pPr>
      <w:bookmarkStart w:id="23" w:name="_Toc35393795"/>
      <w:bookmarkStart w:id="24" w:name="_Toc35393626"/>
      <w:r>
        <w:rPr>
          <w:rFonts w:ascii="Times New Roman" w:hAnsi="Times New Roman" w:eastAsia="宋体"/>
          <w:spacing w:val="0"/>
          <w:kern w:val="0"/>
          <w:position w:val="0"/>
          <w:sz w:val="24"/>
          <w:szCs w:val="24"/>
        </w:rPr>
        <w:t>六、其他补充事宜</w:t>
      </w:r>
      <w:bookmarkEnd w:id="23"/>
      <w:bookmarkEnd w:id="24"/>
    </w:p>
    <w:p w14:paraId="6C64A413">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FE4997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371DA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171F0EF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6C437DB">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4FDD78C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7B9ABEE4">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115A65E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5E40C1D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437B38E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4021FEC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645DA57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0D2B86F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1C65DCD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2C1DD3F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17A2B9F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4E7A447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2271F9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71740BB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83B60E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36DBA31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3"/>
        <w:spacing w:before="0" w:line="360" w:lineRule="auto"/>
        <w:jc w:val="left"/>
        <w:rPr>
          <w:rFonts w:ascii="Times New Roman" w:hAnsi="Times New Roman" w:eastAsia="宋体"/>
          <w:spacing w:val="0"/>
          <w:kern w:val="0"/>
          <w:position w:val="0"/>
          <w:sz w:val="24"/>
          <w:szCs w:val="24"/>
        </w:rPr>
      </w:pPr>
      <w:bookmarkStart w:id="26" w:name="_Toc28359085"/>
      <w:bookmarkStart w:id="27" w:name="_Toc28359008"/>
      <w:bookmarkStart w:id="28" w:name="_Toc35393627"/>
      <w:bookmarkStart w:id="29" w:name="_Toc35393796"/>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09"/>
      <w:bookmarkStart w:id="31" w:name="_Toc28359086"/>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eastAsia="zh-CN"/>
        </w:rPr>
        <w:t>张老师、87963844-8137</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87"/>
      <w:bookmarkStart w:id="33" w:name="_Toc28359010"/>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353873938"/>
      <w:bookmarkStart w:id="35" w:name="_Toc512937850"/>
      <w:bookmarkStart w:id="36" w:name="_Toc264969275"/>
      <w:bookmarkStart w:id="37" w:name="_Toc150774783"/>
      <w:bookmarkStart w:id="38" w:name="_Toc127161488"/>
      <w:bookmarkStart w:id="39" w:name="_Toc305158854"/>
      <w:bookmarkStart w:id="40" w:name="_Toc353825548"/>
      <w:bookmarkStart w:id="41" w:name="_Toc265228423"/>
      <w:bookmarkStart w:id="42" w:name="_Toc195842950"/>
      <w:bookmarkStart w:id="43" w:name="_Toc99301420"/>
      <w:bookmarkStart w:id="44" w:name="_Toc305158928"/>
      <w:bookmarkStart w:id="45" w:name="_Toc127151777"/>
      <w:bookmarkStart w:id="46" w:name="_Toc226965856"/>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164608633"/>
      <w:bookmarkStart w:id="48" w:name="_Toc151193907"/>
      <w:bookmarkStart w:id="49" w:name="_Toc127151519"/>
      <w:bookmarkStart w:id="50" w:name="_Toc226965709"/>
      <w:bookmarkStart w:id="51" w:name="_Toc151193617"/>
      <w:bookmarkStart w:id="52" w:name="_Toc151193761"/>
      <w:bookmarkStart w:id="53" w:name="_Toc127151720"/>
      <w:bookmarkStart w:id="54" w:name="_Toc520356144"/>
      <w:bookmarkStart w:id="55" w:name="_Toc164351613"/>
      <w:bookmarkStart w:id="56" w:name="_Toc150774619"/>
      <w:bookmarkStart w:id="57" w:name="_Toc151193833"/>
      <w:bookmarkStart w:id="58" w:name="_Toc150509270"/>
      <w:bookmarkStart w:id="59" w:name="_Toc226965792"/>
      <w:bookmarkStart w:id="60" w:name="_Toc142311021"/>
      <w:bookmarkStart w:id="61" w:name="_Toc164229214"/>
      <w:bookmarkStart w:id="62" w:name="_Toc226337215"/>
      <w:bookmarkStart w:id="63" w:name="_Toc150480757"/>
      <w:bookmarkStart w:id="64" w:name="_Toc150774724"/>
      <w:bookmarkStart w:id="65" w:name="_Toc127161433"/>
      <w:bookmarkStart w:id="66" w:name="_Toc195842884"/>
      <w:bookmarkStart w:id="67" w:name="_Toc151193689"/>
      <w:bookmarkStart w:id="68" w:name="_Toc226309763"/>
      <w:bookmarkStart w:id="69" w:name="_Toc149720812"/>
      <w:bookmarkStart w:id="70" w:name="_Toc164229360"/>
      <w:bookmarkStart w:id="71" w:name="_Toc164608788"/>
      <w:bookmarkStart w:id="72" w:name="_Toc151190146"/>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服务</w:t>
            </w:r>
          </w:p>
          <w:p w14:paraId="67C18FF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05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eastAsia"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w:t>
                  </w:r>
                  <w:r>
                    <w:rPr>
                      <w:rFonts w:hint="eastAsia" w:ascii="宋体" w:hAnsi="宋体" w:cs="宋体"/>
                      <w:b/>
                      <w:bCs/>
                      <w:i w:val="0"/>
                      <w:iCs w:val="0"/>
                      <w:color w:val="000000"/>
                      <w:kern w:val="0"/>
                      <w:sz w:val="24"/>
                      <w:szCs w:val="24"/>
                      <w:u w:val="none"/>
                      <w:lang w:val="en-US" w:eastAsia="zh-CN" w:bidi="ar"/>
                    </w:rPr>
                    <w:t>5</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lang w:eastAsia="zh-CN"/>
                    </w:rPr>
                  </w:pPr>
                  <w:r>
                    <w:rPr>
                      <w:rFonts w:hint="eastAsia" w:ascii="宋体" w:hAnsi="宋体" w:cs="宋体"/>
                      <w:b/>
                      <w:bCs/>
                      <w:spacing w:val="0"/>
                      <w:kern w:val="0"/>
                      <w:position w:val="0"/>
                      <w:sz w:val="24"/>
                      <w:highlight w:val="none"/>
                      <w:lang w:eastAsia="zh-CN"/>
                    </w:rPr>
                    <w:t>磁刺激仪</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spacing w:val="0"/>
                      <w:kern w:val="0"/>
                      <w:position w:val="0"/>
                      <w:sz w:val="24"/>
                      <w:lang w:val="en-US" w:eastAsia="zh-CN"/>
                    </w:rPr>
                    <w:t>工业</w:t>
                  </w:r>
                </w:p>
              </w:tc>
            </w:tr>
          </w:tbl>
          <w:p w14:paraId="1EF0C937">
            <w:pPr>
              <w:jc w:val="left"/>
              <w:rPr>
                <w:spacing w:val="0"/>
                <w:kern w:val="0"/>
                <w:position w:val="0"/>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7250D4E8">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rPr>
              <w:t>投标保证金金额：</w:t>
            </w:r>
          </w:p>
          <w:p w14:paraId="42528437">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highlight w:val="none"/>
              </w:rPr>
              <w:t>0</w:t>
            </w:r>
            <w:r>
              <w:rPr>
                <w:rFonts w:hint="eastAsia" w:cs="宋体"/>
                <w:spacing w:val="0"/>
                <w:w w:val="100"/>
                <w:kern w:val="0"/>
                <w:position w:val="0"/>
                <w:highlight w:val="none"/>
                <w:lang w:val="en-US" w:eastAsia="zh-CN"/>
              </w:rPr>
              <w:t>5</w:t>
            </w:r>
            <w:r>
              <w:rPr>
                <w:rFonts w:hint="eastAsia" w:ascii="宋体" w:hAnsi="宋体" w:eastAsia="宋体" w:cs="宋体"/>
                <w:spacing w:val="0"/>
                <w:w w:val="100"/>
                <w:kern w:val="0"/>
                <w:position w:val="0"/>
                <w:highlight w:val="none"/>
              </w:rPr>
              <w:t>包：</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u w:val="single" w:color="auto"/>
                <w:lang w:val="en-US" w:eastAsia="zh-CN"/>
              </w:rPr>
              <w:t>9000.00元（玖仟元整）</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highlight w:val="none"/>
              </w:rPr>
              <w:t>投标保证金收受人信息：</w:t>
            </w:r>
            <w:r>
              <w:rPr>
                <w:rFonts w:hint="eastAsia" w:ascii="宋体" w:hAnsi="宋体"/>
                <w:spacing w:val="0"/>
                <w:kern w:val="0"/>
                <w:position w:val="0"/>
                <w:sz w:val="24"/>
                <w:highlight w:val="none"/>
                <w:u w:val="single"/>
              </w:rPr>
              <w:t>投标保证金</w:t>
            </w:r>
            <w:r>
              <w:rPr>
                <w:rFonts w:hint="eastAsia" w:ascii="宋体" w:hAnsi="宋体"/>
                <w:spacing w:val="0"/>
                <w:kern w:val="0"/>
                <w:position w:val="0"/>
                <w:sz w:val="24"/>
                <w:u w:val="single"/>
              </w:rPr>
              <w:t>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【标准格式：11011525210200029015-XM001</w:t>
            </w:r>
            <w:r>
              <w:rPr>
                <w:rFonts w:hint="eastAsia" w:ascii="宋体" w:hAnsi="宋体" w:cs="宋体"/>
                <w:b w:val="0"/>
                <w:bCs/>
                <w:spacing w:val="0"/>
                <w:kern w:val="0"/>
                <w:position w:val="0"/>
                <w:sz w:val="24"/>
                <w:u w:val="single"/>
                <w:lang w:val="en-US" w:eastAsia="zh-CN"/>
              </w:rPr>
              <w:t>/05</w:t>
            </w:r>
            <w:r>
              <w:rPr>
                <w:rFonts w:hint="eastAsia" w:ascii="宋体" w:hAnsi="宋体" w:eastAsia="宋体" w:cs="宋体"/>
                <w:b w:val="0"/>
                <w:bCs/>
                <w:spacing w:val="0"/>
                <w:kern w:val="0"/>
                <w:position w:val="0"/>
                <w:sz w:val="24"/>
                <w:u w:val="single"/>
              </w:rPr>
              <w:t>】）；</w:t>
            </w:r>
          </w:p>
          <w:p w14:paraId="38C2A457">
            <w:pPr>
              <w:jc w:val="left"/>
              <w:rPr>
                <w:spacing w:val="0"/>
                <w:kern w:val="0"/>
                <w:position w:val="0"/>
                <w:sz w:val="24"/>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r>
              <w:rPr>
                <w:rFonts w:hint="default" w:ascii="Times New Roman" w:hAnsi="Times New Roman"/>
                <w:spacing w:val="0"/>
                <w:kern w:val="0"/>
                <w:position w:val="0"/>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收费标准：</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0C6E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594A27">
            <w:pPr>
              <w:pStyle w:val="24"/>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0A93E719">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12C4D440">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00169250">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195842882"/>
      <w:bookmarkStart w:id="74" w:name="_Toc150480755"/>
      <w:bookmarkStart w:id="75" w:name="_Toc353873662"/>
      <w:bookmarkStart w:id="76" w:name="_Toc150774722"/>
      <w:bookmarkStart w:id="77" w:name="_Toc226337213"/>
      <w:bookmarkStart w:id="78" w:name="_Toc305158785"/>
      <w:bookmarkStart w:id="79" w:name="_Toc264969207"/>
      <w:bookmarkStart w:id="80" w:name="_Toc305158859"/>
      <w:bookmarkStart w:id="81" w:name="_Toc353873932"/>
      <w:bookmarkStart w:id="82" w:name="_Toc226965790"/>
      <w:bookmarkStart w:id="83" w:name="_Toc265228355"/>
      <w:bookmarkStart w:id="84" w:name="_Toc127151517"/>
      <w:bookmarkStart w:id="85" w:name="_Toc142311019"/>
      <w:bookmarkStart w:id="86" w:name="_Toc353825542"/>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150509269"/>
      <w:bookmarkStart w:id="90" w:name="_Toc151190145"/>
      <w:bookmarkStart w:id="91" w:name="_Toc226965791"/>
      <w:bookmarkStart w:id="92" w:name="_Toc226309762"/>
      <w:bookmarkStart w:id="93" w:name="_Toc195842883"/>
      <w:bookmarkStart w:id="94" w:name="_Toc151193906"/>
      <w:bookmarkStart w:id="95" w:name="_Toc265228356"/>
      <w:bookmarkStart w:id="96" w:name="_Toc151193760"/>
      <w:bookmarkStart w:id="97" w:name="_Toc264969208"/>
      <w:bookmarkStart w:id="98" w:name="_Toc305158860"/>
      <w:bookmarkStart w:id="99" w:name="_Toc151193832"/>
      <w:bookmarkStart w:id="100" w:name="_Toc226965708"/>
      <w:bookmarkStart w:id="101" w:name="_Toc226337214"/>
      <w:bookmarkStart w:id="102" w:name="_Toc142311020"/>
      <w:bookmarkStart w:id="103" w:name="_Toc305158786"/>
      <w:bookmarkStart w:id="104" w:name="_Toc150774723"/>
      <w:bookmarkStart w:id="105" w:name="_Toc151193616"/>
      <w:bookmarkStart w:id="106" w:name="_Toc150480756"/>
      <w:bookmarkStart w:id="107" w:name="_Toc150774618"/>
      <w:bookmarkStart w:id="108" w:name="_Toc151193688"/>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265228357"/>
      <w:bookmarkStart w:id="110" w:name="_Toc264969209"/>
      <w:bookmarkStart w:id="111" w:name="_Toc305158861"/>
      <w:bookmarkStart w:id="112" w:name="_Toc305158787"/>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150774620"/>
      <w:bookmarkStart w:id="114" w:name="_Toc127161434"/>
      <w:bookmarkStart w:id="115" w:name="_Toc151193762"/>
      <w:bookmarkStart w:id="116" w:name="_Toc150774725"/>
      <w:bookmarkStart w:id="117" w:name="_Toc305158788"/>
      <w:bookmarkStart w:id="118" w:name="_Toc149720813"/>
      <w:bookmarkStart w:id="119" w:name="_Toc150480758"/>
      <w:bookmarkStart w:id="120" w:name="_Toc265228358"/>
      <w:bookmarkStart w:id="121" w:name="_Toc164229361"/>
      <w:bookmarkStart w:id="122" w:name="_Toc142311022"/>
      <w:bookmarkStart w:id="123" w:name="_Toc164351614"/>
      <w:bookmarkStart w:id="124" w:name="_Toc226337216"/>
      <w:bookmarkStart w:id="125" w:name="_Toc226309764"/>
      <w:bookmarkStart w:id="126" w:name="_Toc164229215"/>
      <w:bookmarkStart w:id="127" w:name="_Toc164608789"/>
      <w:bookmarkStart w:id="128" w:name="_Toc151193834"/>
      <w:bookmarkStart w:id="129" w:name="_Toc151193690"/>
      <w:bookmarkStart w:id="130" w:name="_Toc226965793"/>
      <w:bookmarkStart w:id="131" w:name="_Toc164608634"/>
      <w:bookmarkStart w:id="132" w:name="_Toc127151520"/>
      <w:bookmarkStart w:id="133" w:name="_Toc127151721"/>
      <w:bookmarkStart w:id="134" w:name="_Toc151193618"/>
      <w:bookmarkStart w:id="135" w:name="_Toc226965710"/>
      <w:bookmarkStart w:id="136" w:name="_Toc151193908"/>
      <w:bookmarkStart w:id="137" w:name="_Toc305158862"/>
      <w:bookmarkStart w:id="138" w:name="_Toc195842885"/>
      <w:bookmarkStart w:id="139" w:name="_Toc150509271"/>
      <w:bookmarkStart w:id="140" w:name="_Toc151190147"/>
      <w:bookmarkStart w:id="141" w:name="_Toc264969210"/>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265228360"/>
      <w:bookmarkStart w:id="143" w:name="_Toc151193910"/>
      <w:bookmarkStart w:id="144" w:name="_Toc226309766"/>
      <w:bookmarkStart w:id="145" w:name="_Toc127151522"/>
      <w:bookmarkStart w:id="146" w:name="_Toc151193836"/>
      <w:bookmarkStart w:id="147" w:name="_Toc151193764"/>
      <w:bookmarkStart w:id="148" w:name="_Toc520356146"/>
      <w:bookmarkStart w:id="149" w:name="_Toc305158864"/>
      <w:bookmarkStart w:id="150" w:name="_Toc226965795"/>
      <w:bookmarkStart w:id="151" w:name="_Toc151190149"/>
      <w:bookmarkStart w:id="152" w:name="_Toc150774727"/>
      <w:bookmarkStart w:id="153" w:name="_Toc226965712"/>
      <w:bookmarkStart w:id="154" w:name="_Toc142311024"/>
      <w:bookmarkStart w:id="155" w:name="_Toc151193620"/>
      <w:bookmarkStart w:id="156" w:name="_Toc226337218"/>
      <w:bookmarkStart w:id="157" w:name="_Toc264969212"/>
      <w:bookmarkStart w:id="158" w:name="_Toc150774622"/>
      <w:bookmarkStart w:id="159" w:name="_Toc305158790"/>
      <w:bookmarkStart w:id="160" w:name="_Toc150480760"/>
      <w:bookmarkStart w:id="161" w:name="_Toc151193692"/>
      <w:bookmarkStart w:id="162" w:name="_Toc195842887"/>
      <w:bookmarkStart w:id="163" w:name="_Toc150509273"/>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164229364"/>
      <w:bookmarkStart w:id="168" w:name="_Toc226965713"/>
      <w:bookmarkStart w:id="169" w:name="_Toc150774728"/>
      <w:bookmarkStart w:id="170" w:name="_Toc127151523"/>
      <w:bookmarkStart w:id="171" w:name="_Toc151193837"/>
      <w:bookmarkStart w:id="172" w:name="_Toc151193621"/>
      <w:bookmarkStart w:id="173" w:name="_Toc305158865"/>
      <w:bookmarkStart w:id="174" w:name="_Toc305158791"/>
      <w:bookmarkStart w:id="175" w:name="_Toc195842888"/>
      <w:bookmarkStart w:id="176" w:name="_Toc226965796"/>
      <w:bookmarkStart w:id="177" w:name="_Toc151193765"/>
      <w:bookmarkStart w:id="178" w:name="_Toc150509274"/>
      <w:bookmarkStart w:id="179" w:name="_Toc226309767"/>
      <w:bookmarkStart w:id="180" w:name="_Toc150480761"/>
      <w:bookmarkStart w:id="181" w:name="_Toc226337219"/>
      <w:bookmarkStart w:id="182" w:name="_Toc127161437"/>
      <w:bookmarkStart w:id="183" w:name="_Toc520356147"/>
      <w:bookmarkStart w:id="184" w:name="_Toc150774623"/>
      <w:bookmarkStart w:id="185" w:name="_Toc164229218"/>
      <w:bookmarkStart w:id="186" w:name="_Toc264969213"/>
      <w:bookmarkStart w:id="187" w:name="_Toc149720816"/>
      <w:bookmarkStart w:id="188" w:name="_Toc127151724"/>
      <w:bookmarkStart w:id="189" w:name="_Toc142311025"/>
      <w:bookmarkStart w:id="190" w:name="_Toc265228361"/>
      <w:bookmarkStart w:id="191" w:name="_Toc164608792"/>
      <w:bookmarkStart w:id="192" w:name="_Toc151190150"/>
      <w:bookmarkStart w:id="193" w:name="_Toc151193693"/>
      <w:bookmarkStart w:id="194" w:name="_Toc164351617"/>
      <w:bookmarkStart w:id="195" w:name="_Toc164608637"/>
      <w:bookmarkStart w:id="196" w:name="_Toc151193911"/>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520356150"/>
      <w:bookmarkStart w:id="199" w:name="_Toc226965716"/>
      <w:bookmarkStart w:id="200" w:name="_Toc150774626"/>
      <w:bookmarkStart w:id="201" w:name="_Toc305158794"/>
      <w:bookmarkStart w:id="202" w:name="_Toc150480764"/>
      <w:bookmarkStart w:id="203" w:name="_Toc226309770"/>
      <w:bookmarkStart w:id="204" w:name="_Toc226965799"/>
      <w:bookmarkStart w:id="205" w:name="_Toc151193768"/>
      <w:bookmarkStart w:id="206" w:name="_Toc127151526"/>
      <w:bookmarkStart w:id="207" w:name="_Toc151193840"/>
      <w:bookmarkStart w:id="208" w:name="_Toc150774731"/>
      <w:bookmarkStart w:id="209" w:name="_Toc305158868"/>
      <w:bookmarkStart w:id="210" w:name="_Toc150509277"/>
      <w:bookmarkStart w:id="211" w:name="_Toc264969216"/>
      <w:bookmarkStart w:id="212" w:name="_Toc151190153"/>
      <w:bookmarkStart w:id="213" w:name="_Toc151193624"/>
      <w:bookmarkStart w:id="214" w:name="_Toc195842891"/>
      <w:bookmarkStart w:id="215" w:name="_Toc265228364"/>
      <w:bookmarkStart w:id="216" w:name="_Toc151193696"/>
      <w:bookmarkStart w:id="217" w:name="_Toc226337222"/>
      <w:bookmarkStart w:id="218" w:name="_Toc142311028"/>
      <w:bookmarkStart w:id="219" w:name="_Toc151193914"/>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226965717"/>
      <w:bookmarkStart w:id="221" w:name="_Toc151193625"/>
      <w:bookmarkStart w:id="222" w:name="_Toc264969217"/>
      <w:bookmarkStart w:id="223" w:name="_Toc151193915"/>
      <w:bookmarkStart w:id="224" w:name="_Toc150774732"/>
      <w:bookmarkStart w:id="225" w:name="_Toc151193841"/>
      <w:bookmarkStart w:id="226" w:name="_Toc516367021"/>
      <w:bookmarkStart w:id="227" w:name="_Toc265228365"/>
      <w:bookmarkStart w:id="228" w:name="_Toc226309771"/>
      <w:bookmarkStart w:id="229" w:name="_Toc151193769"/>
      <w:bookmarkStart w:id="230" w:name="_Toc305158795"/>
      <w:bookmarkStart w:id="231" w:name="_Toc127151728"/>
      <w:bookmarkStart w:id="232" w:name="_Toc150774627"/>
      <w:bookmarkStart w:id="233" w:name="_Toc127151527"/>
      <w:bookmarkStart w:id="234" w:name="_Toc195842892"/>
      <w:bookmarkStart w:id="235" w:name="_Toc226965800"/>
      <w:bookmarkStart w:id="236" w:name="_Toc164229222"/>
      <w:bookmarkStart w:id="237" w:name="_Toc150509278"/>
      <w:bookmarkStart w:id="238" w:name="_Toc150480765"/>
      <w:bookmarkStart w:id="239" w:name="_Toc164608796"/>
      <w:bookmarkStart w:id="240" w:name="_Toc151193697"/>
      <w:bookmarkStart w:id="241" w:name="_Toc226337223"/>
      <w:bookmarkStart w:id="242" w:name="_Toc151190154"/>
      <w:bookmarkStart w:id="243" w:name="_Toc164351621"/>
      <w:bookmarkStart w:id="244" w:name="_Toc164608641"/>
      <w:bookmarkStart w:id="245" w:name="_Toc142311029"/>
      <w:bookmarkStart w:id="246" w:name="_Toc520356151"/>
      <w:bookmarkStart w:id="247" w:name="_Toc164229368"/>
      <w:bookmarkStart w:id="248" w:name="_Toc149720820"/>
      <w:bookmarkStart w:id="249" w:name="_Toc127161441"/>
      <w:bookmarkStart w:id="250" w:name="_Toc305158869"/>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Toc516367022"/>
      <w:bookmarkStart w:id="252" w:name="_Ref467306195"/>
      <w:bookmarkStart w:id="253" w:name="_Ref467306676"/>
      <w:bookmarkStart w:id="254" w:name="_Toc226309772"/>
      <w:bookmarkStart w:id="255" w:name="_Toc305158796"/>
      <w:bookmarkStart w:id="256" w:name="_Toc226337224"/>
      <w:bookmarkStart w:id="257" w:name="_Toc150480766"/>
      <w:bookmarkStart w:id="258" w:name="_Toc195842893"/>
      <w:bookmarkStart w:id="259" w:name="_Toc151193842"/>
      <w:bookmarkStart w:id="260" w:name="_Toc520356152"/>
      <w:bookmarkStart w:id="261" w:name="_Toc151193770"/>
      <w:bookmarkStart w:id="262" w:name="_Toc127151528"/>
      <w:bookmarkStart w:id="263" w:name="_Toc164229369"/>
      <w:bookmarkStart w:id="264" w:name="_Toc305158870"/>
      <w:bookmarkStart w:id="265" w:name="_Toc150774733"/>
      <w:bookmarkStart w:id="266" w:name="_Toc164229223"/>
      <w:bookmarkStart w:id="267" w:name="_Toc142311030"/>
      <w:bookmarkStart w:id="268" w:name="_Toc151193626"/>
      <w:bookmarkStart w:id="269" w:name="_Toc127161442"/>
      <w:bookmarkStart w:id="270" w:name="_Toc164608797"/>
      <w:bookmarkStart w:id="271" w:name="_Toc127151729"/>
      <w:bookmarkStart w:id="272" w:name="_Toc151193698"/>
      <w:bookmarkStart w:id="273" w:name="_Toc150774628"/>
      <w:bookmarkStart w:id="274" w:name="_Toc226965801"/>
      <w:bookmarkStart w:id="275" w:name="_Toc150509279"/>
      <w:bookmarkStart w:id="276" w:name="_Toc264969218"/>
      <w:bookmarkStart w:id="277" w:name="_Toc164351622"/>
      <w:bookmarkStart w:id="278" w:name="_Toc151190155"/>
      <w:bookmarkStart w:id="279" w:name="_Toc149720821"/>
      <w:bookmarkStart w:id="280" w:name="_Toc265228366"/>
      <w:bookmarkStart w:id="281" w:name="_Toc151193916"/>
      <w:bookmarkStart w:id="282" w:name="_Toc164608642"/>
      <w:bookmarkStart w:id="283" w:name="_Toc226965718"/>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520356155"/>
      <w:bookmarkStart w:id="286" w:name="_Toc164229371"/>
      <w:bookmarkStart w:id="287" w:name="_Toc150509281"/>
      <w:bookmarkStart w:id="288" w:name="_Toc151193700"/>
      <w:bookmarkStart w:id="289" w:name="_Toc164351624"/>
      <w:bookmarkStart w:id="290" w:name="_Toc164229225"/>
      <w:bookmarkStart w:id="291" w:name="_Toc195842895"/>
      <w:bookmarkStart w:id="292" w:name="_Toc127151530"/>
      <w:bookmarkStart w:id="293" w:name="_Toc151193772"/>
      <w:bookmarkStart w:id="294" w:name="_Toc151193844"/>
      <w:bookmarkStart w:id="295" w:name="_Toc127151731"/>
      <w:bookmarkStart w:id="296" w:name="_Toc151190157"/>
      <w:bookmarkStart w:id="297" w:name="_Toc142311032"/>
      <w:bookmarkStart w:id="298" w:name="_Toc151193918"/>
      <w:bookmarkStart w:id="299" w:name="_Toc150774735"/>
      <w:bookmarkStart w:id="300" w:name="_Toc151193628"/>
      <w:bookmarkStart w:id="301" w:name="_Toc164608644"/>
      <w:bookmarkStart w:id="302" w:name="_Toc164608799"/>
      <w:bookmarkStart w:id="303" w:name="_Toc127161444"/>
      <w:bookmarkStart w:id="304" w:name="_Toc150774630"/>
      <w:bookmarkStart w:id="305" w:name="_Toc150480768"/>
      <w:bookmarkStart w:id="306" w:name="_Toc149720823"/>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149720824"/>
      <w:bookmarkStart w:id="308" w:name="_Toc164608645"/>
      <w:bookmarkStart w:id="309" w:name="_Toc305158873"/>
      <w:bookmarkStart w:id="310" w:name="_Toc226965721"/>
      <w:bookmarkStart w:id="311" w:name="_Toc151193845"/>
      <w:bookmarkStart w:id="312" w:name="_Toc265228369"/>
      <w:bookmarkStart w:id="313" w:name="_Toc150509282"/>
      <w:bookmarkStart w:id="314" w:name="_Toc151193629"/>
      <w:bookmarkStart w:id="315" w:name="_Toc127151732"/>
      <w:bookmarkStart w:id="316" w:name="_Ref467306513"/>
      <w:bookmarkStart w:id="317" w:name="_Toc520356156"/>
      <w:bookmarkStart w:id="318" w:name="_Toc150774631"/>
      <w:bookmarkStart w:id="319" w:name="_Toc127151531"/>
      <w:bookmarkStart w:id="320" w:name="_Toc164608800"/>
      <w:bookmarkStart w:id="321" w:name="_Toc127161445"/>
      <w:bookmarkStart w:id="322" w:name="_Toc151193773"/>
      <w:bookmarkStart w:id="323" w:name="_Toc264969221"/>
      <w:bookmarkStart w:id="324" w:name="_Toc150774736"/>
      <w:bookmarkStart w:id="325" w:name="_Toc151193919"/>
      <w:bookmarkStart w:id="326" w:name="_Toc305158799"/>
      <w:bookmarkStart w:id="327" w:name="_Toc151190158"/>
      <w:bookmarkStart w:id="328" w:name="_Toc226337227"/>
      <w:bookmarkStart w:id="329" w:name="_Toc151193701"/>
      <w:bookmarkStart w:id="330" w:name="_Toc226309775"/>
      <w:bookmarkStart w:id="331" w:name="_Toc164351625"/>
      <w:bookmarkStart w:id="332" w:name="_Toc226965804"/>
      <w:bookmarkStart w:id="333" w:name="_Toc164229372"/>
      <w:bookmarkStart w:id="334" w:name="_Toc164229226"/>
      <w:bookmarkStart w:id="335" w:name="_Toc150480769"/>
      <w:bookmarkStart w:id="336" w:name="_Toc142311033"/>
      <w:bookmarkStart w:id="337" w:name="_Toc195842896"/>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226337228"/>
      <w:bookmarkStart w:id="341" w:name="_Toc264969222"/>
      <w:bookmarkStart w:id="342" w:name="_Toc305158874"/>
      <w:bookmarkStart w:id="343" w:name="_Toc164351626"/>
      <w:bookmarkStart w:id="344" w:name="_Toc150774632"/>
      <w:bookmarkStart w:id="345" w:name="_Toc142311034"/>
      <w:bookmarkStart w:id="346" w:name="_Toc520356157"/>
      <w:bookmarkStart w:id="347" w:name="_Toc151193920"/>
      <w:bookmarkStart w:id="348" w:name="_Toc127151733"/>
      <w:bookmarkStart w:id="349" w:name="_Toc226309776"/>
      <w:bookmarkStart w:id="350" w:name="_Toc151193702"/>
      <w:bookmarkStart w:id="351" w:name="_Toc195842897"/>
      <w:bookmarkStart w:id="352" w:name="_Toc164229373"/>
      <w:bookmarkStart w:id="353" w:name="_Toc305158800"/>
      <w:bookmarkStart w:id="354" w:name="_Toc164608646"/>
      <w:bookmarkStart w:id="355" w:name="_Toc150509283"/>
      <w:bookmarkStart w:id="356" w:name="_Toc151193774"/>
      <w:bookmarkStart w:id="357" w:name="_Toc151193630"/>
      <w:bookmarkStart w:id="358" w:name="_Toc150480770"/>
      <w:bookmarkStart w:id="359" w:name="_Toc127151532"/>
      <w:bookmarkStart w:id="360" w:name="_Toc150774737"/>
      <w:bookmarkStart w:id="361" w:name="_Toc164229227"/>
      <w:bookmarkStart w:id="362" w:name="_Toc226965805"/>
      <w:bookmarkStart w:id="363" w:name="_Toc151193846"/>
      <w:bookmarkStart w:id="364" w:name="_Toc226965722"/>
      <w:bookmarkStart w:id="365" w:name="_Toc265228370"/>
      <w:bookmarkStart w:id="366" w:name="_Toc151190159"/>
      <w:bookmarkStart w:id="367" w:name="_Toc164608801"/>
      <w:bookmarkStart w:id="368" w:name="_Toc149720825"/>
      <w:bookmarkStart w:id="369" w:name="_Toc127161446"/>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64351627"/>
      <w:bookmarkStart w:id="371" w:name="_Toc195842898"/>
      <w:bookmarkStart w:id="372" w:name="_Toc305158801"/>
      <w:bookmarkStart w:id="373" w:name="_Toc226309777"/>
      <w:bookmarkStart w:id="374" w:name="_Toc149720826"/>
      <w:bookmarkStart w:id="375" w:name="_Toc150774633"/>
      <w:bookmarkStart w:id="376" w:name="_Toc226965723"/>
      <w:bookmarkStart w:id="377" w:name="_Toc305158875"/>
      <w:bookmarkStart w:id="378" w:name="_Toc127151734"/>
      <w:bookmarkStart w:id="379" w:name="_Toc520356158"/>
      <w:bookmarkStart w:id="380" w:name="_Toc150480771"/>
      <w:bookmarkStart w:id="381" w:name="_Toc164229374"/>
      <w:bookmarkStart w:id="382" w:name="_Toc164608802"/>
      <w:bookmarkStart w:id="383" w:name="_Toc264969223"/>
      <w:bookmarkStart w:id="384" w:name="_Toc164608647"/>
      <w:bookmarkStart w:id="385" w:name="_Toc151193847"/>
      <w:bookmarkStart w:id="386" w:name="_Toc151193631"/>
      <w:bookmarkStart w:id="387" w:name="_Toc151193703"/>
      <w:bookmarkStart w:id="388" w:name="_Toc226965806"/>
      <w:bookmarkStart w:id="389" w:name="_Toc265228371"/>
      <w:bookmarkStart w:id="390" w:name="_Toc151193921"/>
      <w:bookmarkStart w:id="391" w:name="_Toc127161447"/>
      <w:bookmarkStart w:id="392" w:name="_Toc142311035"/>
      <w:bookmarkStart w:id="393" w:name="_Toc150774738"/>
      <w:bookmarkStart w:id="394" w:name="_Toc226337229"/>
      <w:bookmarkStart w:id="395" w:name="_Toc150509284"/>
      <w:bookmarkStart w:id="396" w:name="_Toc151193775"/>
      <w:bookmarkStart w:id="397" w:name="_Toc164229228"/>
      <w:bookmarkStart w:id="398" w:name="_Toc151190160"/>
      <w:bookmarkStart w:id="399" w:name="_Toc127151533"/>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195842899"/>
      <w:bookmarkStart w:id="401" w:name="_Toc150774634"/>
      <w:bookmarkStart w:id="402" w:name="_Toc226337230"/>
      <w:bookmarkStart w:id="403" w:name="_Toc151193776"/>
      <w:bookmarkStart w:id="404" w:name="_Toc265228372"/>
      <w:bookmarkStart w:id="405" w:name="_Toc264969224"/>
      <w:bookmarkStart w:id="406" w:name="_Toc150774739"/>
      <w:bookmarkStart w:id="407" w:name="_Toc226965807"/>
      <w:bookmarkStart w:id="408" w:name="_Toc150480772"/>
      <w:bookmarkStart w:id="409" w:name="_Toc520356159"/>
      <w:bookmarkStart w:id="410" w:name="_Toc151193922"/>
      <w:bookmarkStart w:id="411" w:name="_Toc305158876"/>
      <w:bookmarkStart w:id="412" w:name="_Toc142311036"/>
      <w:bookmarkStart w:id="413" w:name="_Toc150509285"/>
      <w:bookmarkStart w:id="414" w:name="_Toc151193848"/>
      <w:bookmarkStart w:id="415" w:name="_Toc151193632"/>
      <w:bookmarkStart w:id="416" w:name="_Toc151190161"/>
      <w:bookmarkStart w:id="417" w:name="_Toc151193704"/>
      <w:bookmarkStart w:id="418" w:name="_Toc226309778"/>
      <w:bookmarkStart w:id="419" w:name="_Toc226965724"/>
      <w:bookmarkStart w:id="420" w:name="_Toc305158802"/>
      <w:bookmarkStart w:id="421" w:name="_Toc127151534"/>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164351629"/>
      <w:bookmarkStart w:id="423" w:name="_Toc151193849"/>
      <w:bookmarkStart w:id="424" w:name="_Toc305158803"/>
      <w:bookmarkStart w:id="425" w:name="_Toc305158877"/>
      <w:bookmarkStart w:id="426" w:name="_Toc150509286"/>
      <w:bookmarkStart w:id="427" w:name="_Toc150774635"/>
      <w:bookmarkStart w:id="428" w:name="_Toc151193777"/>
      <w:bookmarkStart w:id="429" w:name="_Toc226309779"/>
      <w:bookmarkStart w:id="430" w:name="_Toc151193705"/>
      <w:bookmarkStart w:id="431" w:name="_Toc226965808"/>
      <w:bookmarkStart w:id="432" w:name="_Toc151193633"/>
      <w:bookmarkStart w:id="433" w:name="_Toc195842900"/>
      <w:bookmarkStart w:id="434" w:name="_Toc150480773"/>
      <w:bookmarkStart w:id="435" w:name="_Toc265228373"/>
      <w:bookmarkStart w:id="436" w:name="_Toc151193923"/>
      <w:bookmarkStart w:id="437" w:name="_Toc164608804"/>
      <w:bookmarkStart w:id="438" w:name="_Toc520356160"/>
      <w:bookmarkStart w:id="439" w:name="_Toc164229230"/>
      <w:bookmarkStart w:id="440" w:name="_Toc150774740"/>
      <w:bookmarkStart w:id="441" w:name="_Toc226965725"/>
      <w:bookmarkStart w:id="442" w:name="_Toc127151736"/>
      <w:bookmarkStart w:id="443" w:name="_Toc149720828"/>
      <w:bookmarkStart w:id="444" w:name="_Toc127151535"/>
      <w:bookmarkStart w:id="445" w:name="_Toc127161449"/>
      <w:bookmarkStart w:id="446" w:name="_Toc164229376"/>
      <w:bookmarkStart w:id="447" w:name="_Toc164608649"/>
      <w:bookmarkStart w:id="448" w:name="_Toc142311037"/>
      <w:bookmarkStart w:id="449" w:name="_Toc226337231"/>
      <w:bookmarkStart w:id="450" w:name="_Toc151190162"/>
      <w:bookmarkStart w:id="451" w:name="_Toc264969225"/>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305158804"/>
      <w:bookmarkStart w:id="453" w:name="_Toc164351630"/>
      <w:bookmarkStart w:id="454" w:name="_Toc127161450"/>
      <w:bookmarkStart w:id="455" w:name="_Toc151190163"/>
      <w:bookmarkStart w:id="456" w:name="_Toc226309780"/>
      <w:bookmarkStart w:id="457" w:name="_Toc265228374"/>
      <w:bookmarkStart w:id="458" w:name="_Toc164229231"/>
      <w:bookmarkStart w:id="459" w:name="_Toc142311038"/>
      <w:bookmarkStart w:id="460" w:name="_Toc150509287"/>
      <w:bookmarkStart w:id="461" w:name="_Toc151193850"/>
      <w:bookmarkStart w:id="462" w:name="_Toc151193634"/>
      <w:bookmarkStart w:id="463" w:name="_Toc151193924"/>
      <w:bookmarkStart w:id="464" w:name="_Toc226965726"/>
      <w:bookmarkStart w:id="465" w:name="_Toc520356161"/>
      <w:bookmarkStart w:id="466" w:name="_Toc149720829"/>
      <w:bookmarkStart w:id="467" w:name="_Toc164229377"/>
      <w:bookmarkStart w:id="468" w:name="_Toc127151536"/>
      <w:bookmarkStart w:id="469" w:name="_Toc226965809"/>
      <w:bookmarkStart w:id="470" w:name="_Toc150774741"/>
      <w:bookmarkStart w:id="471" w:name="_Toc305158878"/>
      <w:bookmarkStart w:id="472" w:name="_Toc164608650"/>
      <w:bookmarkStart w:id="473" w:name="_Toc195842901"/>
      <w:bookmarkStart w:id="474" w:name="_Toc226337232"/>
      <w:bookmarkStart w:id="475" w:name="_Toc150480774"/>
      <w:bookmarkStart w:id="476" w:name="_Toc264969226"/>
      <w:bookmarkStart w:id="477" w:name="_Toc127151737"/>
      <w:bookmarkStart w:id="478" w:name="_Toc151193706"/>
      <w:bookmarkStart w:id="479" w:name="_Toc150774636"/>
      <w:bookmarkStart w:id="480" w:name="_Toc151193778"/>
      <w:bookmarkStart w:id="481" w:name="_Toc164608805"/>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150774742"/>
      <w:bookmarkStart w:id="483" w:name="_Toc226965727"/>
      <w:bookmarkStart w:id="484" w:name="_Toc127151738"/>
      <w:bookmarkStart w:id="485" w:name="_Toc264969227"/>
      <w:bookmarkStart w:id="486" w:name="_Toc265228375"/>
      <w:bookmarkStart w:id="487" w:name="_Toc127161451"/>
      <w:bookmarkStart w:id="488" w:name="_Toc164229378"/>
      <w:bookmarkStart w:id="489" w:name="_Toc151193925"/>
      <w:bookmarkStart w:id="490" w:name="_Toc151193779"/>
      <w:bookmarkStart w:id="491" w:name="_Toc226309781"/>
      <w:bookmarkStart w:id="492" w:name="_Toc151193635"/>
      <w:bookmarkStart w:id="493" w:name="_Toc164229232"/>
      <w:bookmarkStart w:id="494" w:name="_Toc150509288"/>
      <w:bookmarkStart w:id="495" w:name="_Toc142311039"/>
      <w:bookmarkStart w:id="496" w:name="_Toc520356162"/>
      <w:bookmarkStart w:id="497" w:name="_Toc305158805"/>
      <w:bookmarkStart w:id="498" w:name="_Toc164608806"/>
      <w:bookmarkStart w:id="499" w:name="_Toc127151537"/>
      <w:bookmarkStart w:id="500" w:name="_Toc305158879"/>
      <w:bookmarkStart w:id="501" w:name="_Toc164608651"/>
      <w:bookmarkStart w:id="502" w:name="_Toc150774637"/>
      <w:bookmarkStart w:id="503" w:name="_Toc226965810"/>
      <w:bookmarkStart w:id="504" w:name="_Toc195842902"/>
      <w:bookmarkStart w:id="505" w:name="_Toc150480775"/>
      <w:bookmarkStart w:id="506" w:name="_Toc151193707"/>
      <w:bookmarkStart w:id="507" w:name="_Toc149720830"/>
      <w:bookmarkStart w:id="508" w:name="_Toc226337233"/>
      <w:bookmarkStart w:id="509" w:name="_Toc151193851"/>
      <w:bookmarkStart w:id="510" w:name="_Toc164351631"/>
      <w:bookmarkStart w:id="511" w:name="_Toc151190164"/>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151193708"/>
      <w:bookmarkStart w:id="513" w:name="_Toc520356163"/>
      <w:bookmarkStart w:id="514" w:name="_Toc150509289"/>
      <w:bookmarkStart w:id="515" w:name="_Toc226965811"/>
      <w:bookmarkStart w:id="516" w:name="_Toc151193926"/>
      <w:bookmarkStart w:id="517" w:name="_Toc226309782"/>
      <w:bookmarkStart w:id="518" w:name="_Toc305158806"/>
      <w:bookmarkStart w:id="519" w:name="_Toc265228376"/>
      <w:bookmarkStart w:id="520" w:name="_Toc195842903"/>
      <w:bookmarkStart w:id="521" w:name="_Toc151193636"/>
      <w:bookmarkStart w:id="522" w:name="_Toc151193780"/>
      <w:bookmarkStart w:id="523" w:name="_Toc226965728"/>
      <w:bookmarkStart w:id="524" w:name="_Toc142311040"/>
      <w:bookmarkStart w:id="525" w:name="_Toc150774743"/>
      <w:bookmarkStart w:id="526" w:name="_Toc150480776"/>
      <w:bookmarkStart w:id="527" w:name="_Toc150774638"/>
      <w:bookmarkStart w:id="528" w:name="_Toc151193852"/>
      <w:bookmarkStart w:id="529" w:name="_Toc264969228"/>
      <w:bookmarkStart w:id="530" w:name="_Toc226337234"/>
      <w:bookmarkStart w:id="531" w:name="_Toc305158880"/>
      <w:bookmarkStart w:id="532" w:name="_Toc151190165"/>
      <w:bookmarkStart w:id="533" w:name="_Toc127151538"/>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150480777"/>
      <w:bookmarkStart w:id="535" w:name="_Toc264969229"/>
      <w:bookmarkStart w:id="536" w:name="_Toc305158881"/>
      <w:bookmarkStart w:id="537" w:name="_Toc164229234"/>
      <w:bookmarkStart w:id="538" w:name="_Toc127151539"/>
      <w:bookmarkStart w:id="539" w:name="_Toc164608653"/>
      <w:bookmarkStart w:id="540" w:name="_Toc265228377"/>
      <w:bookmarkStart w:id="541" w:name="_Toc151193637"/>
      <w:bookmarkStart w:id="542" w:name="_Toc127151740"/>
      <w:bookmarkStart w:id="543" w:name="_Toc149720832"/>
      <w:bookmarkStart w:id="544" w:name="_Toc151193853"/>
      <w:bookmarkStart w:id="545" w:name="_Toc226337235"/>
      <w:bookmarkStart w:id="546" w:name="_Toc195842904"/>
      <w:bookmarkStart w:id="547" w:name="_Toc151190166"/>
      <w:bookmarkStart w:id="548" w:name="_Toc226965729"/>
      <w:bookmarkStart w:id="549" w:name="_Toc127161453"/>
      <w:bookmarkStart w:id="550" w:name="_Toc142311041"/>
      <w:bookmarkStart w:id="551" w:name="_Toc151193781"/>
      <w:bookmarkStart w:id="552" w:name="_Toc151193709"/>
      <w:bookmarkStart w:id="553" w:name="_Toc305158807"/>
      <w:bookmarkStart w:id="554" w:name="_Toc226309783"/>
      <w:bookmarkStart w:id="555" w:name="_Toc164229380"/>
      <w:bookmarkStart w:id="556" w:name="_Toc150509290"/>
      <w:bookmarkStart w:id="557" w:name="_Toc226965812"/>
      <w:bookmarkStart w:id="558" w:name="_Toc520356164"/>
      <w:bookmarkStart w:id="559" w:name="_Toc151193927"/>
      <w:bookmarkStart w:id="560" w:name="_Toc150774639"/>
      <w:bookmarkStart w:id="561" w:name="_Toc150774744"/>
      <w:bookmarkStart w:id="562" w:name="_Toc164351633"/>
      <w:bookmarkStart w:id="563" w:name="_Toc164608808"/>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164608809"/>
      <w:bookmarkStart w:id="568" w:name="_Toc151193782"/>
      <w:bookmarkStart w:id="569" w:name="_Toc226965730"/>
      <w:bookmarkStart w:id="570" w:name="_Toc127151741"/>
      <w:bookmarkStart w:id="571" w:name="_Toc264969230"/>
      <w:bookmarkStart w:id="572" w:name="_Toc127151540"/>
      <w:bookmarkStart w:id="573" w:name="_Toc151193638"/>
      <w:bookmarkStart w:id="574" w:name="_Toc151193710"/>
      <w:bookmarkStart w:id="575" w:name="_Toc142311042"/>
      <w:bookmarkStart w:id="576" w:name="_Toc164229235"/>
      <w:bookmarkStart w:id="577" w:name="_Toc226965813"/>
      <w:bookmarkStart w:id="578" w:name="_Toc149720833"/>
      <w:bookmarkStart w:id="579" w:name="_Toc150480778"/>
      <w:bookmarkStart w:id="580" w:name="_Toc164608654"/>
      <w:bookmarkStart w:id="581" w:name="_Toc226309784"/>
      <w:bookmarkStart w:id="582" w:name="_Toc150509291"/>
      <w:bookmarkStart w:id="583" w:name="_Toc195842905"/>
      <w:bookmarkStart w:id="584" w:name="_Toc226337236"/>
      <w:bookmarkStart w:id="585" w:name="_Toc164351634"/>
      <w:bookmarkStart w:id="586" w:name="_Toc150774745"/>
      <w:bookmarkStart w:id="587" w:name="_Toc305158882"/>
      <w:bookmarkStart w:id="588" w:name="_Toc164229381"/>
      <w:bookmarkStart w:id="589" w:name="_Toc151190167"/>
      <w:bookmarkStart w:id="590" w:name="_Toc265228378"/>
      <w:bookmarkStart w:id="591" w:name="_Toc151193928"/>
      <w:bookmarkStart w:id="592" w:name="_Toc305158808"/>
      <w:bookmarkStart w:id="593" w:name="_Toc150774640"/>
      <w:bookmarkStart w:id="594" w:name="_Toc127161454"/>
      <w:bookmarkStart w:id="595" w:name="_Toc151193854"/>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226337241"/>
      <w:bookmarkStart w:id="599" w:name="_Toc226965735"/>
      <w:bookmarkStart w:id="600" w:name="_Toc151190172"/>
      <w:bookmarkStart w:id="601" w:name="_Toc226309789"/>
      <w:bookmarkStart w:id="602" w:name="_Toc151193643"/>
      <w:bookmarkStart w:id="603" w:name="_Toc151193859"/>
      <w:bookmarkStart w:id="604" w:name="_Toc151193933"/>
      <w:bookmarkStart w:id="605" w:name="_Toc142311047"/>
      <w:bookmarkStart w:id="606" w:name="_Toc127151545"/>
      <w:bookmarkStart w:id="607" w:name="_Toc150509296"/>
      <w:bookmarkStart w:id="608" w:name="_Toc150480783"/>
      <w:bookmarkStart w:id="609" w:name="_Toc265228383"/>
      <w:bookmarkStart w:id="610" w:name="_Toc151193715"/>
      <w:bookmarkStart w:id="611" w:name="_Toc195842910"/>
      <w:bookmarkStart w:id="612" w:name="_Toc305158887"/>
      <w:bookmarkStart w:id="613" w:name="_Toc150774750"/>
      <w:bookmarkStart w:id="614" w:name="_Toc264969235"/>
      <w:bookmarkStart w:id="615" w:name="_Toc226965818"/>
      <w:bookmarkStart w:id="616" w:name="_Toc151193787"/>
      <w:bookmarkStart w:id="617" w:name="_Toc305158813"/>
      <w:bookmarkStart w:id="618" w:name="_Toc150774645"/>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09791"/>
      <w:bookmarkStart w:id="620" w:name="_Toc226965820"/>
      <w:bookmarkStart w:id="621" w:name="_Toc150509298"/>
      <w:bookmarkStart w:id="622" w:name="_Toc164351641"/>
      <w:bookmarkStart w:id="623" w:name="_Toc164229388"/>
      <w:bookmarkStart w:id="624" w:name="_Toc142311049"/>
      <w:bookmarkStart w:id="625" w:name="_Toc151193717"/>
      <w:bookmarkStart w:id="626" w:name="_Toc127151748"/>
      <w:bookmarkStart w:id="627" w:name="_Toc305158815"/>
      <w:bookmarkStart w:id="628" w:name="_Toc265228385"/>
      <w:bookmarkStart w:id="629" w:name="_Toc151193861"/>
      <w:bookmarkStart w:id="630" w:name="_Toc151193935"/>
      <w:bookmarkStart w:id="631" w:name="_Toc164608816"/>
      <w:bookmarkStart w:id="632" w:name="_Toc164608661"/>
      <w:bookmarkStart w:id="633" w:name="_Toc264969237"/>
      <w:bookmarkStart w:id="634" w:name="_Toc149720840"/>
      <w:bookmarkStart w:id="635" w:name="_Toc226337243"/>
      <w:bookmarkStart w:id="636" w:name="_Toc151190174"/>
      <w:bookmarkStart w:id="637" w:name="_Toc150480785"/>
      <w:bookmarkStart w:id="638" w:name="_Toc151193789"/>
      <w:bookmarkStart w:id="639" w:name="_Toc151193645"/>
      <w:bookmarkStart w:id="640" w:name="_Toc127151547"/>
      <w:bookmarkStart w:id="641" w:name="_Toc305158889"/>
      <w:bookmarkStart w:id="642" w:name="_Toc164229242"/>
      <w:bookmarkStart w:id="643" w:name="_Toc150774647"/>
      <w:bookmarkStart w:id="644" w:name="_Toc226965737"/>
      <w:bookmarkStart w:id="645" w:name="_Toc127161461"/>
      <w:bookmarkStart w:id="646" w:name="_Toc195842912"/>
      <w:bookmarkStart w:id="647" w:name="_Toc150774752"/>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91"/>
      <w:bookmarkStart w:id="649" w:name="_Toc305158817"/>
      <w:bookmarkStart w:id="650" w:name="_Toc127151750"/>
      <w:bookmarkStart w:id="651" w:name="_Toc149720842"/>
      <w:bookmarkStart w:id="652" w:name="_Toc151190176"/>
      <w:bookmarkStart w:id="653" w:name="_Toc151193647"/>
      <w:bookmarkStart w:id="654" w:name="_Toc226309793"/>
      <w:bookmarkStart w:id="655" w:name="_Toc151193937"/>
      <w:bookmarkStart w:id="656" w:name="_Toc164229390"/>
      <w:bookmarkStart w:id="657" w:name="_Toc226337245"/>
      <w:bookmarkStart w:id="658" w:name="_Toc151193719"/>
      <w:bookmarkStart w:id="659" w:name="_Toc150480787"/>
      <w:bookmarkStart w:id="660" w:name="_Toc151193791"/>
      <w:bookmarkStart w:id="661" w:name="_Toc151193863"/>
      <w:bookmarkStart w:id="662" w:name="_Toc264969239"/>
      <w:bookmarkStart w:id="663" w:name="_Toc150774649"/>
      <w:bookmarkStart w:id="664" w:name="_Toc265228387"/>
      <w:bookmarkStart w:id="665" w:name="_Toc150509300"/>
      <w:bookmarkStart w:id="666" w:name="_Toc226965739"/>
      <w:bookmarkStart w:id="667" w:name="_Toc164608663"/>
      <w:bookmarkStart w:id="668" w:name="_Toc226965822"/>
      <w:bookmarkStart w:id="669" w:name="_Toc195842914"/>
      <w:bookmarkStart w:id="670" w:name="_Toc164351643"/>
      <w:bookmarkStart w:id="671" w:name="_Toc150774754"/>
      <w:bookmarkStart w:id="672" w:name="_Toc127161463"/>
      <w:bookmarkStart w:id="673" w:name="_Toc164229244"/>
      <w:bookmarkStart w:id="674" w:name="_Toc164608818"/>
      <w:bookmarkStart w:id="675" w:name="_Toc127151549"/>
      <w:bookmarkStart w:id="676" w:name="_Toc142311051"/>
      <w:bookmarkStart w:id="677" w:name="_Toc520356176"/>
      <w:bookmarkStart w:id="678" w:name="_Ref467306425"/>
      <w:bookmarkStart w:id="679" w:name="_Ref467307090"/>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520356175"/>
      <w:bookmarkStart w:id="681" w:name="_Ref467307062"/>
      <w:bookmarkStart w:id="682" w:name="_Toc226309794"/>
      <w:bookmarkStart w:id="683" w:name="_Toc195842915"/>
      <w:bookmarkStart w:id="684" w:name="_Toc226965740"/>
      <w:bookmarkStart w:id="685" w:name="_Toc226965823"/>
      <w:bookmarkStart w:id="686" w:name="_Toc151193648"/>
      <w:bookmarkStart w:id="687" w:name="_Toc150480788"/>
      <w:bookmarkStart w:id="688" w:name="_Toc151193792"/>
      <w:bookmarkStart w:id="689" w:name="_Toc127161464"/>
      <w:bookmarkStart w:id="690" w:name="_Toc150509301"/>
      <w:bookmarkStart w:id="691" w:name="_Toc164351644"/>
      <w:bookmarkStart w:id="692" w:name="_Toc149720843"/>
      <w:bookmarkStart w:id="693" w:name="_Toc151190177"/>
      <w:bookmarkStart w:id="694" w:name="_Toc150774650"/>
      <w:bookmarkStart w:id="695" w:name="_Toc164608819"/>
      <w:bookmarkStart w:id="696" w:name="_Toc164608664"/>
      <w:bookmarkStart w:id="697" w:name="_Toc164229391"/>
      <w:bookmarkStart w:id="698" w:name="_Toc305158818"/>
      <w:bookmarkStart w:id="699" w:name="_Ref467306377"/>
      <w:bookmarkStart w:id="700" w:name="_Toc265228388"/>
      <w:bookmarkStart w:id="701" w:name="_Toc150774755"/>
      <w:bookmarkStart w:id="702" w:name="_Toc164229245"/>
      <w:bookmarkStart w:id="703" w:name="_Toc127151550"/>
      <w:bookmarkStart w:id="704" w:name="_Toc151193720"/>
      <w:bookmarkStart w:id="705" w:name="_Toc264969240"/>
      <w:bookmarkStart w:id="706" w:name="_Ref467306978"/>
      <w:bookmarkStart w:id="707" w:name="_Toc142311052"/>
      <w:bookmarkStart w:id="708" w:name="_Toc151193864"/>
      <w:bookmarkStart w:id="709" w:name="_Toc305158892"/>
      <w:bookmarkStart w:id="710" w:name="_Toc226337246"/>
      <w:bookmarkStart w:id="711" w:name="_Toc127151751"/>
      <w:bookmarkStart w:id="712" w:name="_Toc151193938"/>
      <w:bookmarkStart w:id="713" w:name="_Ref467307204"/>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127151554"/>
      <w:bookmarkStart w:id="716" w:name="_Toc150480792"/>
      <w:bookmarkStart w:id="717" w:name="_Toc226965827"/>
      <w:bookmarkStart w:id="718" w:name="_Toc305158896"/>
      <w:bookmarkStart w:id="719" w:name="_Toc353873664"/>
      <w:bookmarkStart w:id="720" w:name="_Toc142311056"/>
      <w:bookmarkStart w:id="721" w:name="_Toc226337250"/>
      <w:bookmarkStart w:id="722" w:name="_Toc353825544"/>
      <w:bookmarkStart w:id="723" w:name="_Toc150774759"/>
      <w:bookmarkStart w:id="724" w:name="_Toc305158822"/>
      <w:bookmarkStart w:id="725" w:name="_Toc265228392"/>
      <w:bookmarkStart w:id="726" w:name="_Toc264969244"/>
      <w:bookmarkStart w:id="727" w:name="_Toc353873934"/>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522424701"/>
      <w:bookmarkEnd w:id="734"/>
      <w:bookmarkStart w:id="735" w:name="_Hlt487900425"/>
      <w:bookmarkEnd w:id="735"/>
      <w:bookmarkStart w:id="736" w:name="_Toc353825550"/>
      <w:bookmarkStart w:id="737" w:name="_Toc127161490"/>
      <w:bookmarkStart w:id="738" w:name="_Toc127151779"/>
      <w:bookmarkStart w:id="739" w:name="_Toc353873940"/>
      <w:bookmarkStart w:id="740" w:name="_Toc226965858"/>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142311043"/>
      <w:bookmarkStart w:id="744" w:name="_Toc127151742"/>
      <w:bookmarkStart w:id="745" w:name="_Toc164351635"/>
      <w:bookmarkStart w:id="746" w:name="_Toc226309785"/>
      <w:bookmarkStart w:id="747" w:name="_Toc305158883"/>
      <w:bookmarkStart w:id="748" w:name="_Toc150480779"/>
      <w:bookmarkStart w:id="749" w:name="_Toc151193929"/>
      <w:bookmarkStart w:id="750" w:name="_Toc151193711"/>
      <w:bookmarkStart w:id="751" w:name="_Toc195842906"/>
      <w:bookmarkStart w:id="752" w:name="_Toc151193639"/>
      <w:bookmarkStart w:id="753" w:name="_Toc151193855"/>
      <w:bookmarkStart w:id="754" w:name="_Toc151193783"/>
      <w:bookmarkStart w:id="755" w:name="_Toc226965731"/>
      <w:bookmarkStart w:id="756" w:name="_Toc127151541"/>
      <w:bookmarkStart w:id="757" w:name="_Toc127161455"/>
      <w:bookmarkStart w:id="758" w:name="_Toc150774641"/>
      <w:bookmarkStart w:id="759" w:name="_Toc149720834"/>
      <w:bookmarkStart w:id="760" w:name="_Toc264969231"/>
      <w:bookmarkStart w:id="761" w:name="_Toc305158809"/>
      <w:bookmarkStart w:id="762" w:name="_Toc226337237"/>
      <w:bookmarkStart w:id="763" w:name="_Toc151190168"/>
      <w:bookmarkStart w:id="764" w:name="_Toc150774746"/>
      <w:bookmarkStart w:id="765" w:name="_Toc226965814"/>
      <w:bookmarkStart w:id="766" w:name="_Toc150509292"/>
      <w:bookmarkStart w:id="767" w:name="_Toc164608810"/>
      <w:bookmarkStart w:id="768" w:name="_Toc265228379"/>
      <w:bookmarkStart w:id="769" w:name="_Toc164608655"/>
      <w:bookmarkStart w:id="770" w:name="_Toc164229382"/>
      <w:bookmarkStart w:id="771" w:name="_Toc164229236"/>
      <w:bookmarkStart w:id="772" w:name="_Toc353825551"/>
      <w:bookmarkStart w:id="773" w:name="_Toc353873941"/>
      <w:bookmarkStart w:id="774" w:name="_Toc195842920"/>
      <w:bookmarkStart w:id="775" w:name="_Toc150774760"/>
      <w:bookmarkStart w:id="776" w:name="_Toc265228393"/>
      <w:bookmarkStart w:id="777" w:name="_Toc264969245"/>
      <w:bookmarkStart w:id="778" w:name="_Toc353873935"/>
      <w:bookmarkStart w:id="779" w:name="_Toc226337251"/>
      <w:bookmarkStart w:id="780" w:name="_Toc305158823"/>
      <w:bookmarkStart w:id="781" w:name="_Toc150480793"/>
      <w:bookmarkStart w:id="782" w:name="_Toc353825545"/>
      <w:bookmarkStart w:id="783" w:name="_Toc127151555"/>
      <w:bookmarkStart w:id="784" w:name="_Toc142311057"/>
      <w:bookmarkStart w:id="785" w:name="_Toc305158897"/>
      <w:bookmarkStart w:id="786" w:name="_Toc226965828"/>
      <w:bookmarkStart w:id="787" w:name="_Toc353873665"/>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50509297"/>
      <w:bookmarkStart w:id="791" w:name="_Toc164229387"/>
      <w:bookmarkStart w:id="792" w:name="_Toc151193644"/>
      <w:bookmarkStart w:id="793" w:name="_Toc265228384"/>
      <w:bookmarkStart w:id="794" w:name="_Toc264969236"/>
      <w:bookmarkStart w:id="795" w:name="_Toc150480784"/>
      <w:bookmarkStart w:id="796" w:name="_Toc151193788"/>
      <w:bookmarkStart w:id="797" w:name="_Toc151190173"/>
      <w:bookmarkStart w:id="798" w:name="_Toc226337242"/>
      <w:bookmarkStart w:id="799" w:name="_Toc226965819"/>
      <w:bookmarkStart w:id="800" w:name="_Toc150774751"/>
      <w:bookmarkStart w:id="801" w:name="_Toc151193860"/>
      <w:bookmarkStart w:id="802" w:name="_Toc226965736"/>
      <w:bookmarkStart w:id="803" w:name="_Toc520356170"/>
      <w:bookmarkStart w:id="804" w:name="_Toc164608815"/>
      <w:bookmarkStart w:id="805" w:name="_Toc195842911"/>
      <w:bookmarkStart w:id="806" w:name="_Ref467307010"/>
      <w:bookmarkStart w:id="807" w:name="_Toc150774646"/>
      <w:bookmarkStart w:id="808" w:name="_Toc226309790"/>
      <w:bookmarkStart w:id="809" w:name="_Toc142311048"/>
      <w:bookmarkStart w:id="810" w:name="_Toc305158814"/>
      <w:bookmarkStart w:id="811" w:name="_Toc127161460"/>
      <w:bookmarkStart w:id="812" w:name="_Toc164608660"/>
      <w:bookmarkStart w:id="813" w:name="_Toc127151747"/>
      <w:bookmarkStart w:id="814" w:name="_Toc164351640"/>
      <w:bookmarkStart w:id="815" w:name="_Toc151193716"/>
      <w:bookmarkStart w:id="816" w:name="_Toc164229241"/>
      <w:bookmarkStart w:id="817" w:name="_Toc305158888"/>
      <w:bookmarkStart w:id="818" w:name="_Toc149720839"/>
      <w:bookmarkStart w:id="819" w:name="_Toc127151546"/>
      <w:bookmarkStart w:id="820" w:name="_Toc151193934"/>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rPr>
      </w:pPr>
      <w:r>
        <w:rPr>
          <w:b/>
          <w:spacing w:val="0"/>
          <w:kern w:val="0"/>
          <w:position w:val="0"/>
          <w:sz w:val="24"/>
        </w:rPr>
        <w:t>二、评标标准</w:t>
      </w:r>
    </w:p>
    <w:tbl>
      <w:tblPr>
        <w:tblStyle w:val="44"/>
        <w:tblW w:w="93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134"/>
        <w:gridCol w:w="6450"/>
      </w:tblGrid>
      <w:tr w14:paraId="230D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76419925">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4EDE6B0E">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3E9C420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B90DD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0B1EF094">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198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5A1763A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10F079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24AFDE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2D1DD">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45E949C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1538DA10">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各投标人的价格得分:(评标基准价/投标报价)×30</w:t>
            </w:r>
          </w:p>
          <w:p w14:paraId="1EB521A2">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56D39CBB">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报价明显低于其他通过符合性审查投标人的报价，有可能影响产品质量或者不能诚信履约的，不能按评审委员会要求时间提交相关证明材料证明其报价合理性的视为无效投标。</w:t>
            </w:r>
          </w:p>
        </w:tc>
      </w:tr>
      <w:tr w14:paraId="6EB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6C7A7089">
            <w:pPr>
              <w:spacing w:beforeLine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91BA054">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商务部分（2分）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FADCD5">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64E33AAC">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2AC512CB">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提供自2021年1月1日至今的同类项目业绩。每提供一个同类项目业绩得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5D55725">
            <w:pPr>
              <w:widowControl/>
              <w:spacing w:beforeLines="0"/>
              <w:jc w:val="left"/>
              <w:rPr>
                <w:rFonts w:hint="eastAsia" w:ascii="宋体" w:hAnsi="宋体" w:eastAsia="宋体" w:cs="宋体"/>
                <w:b/>
                <w:bCs/>
                <w:color w:val="auto"/>
                <w:kern w:val="0"/>
                <w:sz w:val="21"/>
                <w:szCs w:val="21"/>
                <w:highlight w:val="none"/>
              </w:rPr>
            </w:pPr>
            <w:r>
              <w:rPr>
                <w:rFonts w:hint="eastAsia" w:ascii="宋体" w:hAnsi="宋体" w:eastAsia="宋体" w:cs="宋体"/>
                <w:sz w:val="21"/>
                <w:szCs w:val="21"/>
                <w:highlight w:val="none"/>
              </w:rPr>
              <w:t>（注：相关证明材料至少须包括首页、含有合同签订日期的页面、含有项目名称的页面、含有项目内容的页面以及签章页，复印件并加盖公章，否则不得分）</w:t>
            </w:r>
          </w:p>
        </w:tc>
      </w:tr>
      <w:tr w14:paraId="4298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2" w:type="dxa"/>
            <w:vMerge w:val="restart"/>
            <w:tcBorders>
              <w:top w:val="single" w:color="auto" w:sz="6" w:space="0"/>
              <w:left w:val="single" w:color="auto" w:sz="6" w:space="0"/>
              <w:right w:val="single" w:color="auto" w:sz="6" w:space="0"/>
            </w:tcBorders>
            <w:noWrap w:val="0"/>
            <w:vAlign w:val="center"/>
          </w:tcPr>
          <w:p w14:paraId="3AAFAB2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92" w:type="dxa"/>
            <w:vMerge w:val="restart"/>
            <w:tcBorders>
              <w:top w:val="single" w:color="auto" w:sz="6" w:space="0"/>
              <w:left w:val="single" w:color="auto" w:sz="6" w:space="0"/>
              <w:right w:val="single" w:color="auto" w:sz="6" w:space="0"/>
            </w:tcBorders>
            <w:noWrap w:val="0"/>
            <w:vAlign w:val="center"/>
          </w:tcPr>
          <w:p w14:paraId="1A0C6BB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895800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B1A745">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0A837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基础分</w:t>
            </w:r>
          </w:p>
          <w:p w14:paraId="5E69C852">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54B75634">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评委根据投标人的投标文件打分:</w:t>
            </w:r>
          </w:p>
          <w:p w14:paraId="4AEC6B3A">
            <w:pPr>
              <w:spacing w:beforeLine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(1)全部满足招标文件技术要求打</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AAA6B1">
            <w:pPr>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(2)一般性技术指标每有一项负偏离扣减</w:t>
            </w:r>
            <w:r>
              <w:rPr>
                <w:rFonts w:hint="eastAsia" w:ascii="宋体" w:hAnsi="宋体" w:cs="宋体"/>
                <w:color w:val="auto"/>
                <w:sz w:val="21"/>
                <w:szCs w:val="21"/>
                <w:highlight w:val="none"/>
                <w:lang w:val="en-US" w:eastAsia="zh-CN"/>
              </w:rPr>
              <w:t>0.923</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B381DA2">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sz w:val="24"/>
                <w:szCs w:val="24"/>
                <w:highlight w:val="none"/>
              </w:rPr>
              <w:t>▲</w:t>
            </w:r>
            <w:r>
              <w:rPr>
                <w:rFonts w:hint="eastAsia" w:ascii="宋体" w:hAnsi="宋体" w:eastAsia="宋体" w:cs="宋体"/>
                <w:color w:val="auto"/>
                <w:sz w:val="21"/>
                <w:szCs w:val="21"/>
                <w:highlight w:val="none"/>
              </w:rPr>
              <w:t>项条款每有一项负偏离扣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r>
      <w:tr w14:paraId="2D52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1855DE38">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180E390">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623B7FA8">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供货实施计划、供货流程及质量保障措施(10分)</w:t>
            </w:r>
          </w:p>
        </w:tc>
        <w:tc>
          <w:tcPr>
            <w:tcW w:w="6450" w:type="dxa"/>
            <w:tcBorders>
              <w:top w:val="single" w:color="auto" w:sz="6" w:space="0"/>
              <w:left w:val="single" w:color="auto" w:sz="6" w:space="0"/>
              <w:right w:val="single" w:color="auto" w:sz="6" w:space="0"/>
            </w:tcBorders>
            <w:noWrap w:val="0"/>
            <w:vAlign w:val="center"/>
          </w:tcPr>
          <w:p w14:paraId="0632E33B">
            <w:pPr>
              <w:widowControl/>
              <w:spacing w:beforeLine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根据招标要求和投标技术响应情况，对供应商提供的供货方案进行评价,其中：</w:t>
            </w:r>
            <w:r>
              <w:rPr>
                <w:rFonts w:hint="eastAsia" w:ascii="宋体" w:hAnsi="宋体" w:eastAsia="宋体" w:cs="宋体"/>
                <w:b/>
                <w:bCs/>
                <w:color w:val="auto"/>
                <w:sz w:val="21"/>
                <w:szCs w:val="21"/>
                <w:highlight w:val="none"/>
                <w:u w:val="none"/>
                <w:lang w:val="en-US" w:eastAsia="zh-CN"/>
              </w:rPr>
              <w:t>①整体供货实施计划②供货流程③送货过程时间节点④质量保障措施⑤配合甲方验收方案</w:t>
            </w:r>
            <w:r>
              <w:rPr>
                <w:rFonts w:hint="eastAsia" w:ascii="宋体" w:hAnsi="宋体" w:eastAsia="宋体" w:cs="宋体"/>
                <w:color w:val="auto"/>
                <w:sz w:val="21"/>
                <w:szCs w:val="21"/>
                <w:highlight w:val="none"/>
                <w:u w:val="none"/>
                <w:lang w:val="en-US" w:eastAsia="zh-CN"/>
              </w:rPr>
              <w:t>，进行评价：</w:t>
            </w:r>
          </w:p>
          <w:p w14:paraId="1CC8F76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上述五项内容均进行了阐述且满足采购需求的得10分；</w:t>
            </w:r>
          </w:p>
          <w:p w14:paraId="169CE97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054662C0">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1207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0273CF59">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02696597">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37BA1856">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技术支持及培训服务方案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right w:val="single" w:color="auto" w:sz="6" w:space="0"/>
            </w:tcBorders>
            <w:noWrap w:val="0"/>
            <w:vAlign w:val="center"/>
          </w:tcPr>
          <w:p w14:paraId="7C7DD74E">
            <w:pPr>
              <w:numPr>
                <w:ilvl w:val="0"/>
                <w:numId w:val="0"/>
              </w:num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针对第五章采购需求提供技术支持及培训服务方案，内容包括：</w:t>
            </w:r>
            <w:r>
              <w:rPr>
                <w:rFonts w:hint="eastAsia" w:ascii="宋体" w:hAnsi="宋体" w:eastAsia="宋体" w:cs="宋体"/>
                <w:b/>
                <w:bCs/>
                <w:color w:val="auto"/>
                <w:sz w:val="21"/>
                <w:szCs w:val="21"/>
                <w:highlight w:val="none"/>
                <w:u w:val="none"/>
                <w:lang w:val="en-US" w:eastAsia="zh-CN"/>
              </w:rPr>
              <w:t>①技术支持服务范围②技术支持服务方式③培训人员及地点④培训计划时间⑤培训内容及方式</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进行评价：</w:t>
            </w:r>
          </w:p>
          <w:p w14:paraId="76A1BF1D">
            <w:pPr>
              <w:numPr>
                <w:ilvl w:val="0"/>
                <w:numId w:val="0"/>
              </w:numPr>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项内容均进行了阐述且满足采购需求的得10分；</w:t>
            </w:r>
          </w:p>
          <w:p w14:paraId="75C2222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3A3C7C4A">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3389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70C37CCD">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0062098">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9EDC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w:t>
            </w:r>
          </w:p>
          <w:p w14:paraId="3D98F09F">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EF3054">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根据招标要求和投标技术响应情况，对供应商提供的售后及培训服务方案进行评价，其中：</w:t>
            </w:r>
            <w:r>
              <w:rPr>
                <w:rFonts w:hint="eastAsia" w:ascii="宋体" w:hAnsi="宋体" w:eastAsia="宋体" w:cs="宋体"/>
                <w:b/>
                <w:bCs/>
                <w:color w:val="auto"/>
                <w:kern w:val="0"/>
                <w:sz w:val="21"/>
                <w:szCs w:val="21"/>
                <w:highlight w:val="none"/>
                <w:lang w:eastAsia="zh-CN"/>
              </w:rPr>
              <w:t>①售后服务范围②售后服务流程③售后网点的分部情况④售后服务应急保障方案⑤所有设备保养方案⑥售后服务响应时间</w:t>
            </w:r>
            <w:r>
              <w:rPr>
                <w:rFonts w:hint="eastAsia" w:ascii="宋体" w:hAnsi="宋体" w:eastAsia="宋体" w:cs="宋体"/>
                <w:color w:val="auto"/>
                <w:kern w:val="0"/>
                <w:sz w:val="21"/>
                <w:szCs w:val="21"/>
                <w:highlight w:val="none"/>
                <w:lang w:eastAsia="zh-CN"/>
              </w:rPr>
              <w:t>，进行评价：</w:t>
            </w:r>
          </w:p>
          <w:p w14:paraId="1A331B41">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上述</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项内容均进行了阐述且满足采购需求得</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分；</w:t>
            </w:r>
          </w:p>
          <w:p w14:paraId="21F61EA7">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每有1项内容虽阐述但未贴合项目实际情况进行论述，或内容中未包括具体实施细节及措施，</w:t>
            </w:r>
            <w:r>
              <w:rPr>
                <w:rFonts w:hint="eastAsia" w:ascii="宋体" w:hAnsi="宋体" w:eastAsia="宋体" w:cs="宋体"/>
                <w:color w:val="auto"/>
                <w:kern w:val="0"/>
                <w:sz w:val="21"/>
                <w:szCs w:val="21"/>
                <w:highlight w:val="none"/>
                <w:lang w:val="en-US" w:eastAsia="zh-CN"/>
              </w:rPr>
              <w:t>扣1</w:t>
            </w:r>
            <w:r>
              <w:rPr>
                <w:rFonts w:hint="eastAsia" w:ascii="宋体" w:hAnsi="宋体" w:eastAsia="宋体" w:cs="宋体"/>
                <w:color w:val="auto"/>
                <w:kern w:val="0"/>
                <w:sz w:val="21"/>
                <w:szCs w:val="21"/>
                <w:highlight w:val="none"/>
                <w:lang w:eastAsia="zh-CN"/>
              </w:rPr>
              <w:t>分；</w:t>
            </w:r>
          </w:p>
          <w:p w14:paraId="2FA7290B">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每有1项内容</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lang w:eastAsia="zh-CN"/>
              </w:rPr>
              <w:t>阐述</w:t>
            </w:r>
            <w:r>
              <w:rPr>
                <w:rFonts w:hint="eastAsia" w:ascii="宋体" w:hAnsi="宋体" w:eastAsia="宋体" w:cs="宋体"/>
                <w:color w:val="auto"/>
                <w:kern w:val="0"/>
                <w:sz w:val="21"/>
                <w:szCs w:val="21"/>
                <w:highlight w:val="none"/>
                <w:lang w:val="en-US" w:eastAsia="zh-CN"/>
              </w:rPr>
              <w:t>或不符合</w:t>
            </w:r>
            <w:r>
              <w:rPr>
                <w:rFonts w:hint="eastAsia" w:ascii="宋体" w:hAnsi="宋体" w:eastAsia="宋体" w:cs="宋体"/>
                <w:color w:val="auto"/>
                <w:kern w:val="0"/>
                <w:sz w:val="21"/>
                <w:szCs w:val="21"/>
                <w:highlight w:val="none"/>
                <w:lang w:eastAsia="zh-CN"/>
              </w:rPr>
              <w:t>项目实际情况</w:t>
            </w:r>
            <w:r>
              <w:rPr>
                <w:rFonts w:hint="eastAsia" w:ascii="宋体" w:hAnsi="宋体" w:eastAsia="宋体" w:cs="宋体"/>
                <w:color w:val="auto"/>
                <w:kern w:val="0"/>
                <w:sz w:val="21"/>
                <w:szCs w:val="21"/>
                <w:highlight w:val="none"/>
                <w:lang w:val="en-US" w:eastAsia="zh-CN"/>
              </w:rPr>
              <w:t>且未提供具体实施细节及措施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扣2</w:t>
            </w:r>
            <w:r>
              <w:rPr>
                <w:rFonts w:hint="eastAsia" w:ascii="宋体" w:hAnsi="宋体" w:eastAsia="宋体" w:cs="宋体"/>
                <w:color w:val="auto"/>
                <w:kern w:val="0"/>
                <w:sz w:val="21"/>
                <w:szCs w:val="21"/>
                <w:highlight w:val="none"/>
                <w:lang w:eastAsia="zh-CN"/>
              </w:rPr>
              <w:t>分，</w:t>
            </w:r>
            <w:r>
              <w:rPr>
                <w:rFonts w:hint="eastAsia" w:ascii="宋体" w:hAnsi="宋体" w:eastAsia="宋体" w:cs="宋体"/>
                <w:color w:val="auto"/>
                <w:kern w:val="0"/>
                <w:sz w:val="21"/>
                <w:szCs w:val="21"/>
                <w:highlight w:val="none"/>
                <w:lang w:val="en-US" w:eastAsia="zh-CN"/>
              </w:rPr>
              <w:t>最低得0分。</w:t>
            </w:r>
          </w:p>
        </w:tc>
      </w:tr>
      <w:tr w14:paraId="6C55C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5CD25805">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3AEB26C4">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413F8">
            <w:pPr>
              <w:pStyle w:val="254"/>
              <w:rPr>
                <w:rFonts w:hint="eastAsia" w:ascii="宋体" w:hAnsi="宋体" w:eastAsia="宋体" w:cs="宋体"/>
                <w:color w:val="auto"/>
                <w:sz w:val="21"/>
                <w:szCs w:val="21"/>
                <w:highlight w:val="none"/>
              </w:rPr>
            </w:pPr>
            <w:r>
              <w:rPr>
                <w:rFonts w:hint="eastAsia" w:ascii="宋体" w:hAnsi="宋体" w:eastAsia="宋体" w:cs="宋体"/>
                <w:spacing w:val="-5"/>
                <w:sz w:val="21"/>
                <w:szCs w:val="21"/>
                <w:highlight w:val="none"/>
                <w:lang w:eastAsia="zh-CN"/>
              </w:rPr>
              <w:t>备品备件（</w:t>
            </w:r>
            <w:r>
              <w:rPr>
                <w:rFonts w:hint="eastAsia" w:ascii="宋体" w:hAnsi="宋体" w:eastAsia="宋体" w:cs="宋体"/>
                <w:spacing w:val="-5"/>
                <w:sz w:val="21"/>
                <w:szCs w:val="21"/>
                <w:highlight w:val="none"/>
                <w:lang w:val="en-US" w:eastAsia="zh-CN"/>
              </w:rPr>
              <w:t>5分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75728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投标人全面响应招标人需求,对于本项目备品备件</w:t>
            </w:r>
            <w:r>
              <w:rPr>
                <w:rFonts w:hint="eastAsia" w:ascii="宋体" w:hAnsi="宋体" w:eastAsia="宋体" w:cs="宋体"/>
                <w:b/>
                <w:bCs/>
                <w:sz w:val="21"/>
                <w:szCs w:val="21"/>
                <w:highlight w:val="none"/>
              </w:rPr>
              <w:t>供应有详细、可靠的保障方案</w:t>
            </w:r>
            <w:r>
              <w:rPr>
                <w:rFonts w:hint="eastAsia" w:ascii="宋体" w:hAnsi="宋体" w:eastAsia="宋体" w:cs="宋体"/>
                <w:sz w:val="21"/>
                <w:szCs w:val="21"/>
                <w:highlight w:val="none"/>
              </w:rPr>
              <w:t>，对</w:t>
            </w:r>
            <w:r>
              <w:rPr>
                <w:rFonts w:hint="eastAsia" w:ascii="宋体" w:hAnsi="宋体" w:eastAsia="宋体" w:cs="宋体"/>
                <w:b/>
                <w:bCs/>
                <w:sz w:val="21"/>
                <w:szCs w:val="21"/>
                <w:highlight w:val="none"/>
              </w:rPr>
              <w:t>备件升级、停产</w:t>
            </w:r>
            <w:r>
              <w:rPr>
                <w:rFonts w:hint="eastAsia" w:ascii="宋体" w:hAnsi="宋体" w:eastAsia="宋体" w:cs="宋体"/>
                <w:sz w:val="21"/>
                <w:szCs w:val="21"/>
                <w:highlight w:val="none"/>
              </w:rPr>
              <w:t>有具体完善的保障措施。</w:t>
            </w:r>
          </w:p>
          <w:p w14:paraId="7AE698B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保障方案、措施完善且合理，得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0D2D39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保障方案、措施较为完善，得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EAD247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5622F23F">
            <w:pPr>
              <w:pStyle w:val="254"/>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其余情况不得分。</w:t>
            </w:r>
          </w:p>
        </w:tc>
      </w:tr>
      <w:tr w14:paraId="2B6A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4590A16C">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51B67755">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356946">
            <w:pPr>
              <w:pStyle w:val="254"/>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eastAsia="zh-CN"/>
              </w:rPr>
              <w:t>零配件清单（</w:t>
            </w:r>
            <w:r>
              <w:rPr>
                <w:rFonts w:hint="eastAsia" w:ascii="宋体" w:hAnsi="宋体" w:eastAsia="宋体" w:cs="宋体"/>
                <w:spacing w:val="-5"/>
                <w:sz w:val="21"/>
                <w:szCs w:val="21"/>
                <w:highlight w:val="none"/>
                <w:lang w:val="en-US" w:eastAsia="zh-CN"/>
              </w:rPr>
              <w:t>3分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right w:val="single" w:color="auto" w:sz="6" w:space="0"/>
            </w:tcBorders>
            <w:noWrap w:val="0"/>
            <w:vAlign w:val="center"/>
          </w:tcPr>
          <w:p w14:paraId="5F8EDB9E">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（1）提供质保期结束后延保服务收费标准；</w:t>
            </w:r>
          </w:p>
          <w:p w14:paraId="78574DF1">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（2）原厂维修配件明细表及报价单；</w:t>
            </w:r>
          </w:p>
          <w:p w14:paraId="1B39D0CC">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（3）承诺保证设备停产后配件的供应期不少于10年。</w:t>
            </w:r>
          </w:p>
          <w:p w14:paraId="270B93C3">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全部满足得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分，每有一项不满足扣1分，扣完为止。</w:t>
            </w:r>
          </w:p>
        </w:tc>
      </w:tr>
    </w:tbl>
    <w:p w14:paraId="2DAA81A0">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A745EE">
      <w:pPr>
        <w:spacing w:line="360" w:lineRule="auto"/>
        <w:jc w:val="center"/>
        <w:outlineLvl w:val="0"/>
        <w:rPr>
          <w:b/>
          <w:spacing w:val="0"/>
          <w:kern w:val="0"/>
          <w:position w:val="0"/>
          <w:sz w:val="36"/>
          <w:szCs w:val="36"/>
          <w:highlight w:val="none"/>
        </w:rPr>
      </w:pPr>
      <w:r>
        <w:rPr>
          <w:b/>
          <w:spacing w:val="0"/>
          <w:kern w:val="0"/>
          <w:position w:val="0"/>
          <w:sz w:val="36"/>
          <w:szCs w:val="36"/>
        </w:rPr>
        <w:br w:type="page"/>
      </w:r>
      <w:bookmarkStart w:id="821" w:name="_Toc99301424"/>
      <w:r>
        <w:rPr>
          <w:b/>
          <w:spacing w:val="0"/>
          <w:kern w:val="0"/>
          <w:position w:val="0"/>
          <w:sz w:val="36"/>
          <w:szCs w:val="36"/>
          <w:highlight w:val="none"/>
        </w:rPr>
        <w:t>第五章   采购需求</w:t>
      </w:r>
      <w:bookmarkEnd w:id="821"/>
    </w:p>
    <w:p w14:paraId="7112407A">
      <w:pPr>
        <w:pStyle w:val="160"/>
        <w:keepNext w:val="0"/>
        <w:keepLines w:val="0"/>
        <w:pageBreakBefore w:val="0"/>
        <w:kinsoku/>
        <w:wordWrap/>
        <w:overflowPunct/>
        <w:topLinePunct w:val="0"/>
        <w:bidi w:val="0"/>
        <w:adjustRightInd/>
        <w:snapToGrid/>
        <w:spacing w:line="360" w:lineRule="auto"/>
        <w:ind w:firstLine="0" w:firstLineChars="0"/>
        <w:jc w:val="left"/>
        <w:textAlignment w:val="auto"/>
        <w:outlineLvl w:val="1"/>
        <w:rPr>
          <w:rFonts w:hint="eastAsia" w:ascii="宋体" w:hAnsi="宋体" w:eastAsia="宋体"/>
          <w:b/>
          <w:bCs/>
          <w:color w:val="auto"/>
          <w:sz w:val="24"/>
          <w:szCs w:val="24"/>
          <w:highlight w:val="none"/>
          <w:lang w:eastAsia="zh-CN"/>
        </w:rPr>
      </w:pPr>
      <w:bookmarkStart w:id="822" w:name="_Toc8649"/>
      <w:r>
        <w:rPr>
          <w:rFonts w:hint="eastAsia" w:ascii="宋体" w:hAnsi="宋体" w:eastAsia="宋体"/>
          <w:b/>
          <w:bCs/>
          <w:color w:val="auto"/>
          <w:kern w:val="44"/>
          <w:sz w:val="24"/>
          <w:szCs w:val="24"/>
          <w:highlight w:val="none"/>
        </w:rPr>
        <w:t>一、采购</w:t>
      </w:r>
      <w:r>
        <w:rPr>
          <w:rFonts w:hint="eastAsia" w:ascii="宋体" w:hAnsi="宋体" w:eastAsia="宋体"/>
          <w:b/>
          <w:bCs/>
          <w:color w:val="auto"/>
          <w:kern w:val="44"/>
          <w:sz w:val="24"/>
          <w:szCs w:val="24"/>
          <w:highlight w:val="none"/>
          <w:lang w:val="en-US" w:eastAsia="zh-CN"/>
        </w:rPr>
        <w:t>内容</w:t>
      </w:r>
      <w:bookmarkEnd w:id="822"/>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273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303E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1288B27B">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2E0271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5BA4658">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5E2C81A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1D6AA1CC">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327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05DED">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05</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8B58D6B">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磁刺激仪</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29C1885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7A74A1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314561C8">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27EA90C0">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1AA11806">
      <w:pPr>
        <w:pStyle w:val="17"/>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rPr>
        <w:t>注：投标金额包含购置税，若投标金额超出预算，报价无效。</w:t>
      </w:r>
    </w:p>
    <w:p w14:paraId="1E2C19CA">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1"/>
          <w:highlight w:val="none"/>
        </w:rPr>
      </w:pPr>
    </w:p>
    <w:p w14:paraId="5C3A82D1">
      <w:pPr>
        <w:pStyle w:val="4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cs="宋体"/>
          <w:b/>
          <w:bCs/>
          <w:color w:val="auto"/>
          <w:spacing w:val="0"/>
          <w:w w:val="100"/>
          <w:position w:val="0"/>
          <w:sz w:val="24"/>
          <w:szCs w:val="24"/>
          <w:highlight w:val="none"/>
          <w:lang w:val="en-US" w:eastAsia="zh-CN"/>
        </w:rPr>
      </w:pPr>
      <w:bookmarkStart w:id="823" w:name="_Toc30809"/>
      <w:r>
        <w:rPr>
          <w:rFonts w:hint="eastAsia" w:ascii="宋体" w:hAnsi="宋体" w:cs="宋体"/>
          <w:b/>
          <w:bCs/>
          <w:color w:val="auto"/>
          <w:spacing w:val="0"/>
          <w:w w:val="100"/>
          <w:position w:val="0"/>
          <w:sz w:val="24"/>
          <w:szCs w:val="24"/>
          <w:highlight w:val="none"/>
          <w:lang w:val="en-US" w:eastAsia="zh-CN"/>
        </w:rPr>
        <w:t>二、技术要求</w:t>
      </w:r>
      <w:bookmarkEnd w:id="823"/>
    </w:p>
    <w:p w14:paraId="39093736">
      <w:pPr>
        <w:spacing w:line="360" w:lineRule="auto"/>
        <w:rPr>
          <w:rFonts w:ascii="宋体" w:hAnsi="宋体" w:eastAsia="宋体"/>
          <w:sz w:val="24"/>
          <w:szCs w:val="24"/>
          <w:highlight w:val="none"/>
        </w:rPr>
      </w:pPr>
      <w:r>
        <w:rPr>
          <w:rFonts w:hint="eastAsia" w:ascii="宋体" w:hAnsi="宋体" w:eastAsia="宋体"/>
          <w:sz w:val="24"/>
          <w:szCs w:val="24"/>
          <w:highlight w:val="none"/>
        </w:rPr>
        <w:t>▲1、可用于腰骶神经功能障碍的辅助治疗。</w:t>
      </w:r>
      <w:r>
        <w:rPr>
          <w:rFonts w:hint="eastAsia" w:ascii="宋体" w:hAnsi="宋体" w:eastAsia="宋体"/>
          <w:b/>
          <w:bCs/>
          <w:sz w:val="24"/>
          <w:szCs w:val="24"/>
          <w:highlight w:val="none"/>
        </w:rPr>
        <w:t>（提供注册证或使用说明书）</w:t>
      </w:r>
    </w:p>
    <w:p w14:paraId="37BD84D1">
      <w:pPr>
        <w:numPr>
          <w:ilvl w:val="0"/>
          <w:numId w:val="0"/>
        </w:numPr>
        <w:spacing w:line="360" w:lineRule="auto"/>
        <w:ind w:left="0" w:firstLine="0"/>
        <w:rPr>
          <w:rFonts w:hint="eastAsia" w:ascii="宋体" w:hAnsi="宋体" w:eastAsia="宋体"/>
          <w:sz w:val="24"/>
          <w:szCs w:val="24"/>
          <w:highlight w:val="none"/>
        </w:rPr>
      </w:pPr>
      <w:r>
        <w:rPr>
          <w:rFonts w:hint="eastAsia" w:ascii="宋体" w:hAnsi="宋体" w:eastAsia="宋体"/>
          <w:sz w:val="24"/>
          <w:szCs w:val="24"/>
          <w:highlight w:val="none"/>
        </w:rPr>
        <w:t>2、主机：</w:t>
      </w:r>
    </w:p>
    <w:p w14:paraId="01FDC3DA">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2.1、医生显示屏：彩色液晶显示器≥21英寸；患者屏：彩色液晶显示器≥21英寸。</w:t>
      </w:r>
    </w:p>
    <w:p w14:paraId="4B18C282">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2.2、磁刺激脉冲源、液冷系统集成在同一机箱内，实时监控并显示冷却液流量或流速状态。</w:t>
      </w:r>
    </w:p>
    <w:p w14:paraId="35CE1401">
      <w:pPr>
        <w:spacing w:line="360" w:lineRule="auto"/>
        <w:rPr>
          <w:rFonts w:hint="eastAsia" w:ascii="宋体" w:hAnsi="宋体" w:eastAsia="宋体"/>
          <w:sz w:val="24"/>
          <w:szCs w:val="24"/>
        </w:rPr>
      </w:pPr>
      <w:r>
        <w:rPr>
          <w:rFonts w:hint="eastAsia" w:ascii="宋体" w:hAnsi="宋体" w:eastAsia="宋体"/>
          <w:sz w:val="24"/>
          <w:szCs w:val="24"/>
        </w:rPr>
        <w:t>2.3、体外反馈模块(盆底运动检测模块)</w:t>
      </w:r>
    </w:p>
    <w:p w14:paraId="6471A536">
      <w:pPr>
        <w:spacing w:line="360" w:lineRule="auto"/>
        <w:rPr>
          <w:rFonts w:ascii="宋体" w:hAnsi="宋体" w:eastAsia="宋体"/>
          <w:sz w:val="24"/>
          <w:szCs w:val="24"/>
        </w:rPr>
      </w:pPr>
      <w:r>
        <w:rPr>
          <w:rFonts w:hint="eastAsia" w:ascii="宋体" w:hAnsi="宋体" w:eastAsia="宋体"/>
          <w:sz w:val="24"/>
          <w:szCs w:val="24"/>
        </w:rPr>
        <w:t>2.3.1、主机内置双通道运动诱发电位检测模块，用于触发磁刺激、k</w:t>
      </w:r>
      <w:r>
        <w:rPr>
          <w:rFonts w:ascii="宋体" w:hAnsi="宋体" w:eastAsia="宋体"/>
          <w:sz w:val="24"/>
          <w:szCs w:val="24"/>
        </w:rPr>
        <w:t>egel</w:t>
      </w:r>
      <w:r>
        <w:rPr>
          <w:rFonts w:hint="eastAsia" w:ascii="宋体" w:hAnsi="宋体" w:eastAsia="宋体"/>
          <w:sz w:val="24"/>
          <w:szCs w:val="24"/>
        </w:rPr>
        <w:t>训练等多种盆底主动训练。</w:t>
      </w:r>
    </w:p>
    <w:p w14:paraId="07F406E9">
      <w:pPr>
        <w:spacing w:line="360" w:lineRule="auto"/>
        <w:rPr>
          <w:rFonts w:ascii="宋体" w:hAnsi="宋体" w:eastAsia="宋体"/>
          <w:sz w:val="24"/>
          <w:szCs w:val="24"/>
        </w:rPr>
      </w:pPr>
      <w:r>
        <w:rPr>
          <w:rFonts w:hint="eastAsia" w:ascii="宋体" w:hAnsi="宋体" w:eastAsia="宋体"/>
          <w:sz w:val="24"/>
          <w:szCs w:val="24"/>
        </w:rPr>
        <w:t>2.3.2、工作频率：60GHz±5%。</w:t>
      </w:r>
    </w:p>
    <w:p w14:paraId="3B6C1060">
      <w:pPr>
        <w:spacing w:line="360" w:lineRule="auto"/>
        <w:rPr>
          <w:rFonts w:ascii="宋体" w:hAnsi="宋体" w:eastAsia="宋体"/>
          <w:sz w:val="24"/>
          <w:szCs w:val="24"/>
        </w:rPr>
      </w:pPr>
      <w:r>
        <w:rPr>
          <w:rFonts w:hint="eastAsia" w:ascii="宋体" w:hAnsi="宋体" w:eastAsia="宋体"/>
          <w:sz w:val="24"/>
          <w:szCs w:val="24"/>
        </w:rPr>
        <w:t>2.3.3、运动诱发电位测量范围：</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2700</w:t>
      </w:r>
      <w:r>
        <w:rPr>
          <w:rFonts w:hint="eastAsia" w:ascii="宋体" w:hAnsi="宋体" w:eastAsia="宋体"/>
          <w:sz w:val="24"/>
          <w:szCs w:val="24"/>
        </w:rPr>
        <w:t>μV，最小分辨率≤1μV。</w:t>
      </w:r>
    </w:p>
    <w:p w14:paraId="15BC6EA9">
      <w:pPr>
        <w:spacing w:line="360" w:lineRule="auto"/>
        <w:rPr>
          <w:rFonts w:hint="eastAsia" w:ascii="宋体" w:hAnsi="宋体" w:eastAsia="宋体"/>
          <w:sz w:val="24"/>
          <w:szCs w:val="24"/>
        </w:rPr>
      </w:pPr>
      <w:r>
        <w:rPr>
          <w:rFonts w:hint="eastAsia" w:ascii="宋体" w:hAnsi="宋体" w:eastAsia="宋体"/>
          <w:sz w:val="24"/>
          <w:szCs w:val="24"/>
        </w:rPr>
        <w:t>2.4、治疗</w:t>
      </w:r>
      <w:r>
        <w:rPr>
          <w:rFonts w:ascii="宋体" w:hAnsi="宋体" w:eastAsia="宋体"/>
          <w:sz w:val="24"/>
          <w:szCs w:val="24"/>
        </w:rPr>
        <w:t>方案</w:t>
      </w:r>
      <w:r>
        <w:rPr>
          <w:rFonts w:hint="eastAsia" w:ascii="宋体" w:hAnsi="宋体" w:eastAsia="宋体"/>
          <w:sz w:val="24"/>
          <w:szCs w:val="24"/>
        </w:rPr>
        <w:t>可</w:t>
      </w:r>
      <w:r>
        <w:rPr>
          <w:rFonts w:ascii="宋体" w:hAnsi="宋体" w:eastAsia="宋体"/>
          <w:sz w:val="24"/>
          <w:szCs w:val="24"/>
        </w:rPr>
        <w:t>自定义，频率、刺激时间、</w:t>
      </w:r>
      <w:r>
        <w:rPr>
          <w:rFonts w:hint="eastAsia" w:ascii="宋体" w:hAnsi="宋体" w:eastAsia="宋体"/>
          <w:sz w:val="24"/>
          <w:szCs w:val="24"/>
        </w:rPr>
        <w:t>间歇</w:t>
      </w:r>
      <w:r>
        <w:rPr>
          <w:rFonts w:ascii="宋体" w:hAnsi="宋体" w:eastAsia="宋体"/>
          <w:sz w:val="24"/>
          <w:szCs w:val="24"/>
        </w:rPr>
        <w:t>时间等</w:t>
      </w:r>
      <w:r>
        <w:rPr>
          <w:rFonts w:hint="eastAsia" w:ascii="宋体" w:hAnsi="宋体" w:eastAsia="宋体"/>
          <w:sz w:val="24"/>
          <w:szCs w:val="24"/>
        </w:rPr>
        <w:t>参数可调</w:t>
      </w:r>
      <w:r>
        <w:rPr>
          <w:rFonts w:ascii="宋体" w:hAnsi="宋体" w:eastAsia="宋体"/>
          <w:sz w:val="24"/>
          <w:szCs w:val="24"/>
        </w:rPr>
        <w:t>。</w:t>
      </w:r>
    </w:p>
    <w:p w14:paraId="152F0E2C">
      <w:pPr>
        <w:spacing w:line="360" w:lineRule="auto"/>
        <w:rPr>
          <w:rFonts w:hint="eastAsia" w:ascii="宋体" w:hAnsi="宋体" w:eastAsia="宋体"/>
          <w:sz w:val="24"/>
          <w:szCs w:val="24"/>
        </w:rPr>
      </w:pPr>
      <w:r>
        <w:rPr>
          <w:rFonts w:hint="eastAsia" w:ascii="宋体" w:hAnsi="宋体" w:eastAsia="宋体"/>
          <w:sz w:val="24"/>
          <w:szCs w:val="24"/>
        </w:rPr>
        <w:t>2.5、具有标准、调频、调幅等多种脉冲输出模式。</w:t>
      </w:r>
    </w:p>
    <w:p w14:paraId="03DB05CD">
      <w:pPr>
        <w:spacing w:line="360" w:lineRule="auto"/>
        <w:rPr>
          <w:rFonts w:ascii="宋体" w:hAnsi="宋体" w:eastAsia="宋体"/>
          <w:sz w:val="24"/>
          <w:szCs w:val="24"/>
        </w:rPr>
      </w:pPr>
      <w:r>
        <w:rPr>
          <w:rFonts w:hint="eastAsia" w:ascii="宋体" w:hAnsi="宋体" w:eastAsia="宋体"/>
          <w:sz w:val="24"/>
          <w:szCs w:val="24"/>
        </w:rPr>
        <w:t>2.6、脉冲磁场刺激频率调节范围：0～</w:t>
      </w:r>
      <w:r>
        <w:rPr>
          <w:rFonts w:ascii="宋体" w:hAnsi="宋体" w:eastAsia="宋体"/>
          <w:sz w:val="24"/>
          <w:szCs w:val="24"/>
        </w:rPr>
        <w:t>100</w:t>
      </w:r>
      <w:r>
        <w:rPr>
          <w:rFonts w:hint="eastAsia" w:ascii="宋体" w:hAnsi="宋体" w:eastAsia="宋体"/>
          <w:sz w:val="24"/>
          <w:szCs w:val="24"/>
        </w:rPr>
        <w:t>Hz。</w:t>
      </w:r>
    </w:p>
    <w:p w14:paraId="65D12799">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2.7、</w:t>
      </w:r>
      <w:r>
        <w:rPr>
          <w:rFonts w:ascii="宋体" w:hAnsi="宋体" w:eastAsia="宋体"/>
          <w:sz w:val="24"/>
          <w:szCs w:val="24"/>
        </w:rPr>
        <w:t>单个脉冲持续时间</w:t>
      </w:r>
      <w:r>
        <w:rPr>
          <w:rFonts w:hint="eastAsia" w:ascii="宋体" w:hAnsi="宋体" w:eastAsia="宋体"/>
          <w:sz w:val="24"/>
          <w:szCs w:val="24"/>
        </w:rPr>
        <w:t>：</w:t>
      </w:r>
      <w:r>
        <w:rPr>
          <w:rFonts w:ascii="宋体" w:hAnsi="宋体" w:eastAsia="宋体"/>
          <w:sz w:val="24"/>
          <w:szCs w:val="24"/>
        </w:rPr>
        <w:t>340</w:t>
      </w:r>
      <w:r>
        <w:rPr>
          <w:rFonts w:hint="eastAsia" w:ascii="宋体" w:hAnsi="宋体" w:eastAsia="宋体"/>
          <w:sz w:val="24"/>
          <w:szCs w:val="24"/>
        </w:rPr>
        <w:t>μs±</w:t>
      </w:r>
      <w:r>
        <w:rPr>
          <w:rFonts w:ascii="宋体" w:hAnsi="宋体" w:eastAsia="宋体"/>
          <w:sz w:val="24"/>
          <w:szCs w:val="24"/>
        </w:rPr>
        <w:t>20</w:t>
      </w:r>
      <w:r>
        <w:rPr>
          <w:rFonts w:hint="eastAsia" w:ascii="宋体" w:hAnsi="宋体" w:eastAsia="宋体"/>
          <w:sz w:val="24"/>
          <w:szCs w:val="24"/>
        </w:rPr>
        <w:t>μs。</w:t>
      </w:r>
    </w:p>
    <w:p w14:paraId="68B42501">
      <w:pPr>
        <w:numPr>
          <w:ilvl w:val="0"/>
          <w:numId w:val="0"/>
        </w:numPr>
        <w:spacing w:line="360" w:lineRule="auto"/>
        <w:ind w:left="0" w:firstLine="0"/>
        <w:rPr>
          <w:rFonts w:ascii="宋体" w:hAnsi="宋体" w:eastAsia="宋体"/>
          <w:sz w:val="24"/>
          <w:szCs w:val="24"/>
        </w:rPr>
      </w:pPr>
      <w:r>
        <w:rPr>
          <w:rFonts w:hint="eastAsia" w:ascii="宋体" w:hAnsi="宋体" w:eastAsia="宋体"/>
          <w:sz w:val="24"/>
          <w:szCs w:val="24"/>
        </w:rPr>
        <w:t>▲2.8、具有盆底体外评估功能，用于评估盆底肌水平，无需使用电极片等耗材，可根据评估结果自动生成后续治疗方案。</w:t>
      </w:r>
    </w:p>
    <w:p w14:paraId="61761B6A">
      <w:pPr>
        <w:numPr>
          <w:ilvl w:val="0"/>
          <w:numId w:val="0"/>
        </w:numPr>
        <w:spacing w:line="360" w:lineRule="auto"/>
        <w:ind w:left="0" w:firstLine="0"/>
        <w:rPr>
          <w:rFonts w:ascii="宋体" w:hAnsi="宋体" w:eastAsia="宋体"/>
          <w:sz w:val="24"/>
          <w:szCs w:val="24"/>
        </w:rPr>
      </w:pPr>
      <w:r>
        <w:rPr>
          <w:rFonts w:hint="eastAsia" w:ascii="宋体" w:hAnsi="宋体" w:eastAsia="宋体"/>
          <w:sz w:val="24"/>
          <w:szCs w:val="24"/>
        </w:rPr>
        <w:t>▲2.9、具有磁刺激、助力磁刺激、触发磁刺激、kegel训练、多媒体训练等多种体外主动和被动训练功能。</w:t>
      </w:r>
    </w:p>
    <w:p w14:paraId="2E7E4CC4">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2.10、具有数据管理功能，可以对工作量等治疗数据进行统计分析，可以回顾数据结果、波形，病历可导出。</w:t>
      </w:r>
    </w:p>
    <w:p w14:paraId="6E0A4044">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3、座椅</w:t>
      </w:r>
    </w:p>
    <w:p w14:paraId="3698589E">
      <w:pPr>
        <w:numPr>
          <w:ilvl w:val="0"/>
          <w:numId w:val="0"/>
        </w:numPr>
        <w:spacing w:line="360" w:lineRule="auto"/>
        <w:ind w:left="0" w:firstLine="0"/>
        <w:rPr>
          <w:rFonts w:hint="eastAsia" w:ascii="宋体" w:hAnsi="宋体" w:eastAsia="宋体"/>
          <w:sz w:val="24"/>
          <w:szCs w:val="24"/>
        </w:rPr>
      </w:pPr>
      <w:r>
        <w:rPr>
          <w:rFonts w:hint="eastAsia" w:ascii="宋体" w:hAnsi="宋体" w:eastAsia="宋体"/>
          <w:sz w:val="24"/>
          <w:szCs w:val="24"/>
        </w:rPr>
        <w:t>3.1、盆底坐位、骶神经仰卧位与俯卧位模式可一键电动自动切换。</w:t>
      </w:r>
    </w:p>
    <w:p w14:paraId="6C83A2E7">
      <w:pPr>
        <w:numPr>
          <w:ilvl w:val="0"/>
          <w:numId w:val="0"/>
        </w:numPr>
        <w:spacing w:line="360" w:lineRule="auto"/>
        <w:ind w:left="0" w:firstLine="0"/>
        <w:rPr>
          <w:rFonts w:ascii="宋体" w:hAnsi="宋体" w:eastAsia="宋体"/>
          <w:sz w:val="24"/>
          <w:szCs w:val="24"/>
        </w:rPr>
      </w:pPr>
      <w:r>
        <w:rPr>
          <w:rFonts w:hint="eastAsia" w:ascii="宋体" w:hAnsi="宋体" w:eastAsia="宋体"/>
          <w:sz w:val="24"/>
          <w:szCs w:val="24"/>
        </w:rPr>
        <w:t>3.2、靠背可电动调节放平至180°。</w:t>
      </w:r>
    </w:p>
    <w:p w14:paraId="50ED0DA2">
      <w:pPr>
        <w:numPr>
          <w:ilvl w:val="0"/>
          <w:numId w:val="0"/>
        </w:numPr>
        <w:spacing w:line="360" w:lineRule="auto"/>
        <w:ind w:left="0" w:firstLine="0"/>
        <w:rPr>
          <w:rFonts w:hint="eastAsia" w:ascii="宋体" w:hAnsi="宋体" w:eastAsia="宋体" w:cs="宋体"/>
          <w:b/>
          <w:bCs/>
          <w:color w:val="auto"/>
          <w:sz w:val="24"/>
          <w:szCs w:val="24"/>
          <w:highlight w:val="none"/>
          <w:lang w:val="en-US" w:eastAsia="zh-CN"/>
        </w:rPr>
      </w:pPr>
      <w:r>
        <w:rPr>
          <w:rFonts w:hint="eastAsia" w:ascii="宋体" w:hAnsi="宋体" w:eastAsia="宋体"/>
          <w:sz w:val="24"/>
          <w:szCs w:val="24"/>
        </w:rPr>
        <w:t>▲4、盆底线圈：液冷，脉冲磁场最大磁感应强度≥6Tesla。</w:t>
      </w:r>
    </w:p>
    <w:p w14:paraId="3AEE193F">
      <w:pPr>
        <w:pStyle w:val="43"/>
        <w:numPr>
          <w:ilvl w:val="0"/>
          <w:numId w:val="0"/>
        </w:numPr>
        <w:rPr>
          <w:rFonts w:hint="eastAsia" w:ascii="宋体" w:hAnsi="宋体" w:eastAsia="宋体" w:cs="宋体"/>
          <w:b/>
          <w:bCs/>
          <w:color w:val="auto"/>
          <w:sz w:val="24"/>
          <w:szCs w:val="24"/>
          <w:highlight w:val="none"/>
          <w:lang w:val="en-US" w:eastAsia="zh-CN"/>
        </w:rPr>
      </w:pPr>
    </w:p>
    <w:p w14:paraId="5B989906">
      <w:pPr>
        <w:pStyle w:val="43"/>
        <w:keepNext w:val="0"/>
        <w:keepLines w:val="0"/>
        <w:pageBreakBefore w:val="0"/>
        <w:numPr>
          <w:ilvl w:val="0"/>
          <w:numId w:val="0"/>
        </w:numPr>
        <w:wordWrap/>
        <w:overflowPunct/>
        <w:topLinePunct w:val="0"/>
        <w:bidi w:val="0"/>
        <w:spacing w:after="0" w:line="360" w:lineRule="auto"/>
        <w:ind w:firstLine="0" w:firstLineChars="0"/>
        <w:outlineLvl w:val="1"/>
        <w:rPr>
          <w:rFonts w:hint="default" w:ascii="宋体" w:hAnsi="宋体" w:eastAsia="宋体" w:cs="宋体"/>
          <w:b/>
          <w:bCs/>
          <w:color w:val="auto"/>
          <w:sz w:val="24"/>
          <w:szCs w:val="24"/>
          <w:highlight w:val="none"/>
          <w:lang w:val="en-US" w:eastAsia="zh-CN"/>
        </w:rPr>
      </w:pPr>
      <w:bookmarkStart w:id="824" w:name="_Toc12799"/>
      <w:r>
        <w:rPr>
          <w:rFonts w:hint="eastAsia" w:ascii="宋体" w:hAnsi="宋体" w:eastAsia="宋体" w:cs="宋体"/>
          <w:b/>
          <w:bCs/>
          <w:color w:val="auto"/>
          <w:sz w:val="24"/>
          <w:szCs w:val="24"/>
          <w:highlight w:val="none"/>
          <w:lang w:val="en-US" w:eastAsia="zh-CN"/>
        </w:rPr>
        <w:t>三、</w:t>
      </w:r>
      <w:r>
        <w:rPr>
          <w:rFonts w:hint="eastAsia" w:ascii="宋体" w:hAnsi="宋体" w:eastAsia="宋体"/>
          <w:b/>
          <w:bCs/>
          <w:color w:val="auto"/>
          <w:kern w:val="44"/>
          <w:sz w:val="24"/>
          <w:szCs w:val="24"/>
          <w:highlight w:val="none"/>
        </w:rPr>
        <w:t>商务条款</w:t>
      </w:r>
      <w:bookmarkEnd w:id="824"/>
    </w:p>
    <w:p w14:paraId="3374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上述所有</w:t>
      </w:r>
      <w:r>
        <w:rPr>
          <w:rFonts w:hint="eastAsia" w:ascii="宋体" w:hAnsi="宋体" w:cs="宋体"/>
          <w:sz w:val="24"/>
          <w:highlight w:val="none"/>
          <w:lang w:val="en-US" w:eastAsia="zh-CN"/>
        </w:rPr>
        <w:t>设备整</w:t>
      </w:r>
      <w:r>
        <w:rPr>
          <w:rFonts w:hint="eastAsia" w:ascii="宋体" w:hAnsi="宋体" w:eastAsia="宋体" w:cs="宋体"/>
          <w:sz w:val="24"/>
          <w:highlight w:val="none"/>
        </w:rPr>
        <w:t>机</w:t>
      </w:r>
      <w:r>
        <w:rPr>
          <w:rFonts w:hint="eastAsia" w:ascii="宋体" w:hAnsi="宋体" w:cs="宋体"/>
          <w:sz w:val="24"/>
          <w:highlight w:val="none"/>
          <w:lang w:val="en-US" w:eastAsia="zh-CN"/>
        </w:rPr>
        <w:t>质</w:t>
      </w:r>
      <w:r>
        <w:rPr>
          <w:rFonts w:hint="eastAsia" w:ascii="宋体" w:hAnsi="宋体" w:eastAsia="宋体" w:cs="宋体"/>
          <w:sz w:val="24"/>
          <w:highlight w:val="none"/>
        </w:rPr>
        <w:t>保</w:t>
      </w:r>
      <w:r>
        <w:rPr>
          <w:rFonts w:hint="eastAsia" w:ascii="宋体" w:hAnsi="宋体" w:cs="宋体"/>
          <w:sz w:val="24"/>
          <w:highlight w:val="none"/>
          <w:lang w:val="en-US" w:eastAsia="zh-CN"/>
        </w:rPr>
        <w:t>不少于</w:t>
      </w:r>
      <w:r>
        <w:rPr>
          <w:rFonts w:hint="eastAsia" w:ascii="宋体" w:hAnsi="宋体" w:eastAsia="宋体" w:cs="宋体"/>
          <w:sz w:val="24"/>
          <w:highlight w:val="none"/>
        </w:rPr>
        <w:t>36个月。</w:t>
      </w:r>
    </w:p>
    <w:p w14:paraId="2425E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2、卖方须保证所提供产品在质量保证期之内，并须对由于产品质量而发生的任何问题负责。</w:t>
      </w:r>
    </w:p>
    <w:p w14:paraId="2D78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、对操作人员进行使用、保养培训，对维修人员进行技术培训，保证仪器可以正常使用。</w:t>
      </w:r>
    </w:p>
    <w:p w14:paraId="7244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、出保后以零件成本价收费</w:t>
      </w:r>
    </w:p>
    <w:p w14:paraId="3A217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、维修响应速度:2小时电话反应，电话不能解决的必须 24小时内到达现场，排除故障。如故障无法排除，需提供不低于中标设备配置的备机，以保证买方工作的正常运转。</w:t>
      </w:r>
    </w:p>
    <w:p w14:paraId="4D201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、卖方应为买方提供免费仪器的校准、巡检、维护保养。校准周期:每半年提供一次精密度校验，并出具校准报告。</w:t>
      </w:r>
    </w:p>
    <w:p w14:paraId="024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、定期回访1次/半年。</w:t>
      </w:r>
    </w:p>
    <w:p w14:paraId="074A9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、提供设备操作及维修手册</w:t>
      </w:r>
    </w:p>
    <w:p w14:paraId="297B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1.安装和调试</w:t>
      </w:r>
    </w:p>
    <w:p w14:paraId="78027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中标方负责派技术人员到现场免费进行安装调试，直至验收合格，中标方应在货物运抵现场一周前，向买方提供安装调试及运行的进度计划表</w:t>
      </w:r>
      <w:r>
        <w:rPr>
          <w:rFonts w:hint="eastAsia" w:ascii="宋体" w:hAnsi="宋体" w:cs="宋体"/>
          <w:sz w:val="24"/>
          <w:highlight w:val="none"/>
          <w:lang w:val="en-US" w:eastAsia="zh-CN"/>
        </w:rPr>
        <w:t>.</w:t>
      </w:r>
    </w:p>
    <w:p w14:paraId="6B7ED20D">
      <w:pPr>
        <w:rPr>
          <w:spacing w:val="0"/>
          <w:kern w:val="0"/>
          <w:position w:val="0"/>
        </w:rPr>
      </w:pPr>
      <w:r>
        <w:rPr>
          <w:rFonts w:hint="eastAsia" w:ascii="宋体" w:hAnsi="宋体" w:eastAsia="宋体" w:cs="宋体"/>
          <w:sz w:val="24"/>
          <w:highlight w:val="none"/>
        </w:rPr>
        <w:t>2.项日完成期</w:t>
      </w:r>
      <w:r>
        <w:rPr>
          <w:rFonts w:hint="eastAsia" w:ascii="宋体" w:hAnsi="宋体" w:cs="宋体"/>
          <w:sz w:val="24"/>
          <w:highlight w:val="none"/>
          <w:lang w:eastAsia="zh-CN"/>
        </w:rPr>
        <w:t>：</w:t>
      </w:r>
      <w:r>
        <w:rPr>
          <w:rFonts w:hint="eastAsia" w:ascii="宋体" w:hAnsi="宋体" w:eastAsia="宋体" w:cs="宋体"/>
          <w:sz w:val="24"/>
          <w:highlight w:val="none"/>
        </w:rPr>
        <w:t>合同签订后</w:t>
      </w:r>
      <w:r>
        <w:rPr>
          <w:rFonts w:hint="eastAsia" w:ascii="宋体" w:hAnsi="宋体" w:cs="宋体"/>
          <w:sz w:val="24"/>
          <w:highlight w:val="none"/>
          <w:lang w:val="en-US" w:eastAsia="zh-CN"/>
        </w:rPr>
        <w:t>15</w:t>
      </w:r>
      <w:r>
        <w:rPr>
          <w:rFonts w:hint="eastAsia" w:ascii="宋体" w:hAnsi="宋体" w:eastAsia="宋体" w:cs="宋体"/>
          <w:sz w:val="24"/>
          <w:highlight w:val="none"/>
        </w:rPr>
        <w:t>天内完成送货、安装、调试(如果具体参数、用户实际需求中另有规定的，按具体参数中要求、用户实际需求规定执行)。</w:t>
      </w:r>
    </w:p>
    <w:p w14:paraId="2EACA1C5">
      <w:pPr>
        <w:spacing w:line="360" w:lineRule="auto"/>
        <w:rPr>
          <w:color w:val="auto"/>
          <w:highlight w:val="none"/>
        </w:rPr>
      </w:pPr>
      <w:r>
        <w:rPr>
          <w:b/>
          <w:spacing w:val="0"/>
          <w:kern w:val="0"/>
          <w:position w:val="0"/>
          <w:sz w:val="36"/>
          <w:szCs w:val="36"/>
        </w:rPr>
        <w:br w:type="page"/>
      </w:r>
      <w:bookmarkStart w:id="825" w:name="_Hlk167285151"/>
    </w:p>
    <w:p w14:paraId="43E00E0B">
      <w:pPr>
        <w:spacing w:line="360" w:lineRule="auto"/>
        <w:jc w:val="center"/>
        <w:outlineLvl w:val="0"/>
        <w:rPr>
          <w:rFonts w:hint="eastAsia" w:eastAsia="宋体"/>
          <w:b/>
          <w:spacing w:val="0"/>
          <w:kern w:val="0"/>
          <w:position w:val="0"/>
          <w:sz w:val="36"/>
          <w:szCs w:val="36"/>
          <w:highlight w:val="none"/>
          <w:lang w:eastAsia="zh-CN"/>
        </w:rPr>
      </w:pPr>
      <w:bookmarkStart w:id="826" w:name="_Toc99301425"/>
      <w:r>
        <w:rPr>
          <w:b/>
          <w:spacing w:val="0"/>
          <w:kern w:val="0"/>
          <w:position w:val="0"/>
          <w:sz w:val="36"/>
          <w:szCs w:val="36"/>
          <w:highlight w:val="none"/>
        </w:rPr>
        <w:t>第六章   拟签订的合同文本</w:t>
      </w:r>
      <w:bookmarkEnd w:id="826"/>
    </w:p>
    <w:p w14:paraId="0ACF001A">
      <w:pPr>
        <w:spacing w:before="120" w:line="480" w:lineRule="exact"/>
        <w:jc w:val="center"/>
        <w:rPr>
          <w:rFonts w:ascii="宋体" w:hAnsi="宋体"/>
          <w:b/>
          <w:color w:val="auto"/>
          <w:sz w:val="24"/>
          <w:highlight w:val="none"/>
        </w:rPr>
      </w:pPr>
      <w:bookmarkStart w:id="827" w:name="_Toc504554325"/>
      <w:bookmarkStart w:id="828" w:name="_Toc13960"/>
      <w:r>
        <w:rPr>
          <w:rFonts w:hint="eastAsia" w:ascii="宋体" w:hAnsi="宋体"/>
          <w:b/>
          <w:color w:val="auto"/>
          <w:sz w:val="24"/>
          <w:highlight w:val="none"/>
        </w:rPr>
        <w:t>合　　　同　　　书</w:t>
      </w:r>
    </w:p>
    <w:p w14:paraId="05B29853">
      <w:pPr>
        <w:spacing w:before="120" w:line="480" w:lineRule="exact"/>
        <w:rPr>
          <w:rFonts w:ascii="宋体" w:hAnsi="宋体"/>
          <w:color w:val="auto"/>
          <w:sz w:val="24"/>
          <w:highlight w:val="none"/>
        </w:rPr>
      </w:pPr>
    </w:p>
    <w:p w14:paraId="6DD96AF8">
      <w:pPr>
        <w:spacing w:before="120" w:line="480" w:lineRule="exact"/>
        <w:ind w:firstLine="72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(项目名称)中所需</w:t>
      </w:r>
      <w:r>
        <w:rPr>
          <w:rFonts w:hint="eastAsia" w:ascii="宋体" w:hAnsi="宋体"/>
          <w:color w:val="auto"/>
          <w:sz w:val="24"/>
          <w:highlight w:val="none"/>
          <w:u w:val="single"/>
        </w:rPr>
        <w:t xml:space="preserve"> 　　　　　　　</w:t>
      </w:r>
      <w:r>
        <w:rPr>
          <w:rFonts w:hint="eastAsia" w:ascii="宋体" w:hAnsi="宋体"/>
          <w:color w:val="auto"/>
          <w:sz w:val="24"/>
          <w:highlight w:val="none"/>
        </w:rPr>
        <w:t>(货物/服务名称)经(采购代理机构)以</w:t>
      </w:r>
      <w:r>
        <w:rPr>
          <w:rFonts w:hint="eastAsia" w:ascii="宋体" w:hAnsi="宋体"/>
          <w:color w:val="auto"/>
          <w:sz w:val="24"/>
          <w:highlight w:val="none"/>
          <w:u w:val="single"/>
        </w:rPr>
        <w:t>　　　　</w:t>
      </w:r>
      <w:r>
        <w:rPr>
          <w:rFonts w:hint="eastAsia" w:ascii="宋体" w:hAnsi="宋体"/>
          <w:color w:val="auto"/>
          <w:sz w:val="24"/>
          <w:highlight w:val="none"/>
        </w:rPr>
        <w:t>号招标文件在国内</w:t>
      </w:r>
      <w:r>
        <w:rPr>
          <w:rFonts w:hint="eastAsia" w:ascii="宋体" w:hAnsi="宋体"/>
          <w:color w:val="auto"/>
          <w:sz w:val="24"/>
          <w:highlight w:val="none"/>
          <w:u w:val="single"/>
        </w:rPr>
        <w:t>　　</w:t>
      </w:r>
      <w:r>
        <w:rPr>
          <w:rFonts w:hint="eastAsia" w:ascii="宋体" w:hAnsi="宋体"/>
          <w:color w:val="auto"/>
          <w:sz w:val="24"/>
          <w:highlight w:val="none"/>
        </w:rPr>
        <w:t>（公开/邀请）招标。经评标委员会评定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14:paraId="34C4290F">
      <w:pPr>
        <w:spacing w:before="240" w:line="480" w:lineRule="exact"/>
        <w:rPr>
          <w:rFonts w:ascii="宋体" w:hAnsi="宋体"/>
          <w:b/>
          <w:color w:val="auto"/>
          <w:sz w:val="24"/>
          <w:highlight w:val="none"/>
        </w:rPr>
      </w:pPr>
      <w:r>
        <w:rPr>
          <w:rFonts w:hint="eastAsia" w:ascii="宋体" w:hAnsi="宋体"/>
          <w:b/>
          <w:color w:val="auto"/>
          <w:sz w:val="24"/>
          <w:highlight w:val="none"/>
        </w:rPr>
        <w:t>1、合同文件</w:t>
      </w:r>
    </w:p>
    <w:p w14:paraId="29C84403">
      <w:pPr>
        <w:spacing w:before="120" w:line="480" w:lineRule="exact"/>
        <w:ind w:firstLine="72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14:paraId="3EC6ADD9">
      <w:pPr>
        <w:spacing w:before="120" w:line="480" w:lineRule="exact"/>
        <w:ind w:firstLine="54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rPr>
        <w:tab/>
      </w:r>
      <w:r>
        <w:rPr>
          <w:rFonts w:hint="eastAsia" w:ascii="宋体" w:hAnsi="宋体"/>
          <w:color w:val="auto"/>
          <w:sz w:val="24"/>
          <w:highlight w:val="none"/>
        </w:rPr>
        <w:t>本合同书　</w:t>
      </w:r>
    </w:p>
    <w:p w14:paraId="231A28EE">
      <w:pPr>
        <w:spacing w:before="120" w:line="480" w:lineRule="exact"/>
        <w:ind w:firstLine="54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rPr>
        <w:tab/>
      </w:r>
      <w:r>
        <w:rPr>
          <w:rFonts w:hint="eastAsia" w:ascii="宋体" w:hAnsi="宋体"/>
          <w:color w:val="auto"/>
          <w:sz w:val="24"/>
          <w:highlight w:val="none"/>
        </w:rPr>
        <w:t>中标通知书</w:t>
      </w:r>
    </w:p>
    <w:p w14:paraId="73936199">
      <w:pPr>
        <w:spacing w:before="120" w:line="480" w:lineRule="exact"/>
        <w:ind w:firstLine="540"/>
        <w:rPr>
          <w:rFonts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rPr>
        <w:tab/>
      </w:r>
      <w:r>
        <w:rPr>
          <w:rFonts w:hint="eastAsia" w:ascii="宋体" w:hAnsi="宋体"/>
          <w:color w:val="auto"/>
          <w:sz w:val="24"/>
          <w:highlight w:val="none"/>
        </w:rPr>
        <w:t>协议</w:t>
      </w:r>
    </w:p>
    <w:p w14:paraId="525C17C2">
      <w:pPr>
        <w:spacing w:before="120" w:line="480" w:lineRule="exact"/>
        <w:ind w:firstLine="540"/>
        <w:rPr>
          <w:rFonts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14:paraId="7ACA10C3">
      <w:pPr>
        <w:spacing w:before="120" w:line="480" w:lineRule="exact"/>
        <w:ind w:firstLine="540"/>
        <w:rPr>
          <w:rFonts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rPr>
        <w:tab/>
      </w:r>
      <w:r>
        <w:rPr>
          <w:rFonts w:hint="eastAsia" w:ascii="宋体" w:hAnsi="宋体"/>
          <w:color w:val="auto"/>
          <w:sz w:val="24"/>
          <w:highlight w:val="none"/>
        </w:rPr>
        <w:t>招标文件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(含招标文件补充通知)</w:t>
      </w:r>
    </w:p>
    <w:p w14:paraId="2EA5F7FA">
      <w:pPr>
        <w:spacing w:before="240" w:line="480" w:lineRule="exact"/>
        <w:rPr>
          <w:rFonts w:ascii="宋体" w:hAnsi="宋体"/>
          <w:b/>
          <w:color w:val="auto"/>
          <w:sz w:val="24"/>
          <w:highlight w:val="none"/>
        </w:rPr>
      </w:pPr>
      <w:r>
        <w:rPr>
          <w:rFonts w:hint="eastAsia" w:ascii="宋体" w:hAnsi="宋体"/>
          <w:b/>
          <w:color w:val="auto"/>
          <w:sz w:val="24"/>
          <w:highlight w:val="none"/>
        </w:rPr>
        <w:t>2、货物和数量</w:t>
      </w:r>
    </w:p>
    <w:p w14:paraId="4D851F24">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本合同货物/服务：</w:t>
      </w:r>
      <w:r>
        <w:rPr>
          <w:rFonts w:hint="eastAsia" w:ascii="宋体" w:hAnsi="宋体"/>
          <w:color w:val="auto"/>
          <w:sz w:val="24"/>
          <w:highlight w:val="none"/>
          <w:u w:val="single"/>
        </w:rPr>
        <w:t>　　　　　　　　　　　　</w:t>
      </w:r>
    </w:p>
    <w:p w14:paraId="22F22EDD">
      <w:pPr>
        <w:spacing w:before="120" w:line="480" w:lineRule="exact"/>
        <w:ind w:firstLine="454"/>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w:t>
      </w:r>
    </w:p>
    <w:p w14:paraId="3FE8B854">
      <w:pPr>
        <w:spacing w:before="240" w:line="480" w:lineRule="exact"/>
        <w:rPr>
          <w:rFonts w:ascii="宋体" w:hAnsi="宋体"/>
          <w:b/>
          <w:color w:val="auto"/>
          <w:sz w:val="24"/>
          <w:highlight w:val="none"/>
        </w:rPr>
      </w:pPr>
      <w:r>
        <w:rPr>
          <w:rFonts w:hint="eastAsia" w:ascii="宋体" w:hAnsi="宋体"/>
          <w:b/>
          <w:color w:val="auto"/>
          <w:sz w:val="24"/>
          <w:highlight w:val="none"/>
        </w:rPr>
        <w:t>3、合同总金额</w:t>
      </w:r>
    </w:p>
    <w:p w14:paraId="426FFC0D">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本合同总金额为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14:paraId="68702A67">
      <w:pPr>
        <w:spacing w:before="120" w:line="480" w:lineRule="exact"/>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w:t>
      </w:r>
    </w:p>
    <w:p w14:paraId="5CDC9D25">
      <w:pPr>
        <w:spacing w:before="240" w:line="480" w:lineRule="exact"/>
        <w:rPr>
          <w:rFonts w:ascii="宋体" w:hAnsi="宋体"/>
          <w:b/>
          <w:color w:val="auto"/>
          <w:sz w:val="24"/>
          <w:highlight w:val="none"/>
        </w:rPr>
      </w:pPr>
      <w:r>
        <w:rPr>
          <w:rFonts w:hint="eastAsia" w:ascii="宋体" w:hAnsi="宋体"/>
          <w:b/>
          <w:color w:val="auto"/>
          <w:sz w:val="24"/>
          <w:highlight w:val="none"/>
        </w:rPr>
        <w:t>4、付款方式</w:t>
      </w:r>
    </w:p>
    <w:p w14:paraId="6BACE410">
      <w:pPr>
        <w:spacing w:before="120" w:line="480" w:lineRule="exact"/>
        <w:ind w:firstLine="480"/>
        <w:rPr>
          <w:rFonts w:ascii="宋体" w:hAnsi="宋体"/>
          <w:color w:val="auto"/>
          <w:sz w:val="24"/>
          <w:highlight w:val="none"/>
        </w:rPr>
      </w:pPr>
      <w:r>
        <w:rPr>
          <w:rFonts w:hint="eastAsia" w:ascii="宋体" w:hAnsi="宋体"/>
          <w:color w:val="auto"/>
          <w:sz w:val="24"/>
          <w:highlight w:val="none"/>
        </w:rPr>
        <w:t>本合同的付款方式为：</w:t>
      </w:r>
      <w:r>
        <w:rPr>
          <w:rFonts w:hint="eastAsia" w:ascii="宋体" w:hAnsi="宋体"/>
          <w:color w:val="auto"/>
          <w:sz w:val="24"/>
          <w:highlight w:val="none"/>
          <w:u w:val="single"/>
        </w:rPr>
        <w:t>　　　　　　　　　　　　　　　</w:t>
      </w:r>
    </w:p>
    <w:p w14:paraId="5F0528B0">
      <w:pPr>
        <w:spacing w:before="240" w:line="480" w:lineRule="exact"/>
        <w:rPr>
          <w:rFonts w:ascii="宋体" w:hAnsi="宋体"/>
          <w:b/>
          <w:color w:val="auto"/>
          <w:sz w:val="24"/>
          <w:highlight w:val="none"/>
        </w:rPr>
      </w:pPr>
      <w:r>
        <w:rPr>
          <w:rFonts w:hint="eastAsia" w:ascii="宋体" w:hAnsi="宋体"/>
          <w:b/>
          <w:color w:val="auto"/>
          <w:sz w:val="24"/>
          <w:highlight w:val="none"/>
        </w:rPr>
        <w:t>5、本合同货物服务的交货（实施）时间及交货（实施）地点</w:t>
      </w:r>
    </w:p>
    <w:p w14:paraId="2606DAB1">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交货（实施）时间：</w:t>
      </w:r>
      <w:r>
        <w:rPr>
          <w:rFonts w:hint="eastAsia" w:ascii="宋体" w:hAnsi="宋体"/>
          <w:color w:val="auto"/>
          <w:sz w:val="24"/>
          <w:highlight w:val="none"/>
          <w:u w:val="single"/>
        </w:rPr>
        <w:t>　　　　　　　　　　　　　　　　</w:t>
      </w:r>
    </w:p>
    <w:p w14:paraId="672B8545">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交货（实施）地点：</w:t>
      </w:r>
      <w:r>
        <w:rPr>
          <w:rFonts w:hint="eastAsia" w:ascii="宋体" w:hAnsi="宋体"/>
          <w:color w:val="auto"/>
          <w:sz w:val="24"/>
          <w:highlight w:val="none"/>
          <w:u w:val="single"/>
        </w:rPr>
        <w:t>　　　　　　　　　　　　　　　　</w:t>
      </w:r>
    </w:p>
    <w:p w14:paraId="5FFD5BAB">
      <w:pPr>
        <w:spacing w:before="240" w:line="480" w:lineRule="exact"/>
        <w:rPr>
          <w:rFonts w:ascii="宋体" w:hAnsi="宋体"/>
          <w:b/>
          <w:color w:val="auto"/>
          <w:sz w:val="24"/>
          <w:highlight w:val="none"/>
        </w:rPr>
      </w:pPr>
      <w:r>
        <w:rPr>
          <w:rFonts w:hint="eastAsia" w:ascii="宋体" w:hAnsi="宋体"/>
          <w:b/>
          <w:color w:val="auto"/>
          <w:sz w:val="24"/>
          <w:highlight w:val="none"/>
        </w:rPr>
        <w:t>6、合同的生效。</w:t>
      </w:r>
    </w:p>
    <w:p w14:paraId="70C9AD00">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本合同经双方全权代表签署、加盖单位印章生效。</w:t>
      </w:r>
    </w:p>
    <w:p w14:paraId="32A19E8F">
      <w:pPr>
        <w:spacing w:before="120" w:line="360" w:lineRule="auto"/>
        <w:rPr>
          <w:rFonts w:hint="eastAsia" w:ascii="宋体" w:hAnsi="宋体"/>
          <w:color w:val="auto"/>
          <w:sz w:val="24"/>
          <w:highlight w:val="none"/>
        </w:rPr>
      </w:pPr>
    </w:p>
    <w:p w14:paraId="4835429C">
      <w:pPr>
        <w:spacing w:before="120" w:line="360" w:lineRule="auto"/>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卖　方：</w:t>
      </w:r>
    </w:p>
    <w:p w14:paraId="3CC6128C">
      <w:pPr>
        <w:spacing w:before="120" w:line="360" w:lineRule="auto"/>
        <w:rPr>
          <w:rFonts w:ascii="宋体" w:hAnsi="宋体"/>
          <w:color w:val="auto"/>
          <w:sz w:val="24"/>
          <w:highlight w:val="none"/>
        </w:rPr>
      </w:pPr>
    </w:p>
    <w:p w14:paraId="454A009E">
      <w:pPr>
        <w:spacing w:before="120" w:line="360" w:lineRule="auto"/>
        <w:rPr>
          <w:rFonts w:ascii="宋体" w:hAnsi="宋体"/>
          <w:color w:val="auto"/>
          <w:sz w:val="24"/>
          <w:highlight w:val="none"/>
        </w:rPr>
      </w:pPr>
      <w:r>
        <w:rPr>
          <w:rFonts w:hint="eastAsia" w:ascii="宋体" w:hAnsi="宋体"/>
          <w:color w:val="auto"/>
          <w:sz w:val="24"/>
          <w:highlight w:val="none"/>
        </w:rPr>
        <w:t>　　名　称：(印章)　　　　　　　　　名　称：(印章)</w:t>
      </w:r>
    </w:p>
    <w:p w14:paraId="2202454B">
      <w:pPr>
        <w:spacing w:before="120" w:line="360" w:lineRule="auto"/>
        <w:rPr>
          <w:rFonts w:ascii="宋体" w:hAnsi="宋体"/>
          <w:color w:val="auto"/>
          <w:sz w:val="24"/>
          <w:highlight w:val="none"/>
        </w:rPr>
      </w:pPr>
    </w:p>
    <w:p w14:paraId="4A85C0B0">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14:paraId="6115411F">
      <w:pPr>
        <w:spacing w:before="120" w:line="360" w:lineRule="auto"/>
        <w:rPr>
          <w:rFonts w:ascii="宋体" w:hAnsi="宋体"/>
          <w:color w:val="auto"/>
          <w:sz w:val="24"/>
          <w:highlight w:val="none"/>
        </w:rPr>
      </w:pPr>
    </w:p>
    <w:p w14:paraId="41D93321">
      <w:pPr>
        <w:spacing w:before="120" w:line="360" w:lineRule="auto"/>
        <w:rPr>
          <w:rFonts w:ascii="宋体" w:hAnsi="宋体"/>
          <w:color w:val="auto"/>
          <w:sz w:val="24"/>
          <w:highlight w:val="none"/>
          <w:u w:val="single"/>
        </w:rPr>
      </w:pPr>
      <w:r>
        <w:rPr>
          <w:rFonts w:hint="eastAsia" w:ascii="宋体" w:hAnsi="宋体"/>
          <w:color w:val="auto"/>
          <w:sz w:val="24"/>
          <w:highlight w:val="none"/>
        </w:rPr>
        <w:t>　　授权代表(签字)：</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授权代表(签字)：</w:t>
      </w:r>
    </w:p>
    <w:p w14:paraId="67AA425C">
      <w:pPr>
        <w:spacing w:before="120" w:line="360" w:lineRule="auto"/>
        <w:rPr>
          <w:rFonts w:ascii="宋体" w:hAnsi="宋体"/>
          <w:color w:val="auto"/>
          <w:sz w:val="24"/>
          <w:highlight w:val="none"/>
          <w:u w:val="single"/>
        </w:rPr>
      </w:pPr>
      <w:r>
        <w:rPr>
          <w:rFonts w:hint="eastAsia" w:ascii="宋体" w:hAnsi="宋体"/>
          <w:color w:val="auto"/>
          <w:sz w:val="24"/>
          <w:highlight w:val="none"/>
        </w:rPr>
        <w:t>　　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3E2D518">
      <w:pPr>
        <w:spacing w:before="120" w:line="360" w:lineRule="auto"/>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74CB95E9">
      <w:pPr>
        <w:spacing w:before="120" w:line="360" w:lineRule="auto"/>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2E5AD29">
      <w:pPr>
        <w:spacing w:before="120" w:line="360" w:lineRule="auto"/>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6600131">
      <w:pPr>
        <w:spacing w:line="360" w:lineRule="auto"/>
        <w:rPr>
          <w:rFonts w:hint="eastAsia" w:ascii="宋体" w:hAnsi="宋体"/>
          <w:b/>
          <w:bCs/>
          <w:color w:val="auto"/>
          <w:sz w:val="28"/>
          <w:szCs w:val="28"/>
          <w:highlight w:val="none"/>
        </w:rPr>
      </w:pPr>
      <w:r>
        <w:rPr>
          <w:rFonts w:hint="eastAsia" w:ascii="宋体" w:hAnsi="宋体"/>
          <w:color w:val="auto"/>
          <w:sz w:val="24"/>
          <w:highlight w:val="none"/>
        </w:rPr>
        <w:t>　　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61990D7">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合同一般条款</w:t>
      </w:r>
    </w:p>
    <w:p w14:paraId="78F741E2">
      <w:pPr>
        <w:pStyle w:val="5"/>
        <w:tabs>
          <w:tab w:val="left" w:pos="900"/>
        </w:tabs>
        <w:spacing w:line="360" w:lineRule="auto"/>
        <w:rPr>
          <w:rFonts w:hAnsi="宋体"/>
          <w:color w:val="auto"/>
          <w:szCs w:val="24"/>
          <w:highlight w:val="none"/>
        </w:rPr>
      </w:pPr>
      <w:bookmarkStart w:id="829" w:name="_Ref467378499"/>
      <w:bookmarkStart w:id="830" w:name="_Ref467379225"/>
      <w:bookmarkStart w:id="831" w:name="_Toc329875482"/>
      <w:bookmarkStart w:id="832" w:name="_Ref467379195"/>
      <w:bookmarkStart w:id="833" w:name="_Ref467378463"/>
      <w:bookmarkStart w:id="834" w:name="_Toc487900349"/>
      <w:bookmarkStart w:id="835" w:name="_Ref467379214"/>
      <w:bookmarkStart w:id="836" w:name="_Toc413930817"/>
      <w:bookmarkStart w:id="837" w:name="_Ref467378404"/>
      <w:bookmarkStart w:id="838" w:name="_Ref467379101"/>
      <w:bookmarkStart w:id="839" w:name="_Ref467379109"/>
      <w:bookmarkStart w:id="840" w:name="_Ref467379094"/>
      <w:bookmarkStart w:id="841" w:name="_Ref467379205"/>
      <w:bookmarkStart w:id="842" w:name="_Toc310521908"/>
      <w:bookmarkStart w:id="843" w:name="_Toc310195732"/>
      <w:r>
        <w:rPr>
          <w:rFonts w:hint="eastAsia" w:hAnsi="宋体"/>
          <w:color w:val="auto"/>
          <w:szCs w:val="24"/>
          <w:highlight w:val="none"/>
        </w:rPr>
        <w:t>1. 定义</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F90D029">
      <w:pPr>
        <w:tabs>
          <w:tab w:val="left" w:pos="900"/>
        </w:tabs>
        <w:spacing w:line="360" w:lineRule="auto"/>
        <w:rPr>
          <w:rFonts w:ascii="宋体" w:hAnsi="宋体"/>
          <w:color w:val="auto"/>
          <w:sz w:val="24"/>
          <w:highlight w:val="none"/>
        </w:rPr>
      </w:pPr>
      <w:r>
        <w:rPr>
          <w:rFonts w:hint="eastAsia" w:ascii="宋体" w:hAnsi="宋体"/>
          <w:color w:val="auto"/>
          <w:sz w:val="24"/>
          <w:highlight w:val="none"/>
        </w:rPr>
        <w:t>本合同中的下列术语应解释为：</w:t>
      </w:r>
    </w:p>
    <w:p w14:paraId="13D6361B">
      <w:pPr>
        <w:spacing w:before="120" w:line="360" w:lineRule="auto"/>
        <w:rPr>
          <w:rFonts w:ascii="宋体" w:hAnsi="宋体"/>
          <w:color w:val="auto"/>
          <w:sz w:val="24"/>
          <w:highlight w:val="none"/>
        </w:rPr>
      </w:pPr>
      <w:r>
        <w:rPr>
          <w:rFonts w:hint="eastAsia" w:ascii="宋体" w:hAnsi="宋体"/>
          <w:color w:val="auto"/>
          <w:sz w:val="24"/>
          <w:highlight w:val="none"/>
        </w:rPr>
        <w:t>1.1 “合同”系指买卖双方签署的、合同格式中载明的买卖双方所达成的协议，包括所有的附件、附录和构成合同的其它文件。</w:t>
      </w:r>
    </w:p>
    <w:p w14:paraId="02112A2F">
      <w:pPr>
        <w:spacing w:before="120" w:line="360" w:lineRule="auto"/>
        <w:rPr>
          <w:rFonts w:ascii="宋体" w:hAnsi="宋体"/>
          <w:color w:val="auto"/>
          <w:sz w:val="24"/>
          <w:highlight w:val="none"/>
        </w:rPr>
      </w:pPr>
      <w:r>
        <w:rPr>
          <w:rFonts w:hint="eastAsia" w:ascii="宋体" w:hAnsi="宋体"/>
          <w:color w:val="auto"/>
          <w:sz w:val="24"/>
          <w:highlight w:val="none"/>
        </w:rPr>
        <w:t>1.2 “合同价”系指根据合同约定，卖方在完全履行合同义务后买方应付给卖方的价格。</w:t>
      </w:r>
    </w:p>
    <w:p w14:paraId="41A366AB">
      <w:pPr>
        <w:spacing w:before="120" w:line="360" w:lineRule="auto"/>
        <w:rPr>
          <w:rFonts w:ascii="宋体" w:hAnsi="宋体"/>
          <w:color w:val="auto"/>
          <w:sz w:val="24"/>
          <w:highlight w:val="none"/>
        </w:rPr>
      </w:pPr>
      <w:r>
        <w:rPr>
          <w:rFonts w:hint="eastAsia" w:ascii="宋体" w:hAnsi="宋体"/>
          <w:color w:val="auto"/>
          <w:sz w:val="24"/>
          <w:highlight w:val="none"/>
        </w:rPr>
        <w:t>1.3 “货物”系指卖方根据合同约定须向买方提供的一切设备、机械、仪表、备件、工具、手册等其它相关资料。</w:t>
      </w:r>
    </w:p>
    <w:p w14:paraId="04D6D459">
      <w:pPr>
        <w:spacing w:before="120" w:line="360" w:lineRule="auto"/>
        <w:rPr>
          <w:rFonts w:ascii="宋体" w:hAnsi="宋体"/>
          <w:color w:val="auto"/>
          <w:sz w:val="24"/>
          <w:highlight w:val="none"/>
        </w:rPr>
      </w:pPr>
      <w:r>
        <w:rPr>
          <w:rFonts w:hint="eastAsia" w:ascii="宋体" w:hAnsi="宋体"/>
          <w:color w:val="auto"/>
          <w:sz w:val="24"/>
          <w:highlight w:val="none"/>
        </w:rPr>
        <w:t>1.4 “服务”系指根据合同约定卖方承担与供货有关的辅助服务，如运输、保险、及安装、调试、提供技术援助、培训和其他类似的服务。</w:t>
      </w:r>
    </w:p>
    <w:p w14:paraId="512F1775">
      <w:pPr>
        <w:spacing w:before="120" w:line="360" w:lineRule="auto"/>
        <w:rPr>
          <w:rFonts w:ascii="宋体" w:hAnsi="宋体"/>
          <w:color w:val="auto"/>
          <w:sz w:val="24"/>
          <w:highlight w:val="none"/>
        </w:rPr>
      </w:pPr>
      <w:bookmarkStart w:id="844" w:name="_Ref467378840"/>
      <w:r>
        <w:rPr>
          <w:rFonts w:hint="eastAsia" w:ascii="宋体" w:hAnsi="宋体"/>
          <w:color w:val="auto"/>
          <w:sz w:val="24"/>
          <w:highlight w:val="none"/>
        </w:rPr>
        <w:t>1.5 “买方”系指采购人或购买货物的单位。</w:t>
      </w:r>
      <w:bookmarkEnd w:id="844"/>
    </w:p>
    <w:p w14:paraId="3E8D1F4E">
      <w:pPr>
        <w:spacing w:before="120" w:line="360" w:lineRule="auto"/>
        <w:rPr>
          <w:rFonts w:ascii="宋体" w:hAnsi="宋体"/>
          <w:color w:val="auto"/>
          <w:sz w:val="24"/>
          <w:highlight w:val="none"/>
        </w:rPr>
      </w:pPr>
      <w:bookmarkStart w:id="845" w:name="_Ref467379400"/>
      <w:r>
        <w:rPr>
          <w:rFonts w:hint="eastAsia" w:ascii="宋体" w:hAnsi="宋体"/>
          <w:color w:val="auto"/>
          <w:sz w:val="24"/>
          <w:highlight w:val="none"/>
        </w:rPr>
        <w:t>1.6 “卖方”系指根据合同约定提供货物及相关服务的投标人，即中标人。</w:t>
      </w:r>
      <w:bookmarkEnd w:id="845"/>
    </w:p>
    <w:p w14:paraId="664DA387">
      <w:pPr>
        <w:tabs>
          <w:tab w:val="left" w:pos="900"/>
        </w:tabs>
        <w:spacing w:before="120" w:line="360" w:lineRule="auto"/>
        <w:rPr>
          <w:rFonts w:ascii="宋体" w:hAnsi="宋体"/>
          <w:color w:val="auto"/>
          <w:sz w:val="24"/>
          <w:highlight w:val="none"/>
        </w:rPr>
      </w:pPr>
      <w:bookmarkStart w:id="846" w:name="_Ref467379436"/>
      <w:r>
        <w:rPr>
          <w:rFonts w:hint="eastAsia" w:ascii="宋体" w:hAnsi="宋体"/>
          <w:color w:val="auto"/>
          <w:sz w:val="24"/>
          <w:highlight w:val="none"/>
        </w:rPr>
        <w:t>1.7 “现场”系指合同约定货物将要运至和安装的地点。</w:t>
      </w:r>
      <w:bookmarkEnd w:id="846"/>
    </w:p>
    <w:p w14:paraId="1C96DD7F">
      <w:pPr>
        <w:spacing w:before="120" w:line="360" w:lineRule="auto"/>
        <w:rPr>
          <w:rFonts w:ascii="宋体" w:hAnsi="宋体"/>
          <w:color w:val="auto"/>
          <w:sz w:val="24"/>
          <w:highlight w:val="none"/>
        </w:rPr>
      </w:pPr>
      <w:r>
        <w:rPr>
          <w:rFonts w:hint="eastAsia" w:ascii="宋体" w:hAnsi="宋体"/>
          <w:color w:val="auto"/>
          <w:sz w:val="24"/>
          <w:highlight w:val="none"/>
        </w:rPr>
        <w:t>1.8 “验收”系指合同双方依据强制性的国家技术质量规范和合同约定，确认合同项下的货物符合合同规定的活动。</w:t>
      </w:r>
    </w:p>
    <w:p w14:paraId="3E0A0969">
      <w:pPr>
        <w:pStyle w:val="5"/>
        <w:spacing w:line="360" w:lineRule="auto"/>
        <w:rPr>
          <w:rFonts w:hAnsi="宋体"/>
          <w:color w:val="auto"/>
          <w:szCs w:val="24"/>
          <w:highlight w:val="none"/>
        </w:rPr>
      </w:pPr>
      <w:bookmarkStart w:id="847" w:name="_Toc310521909"/>
      <w:bookmarkStart w:id="848" w:name="_Toc310195733"/>
      <w:bookmarkStart w:id="849" w:name="_Toc413930818"/>
      <w:bookmarkStart w:id="850" w:name="_Toc487900350"/>
      <w:bookmarkStart w:id="851" w:name="_Toc329875483"/>
      <w:r>
        <w:rPr>
          <w:rFonts w:hint="eastAsia" w:hAnsi="宋体"/>
          <w:color w:val="auto"/>
          <w:szCs w:val="24"/>
          <w:highlight w:val="none"/>
        </w:rPr>
        <w:t>2．技术规范</w:t>
      </w:r>
      <w:bookmarkEnd w:id="847"/>
      <w:bookmarkEnd w:id="848"/>
      <w:bookmarkEnd w:id="849"/>
      <w:bookmarkEnd w:id="850"/>
      <w:bookmarkEnd w:id="851"/>
    </w:p>
    <w:p w14:paraId="7EA4B68F">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30E645E4">
      <w:pPr>
        <w:pStyle w:val="5"/>
        <w:spacing w:line="360" w:lineRule="auto"/>
        <w:rPr>
          <w:rFonts w:hAnsi="宋体"/>
          <w:color w:val="auto"/>
          <w:szCs w:val="24"/>
          <w:highlight w:val="none"/>
        </w:rPr>
      </w:pPr>
      <w:bookmarkStart w:id="852" w:name="_Toc487900351"/>
      <w:bookmarkStart w:id="853" w:name="_Toc310521910"/>
      <w:bookmarkStart w:id="854" w:name="_Toc413930819"/>
      <w:bookmarkStart w:id="855" w:name="_Toc329875484"/>
      <w:bookmarkStart w:id="856" w:name="_Toc310195734"/>
      <w:r>
        <w:rPr>
          <w:rFonts w:hint="eastAsia" w:hAnsi="宋体"/>
          <w:color w:val="auto"/>
          <w:szCs w:val="24"/>
          <w:highlight w:val="none"/>
        </w:rPr>
        <w:t>3. 知识产权</w:t>
      </w:r>
      <w:bookmarkEnd w:id="852"/>
      <w:bookmarkEnd w:id="853"/>
      <w:bookmarkEnd w:id="854"/>
      <w:bookmarkEnd w:id="855"/>
      <w:bookmarkEnd w:id="856"/>
    </w:p>
    <w:p w14:paraId="55BC7C9A">
      <w:pPr>
        <w:spacing w:before="120" w:line="360" w:lineRule="auto"/>
        <w:rPr>
          <w:rFonts w:ascii="宋体" w:hAnsi="宋体"/>
          <w:color w:val="auto"/>
          <w:sz w:val="24"/>
          <w:highlight w:val="none"/>
        </w:rPr>
      </w:pPr>
      <w:r>
        <w:rPr>
          <w:rFonts w:hint="eastAsia" w:ascii="宋体" w:hAnsi="宋体"/>
          <w:color w:val="auto"/>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C0CB142">
      <w:pPr>
        <w:pStyle w:val="5"/>
        <w:spacing w:line="360" w:lineRule="auto"/>
        <w:rPr>
          <w:rFonts w:hAnsi="宋体"/>
          <w:color w:val="auto"/>
          <w:szCs w:val="24"/>
          <w:highlight w:val="none"/>
        </w:rPr>
      </w:pPr>
      <w:bookmarkStart w:id="857" w:name="_Toc487900352"/>
      <w:bookmarkStart w:id="858" w:name="_Toc329875485"/>
      <w:bookmarkStart w:id="859" w:name="_Toc413930820"/>
      <w:bookmarkStart w:id="860" w:name="_Toc310195735"/>
      <w:bookmarkStart w:id="861" w:name="_Toc310521911"/>
      <w:r>
        <w:rPr>
          <w:rFonts w:hint="eastAsia" w:hAnsi="宋体"/>
          <w:color w:val="auto"/>
          <w:szCs w:val="24"/>
          <w:highlight w:val="none"/>
        </w:rPr>
        <w:t>4. 包装要求</w:t>
      </w:r>
      <w:bookmarkEnd w:id="857"/>
      <w:bookmarkEnd w:id="858"/>
      <w:bookmarkEnd w:id="859"/>
      <w:bookmarkEnd w:id="860"/>
      <w:bookmarkEnd w:id="861"/>
    </w:p>
    <w:p w14:paraId="6DA9319D">
      <w:pPr>
        <w:spacing w:before="120" w:line="360" w:lineRule="auto"/>
        <w:rPr>
          <w:rFonts w:ascii="宋体" w:hAnsi="宋体"/>
          <w:color w:val="auto"/>
          <w:sz w:val="24"/>
          <w:highlight w:val="none"/>
        </w:rPr>
      </w:pPr>
      <w:r>
        <w:rPr>
          <w:rFonts w:hint="eastAsia" w:ascii="宋体" w:hAnsi="宋体"/>
          <w:color w:val="auto"/>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75B660">
      <w:pPr>
        <w:spacing w:before="120" w:line="360" w:lineRule="auto"/>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14:paraId="29593662">
      <w:pPr>
        <w:pStyle w:val="5"/>
        <w:spacing w:line="360" w:lineRule="auto"/>
        <w:rPr>
          <w:rFonts w:hAnsi="宋体"/>
          <w:color w:val="auto"/>
          <w:szCs w:val="24"/>
          <w:highlight w:val="none"/>
        </w:rPr>
      </w:pPr>
      <w:bookmarkStart w:id="862" w:name="_Toc310521912"/>
      <w:bookmarkStart w:id="863" w:name="_Toc487900353"/>
      <w:bookmarkStart w:id="864" w:name="_Toc413930821"/>
      <w:bookmarkStart w:id="865" w:name="_Toc329875486"/>
      <w:bookmarkStart w:id="866" w:name="_Toc310195736"/>
      <w:r>
        <w:rPr>
          <w:rFonts w:hint="eastAsia" w:hAnsi="宋体"/>
          <w:color w:val="auto"/>
          <w:szCs w:val="24"/>
          <w:highlight w:val="none"/>
        </w:rPr>
        <w:t>5. 装运标志</w:t>
      </w:r>
      <w:bookmarkEnd w:id="862"/>
      <w:bookmarkEnd w:id="863"/>
      <w:bookmarkEnd w:id="864"/>
      <w:bookmarkEnd w:id="865"/>
      <w:bookmarkEnd w:id="866"/>
    </w:p>
    <w:p w14:paraId="7D5B268B">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14:paraId="4794432E">
      <w:pPr>
        <w:spacing w:line="360" w:lineRule="auto"/>
        <w:ind w:left="1276"/>
        <w:rPr>
          <w:rFonts w:ascii="宋体" w:hAnsi="宋体"/>
          <w:color w:val="auto"/>
          <w:sz w:val="24"/>
          <w:highlight w:val="none"/>
        </w:rPr>
      </w:pPr>
      <w:r>
        <w:rPr>
          <w:rFonts w:hint="eastAsia" w:ascii="宋体" w:hAnsi="宋体"/>
          <w:color w:val="auto"/>
          <w:sz w:val="24"/>
          <w:highlight w:val="none"/>
        </w:rPr>
        <w:t>收货人：</w:t>
      </w:r>
    </w:p>
    <w:p w14:paraId="45285130">
      <w:pPr>
        <w:spacing w:line="360" w:lineRule="auto"/>
        <w:ind w:left="1276"/>
        <w:rPr>
          <w:rFonts w:ascii="宋体" w:hAnsi="宋体"/>
          <w:color w:val="auto"/>
          <w:sz w:val="24"/>
          <w:highlight w:val="none"/>
        </w:rPr>
      </w:pPr>
      <w:r>
        <w:rPr>
          <w:rFonts w:hint="eastAsia" w:ascii="宋体" w:hAnsi="宋体"/>
          <w:color w:val="auto"/>
          <w:sz w:val="24"/>
          <w:highlight w:val="none"/>
        </w:rPr>
        <w:t>合同号：</w:t>
      </w:r>
    </w:p>
    <w:p w14:paraId="135BC450">
      <w:pPr>
        <w:spacing w:line="360" w:lineRule="auto"/>
        <w:ind w:left="1276"/>
        <w:rPr>
          <w:rFonts w:ascii="宋体" w:hAnsi="宋体"/>
          <w:color w:val="auto"/>
          <w:sz w:val="24"/>
          <w:highlight w:val="none"/>
        </w:rPr>
      </w:pPr>
      <w:r>
        <w:rPr>
          <w:rFonts w:hint="eastAsia" w:ascii="宋体" w:hAnsi="宋体"/>
          <w:color w:val="auto"/>
          <w:sz w:val="24"/>
          <w:highlight w:val="none"/>
        </w:rPr>
        <w:t>装运标志：</w:t>
      </w:r>
    </w:p>
    <w:p w14:paraId="4704BF48">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p>
    <w:p w14:paraId="5B8966C0">
      <w:pPr>
        <w:spacing w:line="360" w:lineRule="auto"/>
        <w:ind w:left="1276"/>
        <w:rPr>
          <w:rFonts w:ascii="宋体" w:hAnsi="宋体"/>
          <w:color w:val="auto"/>
          <w:sz w:val="24"/>
          <w:highlight w:val="none"/>
        </w:rPr>
      </w:pPr>
      <w:r>
        <w:rPr>
          <w:rFonts w:hint="eastAsia" w:ascii="宋体" w:hAnsi="宋体"/>
          <w:color w:val="auto"/>
          <w:sz w:val="24"/>
          <w:highlight w:val="none"/>
        </w:rPr>
        <w:t>目的地：</w:t>
      </w:r>
    </w:p>
    <w:p w14:paraId="246ECA95">
      <w:pPr>
        <w:spacing w:line="360" w:lineRule="auto"/>
        <w:ind w:left="1276"/>
        <w:rPr>
          <w:rFonts w:ascii="宋体" w:hAnsi="宋体"/>
          <w:color w:val="auto"/>
          <w:sz w:val="24"/>
          <w:highlight w:val="none"/>
        </w:rPr>
      </w:pPr>
      <w:r>
        <w:rPr>
          <w:rFonts w:hint="eastAsia" w:ascii="宋体" w:hAnsi="宋体"/>
          <w:color w:val="auto"/>
          <w:sz w:val="24"/>
          <w:highlight w:val="none"/>
        </w:rPr>
        <w:t>货物名称、品目号和箱号：</w:t>
      </w:r>
    </w:p>
    <w:p w14:paraId="57D478A6">
      <w:pPr>
        <w:spacing w:line="360" w:lineRule="auto"/>
        <w:ind w:left="1276"/>
        <w:rPr>
          <w:rFonts w:ascii="宋体" w:hAnsi="宋体"/>
          <w:color w:val="auto"/>
          <w:sz w:val="24"/>
          <w:highlight w:val="none"/>
        </w:rPr>
      </w:pPr>
      <w:r>
        <w:rPr>
          <w:rFonts w:hint="eastAsia" w:ascii="宋体" w:hAnsi="宋体"/>
          <w:color w:val="auto"/>
          <w:sz w:val="24"/>
          <w:highlight w:val="none"/>
        </w:rPr>
        <w:t>毛重／净重：</w:t>
      </w:r>
    </w:p>
    <w:p w14:paraId="4D8F67BC">
      <w:pPr>
        <w:spacing w:line="360" w:lineRule="auto"/>
        <w:ind w:left="1276"/>
        <w:rPr>
          <w:rFonts w:ascii="宋体" w:hAnsi="宋体"/>
          <w:color w:val="auto"/>
          <w:sz w:val="24"/>
          <w:highlight w:val="none"/>
        </w:rPr>
      </w:pPr>
      <w:r>
        <w:rPr>
          <w:rFonts w:hint="eastAsia" w:ascii="宋体" w:hAnsi="宋体"/>
          <w:color w:val="auto"/>
          <w:sz w:val="24"/>
          <w:highlight w:val="none"/>
        </w:rPr>
        <w:t>尺寸(长×宽×高以厘米计)：</w:t>
      </w:r>
    </w:p>
    <w:p w14:paraId="4D7CF65A">
      <w:pPr>
        <w:spacing w:before="120" w:line="360" w:lineRule="auto"/>
        <w:rPr>
          <w:rFonts w:ascii="宋体" w:hAnsi="宋体"/>
          <w:color w:val="auto"/>
          <w:sz w:val="24"/>
          <w:highlight w:val="none"/>
        </w:rPr>
      </w:pPr>
      <w:r>
        <w:rPr>
          <w:rFonts w:hint="eastAsia" w:ascii="宋体" w:hAnsi="宋体"/>
          <w:color w:val="auto"/>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FB21BE5">
      <w:pPr>
        <w:pStyle w:val="5"/>
        <w:spacing w:line="360" w:lineRule="auto"/>
        <w:rPr>
          <w:rFonts w:hAnsi="宋体"/>
          <w:color w:val="auto"/>
          <w:szCs w:val="24"/>
          <w:highlight w:val="none"/>
        </w:rPr>
      </w:pPr>
      <w:bookmarkStart w:id="867" w:name="_Ref467379527"/>
      <w:bookmarkStart w:id="868" w:name="_Toc413930822"/>
      <w:bookmarkStart w:id="869" w:name="_Ref467378591"/>
      <w:bookmarkStart w:id="870" w:name="_Ref467378541"/>
      <w:bookmarkStart w:id="871" w:name="_Ref467379536"/>
      <w:bookmarkStart w:id="872" w:name="_Toc487900354"/>
      <w:bookmarkStart w:id="873" w:name="_Toc329875487"/>
      <w:bookmarkStart w:id="874" w:name="_Ref467379542"/>
      <w:bookmarkStart w:id="875" w:name="_Toc310521913"/>
      <w:bookmarkStart w:id="876" w:name="_Toc310195737"/>
      <w:r>
        <w:rPr>
          <w:rFonts w:hint="eastAsia" w:hAnsi="宋体"/>
          <w:color w:val="auto"/>
          <w:szCs w:val="24"/>
          <w:highlight w:val="none"/>
        </w:rPr>
        <w:t>6. 交货方式</w:t>
      </w:r>
      <w:bookmarkEnd w:id="867"/>
      <w:bookmarkEnd w:id="868"/>
      <w:bookmarkEnd w:id="869"/>
      <w:bookmarkEnd w:id="870"/>
      <w:bookmarkEnd w:id="871"/>
      <w:bookmarkEnd w:id="872"/>
      <w:bookmarkEnd w:id="873"/>
      <w:bookmarkEnd w:id="874"/>
      <w:bookmarkEnd w:id="875"/>
      <w:bookmarkEnd w:id="876"/>
    </w:p>
    <w:p w14:paraId="52D3BBA0">
      <w:pPr>
        <w:spacing w:before="120" w:line="360" w:lineRule="auto"/>
        <w:rPr>
          <w:rFonts w:ascii="宋体" w:hAnsi="宋体"/>
          <w:color w:val="auto"/>
          <w:sz w:val="24"/>
          <w:highlight w:val="none"/>
        </w:rPr>
      </w:pPr>
      <w:bookmarkStart w:id="877" w:name="_Ref467379657"/>
      <w:r>
        <w:rPr>
          <w:rFonts w:hint="eastAsia" w:ascii="宋体" w:hAnsi="宋体"/>
          <w:color w:val="auto"/>
          <w:sz w:val="24"/>
          <w:highlight w:val="none"/>
        </w:rPr>
        <w:t>6.1 交货方式一般为下列其中一种，具体在合同特殊条款中规定。</w:t>
      </w:r>
      <w:bookmarkEnd w:id="877"/>
    </w:p>
    <w:p w14:paraId="1FD15F8A">
      <w:pPr>
        <w:spacing w:before="120" w:line="360" w:lineRule="auto"/>
        <w:rPr>
          <w:rFonts w:ascii="宋体" w:hAnsi="宋体"/>
          <w:color w:val="auto"/>
          <w:sz w:val="24"/>
          <w:highlight w:val="none"/>
        </w:rPr>
      </w:pPr>
      <w:r>
        <w:rPr>
          <w:rFonts w:hint="eastAsia" w:ascii="宋体" w:hAnsi="宋体"/>
          <w:color w:val="auto"/>
          <w:sz w:val="24"/>
          <w:highlight w:val="none"/>
        </w:rPr>
        <w:t>6.1.1 现场交货：卖方负责办理运输和保险，将货物运抵现场。有关运输和保险的一切费用由卖方承担。所有货物运抵现场的日期为交货日期。</w:t>
      </w:r>
    </w:p>
    <w:p w14:paraId="0FAE70CA">
      <w:pPr>
        <w:spacing w:before="120" w:line="360" w:lineRule="auto"/>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14:paraId="65CA5E2B">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6.1.3 买方自提货物：由买方在合同规定地点自行办理提货。提单日期为交货日期。</w:t>
      </w:r>
    </w:p>
    <w:p w14:paraId="4F371A64">
      <w:pPr>
        <w:spacing w:before="120" w:line="360" w:lineRule="auto"/>
        <w:ind w:left="2"/>
        <w:rPr>
          <w:rFonts w:ascii="宋体" w:hAnsi="宋体"/>
          <w:color w:val="auto"/>
          <w:sz w:val="24"/>
          <w:highlight w:val="none"/>
        </w:rPr>
      </w:pPr>
      <w:r>
        <w:rPr>
          <w:rFonts w:hint="eastAsia" w:ascii="宋体" w:hAnsi="宋体"/>
          <w:color w:val="auto"/>
          <w:sz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3423DF">
      <w:pPr>
        <w:tabs>
          <w:tab w:val="left" w:pos="0"/>
        </w:tabs>
        <w:spacing w:before="120" w:line="360" w:lineRule="auto"/>
        <w:rPr>
          <w:rFonts w:ascii="宋体" w:hAnsi="宋体"/>
          <w:color w:val="auto"/>
          <w:sz w:val="24"/>
          <w:highlight w:val="none"/>
        </w:rPr>
      </w:pPr>
      <w:r>
        <w:rPr>
          <w:rFonts w:hint="eastAsia" w:ascii="宋体" w:hAnsi="宋体"/>
          <w:color w:val="auto"/>
          <w:sz w:val="24"/>
          <w:highlight w:val="none"/>
        </w:rPr>
        <w:t>6.3 在现场交货和工厂交货条件下，卖方装运的货物不应超过合同规定的数量或重量。否则，卖方应对超运部分引起的一切后果负责。</w:t>
      </w:r>
    </w:p>
    <w:p w14:paraId="497C4BB6">
      <w:pPr>
        <w:pStyle w:val="5"/>
        <w:spacing w:line="360" w:lineRule="auto"/>
        <w:rPr>
          <w:rFonts w:hAnsi="宋体"/>
          <w:color w:val="auto"/>
          <w:szCs w:val="24"/>
          <w:highlight w:val="none"/>
        </w:rPr>
      </w:pPr>
      <w:bookmarkStart w:id="878" w:name="_Toc487900355"/>
      <w:bookmarkStart w:id="879" w:name="_Toc310195738"/>
      <w:bookmarkStart w:id="880" w:name="_Toc413930823"/>
      <w:bookmarkStart w:id="881" w:name="_Toc310521914"/>
      <w:bookmarkStart w:id="882" w:name="_Toc329875488"/>
      <w:r>
        <w:rPr>
          <w:rFonts w:hint="eastAsia" w:hAnsi="宋体"/>
          <w:color w:val="auto"/>
          <w:szCs w:val="24"/>
          <w:highlight w:val="none"/>
        </w:rPr>
        <w:t>7. 装运通知</w:t>
      </w:r>
      <w:bookmarkEnd w:id="878"/>
      <w:bookmarkEnd w:id="879"/>
      <w:bookmarkEnd w:id="880"/>
      <w:bookmarkEnd w:id="881"/>
      <w:bookmarkEnd w:id="882"/>
    </w:p>
    <w:p w14:paraId="4EBA54EB">
      <w:pPr>
        <w:spacing w:before="120" w:line="360" w:lineRule="auto"/>
        <w:rPr>
          <w:rFonts w:ascii="宋体" w:hAnsi="宋体"/>
          <w:color w:val="auto"/>
          <w:sz w:val="24"/>
          <w:highlight w:val="none"/>
        </w:rPr>
      </w:pPr>
      <w:r>
        <w:rPr>
          <w:rFonts w:hint="eastAsia" w:ascii="宋体" w:hAnsi="宋体"/>
          <w:color w:val="auto"/>
          <w:sz w:val="24"/>
          <w:highlight w:val="none"/>
        </w:rPr>
        <w:t>7.1 在现场交货和工厂交货条件下的货物，在卖方已通知买方货物已备妥待运输后24小时之内，卖方应将合同号、货名、数量、毛重、总体积(立方米)、发票金额、运输工具名称及装运日期，以电报或传真通知买方。</w:t>
      </w:r>
    </w:p>
    <w:p w14:paraId="716EB602">
      <w:pPr>
        <w:pStyle w:val="255"/>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7.2 如因卖方延误将上述内容用电报或传真通知买方，由此引起的一切后果损失应由卖方负责。</w:t>
      </w:r>
    </w:p>
    <w:p w14:paraId="0D8DE968">
      <w:pPr>
        <w:pStyle w:val="5"/>
        <w:spacing w:line="360" w:lineRule="auto"/>
        <w:rPr>
          <w:rFonts w:hAnsi="宋体"/>
          <w:color w:val="auto"/>
          <w:szCs w:val="24"/>
          <w:highlight w:val="none"/>
        </w:rPr>
      </w:pPr>
      <w:bookmarkStart w:id="883" w:name="_Toc329875489"/>
      <w:bookmarkStart w:id="884" w:name="_Toc487900356"/>
      <w:bookmarkStart w:id="885" w:name="_Toc310521915"/>
      <w:bookmarkStart w:id="886" w:name="_Toc413930824"/>
      <w:bookmarkStart w:id="887" w:name="_Toc310195739"/>
      <w:r>
        <w:rPr>
          <w:rFonts w:hint="eastAsia" w:hAnsi="宋体"/>
          <w:color w:val="auto"/>
          <w:szCs w:val="24"/>
          <w:highlight w:val="none"/>
        </w:rPr>
        <w:t>8. 保险</w:t>
      </w:r>
      <w:bookmarkEnd w:id="883"/>
      <w:bookmarkEnd w:id="884"/>
      <w:bookmarkEnd w:id="885"/>
      <w:bookmarkEnd w:id="886"/>
      <w:bookmarkEnd w:id="887"/>
    </w:p>
    <w:p w14:paraId="739F4D16">
      <w:pPr>
        <w:spacing w:before="120" w:line="360" w:lineRule="auto"/>
        <w:rPr>
          <w:rFonts w:ascii="宋体" w:hAnsi="宋体"/>
          <w:color w:val="auto"/>
          <w:sz w:val="24"/>
          <w:highlight w:val="none"/>
        </w:rPr>
      </w:pPr>
      <w:r>
        <w:rPr>
          <w:rFonts w:hint="eastAsia" w:ascii="宋体" w:hAnsi="宋体"/>
          <w:color w:val="auto"/>
          <w:sz w:val="24"/>
          <w:highlight w:val="none"/>
        </w:rPr>
        <w:t>8.1 如果货物是按现场交货方式或工厂交货方式报价的，由卖方办理保险，按照发票金额的100％办理“一切险”，保险范围包括卖方承诺装运的货物；如果货物是按买方自提货物方式报价的，其保险由买方办理。</w:t>
      </w:r>
    </w:p>
    <w:p w14:paraId="0A822D94">
      <w:pPr>
        <w:pStyle w:val="5"/>
        <w:spacing w:line="360" w:lineRule="auto"/>
        <w:rPr>
          <w:rFonts w:hAnsi="宋体"/>
          <w:color w:val="auto"/>
          <w:szCs w:val="24"/>
          <w:highlight w:val="none"/>
        </w:rPr>
      </w:pPr>
      <w:bookmarkStart w:id="888" w:name="_Toc310195740"/>
      <w:bookmarkStart w:id="889" w:name="_Toc413930825"/>
      <w:bookmarkStart w:id="890" w:name="_Toc310521916"/>
      <w:bookmarkStart w:id="891" w:name="_Toc329875490"/>
      <w:bookmarkStart w:id="892" w:name="_Toc487900357"/>
      <w:bookmarkStart w:id="893" w:name="_Ref467379793"/>
      <w:bookmarkStart w:id="894" w:name="_Ref467379807"/>
      <w:r>
        <w:rPr>
          <w:rFonts w:hint="eastAsia" w:hAnsi="宋体"/>
          <w:color w:val="auto"/>
          <w:szCs w:val="24"/>
          <w:highlight w:val="none"/>
        </w:rPr>
        <w:t>9 付款条件</w:t>
      </w:r>
      <w:bookmarkEnd w:id="888"/>
      <w:bookmarkEnd w:id="889"/>
      <w:bookmarkEnd w:id="890"/>
      <w:bookmarkEnd w:id="891"/>
      <w:bookmarkEnd w:id="892"/>
      <w:bookmarkEnd w:id="893"/>
      <w:bookmarkEnd w:id="894"/>
    </w:p>
    <w:p w14:paraId="467F4F18">
      <w:pPr>
        <w:spacing w:before="120" w:line="360" w:lineRule="auto"/>
        <w:rPr>
          <w:rFonts w:ascii="宋体" w:hAnsi="宋体"/>
          <w:color w:val="auto"/>
          <w:sz w:val="24"/>
          <w:highlight w:val="none"/>
        </w:rPr>
      </w:pPr>
      <w:r>
        <w:rPr>
          <w:rFonts w:hint="eastAsia" w:ascii="宋体" w:hAnsi="宋体"/>
          <w:color w:val="auto"/>
          <w:sz w:val="24"/>
          <w:highlight w:val="none"/>
        </w:rPr>
        <w:t>9.1 付款条件见“合同专用条款”。</w:t>
      </w:r>
    </w:p>
    <w:p w14:paraId="731D4CA2">
      <w:pPr>
        <w:pStyle w:val="5"/>
        <w:spacing w:line="360" w:lineRule="auto"/>
        <w:rPr>
          <w:rFonts w:hAnsi="宋体"/>
          <w:color w:val="auto"/>
          <w:szCs w:val="24"/>
          <w:highlight w:val="none"/>
        </w:rPr>
      </w:pPr>
      <w:bookmarkStart w:id="895" w:name="_Ref467379852"/>
      <w:bookmarkStart w:id="896" w:name="_Toc487900358"/>
      <w:bookmarkStart w:id="897" w:name="_Toc413930826"/>
      <w:bookmarkStart w:id="898" w:name="_Toc329875491"/>
      <w:bookmarkStart w:id="899" w:name="_Toc310195741"/>
      <w:bookmarkStart w:id="900" w:name="_Ref467379863"/>
      <w:bookmarkStart w:id="901" w:name="_Toc310521917"/>
      <w:bookmarkStart w:id="902" w:name="_Ref467379923"/>
      <w:r>
        <w:rPr>
          <w:rFonts w:hint="eastAsia" w:hAnsi="宋体"/>
          <w:color w:val="auto"/>
          <w:szCs w:val="24"/>
          <w:highlight w:val="none"/>
        </w:rPr>
        <w:t>10 .技术资料</w:t>
      </w:r>
      <w:bookmarkEnd w:id="895"/>
      <w:bookmarkEnd w:id="896"/>
      <w:bookmarkEnd w:id="897"/>
      <w:bookmarkEnd w:id="898"/>
      <w:bookmarkEnd w:id="899"/>
      <w:bookmarkEnd w:id="900"/>
      <w:bookmarkEnd w:id="901"/>
      <w:bookmarkEnd w:id="902"/>
    </w:p>
    <w:p w14:paraId="553611FB">
      <w:pPr>
        <w:spacing w:before="120" w:line="360" w:lineRule="auto"/>
        <w:rPr>
          <w:rFonts w:ascii="宋体" w:hAnsi="宋体"/>
          <w:color w:val="auto"/>
          <w:sz w:val="24"/>
          <w:highlight w:val="none"/>
        </w:rPr>
      </w:pPr>
      <w:r>
        <w:rPr>
          <w:rFonts w:hint="eastAsia" w:ascii="宋体" w:hAnsi="宋体"/>
          <w:color w:val="auto"/>
          <w:sz w:val="24"/>
          <w:highlight w:val="none"/>
        </w:rPr>
        <w:t>10.1 合同项下技术资料(除合同特殊条款规定外)将以下列方式交付：</w:t>
      </w:r>
    </w:p>
    <w:p w14:paraId="5D40641A">
      <w:pPr>
        <w:spacing w:before="120" w:line="360" w:lineRule="auto"/>
        <w:rPr>
          <w:rFonts w:ascii="宋体" w:hAnsi="宋体"/>
          <w:color w:val="auto"/>
          <w:sz w:val="24"/>
          <w:highlight w:val="none"/>
        </w:rPr>
      </w:pPr>
      <w:r>
        <w:rPr>
          <w:rFonts w:hint="eastAsia" w:ascii="宋体" w:hAnsi="宋体"/>
          <w:color w:val="auto"/>
          <w:sz w:val="24"/>
          <w:highlight w:val="none"/>
        </w:rPr>
        <w:t>合同生效后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0 </w:t>
      </w:r>
      <w:r>
        <w:rPr>
          <w:rFonts w:hint="eastAsia" w:ascii="宋体" w:hAnsi="宋体"/>
          <w:color w:val="auto"/>
          <w:sz w:val="24"/>
          <w:highlight w:val="none"/>
        </w:rPr>
        <w:t>天之内，卖方应将货物的中文技术资料一套，如目录索引、图纸、操作手册、使用指南、维修指南和／或服务手册和示意图寄给买方。</w:t>
      </w:r>
    </w:p>
    <w:p w14:paraId="72EEE75A">
      <w:pPr>
        <w:spacing w:before="120" w:line="360" w:lineRule="auto"/>
        <w:rPr>
          <w:rFonts w:ascii="宋体" w:hAnsi="宋体"/>
          <w:color w:val="auto"/>
          <w:sz w:val="24"/>
          <w:highlight w:val="none"/>
        </w:rPr>
      </w:pPr>
      <w:r>
        <w:rPr>
          <w:rFonts w:hint="eastAsia" w:ascii="宋体" w:hAnsi="宋体"/>
          <w:color w:val="auto"/>
          <w:sz w:val="24"/>
          <w:highlight w:val="none"/>
        </w:rPr>
        <w:t>10.2 另外一套完整的上述资料应包装好随同每批货物一起发运。</w:t>
      </w:r>
    </w:p>
    <w:p w14:paraId="1E2D4FD8">
      <w:pPr>
        <w:spacing w:before="120" w:line="360" w:lineRule="auto"/>
        <w:rPr>
          <w:rFonts w:ascii="宋体" w:hAnsi="宋体"/>
          <w:color w:val="auto"/>
          <w:sz w:val="24"/>
          <w:highlight w:val="none"/>
        </w:rPr>
      </w:pPr>
      <w:r>
        <w:rPr>
          <w:rFonts w:hint="eastAsia" w:ascii="宋体" w:hAnsi="宋体"/>
          <w:color w:val="auto"/>
          <w:sz w:val="24"/>
          <w:highlight w:val="none"/>
        </w:rPr>
        <w:t>10.3 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14:paraId="34052C2C">
      <w:pPr>
        <w:pStyle w:val="5"/>
        <w:spacing w:line="360" w:lineRule="auto"/>
        <w:rPr>
          <w:rFonts w:hAnsi="宋体"/>
          <w:color w:val="auto"/>
          <w:szCs w:val="24"/>
          <w:highlight w:val="none"/>
        </w:rPr>
      </w:pPr>
      <w:bookmarkStart w:id="903" w:name="_Ref467377798"/>
      <w:bookmarkStart w:id="904" w:name="_Toc413930827"/>
      <w:bookmarkStart w:id="905" w:name="_Toc310195742"/>
      <w:bookmarkStart w:id="906" w:name="_Toc329875492"/>
      <w:bookmarkStart w:id="907" w:name="_Ref467377962"/>
      <w:bookmarkStart w:id="908" w:name="_Ref467379937"/>
      <w:bookmarkStart w:id="909" w:name="_Toc487900359"/>
      <w:bookmarkStart w:id="910" w:name="_Toc310521918"/>
      <w:bookmarkStart w:id="911" w:name="_Ref467379946"/>
      <w:r>
        <w:rPr>
          <w:rFonts w:hint="eastAsia" w:hAnsi="宋体"/>
          <w:color w:val="auto"/>
          <w:szCs w:val="24"/>
          <w:highlight w:val="none"/>
        </w:rPr>
        <w:t>11. 质量保证</w:t>
      </w:r>
      <w:bookmarkEnd w:id="903"/>
      <w:bookmarkEnd w:id="904"/>
      <w:bookmarkEnd w:id="905"/>
      <w:bookmarkEnd w:id="906"/>
      <w:bookmarkEnd w:id="907"/>
      <w:bookmarkEnd w:id="908"/>
      <w:bookmarkEnd w:id="909"/>
      <w:bookmarkEnd w:id="910"/>
      <w:bookmarkEnd w:id="911"/>
    </w:p>
    <w:p w14:paraId="5C6BBED7">
      <w:pPr>
        <w:spacing w:line="360" w:lineRule="auto"/>
        <w:rPr>
          <w:rFonts w:ascii="宋体" w:hAnsi="宋体"/>
          <w:color w:val="auto"/>
          <w:sz w:val="24"/>
          <w:highlight w:val="none"/>
        </w:rPr>
      </w:pPr>
      <w:r>
        <w:rPr>
          <w:rFonts w:hint="eastAsia" w:ascii="宋体" w:hAnsi="宋体"/>
          <w:color w:val="auto"/>
          <w:sz w:val="24"/>
          <w:highlight w:val="none"/>
        </w:rPr>
        <w:t>11.1 卖方应保证货物是全新、未使用过的，并完全符合强制性的国家技术质量规范和合同规定的质量、规格、性能和技术规范等的要求。</w:t>
      </w:r>
    </w:p>
    <w:p w14:paraId="78A050D3">
      <w:pPr>
        <w:spacing w:line="360" w:lineRule="auto"/>
        <w:rPr>
          <w:rFonts w:ascii="宋体" w:hAnsi="宋体"/>
          <w:color w:val="auto"/>
          <w:sz w:val="24"/>
          <w:highlight w:val="none"/>
        </w:rPr>
      </w:pPr>
      <w:r>
        <w:rPr>
          <w:rFonts w:hint="eastAsia" w:ascii="宋体" w:hAnsi="宋体"/>
          <w:color w:val="auto"/>
          <w:sz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5611F472">
      <w:pPr>
        <w:spacing w:before="120" w:line="360" w:lineRule="auto"/>
        <w:rPr>
          <w:rFonts w:ascii="宋体" w:hAnsi="宋体"/>
          <w:color w:val="auto"/>
          <w:sz w:val="24"/>
          <w:highlight w:val="none"/>
        </w:rPr>
      </w:pPr>
      <w:r>
        <w:rPr>
          <w:rFonts w:hint="eastAsia" w:ascii="宋体" w:hAnsi="宋体"/>
          <w:color w:val="auto"/>
          <w:sz w:val="24"/>
          <w:highlight w:val="none"/>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天内应免费维修或更换有缺陷的货物或部件。</w:t>
      </w:r>
    </w:p>
    <w:p w14:paraId="32F008D5">
      <w:pPr>
        <w:spacing w:before="120" w:line="360" w:lineRule="auto"/>
        <w:rPr>
          <w:rFonts w:ascii="宋体" w:hAnsi="宋体"/>
          <w:color w:val="auto"/>
          <w:sz w:val="24"/>
          <w:highlight w:val="none"/>
        </w:rPr>
      </w:pPr>
      <w:r>
        <w:rPr>
          <w:rFonts w:hint="eastAsia" w:ascii="宋体" w:hAnsi="宋体"/>
          <w:color w:val="auto"/>
          <w:sz w:val="24"/>
          <w:highlight w:val="none"/>
        </w:rPr>
        <w:t>11.4 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14:paraId="515A1072">
      <w:pPr>
        <w:spacing w:before="120" w:line="360" w:lineRule="auto"/>
        <w:rPr>
          <w:rFonts w:ascii="宋体" w:hAnsi="宋体"/>
          <w:b/>
          <w:color w:val="auto"/>
          <w:sz w:val="24"/>
          <w:highlight w:val="none"/>
        </w:rPr>
      </w:pPr>
      <w:r>
        <w:rPr>
          <w:rFonts w:hint="eastAsia" w:ascii="宋体" w:hAnsi="宋体"/>
          <w:color w:val="auto"/>
          <w:sz w:val="24"/>
          <w:highlight w:val="none"/>
        </w:rPr>
        <w:t>11.5 合同项下货物的质量保证期为自货物通过最终验收起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w:t>
      </w:r>
      <w:r>
        <w:rPr>
          <w:rFonts w:hint="eastAsia" w:ascii="宋体" w:hAnsi="宋体"/>
          <w:b/>
          <w:color w:val="auto"/>
          <w:sz w:val="24"/>
          <w:highlight w:val="none"/>
        </w:rPr>
        <w:t>详见合同专用条款.</w:t>
      </w:r>
    </w:p>
    <w:p w14:paraId="3DF49237">
      <w:pPr>
        <w:pStyle w:val="5"/>
        <w:spacing w:line="360" w:lineRule="auto"/>
        <w:rPr>
          <w:rFonts w:hAnsi="宋体"/>
          <w:color w:val="auto"/>
          <w:szCs w:val="24"/>
          <w:highlight w:val="none"/>
        </w:rPr>
      </w:pPr>
      <w:bookmarkStart w:id="912" w:name="_Toc487900360"/>
      <w:bookmarkStart w:id="913" w:name="_Ref467378018"/>
      <w:bookmarkStart w:id="914" w:name="_Toc413930828"/>
      <w:bookmarkStart w:id="915" w:name="_Toc329875493"/>
      <w:bookmarkStart w:id="916" w:name="_Toc310521919"/>
      <w:bookmarkStart w:id="917" w:name="_Toc310195743"/>
      <w:r>
        <w:rPr>
          <w:rFonts w:hint="eastAsia" w:hAnsi="宋体"/>
          <w:color w:val="auto"/>
          <w:szCs w:val="24"/>
          <w:highlight w:val="none"/>
        </w:rPr>
        <w:t>12. 检验</w:t>
      </w:r>
      <w:bookmarkEnd w:id="912"/>
      <w:bookmarkEnd w:id="913"/>
      <w:r>
        <w:rPr>
          <w:rFonts w:hint="eastAsia" w:hAnsi="宋体"/>
          <w:color w:val="auto"/>
          <w:szCs w:val="24"/>
          <w:highlight w:val="none"/>
        </w:rPr>
        <w:t>和验收</w:t>
      </w:r>
      <w:bookmarkEnd w:id="914"/>
      <w:bookmarkEnd w:id="915"/>
      <w:bookmarkEnd w:id="916"/>
      <w:bookmarkEnd w:id="917"/>
    </w:p>
    <w:p w14:paraId="79284963">
      <w:pPr>
        <w:spacing w:before="120" w:line="360" w:lineRule="auto"/>
        <w:rPr>
          <w:rFonts w:ascii="宋体" w:hAnsi="宋体"/>
          <w:color w:val="auto"/>
          <w:sz w:val="24"/>
          <w:highlight w:val="none"/>
        </w:rPr>
      </w:pPr>
      <w:r>
        <w:rPr>
          <w:rFonts w:hint="eastAsia" w:ascii="宋体" w:hAnsi="宋体"/>
          <w:color w:val="auto"/>
          <w:sz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12D5E85">
      <w:pPr>
        <w:spacing w:before="120" w:line="360" w:lineRule="auto"/>
        <w:rPr>
          <w:rFonts w:ascii="宋体" w:hAnsi="宋体"/>
          <w:color w:val="auto"/>
          <w:sz w:val="24"/>
          <w:highlight w:val="none"/>
        </w:rPr>
      </w:pPr>
      <w:r>
        <w:rPr>
          <w:rFonts w:hint="eastAsia" w:ascii="宋体" w:hAnsi="宋体"/>
          <w:color w:val="auto"/>
          <w:sz w:val="24"/>
          <w:highlight w:val="none"/>
        </w:rPr>
        <w:t>12.2 货物运抵现场后，买方应在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  </w:t>
      </w:r>
      <w:r>
        <w:rPr>
          <w:rFonts w:hint="eastAsia" w:ascii="宋体" w:hAnsi="宋体"/>
          <w:color w:val="auto"/>
          <w:sz w:val="24"/>
          <w:highlight w:val="none"/>
        </w:rPr>
        <w:t>日内组织验收，并制作验收备忘录，签署验收意见并报政府采购监督管理部门备案。</w:t>
      </w:r>
    </w:p>
    <w:p w14:paraId="0802084A">
      <w:pPr>
        <w:spacing w:line="360" w:lineRule="auto"/>
        <w:ind w:left="1"/>
        <w:rPr>
          <w:rFonts w:ascii="宋体" w:hAnsi="宋体"/>
          <w:color w:val="auto"/>
          <w:sz w:val="24"/>
          <w:highlight w:val="none"/>
        </w:rPr>
      </w:pPr>
      <w:r>
        <w:rPr>
          <w:rFonts w:hint="eastAsia" w:ascii="宋体" w:hAnsi="宋体"/>
          <w:color w:val="auto"/>
          <w:sz w:val="24"/>
          <w:highlight w:val="none"/>
        </w:rPr>
        <w:t>12.3 如果任何被检验或测试的货物不能满足规格的要求，买方可以拒绝接受该货物，卖方应更换被拒绝的货物，或者免费进行必要的修改以满足规格的要求。</w:t>
      </w:r>
    </w:p>
    <w:p w14:paraId="228360AD">
      <w:pPr>
        <w:spacing w:before="120" w:line="360" w:lineRule="auto"/>
        <w:rPr>
          <w:rFonts w:ascii="宋体" w:hAnsi="宋体"/>
          <w:color w:val="auto"/>
          <w:sz w:val="24"/>
          <w:highlight w:val="none"/>
        </w:rPr>
      </w:pPr>
      <w:r>
        <w:rPr>
          <w:rFonts w:hint="eastAsia" w:ascii="宋体" w:hAnsi="宋体"/>
          <w:color w:val="auto"/>
          <w:sz w:val="24"/>
          <w:highlight w:val="none"/>
        </w:rPr>
        <w:t>12.4 买方有在货物制造过程中派人员监造的权利, 卖方有义务为买方监造人员行使该权利提供方便。</w:t>
      </w:r>
    </w:p>
    <w:p w14:paraId="44E85A1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12.5 制造厂对所供货物进行机械运转试验和性能试验时，必须提前通知买方。</w:t>
      </w:r>
    </w:p>
    <w:p w14:paraId="5BDFF4C6">
      <w:pPr>
        <w:pStyle w:val="5"/>
        <w:spacing w:line="360" w:lineRule="auto"/>
        <w:rPr>
          <w:rFonts w:hAnsi="宋体"/>
          <w:color w:val="auto"/>
          <w:szCs w:val="24"/>
          <w:highlight w:val="none"/>
        </w:rPr>
      </w:pPr>
      <w:bookmarkStart w:id="918" w:name="_Toc413930829"/>
      <w:bookmarkStart w:id="919" w:name="_Toc329875494"/>
      <w:bookmarkStart w:id="920" w:name="_Toc310195744"/>
      <w:bookmarkStart w:id="921" w:name="_Toc310521920"/>
      <w:bookmarkStart w:id="922" w:name="_Toc487900361"/>
      <w:r>
        <w:rPr>
          <w:rFonts w:hint="eastAsia" w:hAnsi="宋体"/>
          <w:color w:val="auto"/>
          <w:szCs w:val="24"/>
          <w:highlight w:val="none"/>
        </w:rPr>
        <w:t>13. 索赔</w:t>
      </w:r>
      <w:bookmarkEnd w:id="918"/>
      <w:bookmarkEnd w:id="919"/>
      <w:bookmarkEnd w:id="920"/>
      <w:bookmarkEnd w:id="921"/>
      <w:bookmarkEnd w:id="922"/>
    </w:p>
    <w:p w14:paraId="1F5B5B41">
      <w:pPr>
        <w:spacing w:before="120" w:line="360" w:lineRule="auto"/>
        <w:rPr>
          <w:rFonts w:ascii="宋体" w:hAnsi="宋体"/>
          <w:color w:val="auto"/>
          <w:sz w:val="24"/>
          <w:highlight w:val="none"/>
        </w:rPr>
      </w:pPr>
      <w:r>
        <w:rPr>
          <w:rFonts w:hint="eastAsia" w:ascii="宋体" w:hAnsi="宋体"/>
          <w:color w:val="auto"/>
          <w:sz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04DA443E">
      <w:pPr>
        <w:spacing w:before="120" w:line="360" w:lineRule="auto"/>
        <w:rPr>
          <w:rFonts w:ascii="宋体" w:hAnsi="宋体"/>
          <w:color w:val="auto"/>
          <w:sz w:val="24"/>
          <w:highlight w:val="none"/>
        </w:rPr>
      </w:pPr>
      <w:bookmarkStart w:id="923" w:name="_Ref467378076"/>
      <w:r>
        <w:rPr>
          <w:rFonts w:hint="eastAsia" w:ascii="宋体" w:hAnsi="宋体"/>
          <w:color w:val="auto"/>
          <w:sz w:val="24"/>
          <w:highlight w:val="none"/>
        </w:rPr>
        <w:t>13.2 在根据合同第11条和第12条规定的检验期和质量保证期内，如果卖方对买方提出的索赔负有责任，卖方应按照买方同意的下列一种或多种方式解决索赔事宜：</w:t>
      </w:r>
      <w:bookmarkEnd w:id="923"/>
    </w:p>
    <w:p w14:paraId="163E8EB5">
      <w:pPr>
        <w:spacing w:before="120" w:line="360" w:lineRule="auto"/>
        <w:rPr>
          <w:rFonts w:ascii="宋体" w:hAnsi="宋体"/>
          <w:color w:val="auto"/>
          <w:sz w:val="24"/>
          <w:highlight w:val="none"/>
        </w:rPr>
      </w:pPr>
      <w:r>
        <w:rPr>
          <w:rFonts w:hint="eastAsia" w:ascii="宋体" w:hAnsi="宋体"/>
          <w:color w:val="auto"/>
          <w:sz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C8C839">
      <w:pPr>
        <w:spacing w:before="120" w:line="360" w:lineRule="auto"/>
        <w:rPr>
          <w:rFonts w:ascii="宋体" w:hAnsi="宋体"/>
          <w:color w:val="auto"/>
          <w:sz w:val="24"/>
          <w:highlight w:val="none"/>
        </w:rPr>
      </w:pPr>
      <w:r>
        <w:rPr>
          <w:rFonts w:hint="eastAsia" w:ascii="宋体" w:hAnsi="宋体"/>
          <w:color w:val="auto"/>
          <w:sz w:val="24"/>
          <w:highlight w:val="none"/>
        </w:rPr>
        <w:t>13.2.2 根据货物低劣程度、损坏程度以及买方所遭受损失的数额，经买卖双方商定降低货物的价格，或由有权的部门评估，以降低后的价格或评估价格为准。</w:t>
      </w:r>
    </w:p>
    <w:p w14:paraId="34D55D41">
      <w:pPr>
        <w:spacing w:before="120" w:line="360" w:lineRule="auto"/>
        <w:rPr>
          <w:rFonts w:ascii="宋体" w:hAnsi="宋体"/>
          <w:color w:val="auto"/>
          <w:sz w:val="24"/>
          <w:highlight w:val="none"/>
        </w:rPr>
      </w:pPr>
      <w:r>
        <w:rPr>
          <w:rFonts w:hint="eastAsia" w:ascii="宋体" w:hAnsi="宋体"/>
          <w:color w:val="auto"/>
          <w:sz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3866071">
      <w:pPr>
        <w:spacing w:before="120" w:line="360" w:lineRule="auto"/>
        <w:rPr>
          <w:rFonts w:ascii="宋体" w:hAnsi="宋体"/>
          <w:color w:val="auto"/>
          <w:sz w:val="24"/>
          <w:highlight w:val="none"/>
        </w:rPr>
      </w:pPr>
      <w:r>
        <w:rPr>
          <w:rFonts w:hint="eastAsia" w:ascii="宋体" w:hAnsi="宋体"/>
          <w:color w:val="auto"/>
          <w:sz w:val="24"/>
          <w:highlight w:val="none"/>
        </w:rPr>
        <w:t>13.3 如果在买方发出索赔通知后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天内，卖方未作答复，上述索赔应视为已被卖方接受。如卖方未能在买方提出索赔通知后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31EEA8CF">
      <w:pPr>
        <w:pStyle w:val="5"/>
        <w:spacing w:line="360" w:lineRule="auto"/>
        <w:rPr>
          <w:rFonts w:hAnsi="宋体"/>
          <w:color w:val="auto"/>
          <w:szCs w:val="24"/>
          <w:highlight w:val="none"/>
        </w:rPr>
      </w:pPr>
      <w:bookmarkStart w:id="924" w:name="_Toc310195745"/>
      <w:bookmarkStart w:id="925" w:name="_Toc413930830"/>
      <w:bookmarkStart w:id="926" w:name="_Toc487900362"/>
      <w:bookmarkStart w:id="927" w:name="_Toc329875495"/>
      <w:bookmarkStart w:id="928" w:name="_Toc310521921"/>
      <w:r>
        <w:rPr>
          <w:rFonts w:hint="eastAsia" w:hAnsi="宋体"/>
          <w:color w:val="auto"/>
          <w:szCs w:val="24"/>
          <w:highlight w:val="none"/>
        </w:rPr>
        <w:t>14. 迟延交货</w:t>
      </w:r>
      <w:bookmarkEnd w:id="924"/>
      <w:bookmarkEnd w:id="925"/>
      <w:bookmarkEnd w:id="926"/>
      <w:bookmarkEnd w:id="927"/>
      <w:bookmarkEnd w:id="928"/>
    </w:p>
    <w:p w14:paraId="348AB15C">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14.1 卖方应按照“货物需求一览表及技术规格”中买方规定的时间表交货和提供服务。</w:t>
      </w:r>
    </w:p>
    <w:p w14:paraId="77FB03E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14.2 如果卖方无正当理由迟延交货，买方有权提出违约损失赔偿或解除合同。</w:t>
      </w:r>
    </w:p>
    <w:p w14:paraId="13F51934">
      <w:pPr>
        <w:spacing w:before="120" w:line="360" w:lineRule="auto"/>
        <w:rPr>
          <w:rFonts w:ascii="宋体" w:hAnsi="宋体"/>
          <w:color w:val="auto"/>
          <w:sz w:val="24"/>
          <w:highlight w:val="none"/>
        </w:rPr>
      </w:pPr>
      <w:r>
        <w:rPr>
          <w:rFonts w:hint="eastAsia" w:ascii="宋体" w:hAnsi="宋体"/>
          <w:color w:val="auto"/>
          <w:sz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6BF216D1">
      <w:pPr>
        <w:pStyle w:val="5"/>
        <w:spacing w:line="360" w:lineRule="auto"/>
        <w:rPr>
          <w:rFonts w:hAnsi="宋体"/>
          <w:color w:val="auto"/>
          <w:szCs w:val="24"/>
          <w:highlight w:val="none"/>
        </w:rPr>
      </w:pPr>
      <w:bookmarkStart w:id="929" w:name="_Toc310521922"/>
      <w:bookmarkStart w:id="930" w:name="_Toc413930831"/>
      <w:bookmarkStart w:id="931" w:name="_Toc329875496"/>
      <w:bookmarkStart w:id="932" w:name="_Toc310195746"/>
      <w:bookmarkStart w:id="933" w:name="_Toc487900363"/>
      <w:r>
        <w:rPr>
          <w:rFonts w:hint="eastAsia" w:hAnsi="宋体"/>
          <w:color w:val="auto"/>
          <w:szCs w:val="24"/>
          <w:highlight w:val="none"/>
        </w:rPr>
        <w:t>15. 违约赔偿</w:t>
      </w:r>
      <w:bookmarkEnd w:id="929"/>
      <w:bookmarkEnd w:id="930"/>
      <w:bookmarkEnd w:id="931"/>
      <w:bookmarkEnd w:id="932"/>
      <w:bookmarkEnd w:id="933"/>
    </w:p>
    <w:p w14:paraId="662880F4">
      <w:pPr>
        <w:spacing w:before="120" w:line="360" w:lineRule="auto"/>
        <w:rPr>
          <w:rFonts w:ascii="宋体" w:hAnsi="宋体"/>
          <w:color w:val="auto"/>
          <w:sz w:val="24"/>
          <w:highlight w:val="none"/>
        </w:rPr>
      </w:pPr>
      <w:r>
        <w:rPr>
          <w:rFonts w:hint="eastAsia" w:ascii="宋体" w:hAnsi="宋体"/>
          <w:color w:val="auto"/>
          <w:sz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color w:val="auto"/>
          <w:sz w:val="24"/>
          <w:highlight w:val="none"/>
          <w:lang w:val="en-US" w:eastAsia="zh-CN"/>
        </w:rPr>
        <w:t>10</w:t>
      </w:r>
      <w:r>
        <w:rPr>
          <w:rFonts w:hint="eastAsia" w:ascii="宋体" w:hAnsi="宋体"/>
          <w:color w:val="auto"/>
          <w:sz w:val="24"/>
          <w:highlight w:val="none"/>
        </w:rPr>
        <w:t>%。一周按7天计算，不足7天按一周计算。如果达到最高限额，买方有权解除合同。</w:t>
      </w:r>
    </w:p>
    <w:p w14:paraId="2D216242">
      <w:pPr>
        <w:pStyle w:val="5"/>
        <w:spacing w:line="360" w:lineRule="auto"/>
        <w:rPr>
          <w:rFonts w:hAnsi="宋体"/>
          <w:color w:val="auto"/>
          <w:szCs w:val="24"/>
          <w:highlight w:val="none"/>
        </w:rPr>
      </w:pPr>
      <w:bookmarkStart w:id="934" w:name="_Toc310195747"/>
      <w:bookmarkStart w:id="935" w:name="_Toc487900364"/>
      <w:bookmarkStart w:id="936" w:name="_Ref467378121"/>
      <w:bookmarkStart w:id="937" w:name="_Toc329875497"/>
      <w:bookmarkStart w:id="938" w:name="_Toc310521923"/>
      <w:bookmarkStart w:id="939" w:name="_Toc413930832"/>
      <w:r>
        <w:rPr>
          <w:rFonts w:hint="eastAsia" w:hAnsi="宋体"/>
          <w:color w:val="auto"/>
          <w:szCs w:val="24"/>
          <w:highlight w:val="none"/>
        </w:rPr>
        <w:t>16. 不可抗力</w:t>
      </w:r>
      <w:bookmarkEnd w:id="934"/>
      <w:bookmarkEnd w:id="935"/>
      <w:bookmarkEnd w:id="936"/>
      <w:bookmarkEnd w:id="937"/>
      <w:bookmarkEnd w:id="938"/>
      <w:bookmarkEnd w:id="939"/>
    </w:p>
    <w:p w14:paraId="1A569A0E">
      <w:pPr>
        <w:spacing w:before="120" w:line="360" w:lineRule="auto"/>
        <w:rPr>
          <w:rFonts w:ascii="宋体" w:hAnsi="宋体"/>
          <w:color w:val="auto"/>
          <w:sz w:val="24"/>
          <w:highlight w:val="none"/>
        </w:rPr>
      </w:pPr>
      <w:r>
        <w:rPr>
          <w:rFonts w:hint="eastAsia" w:ascii="宋体" w:hAnsi="宋体"/>
          <w:color w:val="auto"/>
          <w:sz w:val="24"/>
          <w:highlight w:val="none"/>
        </w:rPr>
        <w:t>16.1 如果双方中任何一方遭遇法律规定的不可抗力，致使合同履行受阻时，履行合同的期限应予延长，延长的期限应相当于不可抗力所影响的时间。</w:t>
      </w:r>
    </w:p>
    <w:p w14:paraId="7986C1B9">
      <w:pPr>
        <w:spacing w:before="120" w:line="360" w:lineRule="auto"/>
        <w:rPr>
          <w:rFonts w:ascii="宋体" w:hAnsi="宋体"/>
          <w:color w:val="auto"/>
          <w:sz w:val="24"/>
          <w:highlight w:val="none"/>
        </w:rPr>
      </w:pPr>
      <w:r>
        <w:rPr>
          <w:rFonts w:hint="eastAsia" w:ascii="宋体" w:hAnsi="宋体"/>
          <w:color w:val="auto"/>
          <w:sz w:val="24"/>
          <w:highlight w:val="none"/>
        </w:rPr>
        <w:t>16.2 受事故影响的一方应在不可抗力的事故发生后尽快书面形式通知另一方，并在事故发生后</w:t>
      </w:r>
      <w:r>
        <w:rPr>
          <w:rFonts w:hint="eastAsia" w:ascii="宋体" w:hAnsi="宋体"/>
          <w:color w:val="auto"/>
          <w:sz w:val="24"/>
          <w:highlight w:val="none"/>
          <w:u w:val="single"/>
        </w:rPr>
        <w:t xml:space="preserve">  14  </w:t>
      </w:r>
      <w:r>
        <w:rPr>
          <w:rFonts w:hint="eastAsia" w:ascii="宋体" w:hAnsi="宋体"/>
          <w:color w:val="auto"/>
          <w:sz w:val="24"/>
          <w:highlight w:val="none"/>
        </w:rPr>
        <w:t>天内，将有关部门出具的证明文件送达另一方。</w:t>
      </w:r>
    </w:p>
    <w:p w14:paraId="58B37049">
      <w:pPr>
        <w:spacing w:before="120" w:line="360" w:lineRule="auto"/>
        <w:rPr>
          <w:rFonts w:ascii="宋体" w:hAnsi="宋体"/>
          <w:color w:val="auto"/>
          <w:sz w:val="24"/>
          <w:highlight w:val="none"/>
        </w:rPr>
      </w:pPr>
      <w:r>
        <w:rPr>
          <w:rFonts w:hint="eastAsia" w:ascii="宋体" w:hAnsi="宋体"/>
          <w:color w:val="auto"/>
          <w:sz w:val="24"/>
          <w:highlight w:val="none"/>
        </w:rPr>
        <w:t>16.3不可抗力使合同的某些内容有变更必要的， 双方应通过协商在</w:t>
      </w:r>
      <w:r>
        <w:rPr>
          <w:rFonts w:hint="eastAsia" w:ascii="宋体" w:hAnsi="宋体"/>
          <w:color w:val="auto"/>
          <w:sz w:val="24"/>
          <w:highlight w:val="none"/>
          <w:u w:val="single"/>
        </w:rPr>
        <w:t xml:space="preserve"> 28 </w:t>
      </w:r>
      <w:r>
        <w:rPr>
          <w:rFonts w:hint="eastAsia" w:ascii="宋体" w:hAnsi="宋体"/>
          <w:color w:val="auto"/>
          <w:sz w:val="24"/>
          <w:highlight w:val="none"/>
        </w:rPr>
        <w:t>日内达成进一步履行合同的协议，因不可抗力致使合同不能履行的，合同终止。</w:t>
      </w:r>
    </w:p>
    <w:p w14:paraId="6D45282E">
      <w:pPr>
        <w:pStyle w:val="5"/>
        <w:spacing w:line="360" w:lineRule="auto"/>
        <w:rPr>
          <w:rFonts w:hAnsi="宋体"/>
          <w:color w:val="auto"/>
          <w:szCs w:val="24"/>
          <w:highlight w:val="none"/>
        </w:rPr>
      </w:pPr>
      <w:bookmarkStart w:id="940" w:name="_Toc487900365"/>
      <w:bookmarkStart w:id="941" w:name="_Toc413930833"/>
      <w:bookmarkStart w:id="942" w:name="_Toc329875498"/>
      <w:bookmarkStart w:id="943" w:name="_Toc310521924"/>
      <w:bookmarkStart w:id="944" w:name="_Toc310195748"/>
      <w:r>
        <w:rPr>
          <w:rFonts w:hint="eastAsia" w:hAnsi="宋体"/>
          <w:color w:val="auto"/>
          <w:szCs w:val="24"/>
          <w:highlight w:val="none"/>
        </w:rPr>
        <w:t>17. 税费</w:t>
      </w:r>
      <w:bookmarkEnd w:id="940"/>
      <w:bookmarkEnd w:id="941"/>
      <w:bookmarkEnd w:id="942"/>
      <w:bookmarkEnd w:id="943"/>
      <w:bookmarkEnd w:id="944"/>
    </w:p>
    <w:p w14:paraId="116F4549">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17.1 与本合同有关的一切税费均适用中华人民共和国法律的相关规定。</w:t>
      </w:r>
    </w:p>
    <w:p w14:paraId="3FB863DD">
      <w:pPr>
        <w:pStyle w:val="5"/>
        <w:spacing w:line="360" w:lineRule="auto"/>
        <w:rPr>
          <w:rFonts w:hAnsi="宋体"/>
          <w:color w:val="auto"/>
          <w:szCs w:val="24"/>
          <w:highlight w:val="none"/>
        </w:rPr>
      </w:pPr>
      <w:bookmarkStart w:id="945" w:name="_Toc413930834"/>
      <w:bookmarkStart w:id="946" w:name="_Toc310521925"/>
      <w:bookmarkStart w:id="947" w:name="_Toc329875499"/>
      <w:bookmarkStart w:id="948" w:name="_Toc310195749"/>
      <w:bookmarkStart w:id="949" w:name="_Toc487900366"/>
      <w:r>
        <w:rPr>
          <w:rFonts w:hint="eastAsia" w:hAnsi="宋体"/>
          <w:color w:val="auto"/>
          <w:szCs w:val="24"/>
          <w:highlight w:val="none"/>
        </w:rPr>
        <w:t>18. 仲裁</w:t>
      </w:r>
      <w:bookmarkEnd w:id="945"/>
      <w:bookmarkEnd w:id="946"/>
      <w:bookmarkEnd w:id="947"/>
      <w:bookmarkEnd w:id="948"/>
      <w:bookmarkEnd w:id="949"/>
    </w:p>
    <w:p w14:paraId="5798CE3A">
      <w:pPr>
        <w:spacing w:before="120" w:line="360" w:lineRule="auto"/>
        <w:rPr>
          <w:rFonts w:ascii="宋体" w:hAnsi="宋体"/>
          <w:color w:val="auto"/>
          <w:sz w:val="24"/>
          <w:highlight w:val="none"/>
        </w:rPr>
      </w:pPr>
      <w:r>
        <w:rPr>
          <w:rFonts w:hint="eastAsia" w:ascii="宋体" w:hAnsi="宋体"/>
          <w:color w:val="auto"/>
          <w:sz w:val="24"/>
          <w:highlight w:val="none"/>
        </w:rPr>
        <w:t>18.1 买卖双方应通过友好协商，解决在执行本合同中所发生的或与本合同有关的一切争端。如果协商不成的，任何一方均可申请北京仲裁委员会进行仲裁。</w:t>
      </w:r>
    </w:p>
    <w:p w14:paraId="13EDCCF7">
      <w:pPr>
        <w:spacing w:before="120" w:line="360" w:lineRule="auto"/>
        <w:rPr>
          <w:rFonts w:ascii="宋体" w:hAnsi="宋体"/>
          <w:color w:val="auto"/>
          <w:sz w:val="24"/>
          <w:highlight w:val="none"/>
        </w:rPr>
      </w:pPr>
      <w:r>
        <w:rPr>
          <w:rFonts w:hint="eastAsia" w:ascii="宋体" w:hAnsi="宋体"/>
          <w:color w:val="auto"/>
          <w:sz w:val="24"/>
          <w:highlight w:val="none"/>
        </w:rPr>
        <w:t>18.2 仲裁裁决应为最终裁决，对双方均具有约束力，当事人应当履行。当事人一方在规定时间内不履行仲裁机构的仲裁裁决的，另一方可以申请人民法院强制执行。</w:t>
      </w:r>
    </w:p>
    <w:p w14:paraId="1FF9CAA0">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18.3 仲裁费除仲裁机构另有裁决外，应由败诉方负担。</w:t>
      </w:r>
    </w:p>
    <w:p w14:paraId="63885BAA">
      <w:pPr>
        <w:spacing w:before="120" w:line="360" w:lineRule="auto"/>
        <w:rPr>
          <w:rFonts w:ascii="宋体" w:hAnsi="宋体"/>
          <w:color w:val="auto"/>
          <w:sz w:val="24"/>
          <w:highlight w:val="none"/>
        </w:rPr>
      </w:pPr>
      <w:r>
        <w:rPr>
          <w:rFonts w:hint="eastAsia" w:ascii="宋体" w:hAnsi="宋体"/>
          <w:color w:val="auto"/>
          <w:sz w:val="24"/>
          <w:highlight w:val="none"/>
        </w:rPr>
        <w:t>18.4 在仲裁期间，除正在进行仲裁的合同条款外，合同的其它部分应继续执行。</w:t>
      </w:r>
    </w:p>
    <w:p w14:paraId="0A93BB04">
      <w:pPr>
        <w:pStyle w:val="5"/>
        <w:spacing w:line="360" w:lineRule="auto"/>
        <w:rPr>
          <w:rFonts w:hAnsi="宋体"/>
          <w:color w:val="auto"/>
          <w:szCs w:val="24"/>
          <w:highlight w:val="none"/>
        </w:rPr>
      </w:pPr>
      <w:bookmarkStart w:id="950" w:name="_Toc329875500"/>
      <w:bookmarkStart w:id="951" w:name="_Toc310195750"/>
      <w:bookmarkStart w:id="952" w:name="_Toc413930835"/>
      <w:bookmarkStart w:id="953" w:name="_Toc310521926"/>
      <w:bookmarkStart w:id="954" w:name="_Toc487900367"/>
      <w:r>
        <w:rPr>
          <w:rFonts w:hint="eastAsia" w:hAnsi="宋体"/>
          <w:color w:val="auto"/>
          <w:szCs w:val="24"/>
          <w:highlight w:val="none"/>
        </w:rPr>
        <w:t>19. 违约解除合同</w:t>
      </w:r>
      <w:bookmarkEnd w:id="950"/>
      <w:bookmarkEnd w:id="951"/>
      <w:bookmarkEnd w:id="952"/>
      <w:bookmarkEnd w:id="953"/>
      <w:bookmarkEnd w:id="954"/>
    </w:p>
    <w:p w14:paraId="07A97775">
      <w:pPr>
        <w:spacing w:before="120" w:line="360" w:lineRule="auto"/>
        <w:rPr>
          <w:rFonts w:ascii="宋体" w:hAnsi="宋体"/>
          <w:color w:val="auto"/>
          <w:sz w:val="24"/>
          <w:highlight w:val="none"/>
        </w:rPr>
      </w:pPr>
      <w:bookmarkStart w:id="955" w:name="_Ref467378234"/>
      <w:r>
        <w:rPr>
          <w:rFonts w:hint="eastAsia" w:ascii="宋体" w:hAnsi="宋体"/>
          <w:color w:val="auto"/>
          <w:sz w:val="24"/>
          <w:highlight w:val="none"/>
        </w:rPr>
        <w:t>19.1 在卖方违约的情况下，买方经政府采购监督管理部门同意后，可向卖方发出书面通知，部分或全部终止合同。同时保留向卖方追诉的权利。</w:t>
      </w:r>
      <w:bookmarkEnd w:id="955"/>
    </w:p>
    <w:p w14:paraId="6927F573">
      <w:pPr>
        <w:spacing w:before="120" w:line="360" w:lineRule="auto"/>
        <w:rPr>
          <w:rFonts w:ascii="宋体" w:hAnsi="宋体"/>
          <w:color w:val="auto"/>
          <w:sz w:val="24"/>
          <w:highlight w:val="none"/>
        </w:rPr>
      </w:pPr>
      <w:r>
        <w:rPr>
          <w:rFonts w:hint="eastAsia" w:ascii="宋体" w:hAnsi="宋体"/>
          <w:color w:val="auto"/>
          <w:sz w:val="24"/>
          <w:highlight w:val="none"/>
        </w:rPr>
        <w:t xml:space="preserve">19.1.1 卖方未能在合同规定的限期或买方同意延长的限期内，提供全部或部分货物的； </w:t>
      </w:r>
    </w:p>
    <w:p w14:paraId="7149FAFC">
      <w:pPr>
        <w:spacing w:before="120" w:line="360" w:lineRule="auto"/>
        <w:rPr>
          <w:rFonts w:ascii="宋体" w:hAnsi="宋体"/>
          <w:color w:val="auto"/>
          <w:sz w:val="24"/>
          <w:highlight w:val="none"/>
        </w:rPr>
      </w:pPr>
      <w:r>
        <w:rPr>
          <w:rFonts w:hint="eastAsia" w:ascii="宋体" w:hAnsi="宋体"/>
          <w:color w:val="auto"/>
          <w:sz w:val="24"/>
          <w:highlight w:val="none"/>
        </w:rPr>
        <w:t>19.1.2 卖方未能履行合同规定的其它主要义务的；</w:t>
      </w:r>
    </w:p>
    <w:p w14:paraId="462D05ED">
      <w:pPr>
        <w:spacing w:before="120" w:line="360" w:lineRule="auto"/>
        <w:rPr>
          <w:rFonts w:ascii="宋体" w:hAnsi="宋体"/>
          <w:color w:val="auto"/>
          <w:sz w:val="24"/>
          <w:highlight w:val="none"/>
        </w:rPr>
      </w:pPr>
      <w:r>
        <w:rPr>
          <w:rFonts w:hint="eastAsia" w:ascii="宋体" w:hAnsi="宋体"/>
          <w:color w:val="auto"/>
          <w:sz w:val="24"/>
          <w:highlight w:val="none"/>
        </w:rPr>
        <w:t>19.1.3 买方认为卖方在本合同履行过程中有腐败和欺诈行为的。</w:t>
      </w:r>
    </w:p>
    <w:p w14:paraId="601B885F">
      <w:pPr>
        <w:spacing w:before="120" w:line="360" w:lineRule="auto"/>
        <w:rPr>
          <w:rFonts w:ascii="宋体" w:hAnsi="宋体"/>
          <w:color w:val="auto"/>
          <w:sz w:val="24"/>
          <w:highlight w:val="none"/>
        </w:rPr>
      </w:pPr>
      <w:r>
        <w:rPr>
          <w:rFonts w:hint="eastAsia" w:ascii="宋体" w:hAnsi="宋体"/>
          <w:color w:val="auto"/>
          <w:sz w:val="24"/>
          <w:highlight w:val="none"/>
        </w:rPr>
        <w:t>19.1.3.1“腐败行为”和“欺诈行为”定义如下:</w:t>
      </w:r>
    </w:p>
    <w:p w14:paraId="7E3F4E10">
      <w:pPr>
        <w:spacing w:before="120" w:line="360" w:lineRule="auto"/>
        <w:rPr>
          <w:rFonts w:ascii="宋体" w:hAnsi="宋体"/>
          <w:color w:val="auto"/>
          <w:sz w:val="24"/>
          <w:highlight w:val="none"/>
        </w:rPr>
      </w:pPr>
      <w:r>
        <w:rPr>
          <w:rFonts w:hint="eastAsia" w:ascii="宋体" w:hAnsi="宋体"/>
          <w:color w:val="auto"/>
          <w:sz w:val="24"/>
          <w:highlight w:val="none"/>
        </w:rPr>
        <w:t>19.1.3.1.1“腐败行为”是指提供/给予/接受或索取任何有价值的东西来影响买方在合同签定、履行过程中的行为。</w:t>
      </w:r>
    </w:p>
    <w:p w14:paraId="001595C9">
      <w:pPr>
        <w:spacing w:before="120" w:line="360" w:lineRule="auto"/>
        <w:rPr>
          <w:rFonts w:ascii="宋体" w:hAnsi="宋体"/>
          <w:color w:val="auto"/>
          <w:sz w:val="24"/>
          <w:highlight w:val="none"/>
        </w:rPr>
      </w:pPr>
      <w:r>
        <w:rPr>
          <w:rFonts w:hint="eastAsia" w:ascii="宋体" w:hAnsi="宋体"/>
          <w:color w:val="auto"/>
          <w:sz w:val="24"/>
          <w:highlight w:val="none"/>
        </w:rPr>
        <w:t>19.1.3.1.2“欺诈行为”是指为了影响合同签定、履行过程中，以谎报事实的方法，损害买方的利益的行为。</w:t>
      </w:r>
    </w:p>
    <w:p w14:paraId="535B5A87">
      <w:pPr>
        <w:spacing w:before="120" w:line="360" w:lineRule="auto"/>
        <w:rPr>
          <w:rFonts w:ascii="宋体" w:hAnsi="宋体"/>
          <w:color w:val="auto"/>
          <w:sz w:val="24"/>
          <w:highlight w:val="none"/>
        </w:rPr>
      </w:pPr>
      <w:r>
        <w:rPr>
          <w:rFonts w:hint="eastAsia" w:ascii="宋体" w:hAnsi="宋体"/>
          <w:color w:val="auto"/>
          <w:sz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84117D8">
      <w:pPr>
        <w:pStyle w:val="5"/>
        <w:spacing w:line="360" w:lineRule="auto"/>
        <w:rPr>
          <w:rFonts w:hAnsi="宋体"/>
          <w:color w:val="auto"/>
          <w:szCs w:val="24"/>
          <w:highlight w:val="none"/>
        </w:rPr>
      </w:pPr>
      <w:bookmarkStart w:id="956" w:name="_Toc413930836"/>
      <w:bookmarkStart w:id="957" w:name="_Toc310195751"/>
      <w:bookmarkStart w:id="958" w:name="_Toc329875501"/>
      <w:bookmarkStart w:id="959" w:name="_Toc310521927"/>
      <w:bookmarkStart w:id="960" w:name="_Toc487900368"/>
      <w:r>
        <w:rPr>
          <w:rFonts w:hint="eastAsia" w:hAnsi="宋体"/>
          <w:color w:val="auto"/>
          <w:szCs w:val="24"/>
          <w:highlight w:val="none"/>
        </w:rPr>
        <w:t>20. 破产终止合同</w:t>
      </w:r>
      <w:bookmarkEnd w:id="956"/>
      <w:bookmarkEnd w:id="957"/>
      <w:bookmarkEnd w:id="958"/>
      <w:bookmarkEnd w:id="959"/>
      <w:bookmarkEnd w:id="960"/>
    </w:p>
    <w:p w14:paraId="77594D8E">
      <w:pPr>
        <w:spacing w:before="120" w:line="360" w:lineRule="auto"/>
        <w:rPr>
          <w:rFonts w:ascii="宋体" w:hAnsi="宋体"/>
          <w:color w:val="auto"/>
          <w:sz w:val="24"/>
          <w:highlight w:val="none"/>
        </w:rPr>
      </w:pPr>
      <w:r>
        <w:rPr>
          <w:rFonts w:hint="eastAsia" w:ascii="宋体" w:hAnsi="宋体"/>
          <w:color w:val="auto"/>
          <w:sz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884A662">
      <w:pPr>
        <w:pStyle w:val="5"/>
        <w:spacing w:line="360" w:lineRule="auto"/>
        <w:rPr>
          <w:rFonts w:hAnsi="宋体"/>
          <w:color w:val="auto"/>
          <w:szCs w:val="24"/>
          <w:highlight w:val="none"/>
        </w:rPr>
      </w:pPr>
      <w:bookmarkStart w:id="961" w:name="_Toc329875502"/>
      <w:bookmarkStart w:id="962" w:name="_Toc310195752"/>
      <w:bookmarkStart w:id="963" w:name="_Toc487900369"/>
      <w:bookmarkStart w:id="964" w:name="_Toc413930837"/>
      <w:bookmarkStart w:id="965" w:name="_Toc310521928"/>
      <w:r>
        <w:rPr>
          <w:rFonts w:hint="eastAsia" w:hAnsi="宋体"/>
          <w:color w:val="auto"/>
          <w:szCs w:val="24"/>
          <w:highlight w:val="none"/>
        </w:rPr>
        <w:t>21. 转让和分包</w:t>
      </w:r>
      <w:bookmarkEnd w:id="961"/>
      <w:bookmarkEnd w:id="962"/>
      <w:bookmarkEnd w:id="963"/>
      <w:bookmarkEnd w:id="964"/>
      <w:bookmarkEnd w:id="965"/>
    </w:p>
    <w:p w14:paraId="27102BB1">
      <w:pPr>
        <w:spacing w:before="120" w:line="360" w:lineRule="auto"/>
        <w:rPr>
          <w:rFonts w:ascii="宋体" w:hAnsi="宋体"/>
          <w:color w:val="auto"/>
          <w:sz w:val="24"/>
          <w:highlight w:val="none"/>
        </w:rPr>
      </w:pPr>
      <w:r>
        <w:rPr>
          <w:rFonts w:hint="eastAsia" w:ascii="宋体" w:hAnsi="宋体"/>
          <w:color w:val="auto"/>
          <w:sz w:val="24"/>
          <w:highlight w:val="none"/>
        </w:rPr>
        <w:t xml:space="preserve">21.1 </w:t>
      </w:r>
      <w:r>
        <w:rPr>
          <w:rFonts w:hint="eastAsia" w:ascii="宋体" w:hAnsi="宋体"/>
          <w:b/>
          <w:color w:val="auto"/>
          <w:sz w:val="24"/>
          <w:highlight w:val="none"/>
        </w:rPr>
        <w:t>政府采购合同不能转让。</w:t>
      </w:r>
    </w:p>
    <w:p w14:paraId="6D5E972A">
      <w:pPr>
        <w:spacing w:before="120" w:line="360" w:lineRule="auto"/>
        <w:rPr>
          <w:rFonts w:ascii="宋体" w:hAnsi="宋体"/>
          <w:color w:val="auto"/>
          <w:sz w:val="24"/>
          <w:highlight w:val="none"/>
        </w:rPr>
      </w:pPr>
      <w:r>
        <w:rPr>
          <w:rFonts w:hint="eastAsia" w:ascii="宋体" w:hAnsi="宋体"/>
          <w:color w:val="auto"/>
          <w:sz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6B452C4A">
      <w:pPr>
        <w:pStyle w:val="5"/>
        <w:spacing w:line="360" w:lineRule="auto"/>
        <w:rPr>
          <w:rFonts w:hAnsi="宋体"/>
          <w:color w:val="auto"/>
          <w:szCs w:val="24"/>
          <w:highlight w:val="none"/>
        </w:rPr>
      </w:pPr>
      <w:bookmarkStart w:id="966" w:name="_Toc310195753"/>
      <w:bookmarkStart w:id="967" w:name="_Toc487900370"/>
      <w:bookmarkStart w:id="968" w:name="_Toc329875503"/>
      <w:bookmarkStart w:id="969" w:name="_Toc310521929"/>
      <w:bookmarkStart w:id="970" w:name="_Toc413930838"/>
      <w:r>
        <w:rPr>
          <w:rFonts w:hint="eastAsia" w:hAnsi="宋体"/>
          <w:color w:val="auto"/>
          <w:szCs w:val="24"/>
          <w:highlight w:val="none"/>
        </w:rPr>
        <w:t>22. 合同修改</w:t>
      </w:r>
      <w:bookmarkEnd w:id="966"/>
      <w:bookmarkEnd w:id="967"/>
      <w:bookmarkEnd w:id="968"/>
      <w:bookmarkEnd w:id="969"/>
      <w:bookmarkEnd w:id="970"/>
    </w:p>
    <w:p w14:paraId="5B749484">
      <w:pPr>
        <w:spacing w:before="120" w:line="360" w:lineRule="auto"/>
        <w:rPr>
          <w:rFonts w:ascii="宋体" w:hAnsi="宋体"/>
          <w:color w:val="auto"/>
          <w:sz w:val="24"/>
          <w:highlight w:val="none"/>
        </w:rPr>
      </w:pPr>
      <w:r>
        <w:rPr>
          <w:rFonts w:hint="eastAsia" w:ascii="宋体" w:hAnsi="宋体"/>
          <w:color w:val="auto"/>
          <w:sz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7AB911FC">
      <w:pPr>
        <w:pStyle w:val="5"/>
        <w:spacing w:line="360" w:lineRule="auto"/>
        <w:rPr>
          <w:rFonts w:hAnsi="宋体"/>
          <w:color w:val="auto"/>
          <w:szCs w:val="24"/>
          <w:highlight w:val="none"/>
        </w:rPr>
      </w:pPr>
      <w:bookmarkStart w:id="971" w:name="_Toc310195754"/>
      <w:bookmarkStart w:id="972" w:name="_Toc310521930"/>
      <w:bookmarkStart w:id="973" w:name="_Toc329875504"/>
      <w:bookmarkStart w:id="974" w:name="_Toc487900371"/>
      <w:bookmarkStart w:id="975" w:name="_Toc413930839"/>
      <w:r>
        <w:rPr>
          <w:rFonts w:hint="eastAsia" w:hAnsi="宋体"/>
          <w:color w:val="auto"/>
          <w:szCs w:val="24"/>
          <w:highlight w:val="none"/>
        </w:rPr>
        <w:t>23. 通知</w:t>
      </w:r>
      <w:bookmarkEnd w:id="971"/>
      <w:bookmarkEnd w:id="972"/>
      <w:bookmarkEnd w:id="973"/>
      <w:bookmarkEnd w:id="974"/>
      <w:bookmarkEnd w:id="975"/>
    </w:p>
    <w:p w14:paraId="28CECA5A">
      <w:pPr>
        <w:spacing w:before="120" w:line="360" w:lineRule="auto"/>
        <w:rPr>
          <w:rFonts w:ascii="宋体" w:hAnsi="宋体"/>
          <w:color w:val="auto"/>
          <w:sz w:val="24"/>
          <w:highlight w:val="none"/>
        </w:rPr>
      </w:pPr>
      <w:r>
        <w:rPr>
          <w:rFonts w:hint="eastAsia" w:ascii="宋体" w:hAnsi="宋体"/>
          <w:color w:val="auto"/>
          <w:sz w:val="24"/>
          <w:highlight w:val="none"/>
        </w:rPr>
        <w:t>23.1 本合同任何一方给另一方的通知，都应以书面形式发送，而另一方也应以书面形式确认并发送到对方明确的地址。</w:t>
      </w:r>
    </w:p>
    <w:p w14:paraId="4DBB42AC">
      <w:pPr>
        <w:pStyle w:val="5"/>
        <w:spacing w:line="360" w:lineRule="auto"/>
        <w:rPr>
          <w:rFonts w:hAnsi="宋体"/>
          <w:color w:val="auto"/>
          <w:szCs w:val="24"/>
          <w:highlight w:val="none"/>
        </w:rPr>
      </w:pPr>
      <w:bookmarkStart w:id="976" w:name="_Toc487900372"/>
      <w:bookmarkStart w:id="977" w:name="_Toc310521931"/>
      <w:bookmarkStart w:id="978" w:name="_Toc310195755"/>
      <w:bookmarkStart w:id="979" w:name="_Toc413930840"/>
      <w:bookmarkStart w:id="980" w:name="_Toc329875505"/>
      <w:r>
        <w:rPr>
          <w:rFonts w:hint="eastAsia" w:hAnsi="宋体"/>
          <w:color w:val="auto"/>
          <w:szCs w:val="24"/>
          <w:highlight w:val="none"/>
        </w:rPr>
        <w:t>24. 计量单位</w:t>
      </w:r>
      <w:bookmarkEnd w:id="976"/>
      <w:bookmarkEnd w:id="977"/>
      <w:bookmarkEnd w:id="978"/>
      <w:bookmarkEnd w:id="979"/>
      <w:bookmarkEnd w:id="980"/>
    </w:p>
    <w:p w14:paraId="0AFB569B">
      <w:pPr>
        <w:spacing w:before="120" w:line="360" w:lineRule="auto"/>
        <w:rPr>
          <w:rFonts w:ascii="宋体" w:hAnsi="宋体"/>
          <w:color w:val="auto"/>
          <w:sz w:val="24"/>
          <w:highlight w:val="none"/>
        </w:rPr>
      </w:pPr>
      <w:r>
        <w:rPr>
          <w:rFonts w:hint="eastAsia" w:ascii="宋体" w:hAnsi="宋体"/>
          <w:color w:val="auto"/>
          <w:sz w:val="24"/>
          <w:highlight w:val="none"/>
        </w:rPr>
        <w:t>24.1 除技术规范中另有规定外,计量单位均使用国家法定计量单位。</w:t>
      </w:r>
    </w:p>
    <w:p w14:paraId="68ADA58E">
      <w:pPr>
        <w:pStyle w:val="5"/>
        <w:spacing w:line="360" w:lineRule="auto"/>
        <w:rPr>
          <w:rFonts w:hAnsi="宋体"/>
          <w:color w:val="auto"/>
          <w:szCs w:val="24"/>
          <w:highlight w:val="none"/>
        </w:rPr>
      </w:pPr>
      <w:bookmarkStart w:id="981" w:name="_Toc413930841"/>
      <w:bookmarkStart w:id="982" w:name="_Toc487900373"/>
      <w:bookmarkStart w:id="983" w:name="_Toc310521932"/>
      <w:bookmarkStart w:id="984" w:name="_Toc329875506"/>
      <w:bookmarkStart w:id="985" w:name="_Toc310195756"/>
      <w:r>
        <w:rPr>
          <w:rFonts w:hint="eastAsia" w:hAnsi="宋体"/>
          <w:color w:val="auto"/>
          <w:szCs w:val="24"/>
          <w:highlight w:val="none"/>
        </w:rPr>
        <w:t>25. 适用法律</w:t>
      </w:r>
      <w:bookmarkEnd w:id="981"/>
      <w:bookmarkEnd w:id="982"/>
      <w:bookmarkEnd w:id="983"/>
      <w:bookmarkEnd w:id="984"/>
      <w:bookmarkEnd w:id="985"/>
    </w:p>
    <w:p w14:paraId="1672665E">
      <w:pPr>
        <w:spacing w:before="120" w:line="360" w:lineRule="auto"/>
        <w:rPr>
          <w:rFonts w:ascii="宋体" w:hAnsi="宋体"/>
          <w:color w:val="auto"/>
          <w:sz w:val="24"/>
          <w:highlight w:val="none"/>
        </w:rPr>
      </w:pPr>
      <w:r>
        <w:rPr>
          <w:rFonts w:hint="eastAsia" w:ascii="宋体" w:hAnsi="宋体"/>
          <w:color w:val="auto"/>
          <w:sz w:val="24"/>
          <w:highlight w:val="none"/>
        </w:rPr>
        <w:t>25.1 本合同应按照中华人民共和国的法律进行解释。</w:t>
      </w:r>
    </w:p>
    <w:p w14:paraId="5E38E3DD">
      <w:pPr>
        <w:pStyle w:val="5"/>
        <w:spacing w:line="360" w:lineRule="auto"/>
        <w:rPr>
          <w:rFonts w:hAnsi="宋体"/>
          <w:color w:val="auto"/>
          <w:szCs w:val="24"/>
          <w:highlight w:val="none"/>
        </w:rPr>
      </w:pPr>
      <w:bookmarkStart w:id="986" w:name="_Toc487900374"/>
      <w:bookmarkStart w:id="987" w:name="_Toc310521933"/>
      <w:bookmarkStart w:id="988" w:name="_Toc413930842"/>
      <w:bookmarkStart w:id="989" w:name="_Toc329875507"/>
      <w:bookmarkStart w:id="990" w:name="_Toc310195757"/>
      <w:r>
        <w:rPr>
          <w:rFonts w:hint="eastAsia" w:hAnsi="宋体"/>
          <w:color w:val="auto"/>
          <w:szCs w:val="24"/>
          <w:highlight w:val="none"/>
        </w:rPr>
        <w:t>26. 合同生效</w:t>
      </w:r>
      <w:bookmarkEnd w:id="986"/>
      <w:r>
        <w:rPr>
          <w:rFonts w:hint="eastAsia" w:hAnsi="宋体"/>
          <w:color w:val="auto"/>
          <w:szCs w:val="24"/>
          <w:highlight w:val="none"/>
        </w:rPr>
        <w:t>和其它</w:t>
      </w:r>
      <w:bookmarkEnd w:id="987"/>
      <w:bookmarkEnd w:id="988"/>
      <w:bookmarkEnd w:id="989"/>
      <w:bookmarkEnd w:id="990"/>
    </w:p>
    <w:p w14:paraId="58364051">
      <w:pPr>
        <w:pStyle w:val="70"/>
        <w:spacing w:line="360" w:lineRule="auto"/>
        <w:ind w:left="2" w:firstLine="0"/>
        <w:rPr>
          <w:rFonts w:hAnsi="宋体"/>
          <w:color w:val="auto"/>
          <w:szCs w:val="24"/>
          <w:highlight w:val="none"/>
        </w:rPr>
      </w:pPr>
      <w:r>
        <w:rPr>
          <w:rFonts w:hint="eastAsia" w:hAnsi="宋体"/>
          <w:color w:val="auto"/>
          <w:szCs w:val="24"/>
          <w:highlight w:val="none"/>
        </w:rPr>
        <w:t xml:space="preserve">26.1 </w:t>
      </w:r>
      <w:r>
        <w:rPr>
          <w:rFonts w:hint="eastAsia" w:hAnsi="宋体"/>
          <w:color w:val="auto"/>
          <w:kern w:val="2"/>
          <w:szCs w:val="24"/>
          <w:highlight w:val="none"/>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10AED99F">
      <w:pPr>
        <w:spacing w:line="360" w:lineRule="auto"/>
        <w:rPr>
          <w:color w:val="auto"/>
          <w:highlight w:val="none"/>
        </w:rPr>
      </w:pPr>
      <w:r>
        <w:rPr>
          <w:rFonts w:hint="eastAsia" w:ascii="宋体" w:hAnsi="宋体"/>
          <w:color w:val="auto"/>
          <w:sz w:val="24"/>
          <w:highlight w:val="none"/>
        </w:rPr>
        <w:t>26.2 本合同一式</w:t>
      </w:r>
      <w:r>
        <w:rPr>
          <w:rFonts w:hint="eastAsia" w:ascii="宋体" w:hAnsi="宋体"/>
          <w:color w:val="auto"/>
          <w:sz w:val="24"/>
          <w:highlight w:val="none"/>
          <w:u w:val="single"/>
          <w:lang w:val="en-US" w:eastAsia="zh-CN"/>
        </w:rPr>
        <w:t>5</w:t>
      </w:r>
      <w:r>
        <w:rPr>
          <w:rFonts w:hint="eastAsia" w:ascii="宋体" w:hAnsi="宋体"/>
          <w:color w:val="auto"/>
          <w:sz w:val="24"/>
          <w:highlight w:val="none"/>
        </w:rPr>
        <w:t>份，具有同等法律效力。买方执</w:t>
      </w:r>
      <w:r>
        <w:rPr>
          <w:rFonts w:hint="eastAsia" w:ascii="宋体" w:hAnsi="宋体"/>
          <w:color w:val="auto"/>
          <w:sz w:val="24"/>
          <w:highlight w:val="none"/>
          <w:u w:val="single"/>
        </w:rPr>
        <w:t>2</w:t>
      </w:r>
      <w:r>
        <w:rPr>
          <w:rFonts w:hint="eastAsia" w:ascii="宋体" w:hAnsi="宋体"/>
          <w:color w:val="auto"/>
          <w:sz w:val="24"/>
          <w:highlight w:val="none"/>
        </w:rPr>
        <w:t>份，卖方,执</w:t>
      </w:r>
      <w:r>
        <w:rPr>
          <w:rFonts w:hint="eastAsia" w:ascii="宋体" w:hAnsi="宋体"/>
          <w:color w:val="auto"/>
          <w:sz w:val="24"/>
          <w:highlight w:val="none"/>
          <w:u w:val="single"/>
        </w:rPr>
        <w:t>2</w:t>
      </w:r>
      <w:r>
        <w:rPr>
          <w:rFonts w:hint="eastAsia" w:ascii="宋体" w:hAnsi="宋体"/>
          <w:color w:val="auto"/>
          <w:sz w:val="24"/>
          <w:highlight w:val="none"/>
        </w:rPr>
        <w:t>份，采购代理机构执</w:t>
      </w:r>
      <w:r>
        <w:rPr>
          <w:rFonts w:hint="eastAsia" w:ascii="宋体" w:hAnsi="宋体"/>
          <w:color w:val="auto"/>
          <w:sz w:val="24"/>
          <w:highlight w:val="none"/>
          <w:u w:val="single"/>
          <w:lang w:val="en-US" w:eastAsia="zh-CN"/>
        </w:rPr>
        <w:t>1</w:t>
      </w:r>
      <w:r>
        <w:rPr>
          <w:rFonts w:hint="eastAsia" w:ascii="宋体" w:hAnsi="宋体"/>
          <w:color w:val="auto"/>
          <w:sz w:val="24"/>
          <w:highlight w:val="none"/>
        </w:rPr>
        <w:t>份。</w:t>
      </w:r>
      <w:bookmarkEnd w:id="827"/>
      <w:bookmarkEnd w:id="828"/>
    </w:p>
    <w:p w14:paraId="77CDE511">
      <w:pPr>
        <w:spacing w:line="360" w:lineRule="auto"/>
        <w:rPr>
          <w:color w:val="auto"/>
          <w:highlight w:val="none"/>
        </w:rPr>
      </w:pPr>
    </w:p>
    <w:p w14:paraId="0FDAB856">
      <w:pPr>
        <w:spacing w:line="360" w:lineRule="auto"/>
        <w:rPr>
          <w:color w:val="auto"/>
          <w:highlight w:val="none"/>
        </w:rPr>
      </w:pPr>
    </w:p>
    <w:p w14:paraId="382E2D22">
      <w:pPr>
        <w:spacing w:before="120" w:line="360" w:lineRule="auto"/>
        <w:jc w:val="center"/>
        <w:rPr>
          <w:rFonts w:hint="eastAsia"/>
          <w:color w:val="auto"/>
          <w:highlight w:val="none"/>
        </w:rPr>
      </w:pPr>
      <w:r>
        <w:rPr>
          <w:color w:val="auto"/>
          <w:highlight w:val="none"/>
        </w:rPr>
        <w:br w:type="page"/>
      </w:r>
      <w:r>
        <w:rPr>
          <w:rFonts w:hint="eastAsia"/>
          <w:b/>
          <w:bCs/>
          <w:color w:val="auto"/>
          <w:sz w:val="28"/>
          <w:szCs w:val="28"/>
          <w:highlight w:val="none"/>
        </w:rPr>
        <w:t>合同专用条款</w:t>
      </w:r>
    </w:p>
    <w:p w14:paraId="3D6CF47E">
      <w:pPr>
        <w:keepNext w:val="0"/>
        <w:keepLines w:val="0"/>
        <w:pageBreakBefore w:val="0"/>
        <w:widowControl/>
        <w:kinsoku w:val="0"/>
        <w:wordWrap/>
        <w:overflowPunct/>
        <w:topLinePunct w:val="0"/>
        <w:autoSpaceDE w:val="0"/>
        <w:autoSpaceDN w:val="0"/>
        <w:bidi w:val="0"/>
        <w:adjustRightInd w:val="0"/>
        <w:snapToGrid w:val="0"/>
        <w:spacing w:line="360" w:lineRule="auto"/>
        <w:ind w:firstLine="45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合同专用条款是合同一般条款的补充和修改。如果两者之间有抵触，应以专用条款为准。合同专用条款的序号将与合同一般条款序号相对应。</w:t>
      </w:r>
    </w:p>
    <w:p w14:paraId="571F2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1、定义</w:t>
      </w:r>
      <w:r>
        <w:rPr>
          <w:rFonts w:hint="eastAsia" w:ascii="宋体" w:hAnsi="宋体" w:eastAsia="宋体" w:cs="宋体"/>
          <w:b/>
          <w:color w:val="auto"/>
          <w:sz w:val="24"/>
          <w:highlight w:val="none"/>
        </w:rPr>
        <w:t>：</w:t>
      </w:r>
    </w:p>
    <w:p w14:paraId="33C3B5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1.5  买方：本合同买方系指：</w:t>
      </w:r>
      <w:r>
        <w:rPr>
          <w:rFonts w:hint="eastAsia" w:ascii="宋体" w:hAnsi="宋体" w:cs="宋体"/>
          <w:color w:val="auto"/>
          <w:sz w:val="24"/>
          <w:highlight w:val="none"/>
          <w:u w:val="single"/>
          <w:lang w:eastAsia="zh-CN"/>
        </w:rPr>
        <w:t>北京市大兴区旧宫医院</w:t>
      </w:r>
      <w:r>
        <w:rPr>
          <w:rFonts w:hint="eastAsia" w:ascii="宋体" w:hAnsi="宋体" w:eastAsia="宋体" w:cs="宋体"/>
          <w:color w:val="auto"/>
          <w:sz w:val="24"/>
          <w:highlight w:val="none"/>
        </w:rPr>
        <w:t>。</w:t>
      </w:r>
    </w:p>
    <w:p w14:paraId="745D0B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  卖方：本合同卖方系指：</w:t>
      </w:r>
      <w:r>
        <w:rPr>
          <w:rFonts w:hint="eastAsia" w:ascii="宋体" w:hAnsi="宋体" w:eastAsia="宋体" w:cs="宋体"/>
          <w:color w:val="auto"/>
          <w:sz w:val="24"/>
          <w:highlight w:val="none"/>
          <w:u w:val="single"/>
        </w:rPr>
        <w:t>本项目中标单位（乙方）</w:t>
      </w:r>
      <w:r>
        <w:rPr>
          <w:rFonts w:hint="eastAsia" w:ascii="宋体" w:hAnsi="宋体" w:eastAsia="宋体" w:cs="宋体"/>
          <w:color w:val="auto"/>
          <w:sz w:val="24"/>
          <w:highlight w:val="none"/>
        </w:rPr>
        <w:t>。</w:t>
      </w:r>
    </w:p>
    <w:p w14:paraId="6D513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1.7  现场：本合同项下的服务地点位于：</w:t>
      </w:r>
      <w:r>
        <w:rPr>
          <w:rFonts w:hint="eastAsia" w:ascii="宋体" w:hAnsi="宋体" w:eastAsia="宋体" w:cs="宋体"/>
          <w:color w:val="auto"/>
          <w:sz w:val="24"/>
          <w:highlight w:val="none"/>
          <w:u w:val="single"/>
        </w:rPr>
        <w:t>用户指定</w:t>
      </w:r>
      <w:r>
        <w:rPr>
          <w:rFonts w:hint="eastAsia" w:ascii="宋体" w:hAnsi="宋体" w:eastAsia="宋体" w:cs="宋体"/>
          <w:color w:val="auto"/>
          <w:sz w:val="24"/>
          <w:highlight w:val="none"/>
        </w:rPr>
        <w:t>。</w:t>
      </w:r>
    </w:p>
    <w:p w14:paraId="3B48E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 交货方式</w:t>
      </w:r>
    </w:p>
    <w:p w14:paraId="2EF619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本合同项下的产品交货方式为:</w:t>
      </w:r>
      <w:r>
        <w:rPr>
          <w:rFonts w:hint="eastAsia" w:ascii="宋体" w:hAnsi="宋体" w:eastAsia="宋体" w:cs="宋体"/>
          <w:color w:val="auto"/>
          <w:sz w:val="24"/>
          <w:highlight w:val="none"/>
          <w:u w:val="single"/>
        </w:rPr>
        <w:t>免费上门送货、安装、调试，所发生的各种费用均包含在投标报价之内，</w:t>
      </w:r>
      <w:r>
        <w:rPr>
          <w:rFonts w:hint="eastAsia" w:ascii="宋体" w:hAnsi="宋体" w:eastAsia="宋体" w:cs="宋体"/>
          <w:color w:val="auto"/>
          <w:sz w:val="24"/>
          <w:highlight w:val="none"/>
          <w:u w:val="single"/>
          <w:lang w:val="en-US" w:eastAsia="zh-CN"/>
        </w:rPr>
        <w:t>买方</w:t>
      </w:r>
      <w:r>
        <w:rPr>
          <w:rFonts w:hint="eastAsia" w:ascii="宋体" w:hAnsi="宋体" w:eastAsia="宋体" w:cs="宋体"/>
          <w:color w:val="auto"/>
          <w:sz w:val="24"/>
          <w:highlight w:val="none"/>
          <w:u w:val="single"/>
        </w:rPr>
        <w:t>在实施过程中不再另行支付。</w:t>
      </w:r>
    </w:p>
    <w:p w14:paraId="7A61E48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 交货期:</w:t>
      </w:r>
      <w:r>
        <w:rPr>
          <w:rFonts w:hint="eastAsia" w:ascii="宋体" w:hAnsi="宋体" w:eastAsia="宋体" w:cs="宋体"/>
          <w:color w:val="auto"/>
          <w:sz w:val="24"/>
          <w:highlight w:val="none"/>
          <w:u w:val="single"/>
          <w:lang w:eastAsia="zh-CN"/>
        </w:rPr>
        <w:t>自合同签订起15个日历天内完成供货</w:t>
      </w:r>
      <w:r>
        <w:rPr>
          <w:rFonts w:hint="eastAsia" w:ascii="宋体" w:hAnsi="宋体" w:eastAsia="宋体" w:cs="宋体"/>
          <w:color w:val="auto"/>
          <w:sz w:val="24"/>
          <w:highlight w:val="none"/>
          <w:lang w:eastAsia="zh-CN"/>
        </w:rPr>
        <w:t>。</w:t>
      </w:r>
    </w:p>
    <w:p w14:paraId="739A7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 付款条件:</w:t>
      </w:r>
      <w:r>
        <w:rPr>
          <w:rFonts w:hint="eastAsia" w:ascii="宋体" w:hAnsi="宋体" w:eastAsia="宋体" w:cs="宋体"/>
          <w:color w:val="auto"/>
          <w:sz w:val="24"/>
          <w:highlight w:val="none"/>
          <w:u w:val="single"/>
        </w:rPr>
        <w:t>签订合同后10 个工作日内，乙方向甲方提交合同总价5% 的履约保证金,全部设备安装调试完工验收合格后，甲方向乙方支付合同总价的 100%  ，同时履约保证金转为质保金，质保金在质保期满后， 无息退还给乙方</w:t>
      </w:r>
      <w:r>
        <w:rPr>
          <w:rFonts w:hint="eastAsia" w:ascii="宋体" w:hAnsi="宋体" w:eastAsia="宋体" w:cs="宋体"/>
          <w:color w:val="auto"/>
          <w:sz w:val="24"/>
          <w:highlight w:val="none"/>
        </w:rPr>
        <w:t>。</w:t>
      </w:r>
    </w:p>
    <w:p w14:paraId="50B813A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技术资料:</w:t>
      </w:r>
    </w:p>
    <w:p w14:paraId="2E787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6、质量保证:</w:t>
      </w:r>
    </w:p>
    <w:p w14:paraId="184E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6.1  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天内应免费维修或更换有缺陷的产品或部件。</w:t>
      </w:r>
    </w:p>
    <w:p w14:paraId="35A4586A">
      <w:pPr>
        <w:keepNext w:val="0"/>
        <w:keepLines w:val="0"/>
        <w:pageBreakBefore w:val="0"/>
        <w:widowControl/>
        <w:kinsoku w:val="0"/>
        <w:wordWrap/>
        <w:overflowPunct/>
        <w:topLinePunct w:val="0"/>
        <w:autoSpaceDE w:val="0"/>
        <w:autoSpaceDN w:val="0"/>
        <w:bidi w:val="0"/>
        <w:adjustRightInd w:val="0"/>
        <w:snapToGrid w:val="0"/>
        <w:spacing w:line="360" w:lineRule="auto"/>
        <w:ind w:left="960" w:hanging="96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6.2  如果卖方在收到通知后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天内没有弥补缺陷，买方可采取必要的补救措施，但风险和费用将由卖方承担。</w:t>
      </w:r>
    </w:p>
    <w:p w14:paraId="3BB2E32B">
      <w:pPr>
        <w:keepNext w:val="0"/>
        <w:keepLines w:val="0"/>
        <w:pageBreakBefore w:val="0"/>
        <w:widowControl/>
        <w:numPr>
          <w:ilvl w:val="1"/>
          <w:numId w:val="13"/>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合同项下产品的质量保证期为自产品通过最终验收起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14:paraId="57B9A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7、检验和验收:</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698A8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8、索赔:</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8F5C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9、不可抗力:</w:t>
      </w:r>
    </w:p>
    <w:p w14:paraId="20E131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10、不可抗力通知送达时间:事故发生后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w:t>
      </w:r>
    </w:p>
    <w:p w14:paraId="3C6E6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争议解决</w:t>
      </w:r>
    </w:p>
    <w:p w14:paraId="04601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.1 买卖双方应通过友好协商，解决在执行本合同中所发生的或与本合同有关的一切争端。如果协商不成的，任何一方均可向合同签订地（北京市</w:t>
      </w:r>
      <w:r>
        <w:rPr>
          <w:rFonts w:hint="eastAsia" w:ascii="宋体" w:hAnsi="宋体" w:cs="宋体"/>
          <w:color w:val="auto"/>
          <w:sz w:val="24"/>
          <w:highlight w:val="none"/>
          <w:lang w:val="en-US" w:eastAsia="zh-CN"/>
        </w:rPr>
        <w:t>大兴</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）有管辖权的人民法院申请诉讼裁决。</w:t>
      </w:r>
    </w:p>
    <w:p w14:paraId="0264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.2 在诉讼期间，除正在进行诉讼的合同条款外，合同的其它部分应继续执行。</w:t>
      </w:r>
    </w:p>
    <w:p w14:paraId="5B5C34CB">
      <w:pPr>
        <w:tabs>
          <w:tab w:val="left" w:pos="900"/>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其他专用条款还包括本招标文件中的项目服务要求及在合同谈判时具体协商的有关内容。</w:t>
      </w:r>
    </w:p>
    <w:p w14:paraId="47E43E09">
      <w:pPr>
        <w:rPr>
          <w:rFonts w:ascii="宋体" w:hAnsi="宋体" w:cs="宋体"/>
          <w:highlight w:val="none"/>
        </w:rPr>
      </w:pPr>
      <w:r>
        <w:rPr>
          <w:rFonts w:hint="eastAsia" w:ascii="宋体" w:hAnsi="宋体" w:cs="宋体"/>
          <w:color w:val="auto"/>
          <w:sz w:val="24"/>
          <w:highlight w:val="none"/>
          <w:lang w:val="en-US" w:eastAsia="zh-CN"/>
        </w:rPr>
        <w:t xml:space="preserve">12. </w:t>
      </w:r>
      <w:r>
        <w:rPr>
          <w:rFonts w:hint="eastAsia" w:ascii="宋体" w:hAnsi="宋体" w:cs="宋体"/>
          <w:sz w:val="24"/>
          <w:highlight w:val="none"/>
        </w:rPr>
        <w:t>履约保证</w:t>
      </w:r>
    </w:p>
    <w:p w14:paraId="4EFD875A">
      <w:pPr>
        <w:tabs>
          <w:tab w:val="left" w:pos="900"/>
          <w:tab w:val="left" w:pos="1080"/>
        </w:tabs>
        <w:snapToGrid w:val="0"/>
        <w:spacing w:line="360" w:lineRule="auto"/>
        <w:rPr>
          <w:b/>
          <w:spacing w:val="0"/>
          <w:kern w:val="0"/>
          <w:position w:val="0"/>
          <w:sz w:val="36"/>
          <w:szCs w:val="36"/>
        </w:rPr>
      </w:pPr>
      <w:r>
        <w:rPr>
          <w:rFonts w:hint="eastAsia" w:ascii="宋体" w:hAnsi="宋体" w:cs="宋体"/>
          <w:sz w:val="24"/>
          <w:szCs w:val="24"/>
          <w:highlight w:val="none"/>
          <w:lang w:val="en-US" w:eastAsia="zh-CN"/>
        </w:rPr>
        <w:t>12.1</w:t>
      </w:r>
      <w:r>
        <w:rPr>
          <w:rFonts w:hint="eastAsia" w:ascii="宋体" w:hAnsi="宋体" w:cs="宋体"/>
          <w:sz w:val="24"/>
          <w:szCs w:val="24"/>
          <w:highlight w:val="none"/>
          <w:lang w:eastAsia="zh-CN"/>
        </w:rPr>
        <w:t>签订合同后7个日历日内中标人提供相应的履约保证金，同时履约保证金转为质保金，质保金在质保期满后，无息退还给乙方。</w:t>
      </w:r>
    </w:p>
    <w:bookmarkEnd w:id="825"/>
    <w:p w14:paraId="0DF21807">
      <w:pPr>
        <w:spacing w:line="360" w:lineRule="auto"/>
        <w:jc w:val="center"/>
        <w:outlineLvl w:val="0"/>
        <w:rPr>
          <w:b/>
          <w:spacing w:val="0"/>
          <w:kern w:val="0"/>
          <w:position w:val="0"/>
          <w:sz w:val="36"/>
          <w:szCs w:val="36"/>
        </w:rPr>
      </w:pPr>
      <w:r>
        <w:rPr>
          <w:b/>
          <w:spacing w:val="0"/>
          <w:kern w:val="0"/>
          <w:position w:val="0"/>
          <w:sz w:val="36"/>
          <w:szCs w:val="36"/>
        </w:rPr>
        <w:br w:type="page"/>
      </w:r>
      <w:bookmarkStart w:id="991" w:name="_Toc99301426"/>
      <w:r>
        <w:rPr>
          <w:b/>
          <w:spacing w:val="0"/>
          <w:kern w:val="0"/>
          <w:position w:val="0"/>
          <w:sz w:val="36"/>
          <w:szCs w:val="36"/>
        </w:rPr>
        <w:t>第七章   投标文件格式</w:t>
      </w:r>
      <w:bookmarkEnd w:id="991"/>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4"/>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5"/>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5"/>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5"/>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5"/>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18" w:right="1134" w:bottom="1418" w:left="1134"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992" w:name="_Hlk145526067"/>
      <w:r>
        <w:rPr>
          <w:spacing w:val="0"/>
          <w:kern w:val="0"/>
          <w:position w:val="0"/>
          <w:sz w:val="24"/>
        </w:rPr>
        <w:t>如供应商为联合体的，</w:t>
      </w:r>
      <w:bookmarkEnd w:id="992"/>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1AAFE50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68F108F7">
      <w:pPr>
        <w:spacing w:line="360" w:lineRule="auto"/>
        <w:ind w:firstLine="504"/>
        <w:rPr>
          <w:spacing w:val="0"/>
          <w:kern w:val="0"/>
          <w:position w:val="0"/>
          <w:sz w:val="24"/>
        </w:rPr>
      </w:pPr>
      <w:r>
        <w:rPr>
          <w:spacing w:val="0"/>
          <w:kern w:val="0"/>
          <w:position w:val="0"/>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0"/>
          <w:kern w:val="0"/>
          <w:position w:val="0"/>
          <w:sz w:val="24"/>
        </w:rPr>
      </w:pPr>
      <w:r>
        <w:rPr>
          <w:spacing w:val="0"/>
          <w:kern w:val="0"/>
          <w:position w:val="0"/>
          <w:sz w:val="24"/>
        </w:rPr>
        <w:t>1.</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w:t>
      </w:r>
      <w:r>
        <w:rPr>
          <w:spacing w:val="0"/>
          <w:kern w:val="0"/>
          <w:position w:val="0"/>
          <w:sz w:val="24"/>
          <w:vertAlign w:val="superscript"/>
        </w:rPr>
        <w:t>1</w:t>
      </w:r>
      <w:r>
        <w:rPr>
          <w:spacing w:val="0"/>
          <w:kern w:val="0"/>
          <w:position w:val="0"/>
          <w:sz w:val="24"/>
        </w:rPr>
        <w:t>，属于</w:t>
      </w:r>
      <w:r>
        <w:rPr>
          <w:spacing w:val="0"/>
          <w:kern w:val="0"/>
          <w:position w:val="0"/>
          <w:sz w:val="24"/>
          <w:u w:val="single"/>
        </w:rPr>
        <w:t>（中型企业、小型企业、微型企业）</w:t>
      </w:r>
      <w:r>
        <w:rPr>
          <w:spacing w:val="0"/>
          <w:kern w:val="0"/>
          <w:position w:val="0"/>
          <w:sz w:val="24"/>
        </w:rPr>
        <w:t>；</w:t>
      </w:r>
    </w:p>
    <w:p w14:paraId="349F736B">
      <w:pPr>
        <w:spacing w:line="360" w:lineRule="auto"/>
        <w:ind w:firstLine="504"/>
        <w:rPr>
          <w:spacing w:val="0"/>
          <w:kern w:val="0"/>
          <w:position w:val="0"/>
          <w:sz w:val="24"/>
        </w:rPr>
      </w:pPr>
      <w:r>
        <w:rPr>
          <w:spacing w:val="0"/>
          <w:kern w:val="0"/>
          <w:position w:val="0"/>
          <w:sz w:val="24"/>
        </w:rPr>
        <w:t>2.</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，从业人员______人，营业收入为______万元，资产总额为______万元，属于</w:t>
      </w:r>
      <w:r>
        <w:rPr>
          <w:spacing w:val="0"/>
          <w:kern w:val="0"/>
          <w:position w:val="0"/>
          <w:sz w:val="24"/>
          <w:u w:val="single"/>
        </w:rPr>
        <w:t>（中型企业、小型企业、微型企业）</w:t>
      </w:r>
      <w:r>
        <w:rPr>
          <w:spacing w:val="0"/>
          <w:kern w:val="0"/>
          <w:position w:val="0"/>
          <w:sz w:val="24"/>
        </w:rPr>
        <w:t>；</w:t>
      </w:r>
    </w:p>
    <w:p w14:paraId="641B94BB">
      <w:pPr>
        <w:spacing w:line="360" w:lineRule="auto"/>
        <w:ind w:firstLine="504"/>
        <w:rPr>
          <w:spacing w:val="0"/>
          <w:kern w:val="0"/>
          <w:position w:val="0"/>
          <w:sz w:val="24"/>
        </w:rPr>
      </w:pPr>
      <w:r>
        <w:rPr>
          <w:spacing w:val="0"/>
          <w:kern w:val="0"/>
          <w:position w:val="0"/>
          <w:sz w:val="24"/>
        </w:rPr>
        <w:t>……</w:t>
      </w:r>
    </w:p>
    <w:p w14:paraId="1125B802">
      <w:pPr>
        <w:spacing w:line="360" w:lineRule="auto"/>
        <w:ind w:firstLine="504"/>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6F10D1AE">
      <w:pPr>
        <w:spacing w:line="360" w:lineRule="auto"/>
        <w:ind w:firstLine="504"/>
        <w:rPr>
          <w:spacing w:val="0"/>
          <w:kern w:val="0"/>
          <w:position w:val="0"/>
          <w:sz w:val="24"/>
        </w:rPr>
      </w:pPr>
      <w:r>
        <w:rPr>
          <w:spacing w:val="0"/>
          <w:kern w:val="0"/>
          <w:position w:val="0"/>
          <w:sz w:val="24"/>
        </w:rPr>
        <w:t>本企业对上述声明内容的真实性负责。如有虚假，将依法承担相应责任。</w:t>
      </w:r>
    </w:p>
    <w:p w14:paraId="7348FFD0">
      <w:pPr>
        <w:spacing w:line="360" w:lineRule="auto"/>
        <w:ind w:firstLine="504"/>
        <w:rPr>
          <w:spacing w:val="0"/>
          <w:kern w:val="0"/>
          <w:position w:val="0"/>
          <w:sz w:val="24"/>
        </w:rPr>
      </w:pPr>
    </w:p>
    <w:p w14:paraId="528AB54A">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2E59B2EC">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4231D5CF">
      <w:pPr>
        <w:spacing w:line="360" w:lineRule="auto"/>
        <w:ind w:right="360" w:firstLine="480"/>
        <w:jc w:val="right"/>
        <w:rPr>
          <w:color w:val="000000"/>
          <w:spacing w:val="0"/>
          <w:kern w:val="0"/>
          <w:position w:val="0"/>
          <w:sz w:val="24"/>
        </w:rPr>
      </w:pPr>
    </w:p>
    <w:p w14:paraId="0CE44A62">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D063F76">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4"/>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6"/>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6"/>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6"/>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6"/>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6"/>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4"/>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7"/>
        </w:numPr>
        <w:tabs>
          <w:tab w:val="left" w:pos="360"/>
        </w:tabs>
        <w:snapToGrid w:val="0"/>
        <w:spacing w:line="360" w:lineRule="auto"/>
        <w:outlineLvl w:val="1"/>
        <w:rPr>
          <w:color w:val="000000"/>
          <w:spacing w:val="0"/>
          <w:kern w:val="0"/>
          <w:position w:val="0"/>
          <w:sz w:val="24"/>
          <w:szCs w:val="20"/>
        </w:rPr>
      </w:pPr>
      <w:bookmarkStart w:id="993" w:name="_Hlt520274407"/>
      <w:bookmarkEnd w:id="993"/>
      <w:bookmarkStart w:id="994" w:name="_Hlt520350918"/>
      <w:bookmarkEnd w:id="994"/>
      <w:bookmarkStart w:id="995" w:name="_Hlt520355504"/>
      <w:bookmarkEnd w:id="995"/>
      <w:bookmarkStart w:id="996" w:name="_Hlt520273711"/>
      <w:bookmarkEnd w:id="996"/>
      <w:bookmarkStart w:id="997" w:name="_Hlt520271212"/>
      <w:bookmarkEnd w:id="997"/>
      <w:bookmarkStart w:id="998" w:name="_Hlt520343000"/>
      <w:bookmarkEnd w:id="998"/>
      <w:bookmarkStart w:id="999" w:name="_Hlt520343392"/>
      <w:bookmarkEnd w:id="999"/>
      <w:bookmarkStart w:id="1000" w:name="_Hlt520274065"/>
      <w:bookmarkEnd w:id="1000"/>
      <w:bookmarkStart w:id="1001" w:name="_Hlt520274121"/>
      <w:bookmarkEnd w:id="1001"/>
      <w:bookmarkStart w:id="1002" w:name="_Hlt520274393"/>
      <w:bookmarkEnd w:id="1002"/>
      <w:bookmarkStart w:id="1003" w:name="_Toc480942349"/>
      <w:bookmarkStart w:id="1004" w:name="_Ref467988698"/>
      <w:bookmarkStart w:id="1005" w:name="_Toc150774761"/>
      <w:bookmarkStart w:id="1006" w:name="_Toc142311058"/>
      <w:bookmarkStart w:id="1007" w:name="_Toc226337252"/>
      <w:bookmarkStart w:id="1008" w:name="_Toc226309800"/>
      <w:bookmarkStart w:id="1009" w:name="_Toc226965746"/>
      <w:bookmarkStart w:id="1010" w:name="_Toc150480794"/>
      <w:bookmarkStart w:id="1011" w:name="_Toc195842921"/>
      <w:bookmarkStart w:id="1012" w:name="_Toc226965829"/>
      <w:bookmarkStart w:id="1013" w:name="_Toc127151556"/>
      <w:bookmarkStart w:id="1014" w:name="_Toc520356217"/>
      <w:r>
        <w:rPr>
          <w:color w:val="000000"/>
          <w:spacing w:val="0"/>
          <w:kern w:val="0"/>
          <w:position w:val="0"/>
          <w:sz w:val="24"/>
        </w:rPr>
        <w:t>投标</w:t>
      </w:r>
      <w:bookmarkEnd w:id="1003"/>
      <w:bookmarkEnd w:id="1004"/>
      <w:r>
        <w:rPr>
          <w:color w:val="000000"/>
          <w:spacing w:val="0"/>
          <w:kern w:val="0"/>
          <w:position w:val="0"/>
          <w:sz w:val="24"/>
        </w:rPr>
        <w:t>书</w:t>
      </w:r>
      <w:bookmarkEnd w:id="1005"/>
      <w:bookmarkEnd w:id="1006"/>
      <w:bookmarkEnd w:id="1007"/>
      <w:bookmarkEnd w:id="1008"/>
      <w:bookmarkEnd w:id="1009"/>
      <w:bookmarkEnd w:id="1010"/>
      <w:bookmarkEnd w:id="1011"/>
      <w:bookmarkEnd w:id="1012"/>
      <w:bookmarkEnd w:id="1013"/>
      <w:bookmarkEnd w:id="1014"/>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1015" w:name="_Hlt520355938"/>
      <w:bookmarkEnd w:id="1015"/>
      <w:bookmarkStart w:id="1016" w:name="_Hlt520356243"/>
      <w:bookmarkEnd w:id="1016"/>
      <w:bookmarkStart w:id="1017" w:name="_Toc150774762"/>
      <w:bookmarkStart w:id="1018" w:name="_Toc226337253"/>
      <w:bookmarkStart w:id="1019" w:name="_Toc226309801"/>
      <w:bookmarkStart w:id="1020" w:name="_Toc195842922"/>
      <w:bookmarkStart w:id="1021" w:name="_Toc480942350"/>
      <w:bookmarkStart w:id="1022" w:name="_Toc305158899"/>
      <w:bookmarkStart w:id="1023" w:name="_Toc520356218"/>
      <w:bookmarkStart w:id="1024" w:name="_Toc142311059"/>
      <w:bookmarkStart w:id="1025" w:name="_Toc305158825"/>
      <w:bookmarkStart w:id="1026" w:name="_Toc150480795"/>
      <w:bookmarkStart w:id="1027" w:name="_Toc264969247"/>
      <w:bookmarkStart w:id="1028" w:name="_Toc226965830"/>
      <w:bookmarkStart w:id="1029" w:name="_Toc127151557"/>
      <w:bookmarkStart w:id="1030" w:name="_Ref467988705"/>
      <w:bookmarkStart w:id="1031" w:name="_Toc226965747"/>
      <w:bookmarkStart w:id="1032" w:name="_Toc265228395"/>
      <w:r>
        <w:rPr>
          <w:color w:val="000000"/>
          <w:spacing w:val="0"/>
          <w:kern w:val="0"/>
          <w:position w:val="0"/>
          <w:sz w:val="24"/>
        </w:rPr>
        <w:br w:type="page"/>
      </w:r>
    </w:p>
    <w:p w14:paraId="6E14AF97">
      <w:pPr>
        <w:numPr>
          <w:ilvl w:val="0"/>
          <w:numId w:val="17"/>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1033" w:name="_Toc265228396"/>
      <w:bookmarkStart w:id="1034" w:name="_Toc195842923"/>
      <w:bookmarkStart w:id="1035" w:name="_Toc264969248"/>
      <w:bookmarkStart w:id="1036" w:name="_Toc305158900"/>
      <w:bookmarkStart w:id="1037" w:name="_Toc226965748"/>
      <w:bookmarkStart w:id="1038" w:name="_Toc226965831"/>
      <w:bookmarkStart w:id="1039" w:name="_Toc305158826"/>
      <w:bookmarkStart w:id="1040" w:name="_Toc226337254"/>
      <w:bookmarkStart w:id="1041" w:name="_Toc226309802"/>
      <w:bookmarkStart w:id="1042" w:name="_Toc164608827"/>
      <w:bookmarkStart w:id="1043" w:name="_Toc164608672"/>
      <w:r>
        <w:rPr>
          <w:b/>
          <w:color w:val="000000"/>
          <w:spacing w:val="0"/>
          <w:kern w:val="0"/>
          <w:position w:val="0"/>
          <w:sz w:val="36"/>
          <w:szCs w:val="36"/>
        </w:rPr>
        <w:t>开标一览表</w:t>
      </w:r>
      <w:bookmarkEnd w:id="1033"/>
      <w:bookmarkEnd w:id="1034"/>
      <w:bookmarkEnd w:id="1035"/>
      <w:bookmarkEnd w:id="1036"/>
      <w:bookmarkEnd w:id="1037"/>
      <w:bookmarkEnd w:id="1038"/>
      <w:bookmarkEnd w:id="1039"/>
      <w:bookmarkEnd w:id="1040"/>
      <w:bookmarkEnd w:id="1041"/>
      <w:bookmarkEnd w:id="1042"/>
      <w:bookmarkEnd w:id="1043"/>
    </w:p>
    <w:p w14:paraId="0925B5EE">
      <w:pPr>
        <w:tabs>
          <w:tab w:val="left" w:pos="1800"/>
          <w:tab w:val="left" w:pos="5580"/>
        </w:tabs>
        <w:spacing w:line="360" w:lineRule="auto"/>
        <w:jc w:val="left"/>
        <w:rPr>
          <w:i/>
          <w:color w:val="FF0000"/>
          <w:spacing w:val="0"/>
          <w:kern w:val="0"/>
          <w:position w:val="0"/>
          <w:sz w:val="24"/>
        </w:rPr>
      </w:pPr>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345E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08B769FC">
            <w:pPr>
              <w:tabs>
                <w:tab w:val="left" w:pos="5580"/>
              </w:tabs>
              <w:jc w:val="center"/>
              <w:rPr>
                <w:b/>
                <w:spacing w:val="0"/>
                <w:kern w:val="0"/>
                <w:position w:val="0"/>
                <w:sz w:val="24"/>
              </w:rPr>
            </w:pPr>
            <w:r>
              <w:rPr>
                <w:b/>
                <w:spacing w:val="0"/>
                <w:kern w:val="0"/>
                <w:position w:val="0"/>
                <w:sz w:val="24"/>
              </w:rPr>
              <w:t>包号</w:t>
            </w:r>
          </w:p>
        </w:tc>
        <w:tc>
          <w:tcPr>
            <w:tcW w:w="1502" w:type="pct"/>
            <w:vMerge w:val="restart"/>
            <w:vAlign w:val="center"/>
          </w:tcPr>
          <w:p w14:paraId="7F69961A">
            <w:pPr>
              <w:tabs>
                <w:tab w:val="left" w:pos="5580"/>
              </w:tabs>
              <w:jc w:val="center"/>
              <w:rPr>
                <w:b/>
                <w:spacing w:val="0"/>
                <w:kern w:val="0"/>
                <w:position w:val="0"/>
                <w:sz w:val="24"/>
              </w:rPr>
            </w:pPr>
            <w:r>
              <w:rPr>
                <w:b/>
                <w:spacing w:val="0"/>
                <w:kern w:val="0"/>
                <w:position w:val="0"/>
                <w:sz w:val="24"/>
              </w:rPr>
              <w:t>投标人名称</w:t>
            </w:r>
          </w:p>
        </w:tc>
        <w:tc>
          <w:tcPr>
            <w:tcW w:w="1609" w:type="pct"/>
            <w:gridSpan w:val="2"/>
            <w:vAlign w:val="center"/>
          </w:tcPr>
          <w:p w14:paraId="10B04E12">
            <w:pPr>
              <w:tabs>
                <w:tab w:val="left" w:pos="5580"/>
              </w:tabs>
              <w:jc w:val="center"/>
              <w:rPr>
                <w:b/>
                <w:spacing w:val="0"/>
                <w:kern w:val="0"/>
                <w:position w:val="0"/>
                <w:sz w:val="24"/>
              </w:rPr>
            </w:pPr>
            <w:r>
              <w:rPr>
                <w:b/>
                <w:spacing w:val="0"/>
                <w:kern w:val="0"/>
                <w:position w:val="0"/>
                <w:sz w:val="24"/>
              </w:rPr>
              <w:t>投标报价</w:t>
            </w:r>
          </w:p>
        </w:tc>
        <w:tc>
          <w:tcPr>
            <w:tcW w:w="1609" w:type="pct"/>
            <w:vMerge w:val="restart"/>
            <w:vAlign w:val="center"/>
          </w:tcPr>
          <w:p w14:paraId="4AF82063">
            <w:pPr>
              <w:tabs>
                <w:tab w:val="left" w:pos="5580"/>
              </w:tabs>
              <w:jc w:val="center"/>
              <w:rPr>
                <w:rFonts w:hint="eastAsia" w:eastAsia="宋体"/>
                <w:b/>
                <w:spacing w:val="0"/>
                <w:kern w:val="0"/>
                <w:position w:val="0"/>
                <w:sz w:val="24"/>
                <w:lang w:val="en-US" w:eastAsia="zh-CN"/>
              </w:rPr>
            </w:pPr>
            <w:r>
              <w:rPr>
                <w:rFonts w:hint="eastAsia" w:eastAsia="宋体"/>
                <w:b/>
                <w:spacing w:val="0"/>
                <w:kern w:val="0"/>
                <w:position w:val="0"/>
                <w:sz w:val="24"/>
                <w:lang w:val="en-US" w:eastAsia="zh-CN"/>
              </w:rPr>
              <w:t>合同履行期限</w:t>
            </w:r>
          </w:p>
        </w:tc>
      </w:tr>
      <w:tr w14:paraId="032E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78" w:type="pct"/>
            <w:vMerge w:val="continue"/>
            <w:vAlign w:val="center"/>
          </w:tcPr>
          <w:p w14:paraId="7C4FB9E0">
            <w:pPr>
              <w:tabs>
                <w:tab w:val="left" w:pos="5580"/>
              </w:tabs>
              <w:jc w:val="center"/>
              <w:rPr>
                <w:spacing w:val="0"/>
                <w:kern w:val="0"/>
                <w:position w:val="0"/>
                <w:sz w:val="24"/>
              </w:rPr>
            </w:pPr>
          </w:p>
        </w:tc>
        <w:tc>
          <w:tcPr>
            <w:tcW w:w="1502" w:type="pct"/>
            <w:vMerge w:val="continue"/>
            <w:vAlign w:val="center"/>
          </w:tcPr>
          <w:p w14:paraId="199ACA54">
            <w:pPr>
              <w:tabs>
                <w:tab w:val="left" w:pos="5580"/>
              </w:tabs>
              <w:jc w:val="center"/>
              <w:rPr>
                <w:spacing w:val="0"/>
                <w:kern w:val="0"/>
                <w:position w:val="0"/>
                <w:sz w:val="24"/>
              </w:rPr>
            </w:pPr>
          </w:p>
        </w:tc>
        <w:tc>
          <w:tcPr>
            <w:tcW w:w="805" w:type="pct"/>
            <w:vAlign w:val="center"/>
          </w:tcPr>
          <w:p w14:paraId="6250A70B">
            <w:pPr>
              <w:tabs>
                <w:tab w:val="left" w:pos="5580"/>
              </w:tabs>
              <w:jc w:val="center"/>
              <w:rPr>
                <w:b/>
                <w:spacing w:val="0"/>
                <w:kern w:val="0"/>
                <w:position w:val="0"/>
                <w:sz w:val="24"/>
              </w:rPr>
            </w:pPr>
            <w:r>
              <w:rPr>
                <w:b/>
                <w:spacing w:val="0"/>
                <w:kern w:val="0"/>
                <w:position w:val="0"/>
                <w:sz w:val="24"/>
              </w:rPr>
              <w:t>大写</w:t>
            </w:r>
          </w:p>
        </w:tc>
        <w:tc>
          <w:tcPr>
            <w:tcW w:w="804" w:type="pct"/>
            <w:vAlign w:val="center"/>
          </w:tcPr>
          <w:p w14:paraId="4B25497B">
            <w:pPr>
              <w:tabs>
                <w:tab w:val="left" w:pos="5580"/>
              </w:tabs>
              <w:jc w:val="center"/>
              <w:rPr>
                <w:b/>
                <w:spacing w:val="0"/>
                <w:kern w:val="0"/>
                <w:position w:val="0"/>
                <w:sz w:val="24"/>
              </w:rPr>
            </w:pPr>
            <w:r>
              <w:rPr>
                <w:b/>
                <w:spacing w:val="0"/>
                <w:kern w:val="0"/>
                <w:position w:val="0"/>
                <w:sz w:val="24"/>
              </w:rPr>
              <w:t>小写</w:t>
            </w:r>
          </w:p>
        </w:tc>
        <w:tc>
          <w:tcPr>
            <w:tcW w:w="1609" w:type="pct"/>
            <w:vMerge w:val="continue"/>
            <w:tcBorders/>
            <w:vAlign w:val="center"/>
          </w:tcPr>
          <w:p w14:paraId="20D6CA29">
            <w:pPr>
              <w:tabs>
                <w:tab w:val="left" w:pos="5580"/>
              </w:tabs>
              <w:jc w:val="center"/>
              <w:rPr>
                <w:b/>
                <w:spacing w:val="0"/>
                <w:kern w:val="0"/>
                <w:position w:val="0"/>
                <w:sz w:val="24"/>
              </w:rPr>
            </w:pPr>
          </w:p>
        </w:tc>
      </w:tr>
      <w:tr w14:paraId="114F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59B7DCA">
            <w:pPr>
              <w:tabs>
                <w:tab w:val="left" w:pos="5580"/>
              </w:tabs>
              <w:jc w:val="center"/>
              <w:rPr>
                <w:spacing w:val="0"/>
                <w:kern w:val="0"/>
                <w:position w:val="0"/>
                <w:sz w:val="24"/>
              </w:rPr>
            </w:pPr>
          </w:p>
        </w:tc>
        <w:tc>
          <w:tcPr>
            <w:tcW w:w="1502" w:type="pct"/>
            <w:vAlign w:val="center"/>
          </w:tcPr>
          <w:p w14:paraId="29357677">
            <w:pPr>
              <w:tabs>
                <w:tab w:val="left" w:pos="5580"/>
              </w:tabs>
              <w:jc w:val="center"/>
              <w:rPr>
                <w:spacing w:val="0"/>
                <w:kern w:val="0"/>
                <w:position w:val="0"/>
                <w:sz w:val="24"/>
              </w:rPr>
            </w:pPr>
          </w:p>
        </w:tc>
        <w:tc>
          <w:tcPr>
            <w:tcW w:w="805" w:type="pct"/>
            <w:vAlign w:val="center"/>
          </w:tcPr>
          <w:p w14:paraId="030E8308">
            <w:pPr>
              <w:tabs>
                <w:tab w:val="left" w:pos="5580"/>
              </w:tabs>
              <w:jc w:val="center"/>
              <w:rPr>
                <w:spacing w:val="0"/>
                <w:kern w:val="0"/>
                <w:position w:val="0"/>
                <w:sz w:val="24"/>
              </w:rPr>
            </w:pPr>
          </w:p>
        </w:tc>
        <w:tc>
          <w:tcPr>
            <w:tcW w:w="804" w:type="pct"/>
            <w:vAlign w:val="center"/>
          </w:tcPr>
          <w:p w14:paraId="5EC58E8A">
            <w:pPr>
              <w:tabs>
                <w:tab w:val="left" w:pos="5580"/>
              </w:tabs>
              <w:jc w:val="center"/>
              <w:rPr>
                <w:spacing w:val="0"/>
                <w:kern w:val="0"/>
                <w:position w:val="0"/>
                <w:sz w:val="24"/>
              </w:rPr>
            </w:pPr>
          </w:p>
        </w:tc>
        <w:tc>
          <w:tcPr>
            <w:tcW w:w="1609" w:type="pct"/>
            <w:vAlign w:val="center"/>
          </w:tcPr>
          <w:p w14:paraId="67826F01">
            <w:pPr>
              <w:tabs>
                <w:tab w:val="left" w:pos="5580"/>
              </w:tabs>
              <w:jc w:val="center"/>
              <w:rPr>
                <w:spacing w:val="0"/>
                <w:kern w:val="0"/>
                <w:position w:val="0"/>
                <w:sz w:val="24"/>
              </w:rPr>
            </w:pPr>
            <w:bookmarkStart w:id="1086" w:name="_GoBack"/>
            <w:bookmarkEnd w:id="1086"/>
          </w:p>
        </w:tc>
      </w:tr>
    </w:tbl>
    <w:p w14:paraId="74DF088D">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1044" w:name="_Toc226965749"/>
      <w:bookmarkStart w:id="1045" w:name="_Toc305158827"/>
      <w:bookmarkStart w:id="1046" w:name="_Toc127151558"/>
      <w:bookmarkStart w:id="1047" w:name="_Toc195842924"/>
      <w:bookmarkStart w:id="1048" w:name="_Toc226309803"/>
      <w:bookmarkStart w:id="1049" w:name="_Toc264969249"/>
      <w:bookmarkStart w:id="1050" w:name="_Toc150480796"/>
      <w:bookmarkStart w:id="1051" w:name="_Toc226965832"/>
      <w:bookmarkStart w:id="1052" w:name="_Toc305158901"/>
      <w:bookmarkStart w:id="1053" w:name="_Toc265228397"/>
      <w:bookmarkStart w:id="1054" w:name="_Toc226337255"/>
      <w:bookmarkStart w:id="1055" w:name="_Toc150774763"/>
      <w:bookmarkStart w:id="1056" w:name="_Toc142311060"/>
    </w:p>
    <w:p w14:paraId="498C5BE9">
      <w:pPr>
        <w:widowControl/>
        <w:jc w:val="left"/>
        <w:rPr>
          <w:color w:val="000000"/>
          <w:spacing w:val="0"/>
          <w:kern w:val="0"/>
          <w:position w:val="0"/>
          <w:sz w:val="24"/>
          <w:szCs w:val="20"/>
        </w:rPr>
      </w:pPr>
    </w:p>
    <w:p w14:paraId="726E16C5">
      <w:pPr>
        <w:numPr>
          <w:ilvl w:val="0"/>
          <w:numId w:val="17"/>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4638EF26">
      <w:pPr>
        <w:adjustRightInd w:val="0"/>
        <w:snapToGrid w:val="0"/>
        <w:spacing w:before="240" w:beforeLines="100" w:after="240" w:afterLines="100"/>
        <w:jc w:val="left"/>
        <w:rPr>
          <w:b/>
          <w:i/>
          <w:color w:val="FF0000"/>
          <w:spacing w:val="0"/>
          <w:kern w:val="0"/>
          <w:position w:val="0"/>
          <w:sz w:val="24"/>
        </w:rPr>
      </w:pPr>
    </w:p>
    <w:p w14:paraId="19DDF64F">
      <w:pPr>
        <w:tabs>
          <w:tab w:val="left" w:pos="1800"/>
          <w:tab w:val="left" w:pos="5580"/>
        </w:tabs>
        <w:rPr>
          <w:color w:val="000000"/>
          <w:spacing w:val="0"/>
          <w:kern w:val="0"/>
          <w:position w:val="0"/>
          <w:sz w:val="24"/>
        </w:rPr>
      </w:pPr>
      <w:r>
        <w:rPr>
          <w:color w:val="000000"/>
          <w:spacing w:val="0"/>
          <w:kern w:val="0"/>
          <w:position w:val="0"/>
          <w:sz w:val="24"/>
        </w:rPr>
        <w:t>项目编号/包号：________ 项目名称：__________报价单位：人民币元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175" w:type="pct"/>
            <w:vAlign w:val="center"/>
          </w:tcPr>
          <w:p w14:paraId="733EFA74">
            <w:pPr>
              <w:adjustRightInd w:val="0"/>
              <w:snapToGrid w:val="0"/>
              <w:jc w:val="left"/>
              <w:rPr>
                <w:b/>
                <w:color w:val="000000"/>
                <w:spacing w:val="0"/>
                <w:kern w:val="0"/>
                <w:position w:val="0"/>
                <w:sz w:val="24"/>
              </w:rPr>
            </w:pPr>
            <w:r>
              <w:rPr>
                <w:b/>
                <w:color w:val="000000"/>
                <w:spacing w:val="0"/>
                <w:kern w:val="0"/>
                <w:position w:val="0"/>
                <w:sz w:val="24"/>
              </w:rPr>
              <w:t>序号</w:t>
            </w:r>
          </w:p>
        </w:tc>
        <w:tc>
          <w:tcPr>
            <w:tcW w:w="370" w:type="pct"/>
            <w:vAlign w:val="center"/>
          </w:tcPr>
          <w:p w14:paraId="521B3877">
            <w:pPr>
              <w:adjustRightInd w:val="0"/>
              <w:snapToGrid w:val="0"/>
              <w:jc w:val="left"/>
              <w:rPr>
                <w:b/>
                <w:color w:val="000000"/>
                <w:spacing w:val="0"/>
                <w:kern w:val="0"/>
                <w:position w:val="0"/>
                <w:sz w:val="24"/>
              </w:rPr>
            </w:pPr>
            <w:r>
              <w:rPr>
                <w:b/>
                <w:color w:val="000000"/>
                <w:spacing w:val="0"/>
                <w:kern w:val="0"/>
                <w:position w:val="0"/>
                <w:sz w:val="24"/>
              </w:rPr>
              <w:t>分项名称</w:t>
            </w:r>
          </w:p>
        </w:tc>
        <w:tc>
          <w:tcPr>
            <w:tcW w:w="466" w:type="pct"/>
            <w:vAlign w:val="center"/>
          </w:tcPr>
          <w:p w14:paraId="59A41DB2">
            <w:pPr>
              <w:adjustRightInd w:val="0"/>
              <w:snapToGrid w:val="0"/>
              <w:jc w:val="left"/>
              <w:rPr>
                <w:b/>
                <w:color w:val="000000"/>
                <w:spacing w:val="0"/>
                <w:kern w:val="0"/>
                <w:position w:val="0"/>
                <w:sz w:val="24"/>
              </w:rPr>
            </w:pPr>
            <w:r>
              <w:rPr>
                <w:b/>
                <w:color w:val="000000"/>
                <w:spacing w:val="0"/>
                <w:kern w:val="0"/>
                <w:position w:val="0"/>
                <w:sz w:val="24"/>
              </w:rPr>
              <w:t>制造商</w:t>
            </w:r>
          </w:p>
        </w:tc>
        <w:tc>
          <w:tcPr>
            <w:tcW w:w="332" w:type="pct"/>
            <w:vAlign w:val="center"/>
          </w:tcPr>
          <w:p w14:paraId="08141068">
            <w:pPr>
              <w:adjustRightInd w:val="0"/>
              <w:snapToGrid w:val="0"/>
              <w:jc w:val="left"/>
              <w:rPr>
                <w:b/>
                <w:color w:val="000000"/>
                <w:spacing w:val="0"/>
                <w:kern w:val="0"/>
                <w:position w:val="0"/>
                <w:sz w:val="24"/>
              </w:rPr>
            </w:pPr>
            <w:r>
              <w:rPr>
                <w:b/>
                <w:color w:val="000000"/>
                <w:spacing w:val="0"/>
                <w:kern w:val="0"/>
                <w:position w:val="0"/>
                <w:sz w:val="24"/>
              </w:rPr>
              <w:t>产地/国别</w:t>
            </w:r>
          </w:p>
        </w:tc>
        <w:tc>
          <w:tcPr>
            <w:tcW w:w="441" w:type="pct"/>
            <w:vAlign w:val="center"/>
          </w:tcPr>
          <w:p w14:paraId="453EBC9C">
            <w:pPr>
              <w:jc w:val="center"/>
              <w:rPr>
                <w:b/>
                <w:color w:val="000000"/>
                <w:spacing w:val="0"/>
                <w:kern w:val="0"/>
                <w:position w:val="0"/>
                <w:sz w:val="24"/>
              </w:rPr>
            </w:pPr>
            <w:r>
              <w:rPr>
                <w:b/>
                <w:color w:val="000000"/>
                <w:spacing w:val="0"/>
                <w:kern w:val="0"/>
                <w:position w:val="0"/>
                <w:sz w:val="24"/>
              </w:rPr>
              <w:t>制造商</w:t>
            </w:r>
          </w:p>
          <w:p w14:paraId="36C06626">
            <w:pPr>
              <w:adjustRightInd w:val="0"/>
              <w:snapToGrid w:val="0"/>
              <w:jc w:val="center"/>
              <w:rPr>
                <w:b/>
                <w:color w:val="000000"/>
                <w:spacing w:val="0"/>
                <w:kern w:val="0"/>
                <w:position w:val="0"/>
                <w:sz w:val="24"/>
              </w:rPr>
            </w:pPr>
            <w:r>
              <w:rPr>
                <w:b/>
                <w:color w:val="000000"/>
                <w:spacing w:val="0"/>
                <w:kern w:val="0"/>
                <w:position w:val="0"/>
                <w:sz w:val="24"/>
              </w:rPr>
              <w:t>统一</w:t>
            </w:r>
            <w:r>
              <w:rPr>
                <w:rFonts w:hint="eastAsia"/>
                <w:b/>
                <w:color w:val="000000"/>
                <w:spacing w:val="0"/>
                <w:kern w:val="0"/>
                <w:position w:val="0"/>
                <w:sz w:val="24"/>
              </w:rPr>
              <w:t>社会</w:t>
            </w:r>
            <w:r>
              <w:rPr>
                <w:b/>
                <w:color w:val="000000"/>
                <w:spacing w:val="0"/>
                <w:kern w:val="0"/>
                <w:position w:val="0"/>
                <w:sz w:val="24"/>
              </w:rPr>
              <w:t>信用代码</w:t>
            </w:r>
          </w:p>
        </w:tc>
        <w:tc>
          <w:tcPr>
            <w:tcW w:w="441" w:type="pct"/>
            <w:vAlign w:val="center"/>
          </w:tcPr>
          <w:p w14:paraId="2D6E7E26">
            <w:pPr>
              <w:jc w:val="center"/>
              <w:rPr>
                <w:b/>
                <w:color w:val="000000"/>
                <w:spacing w:val="0"/>
                <w:kern w:val="0"/>
                <w:position w:val="0"/>
                <w:sz w:val="24"/>
              </w:rPr>
            </w:pPr>
            <w:r>
              <w:rPr>
                <w:b/>
                <w:color w:val="000000"/>
                <w:spacing w:val="0"/>
                <w:kern w:val="0"/>
                <w:position w:val="0"/>
                <w:sz w:val="24"/>
              </w:rPr>
              <w:t>制造商</w:t>
            </w:r>
          </w:p>
          <w:p w14:paraId="0E1B82B8">
            <w:pPr>
              <w:adjustRightInd w:val="0"/>
              <w:snapToGrid w:val="0"/>
              <w:jc w:val="center"/>
              <w:rPr>
                <w:b/>
                <w:color w:val="000000"/>
                <w:spacing w:val="0"/>
                <w:kern w:val="0"/>
                <w:position w:val="0"/>
                <w:sz w:val="24"/>
              </w:rPr>
            </w:pPr>
            <w:r>
              <w:rPr>
                <w:b/>
                <w:color w:val="000000"/>
                <w:spacing w:val="0"/>
                <w:kern w:val="0"/>
                <w:position w:val="0"/>
                <w:sz w:val="24"/>
              </w:rPr>
              <w:t>规模</w:t>
            </w:r>
          </w:p>
        </w:tc>
        <w:tc>
          <w:tcPr>
            <w:tcW w:w="441" w:type="pct"/>
          </w:tcPr>
          <w:p w14:paraId="6808159C">
            <w:pPr>
              <w:adjustRightInd w:val="0"/>
              <w:snapToGrid w:val="0"/>
              <w:jc w:val="center"/>
              <w:rPr>
                <w:b/>
                <w:color w:val="000000"/>
                <w:spacing w:val="0"/>
                <w:kern w:val="0"/>
                <w:position w:val="0"/>
                <w:sz w:val="24"/>
              </w:rPr>
            </w:pPr>
            <w:r>
              <w:rPr>
                <w:b/>
                <w:color w:val="000000"/>
                <w:spacing w:val="0"/>
                <w:kern w:val="0"/>
                <w:position w:val="0"/>
                <w:sz w:val="24"/>
              </w:rPr>
              <w:t>制造商所属性别</w:t>
            </w:r>
          </w:p>
        </w:tc>
        <w:tc>
          <w:tcPr>
            <w:tcW w:w="441" w:type="pct"/>
          </w:tcPr>
          <w:p w14:paraId="46F4D976">
            <w:pPr>
              <w:adjustRightInd w:val="0"/>
              <w:snapToGrid w:val="0"/>
              <w:jc w:val="center"/>
              <w:rPr>
                <w:b/>
                <w:color w:val="000000"/>
                <w:spacing w:val="0"/>
                <w:kern w:val="0"/>
                <w:position w:val="0"/>
                <w:sz w:val="24"/>
              </w:rPr>
            </w:pPr>
            <w:r>
              <w:rPr>
                <w:b/>
                <w:color w:val="000000"/>
                <w:spacing w:val="0"/>
                <w:kern w:val="0"/>
                <w:position w:val="0"/>
                <w:sz w:val="24"/>
              </w:rPr>
              <w:t>外商投资类型</w:t>
            </w:r>
          </w:p>
        </w:tc>
        <w:tc>
          <w:tcPr>
            <w:tcW w:w="441" w:type="pct"/>
            <w:vAlign w:val="center"/>
          </w:tcPr>
          <w:p w14:paraId="50728830">
            <w:pPr>
              <w:adjustRightInd w:val="0"/>
              <w:snapToGrid w:val="0"/>
              <w:jc w:val="center"/>
              <w:rPr>
                <w:b/>
                <w:color w:val="000000"/>
                <w:spacing w:val="0"/>
                <w:kern w:val="0"/>
                <w:position w:val="0"/>
                <w:sz w:val="24"/>
              </w:rPr>
            </w:pPr>
            <w:r>
              <w:rPr>
                <w:b/>
                <w:color w:val="000000"/>
                <w:spacing w:val="0"/>
                <w:kern w:val="0"/>
                <w:position w:val="0"/>
                <w:sz w:val="24"/>
              </w:rPr>
              <w:t>品牌</w:t>
            </w:r>
          </w:p>
        </w:tc>
        <w:tc>
          <w:tcPr>
            <w:tcW w:w="441" w:type="pct"/>
            <w:vAlign w:val="center"/>
          </w:tcPr>
          <w:p w14:paraId="04C617FD">
            <w:pPr>
              <w:adjustRightInd w:val="0"/>
              <w:snapToGrid w:val="0"/>
              <w:jc w:val="left"/>
              <w:rPr>
                <w:b/>
                <w:color w:val="000000"/>
                <w:spacing w:val="0"/>
                <w:kern w:val="0"/>
                <w:position w:val="0"/>
                <w:sz w:val="24"/>
              </w:rPr>
            </w:pPr>
            <w:r>
              <w:rPr>
                <w:b/>
                <w:color w:val="000000"/>
                <w:spacing w:val="0"/>
                <w:kern w:val="0"/>
                <w:position w:val="0"/>
                <w:sz w:val="24"/>
              </w:rPr>
              <w:t>规格、型号</w:t>
            </w:r>
          </w:p>
        </w:tc>
        <w:tc>
          <w:tcPr>
            <w:tcW w:w="360" w:type="pct"/>
            <w:vAlign w:val="center"/>
          </w:tcPr>
          <w:p w14:paraId="3E92ECD9">
            <w:pPr>
              <w:adjustRightInd w:val="0"/>
              <w:snapToGrid w:val="0"/>
              <w:jc w:val="left"/>
              <w:rPr>
                <w:b/>
                <w:color w:val="000000"/>
                <w:spacing w:val="0"/>
                <w:kern w:val="0"/>
                <w:position w:val="0"/>
                <w:sz w:val="24"/>
              </w:rPr>
            </w:pPr>
            <w:r>
              <w:rPr>
                <w:b/>
                <w:color w:val="000000"/>
                <w:spacing w:val="0"/>
                <w:kern w:val="0"/>
                <w:position w:val="0"/>
                <w:sz w:val="24"/>
              </w:rPr>
              <w:t>单价（元）</w:t>
            </w:r>
          </w:p>
        </w:tc>
        <w:tc>
          <w:tcPr>
            <w:tcW w:w="292" w:type="pct"/>
            <w:vAlign w:val="center"/>
          </w:tcPr>
          <w:p w14:paraId="2595138E">
            <w:pPr>
              <w:adjustRightInd w:val="0"/>
              <w:snapToGrid w:val="0"/>
              <w:jc w:val="left"/>
              <w:rPr>
                <w:b/>
                <w:color w:val="000000"/>
                <w:spacing w:val="0"/>
                <w:kern w:val="0"/>
                <w:position w:val="0"/>
                <w:sz w:val="24"/>
              </w:rPr>
            </w:pPr>
            <w:r>
              <w:rPr>
                <w:b/>
                <w:color w:val="000000"/>
                <w:spacing w:val="0"/>
                <w:kern w:val="0"/>
                <w:position w:val="0"/>
                <w:sz w:val="24"/>
              </w:rPr>
              <w:t>数量</w:t>
            </w:r>
          </w:p>
        </w:tc>
        <w:tc>
          <w:tcPr>
            <w:tcW w:w="359" w:type="pct"/>
            <w:vAlign w:val="center"/>
          </w:tcPr>
          <w:p w14:paraId="631BF671">
            <w:pPr>
              <w:adjustRightInd w:val="0"/>
              <w:snapToGrid w:val="0"/>
              <w:jc w:val="left"/>
              <w:rPr>
                <w:b/>
                <w:color w:val="000000"/>
                <w:spacing w:val="0"/>
                <w:kern w:val="0"/>
                <w:position w:val="0"/>
                <w:sz w:val="24"/>
              </w:rPr>
            </w:pPr>
            <w:r>
              <w:rPr>
                <w:b/>
                <w:color w:val="000000"/>
                <w:spacing w:val="0"/>
                <w:kern w:val="0"/>
                <w:position w:val="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pacing w:val="0"/>
                <w:kern w:val="0"/>
                <w:position w:val="0"/>
                <w:sz w:val="24"/>
              </w:rPr>
            </w:pPr>
            <w:r>
              <w:rPr>
                <w:color w:val="000000"/>
                <w:spacing w:val="0"/>
                <w:kern w:val="0"/>
                <w:position w:val="0"/>
                <w:sz w:val="24"/>
              </w:rPr>
              <w:t>1</w:t>
            </w:r>
          </w:p>
        </w:tc>
        <w:tc>
          <w:tcPr>
            <w:tcW w:w="370" w:type="pct"/>
            <w:vAlign w:val="center"/>
          </w:tcPr>
          <w:p w14:paraId="229A5D11">
            <w:pPr>
              <w:adjustRightInd w:val="0"/>
              <w:snapToGrid w:val="0"/>
              <w:jc w:val="left"/>
              <w:rPr>
                <w:color w:val="000000"/>
                <w:spacing w:val="0"/>
                <w:kern w:val="0"/>
                <w:position w:val="0"/>
                <w:sz w:val="24"/>
              </w:rPr>
            </w:pPr>
          </w:p>
        </w:tc>
        <w:tc>
          <w:tcPr>
            <w:tcW w:w="466" w:type="pct"/>
            <w:vAlign w:val="center"/>
          </w:tcPr>
          <w:p w14:paraId="16F12221">
            <w:pPr>
              <w:adjustRightInd w:val="0"/>
              <w:snapToGrid w:val="0"/>
              <w:jc w:val="left"/>
              <w:rPr>
                <w:color w:val="000000"/>
                <w:spacing w:val="0"/>
                <w:kern w:val="0"/>
                <w:position w:val="0"/>
                <w:sz w:val="24"/>
              </w:rPr>
            </w:pPr>
          </w:p>
        </w:tc>
        <w:tc>
          <w:tcPr>
            <w:tcW w:w="332" w:type="pct"/>
          </w:tcPr>
          <w:p w14:paraId="3BB7145F">
            <w:pPr>
              <w:adjustRightInd w:val="0"/>
              <w:snapToGrid w:val="0"/>
              <w:jc w:val="left"/>
              <w:rPr>
                <w:color w:val="000000"/>
                <w:spacing w:val="0"/>
                <w:kern w:val="0"/>
                <w:position w:val="0"/>
                <w:sz w:val="24"/>
              </w:rPr>
            </w:pPr>
          </w:p>
        </w:tc>
        <w:tc>
          <w:tcPr>
            <w:tcW w:w="441" w:type="pct"/>
            <w:vAlign w:val="center"/>
          </w:tcPr>
          <w:p w14:paraId="1A8745C7">
            <w:pPr>
              <w:adjustRightInd w:val="0"/>
              <w:snapToGrid w:val="0"/>
              <w:jc w:val="center"/>
              <w:rPr>
                <w:color w:val="000000"/>
                <w:spacing w:val="0"/>
                <w:kern w:val="0"/>
                <w:position w:val="0"/>
                <w:sz w:val="24"/>
              </w:rPr>
            </w:pPr>
          </w:p>
        </w:tc>
        <w:tc>
          <w:tcPr>
            <w:tcW w:w="441" w:type="pct"/>
            <w:vAlign w:val="center"/>
          </w:tcPr>
          <w:p w14:paraId="528CB27E">
            <w:pPr>
              <w:adjustRightInd w:val="0"/>
              <w:snapToGrid w:val="0"/>
              <w:jc w:val="center"/>
              <w:rPr>
                <w:color w:val="000000"/>
                <w:spacing w:val="0"/>
                <w:kern w:val="0"/>
                <w:position w:val="0"/>
                <w:sz w:val="24"/>
              </w:rPr>
            </w:pPr>
          </w:p>
        </w:tc>
        <w:tc>
          <w:tcPr>
            <w:tcW w:w="441" w:type="pct"/>
          </w:tcPr>
          <w:p w14:paraId="2999786F">
            <w:pPr>
              <w:adjustRightInd w:val="0"/>
              <w:snapToGrid w:val="0"/>
              <w:jc w:val="center"/>
              <w:rPr>
                <w:color w:val="000000"/>
                <w:spacing w:val="0"/>
                <w:kern w:val="0"/>
                <w:position w:val="0"/>
                <w:sz w:val="24"/>
              </w:rPr>
            </w:pPr>
          </w:p>
        </w:tc>
        <w:tc>
          <w:tcPr>
            <w:tcW w:w="441" w:type="pct"/>
          </w:tcPr>
          <w:p w14:paraId="60DCA3AA">
            <w:pPr>
              <w:adjustRightInd w:val="0"/>
              <w:snapToGrid w:val="0"/>
              <w:jc w:val="center"/>
              <w:rPr>
                <w:color w:val="000000"/>
                <w:spacing w:val="0"/>
                <w:kern w:val="0"/>
                <w:position w:val="0"/>
                <w:sz w:val="24"/>
              </w:rPr>
            </w:pPr>
          </w:p>
        </w:tc>
        <w:tc>
          <w:tcPr>
            <w:tcW w:w="441" w:type="pct"/>
            <w:vAlign w:val="center"/>
          </w:tcPr>
          <w:p w14:paraId="7AA86562">
            <w:pPr>
              <w:adjustRightInd w:val="0"/>
              <w:snapToGrid w:val="0"/>
              <w:jc w:val="center"/>
              <w:rPr>
                <w:color w:val="000000"/>
                <w:spacing w:val="0"/>
                <w:kern w:val="0"/>
                <w:position w:val="0"/>
                <w:sz w:val="24"/>
              </w:rPr>
            </w:pPr>
          </w:p>
        </w:tc>
        <w:tc>
          <w:tcPr>
            <w:tcW w:w="441" w:type="pct"/>
            <w:vAlign w:val="center"/>
          </w:tcPr>
          <w:p w14:paraId="799545D1">
            <w:pPr>
              <w:adjustRightInd w:val="0"/>
              <w:snapToGrid w:val="0"/>
              <w:jc w:val="left"/>
              <w:rPr>
                <w:color w:val="000000"/>
                <w:spacing w:val="0"/>
                <w:kern w:val="0"/>
                <w:position w:val="0"/>
                <w:sz w:val="24"/>
              </w:rPr>
            </w:pPr>
          </w:p>
        </w:tc>
        <w:tc>
          <w:tcPr>
            <w:tcW w:w="360" w:type="pct"/>
            <w:vAlign w:val="center"/>
          </w:tcPr>
          <w:p w14:paraId="6EA463CD">
            <w:pPr>
              <w:adjustRightInd w:val="0"/>
              <w:snapToGrid w:val="0"/>
              <w:jc w:val="left"/>
              <w:rPr>
                <w:color w:val="000000"/>
                <w:spacing w:val="0"/>
                <w:kern w:val="0"/>
                <w:position w:val="0"/>
                <w:sz w:val="24"/>
              </w:rPr>
            </w:pPr>
          </w:p>
        </w:tc>
        <w:tc>
          <w:tcPr>
            <w:tcW w:w="292" w:type="pct"/>
            <w:vAlign w:val="center"/>
          </w:tcPr>
          <w:p w14:paraId="3395997F">
            <w:pPr>
              <w:adjustRightInd w:val="0"/>
              <w:snapToGrid w:val="0"/>
              <w:jc w:val="left"/>
              <w:rPr>
                <w:color w:val="000000"/>
                <w:spacing w:val="0"/>
                <w:kern w:val="0"/>
                <w:position w:val="0"/>
                <w:sz w:val="24"/>
              </w:rPr>
            </w:pPr>
          </w:p>
        </w:tc>
        <w:tc>
          <w:tcPr>
            <w:tcW w:w="359" w:type="pct"/>
            <w:vAlign w:val="center"/>
          </w:tcPr>
          <w:p w14:paraId="0D2E77E1">
            <w:pPr>
              <w:adjustRightInd w:val="0"/>
              <w:snapToGrid w:val="0"/>
              <w:jc w:val="left"/>
              <w:rPr>
                <w:color w:val="000000"/>
                <w:spacing w:val="0"/>
                <w:kern w:val="0"/>
                <w:position w:val="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pacing w:val="0"/>
                <w:kern w:val="0"/>
                <w:position w:val="0"/>
                <w:sz w:val="24"/>
              </w:rPr>
            </w:pPr>
            <w:r>
              <w:rPr>
                <w:color w:val="000000"/>
                <w:spacing w:val="0"/>
                <w:kern w:val="0"/>
                <w:position w:val="0"/>
                <w:sz w:val="24"/>
              </w:rPr>
              <w:t>2</w:t>
            </w:r>
          </w:p>
        </w:tc>
        <w:tc>
          <w:tcPr>
            <w:tcW w:w="370" w:type="pct"/>
            <w:vAlign w:val="center"/>
          </w:tcPr>
          <w:p w14:paraId="54AAA0EA">
            <w:pPr>
              <w:adjustRightInd w:val="0"/>
              <w:snapToGrid w:val="0"/>
              <w:jc w:val="left"/>
              <w:rPr>
                <w:color w:val="000000"/>
                <w:spacing w:val="0"/>
                <w:kern w:val="0"/>
                <w:position w:val="0"/>
                <w:sz w:val="24"/>
              </w:rPr>
            </w:pPr>
          </w:p>
        </w:tc>
        <w:tc>
          <w:tcPr>
            <w:tcW w:w="466" w:type="pct"/>
            <w:vAlign w:val="center"/>
          </w:tcPr>
          <w:p w14:paraId="30EC1F3B">
            <w:pPr>
              <w:adjustRightInd w:val="0"/>
              <w:snapToGrid w:val="0"/>
              <w:jc w:val="left"/>
              <w:rPr>
                <w:color w:val="000000"/>
                <w:spacing w:val="0"/>
                <w:kern w:val="0"/>
                <w:position w:val="0"/>
                <w:sz w:val="24"/>
              </w:rPr>
            </w:pPr>
          </w:p>
        </w:tc>
        <w:tc>
          <w:tcPr>
            <w:tcW w:w="332" w:type="pct"/>
          </w:tcPr>
          <w:p w14:paraId="6D76D553">
            <w:pPr>
              <w:adjustRightInd w:val="0"/>
              <w:snapToGrid w:val="0"/>
              <w:jc w:val="left"/>
              <w:rPr>
                <w:color w:val="000000"/>
                <w:spacing w:val="0"/>
                <w:kern w:val="0"/>
                <w:position w:val="0"/>
                <w:sz w:val="24"/>
              </w:rPr>
            </w:pPr>
          </w:p>
        </w:tc>
        <w:tc>
          <w:tcPr>
            <w:tcW w:w="441" w:type="pct"/>
            <w:vAlign w:val="center"/>
          </w:tcPr>
          <w:p w14:paraId="0D61008D">
            <w:pPr>
              <w:adjustRightInd w:val="0"/>
              <w:snapToGrid w:val="0"/>
              <w:jc w:val="center"/>
              <w:rPr>
                <w:color w:val="000000"/>
                <w:spacing w:val="0"/>
                <w:kern w:val="0"/>
                <w:position w:val="0"/>
                <w:sz w:val="24"/>
              </w:rPr>
            </w:pPr>
          </w:p>
        </w:tc>
        <w:tc>
          <w:tcPr>
            <w:tcW w:w="441" w:type="pct"/>
            <w:vAlign w:val="center"/>
          </w:tcPr>
          <w:p w14:paraId="5D5ECEED">
            <w:pPr>
              <w:adjustRightInd w:val="0"/>
              <w:snapToGrid w:val="0"/>
              <w:jc w:val="center"/>
              <w:rPr>
                <w:color w:val="000000"/>
                <w:spacing w:val="0"/>
                <w:kern w:val="0"/>
                <w:position w:val="0"/>
                <w:sz w:val="24"/>
              </w:rPr>
            </w:pPr>
          </w:p>
        </w:tc>
        <w:tc>
          <w:tcPr>
            <w:tcW w:w="441" w:type="pct"/>
          </w:tcPr>
          <w:p w14:paraId="5345AC91">
            <w:pPr>
              <w:adjustRightInd w:val="0"/>
              <w:snapToGrid w:val="0"/>
              <w:jc w:val="center"/>
              <w:rPr>
                <w:color w:val="000000"/>
                <w:spacing w:val="0"/>
                <w:kern w:val="0"/>
                <w:position w:val="0"/>
                <w:sz w:val="24"/>
              </w:rPr>
            </w:pPr>
          </w:p>
        </w:tc>
        <w:tc>
          <w:tcPr>
            <w:tcW w:w="441" w:type="pct"/>
          </w:tcPr>
          <w:p w14:paraId="376D9BD3">
            <w:pPr>
              <w:adjustRightInd w:val="0"/>
              <w:snapToGrid w:val="0"/>
              <w:jc w:val="center"/>
              <w:rPr>
                <w:color w:val="000000"/>
                <w:spacing w:val="0"/>
                <w:kern w:val="0"/>
                <w:position w:val="0"/>
                <w:sz w:val="24"/>
              </w:rPr>
            </w:pPr>
          </w:p>
        </w:tc>
        <w:tc>
          <w:tcPr>
            <w:tcW w:w="441" w:type="pct"/>
            <w:vAlign w:val="center"/>
          </w:tcPr>
          <w:p w14:paraId="193552A9">
            <w:pPr>
              <w:adjustRightInd w:val="0"/>
              <w:snapToGrid w:val="0"/>
              <w:jc w:val="center"/>
              <w:rPr>
                <w:color w:val="000000"/>
                <w:spacing w:val="0"/>
                <w:kern w:val="0"/>
                <w:position w:val="0"/>
                <w:sz w:val="24"/>
              </w:rPr>
            </w:pPr>
          </w:p>
        </w:tc>
        <w:tc>
          <w:tcPr>
            <w:tcW w:w="441" w:type="pct"/>
            <w:vAlign w:val="center"/>
          </w:tcPr>
          <w:p w14:paraId="02E2C884">
            <w:pPr>
              <w:adjustRightInd w:val="0"/>
              <w:snapToGrid w:val="0"/>
              <w:jc w:val="left"/>
              <w:rPr>
                <w:color w:val="000000"/>
                <w:spacing w:val="0"/>
                <w:kern w:val="0"/>
                <w:position w:val="0"/>
                <w:sz w:val="24"/>
              </w:rPr>
            </w:pPr>
          </w:p>
        </w:tc>
        <w:tc>
          <w:tcPr>
            <w:tcW w:w="360" w:type="pct"/>
            <w:vAlign w:val="center"/>
          </w:tcPr>
          <w:p w14:paraId="51333111">
            <w:pPr>
              <w:adjustRightInd w:val="0"/>
              <w:snapToGrid w:val="0"/>
              <w:jc w:val="left"/>
              <w:rPr>
                <w:color w:val="000000"/>
                <w:spacing w:val="0"/>
                <w:kern w:val="0"/>
                <w:position w:val="0"/>
                <w:sz w:val="24"/>
              </w:rPr>
            </w:pPr>
          </w:p>
        </w:tc>
        <w:tc>
          <w:tcPr>
            <w:tcW w:w="292" w:type="pct"/>
            <w:vAlign w:val="center"/>
          </w:tcPr>
          <w:p w14:paraId="33EE2D19">
            <w:pPr>
              <w:adjustRightInd w:val="0"/>
              <w:snapToGrid w:val="0"/>
              <w:jc w:val="left"/>
              <w:rPr>
                <w:color w:val="000000"/>
                <w:spacing w:val="0"/>
                <w:kern w:val="0"/>
                <w:position w:val="0"/>
                <w:sz w:val="24"/>
              </w:rPr>
            </w:pPr>
          </w:p>
        </w:tc>
        <w:tc>
          <w:tcPr>
            <w:tcW w:w="359" w:type="pct"/>
            <w:vAlign w:val="center"/>
          </w:tcPr>
          <w:p w14:paraId="5344F358">
            <w:pPr>
              <w:adjustRightInd w:val="0"/>
              <w:snapToGrid w:val="0"/>
              <w:jc w:val="left"/>
              <w:rPr>
                <w:color w:val="000000"/>
                <w:spacing w:val="0"/>
                <w:kern w:val="0"/>
                <w:position w:val="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pacing w:val="0"/>
                <w:kern w:val="0"/>
                <w:position w:val="0"/>
                <w:sz w:val="24"/>
              </w:rPr>
            </w:pPr>
            <w:r>
              <w:rPr>
                <w:color w:val="000000"/>
                <w:spacing w:val="0"/>
                <w:kern w:val="0"/>
                <w:position w:val="0"/>
                <w:sz w:val="24"/>
              </w:rPr>
              <w:t>3</w:t>
            </w:r>
          </w:p>
        </w:tc>
        <w:tc>
          <w:tcPr>
            <w:tcW w:w="370" w:type="pct"/>
            <w:vAlign w:val="center"/>
          </w:tcPr>
          <w:p w14:paraId="07B44911">
            <w:pPr>
              <w:adjustRightInd w:val="0"/>
              <w:snapToGrid w:val="0"/>
              <w:jc w:val="left"/>
              <w:rPr>
                <w:color w:val="000000"/>
                <w:spacing w:val="0"/>
                <w:kern w:val="0"/>
                <w:position w:val="0"/>
                <w:sz w:val="24"/>
              </w:rPr>
            </w:pPr>
          </w:p>
        </w:tc>
        <w:tc>
          <w:tcPr>
            <w:tcW w:w="466" w:type="pct"/>
            <w:vAlign w:val="center"/>
          </w:tcPr>
          <w:p w14:paraId="2A63C062">
            <w:pPr>
              <w:adjustRightInd w:val="0"/>
              <w:snapToGrid w:val="0"/>
              <w:jc w:val="left"/>
              <w:rPr>
                <w:color w:val="000000"/>
                <w:spacing w:val="0"/>
                <w:kern w:val="0"/>
                <w:position w:val="0"/>
                <w:sz w:val="24"/>
              </w:rPr>
            </w:pPr>
          </w:p>
        </w:tc>
        <w:tc>
          <w:tcPr>
            <w:tcW w:w="332" w:type="pct"/>
          </w:tcPr>
          <w:p w14:paraId="4FD833B6">
            <w:pPr>
              <w:adjustRightInd w:val="0"/>
              <w:snapToGrid w:val="0"/>
              <w:jc w:val="left"/>
              <w:rPr>
                <w:color w:val="000000"/>
                <w:spacing w:val="0"/>
                <w:kern w:val="0"/>
                <w:position w:val="0"/>
                <w:sz w:val="24"/>
              </w:rPr>
            </w:pPr>
          </w:p>
        </w:tc>
        <w:tc>
          <w:tcPr>
            <w:tcW w:w="441" w:type="pct"/>
            <w:vAlign w:val="center"/>
          </w:tcPr>
          <w:p w14:paraId="74C81B7B">
            <w:pPr>
              <w:adjustRightInd w:val="0"/>
              <w:snapToGrid w:val="0"/>
              <w:jc w:val="center"/>
              <w:rPr>
                <w:color w:val="000000"/>
                <w:spacing w:val="0"/>
                <w:kern w:val="0"/>
                <w:position w:val="0"/>
                <w:sz w:val="24"/>
              </w:rPr>
            </w:pPr>
          </w:p>
        </w:tc>
        <w:tc>
          <w:tcPr>
            <w:tcW w:w="441" w:type="pct"/>
            <w:vAlign w:val="center"/>
          </w:tcPr>
          <w:p w14:paraId="3BD3326C">
            <w:pPr>
              <w:adjustRightInd w:val="0"/>
              <w:snapToGrid w:val="0"/>
              <w:jc w:val="center"/>
              <w:rPr>
                <w:color w:val="000000"/>
                <w:spacing w:val="0"/>
                <w:kern w:val="0"/>
                <w:position w:val="0"/>
                <w:sz w:val="24"/>
              </w:rPr>
            </w:pPr>
          </w:p>
        </w:tc>
        <w:tc>
          <w:tcPr>
            <w:tcW w:w="441" w:type="pct"/>
          </w:tcPr>
          <w:p w14:paraId="421E3E2C">
            <w:pPr>
              <w:adjustRightInd w:val="0"/>
              <w:snapToGrid w:val="0"/>
              <w:jc w:val="center"/>
              <w:rPr>
                <w:color w:val="000000"/>
                <w:spacing w:val="0"/>
                <w:kern w:val="0"/>
                <w:position w:val="0"/>
                <w:sz w:val="24"/>
              </w:rPr>
            </w:pPr>
          </w:p>
        </w:tc>
        <w:tc>
          <w:tcPr>
            <w:tcW w:w="441" w:type="pct"/>
          </w:tcPr>
          <w:p w14:paraId="2692A11B">
            <w:pPr>
              <w:adjustRightInd w:val="0"/>
              <w:snapToGrid w:val="0"/>
              <w:jc w:val="center"/>
              <w:rPr>
                <w:color w:val="000000"/>
                <w:spacing w:val="0"/>
                <w:kern w:val="0"/>
                <w:position w:val="0"/>
                <w:sz w:val="24"/>
              </w:rPr>
            </w:pPr>
          </w:p>
        </w:tc>
        <w:tc>
          <w:tcPr>
            <w:tcW w:w="441" w:type="pct"/>
            <w:vAlign w:val="center"/>
          </w:tcPr>
          <w:p w14:paraId="30423313">
            <w:pPr>
              <w:adjustRightInd w:val="0"/>
              <w:snapToGrid w:val="0"/>
              <w:jc w:val="center"/>
              <w:rPr>
                <w:color w:val="000000"/>
                <w:spacing w:val="0"/>
                <w:kern w:val="0"/>
                <w:position w:val="0"/>
                <w:sz w:val="24"/>
              </w:rPr>
            </w:pPr>
          </w:p>
        </w:tc>
        <w:tc>
          <w:tcPr>
            <w:tcW w:w="441" w:type="pct"/>
            <w:vAlign w:val="center"/>
          </w:tcPr>
          <w:p w14:paraId="3444AB3A">
            <w:pPr>
              <w:adjustRightInd w:val="0"/>
              <w:snapToGrid w:val="0"/>
              <w:jc w:val="left"/>
              <w:rPr>
                <w:color w:val="000000"/>
                <w:spacing w:val="0"/>
                <w:kern w:val="0"/>
                <w:position w:val="0"/>
                <w:sz w:val="24"/>
              </w:rPr>
            </w:pPr>
          </w:p>
        </w:tc>
        <w:tc>
          <w:tcPr>
            <w:tcW w:w="360" w:type="pct"/>
            <w:vAlign w:val="center"/>
          </w:tcPr>
          <w:p w14:paraId="4969AF4E">
            <w:pPr>
              <w:adjustRightInd w:val="0"/>
              <w:snapToGrid w:val="0"/>
              <w:jc w:val="left"/>
              <w:rPr>
                <w:color w:val="000000"/>
                <w:spacing w:val="0"/>
                <w:kern w:val="0"/>
                <w:position w:val="0"/>
                <w:sz w:val="24"/>
              </w:rPr>
            </w:pPr>
          </w:p>
        </w:tc>
        <w:tc>
          <w:tcPr>
            <w:tcW w:w="292" w:type="pct"/>
            <w:vAlign w:val="center"/>
          </w:tcPr>
          <w:p w14:paraId="76771800">
            <w:pPr>
              <w:adjustRightInd w:val="0"/>
              <w:snapToGrid w:val="0"/>
              <w:jc w:val="left"/>
              <w:rPr>
                <w:color w:val="000000"/>
                <w:spacing w:val="0"/>
                <w:kern w:val="0"/>
                <w:position w:val="0"/>
                <w:sz w:val="24"/>
              </w:rPr>
            </w:pPr>
          </w:p>
        </w:tc>
        <w:tc>
          <w:tcPr>
            <w:tcW w:w="359" w:type="pct"/>
            <w:vAlign w:val="center"/>
          </w:tcPr>
          <w:p w14:paraId="51E0C1F1">
            <w:pPr>
              <w:adjustRightInd w:val="0"/>
              <w:snapToGrid w:val="0"/>
              <w:jc w:val="left"/>
              <w:rPr>
                <w:color w:val="000000"/>
                <w:spacing w:val="0"/>
                <w:kern w:val="0"/>
                <w:position w:val="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pacing w:val="0"/>
                <w:kern w:val="0"/>
                <w:position w:val="0"/>
                <w:sz w:val="24"/>
              </w:rPr>
            </w:pPr>
            <w:r>
              <w:rPr>
                <w:color w:val="000000"/>
                <w:spacing w:val="0"/>
                <w:kern w:val="0"/>
                <w:position w:val="0"/>
                <w:sz w:val="24"/>
              </w:rPr>
              <w:t>4</w:t>
            </w:r>
          </w:p>
        </w:tc>
        <w:tc>
          <w:tcPr>
            <w:tcW w:w="370" w:type="pct"/>
            <w:vAlign w:val="center"/>
          </w:tcPr>
          <w:p w14:paraId="5D5C98DD">
            <w:pPr>
              <w:adjustRightInd w:val="0"/>
              <w:snapToGrid w:val="0"/>
              <w:jc w:val="left"/>
              <w:rPr>
                <w:color w:val="000000"/>
                <w:spacing w:val="0"/>
                <w:kern w:val="0"/>
                <w:position w:val="0"/>
                <w:sz w:val="24"/>
              </w:rPr>
            </w:pPr>
          </w:p>
        </w:tc>
        <w:tc>
          <w:tcPr>
            <w:tcW w:w="466" w:type="pct"/>
            <w:vAlign w:val="center"/>
          </w:tcPr>
          <w:p w14:paraId="44614B66">
            <w:pPr>
              <w:adjustRightInd w:val="0"/>
              <w:snapToGrid w:val="0"/>
              <w:jc w:val="left"/>
              <w:rPr>
                <w:color w:val="000000"/>
                <w:spacing w:val="0"/>
                <w:kern w:val="0"/>
                <w:position w:val="0"/>
                <w:sz w:val="24"/>
              </w:rPr>
            </w:pPr>
          </w:p>
        </w:tc>
        <w:tc>
          <w:tcPr>
            <w:tcW w:w="332" w:type="pct"/>
          </w:tcPr>
          <w:p w14:paraId="63965E38">
            <w:pPr>
              <w:adjustRightInd w:val="0"/>
              <w:snapToGrid w:val="0"/>
              <w:jc w:val="left"/>
              <w:rPr>
                <w:color w:val="000000"/>
                <w:spacing w:val="0"/>
                <w:kern w:val="0"/>
                <w:position w:val="0"/>
                <w:sz w:val="24"/>
              </w:rPr>
            </w:pPr>
          </w:p>
        </w:tc>
        <w:tc>
          <w:tcPr>
            <w:tcW w:w="441" w:type="pct"/>
            <w:vAlign w:val="center"/>
          </w:tcPr>
          <w:p w14:paraId="13B0ADCB">
            <w:pPr>
              <w:adjustRightInd w:val="0"/>
              <w:snapToGrid w:val="0"/>
              <w:jc w:val="center"/>
              <w:rPr>
                <w:color w:val="000000"/>
                <w:spacing w:val="0"/>
                <w:kern w:val="0"/>
                <w:position w:val="0"/>
                <w:sz w:val="24"/>
              </w:rPr>
            </w:pPr>
          </w:p>
        </w:tc>
        <w:tc>
          <w:tcPr>
            <w:tcW w:w="441" w:type="pct"/>
            <w:vAlign w:val="center"/>
          </w:tcPr>
          <w:p w14:paraId="7C08130B">
            <w:pPr>
              <w:adjustRightInd w:val="0"/>
              <w:snapToGrid w:val="0"/>
              <w:jc w:val="center"/>
              <w:rPr>
                <w:color w:val="000000"/>
                <w:spacing w:val="0"/>
                <w:kern w:val="0"/>
                <w:position w:val="0"/>
                <w:sz w:val="24"/>
              </w:rPr>
            </w:pPr>
          </w:p>
        </w:tc>
        <w:tc>
          <w:tcPr>
            <w:tcW w:w="441" w:type="pct"/>
          </w:tcPr>
          <w:p w14:paraId="52EBF24F">
            <w:pPr>
              <w:adjustRightInd w:val="0"/>
              <w:snapToGrid w:val="0"/>
              <w:jc w:val="center"/>
              <w:rPr>
                <w:color w:val="000000"/>
                <w:spacing w:val="0"/>
                <w:kern w:val="0"/>
                <w:position w:val="0"/>
                <w:sz w:val="24"/>
              </w:rPr>
            </w:pPr>
          </w:p>
        </w:tc>
        <w:tc>
          <w:tcPr>
            <w:tcW w:w="441" w:type="pct"/>
          </w:tcPr>
          <w:p w14:paraId="19FCB1BA">
            <w:pPr>
              <w:adjustRightInd w:val="0"/>
              <w:snapToGrid w:val="0"/>
              <w:jc w:val="center"/>
              <w:rPr>
                <w:color w:val="000000"/>
                <w:spacing w:val="0"/>
                <w:kern w:val="0"/>
                <w:position w:val="0"/>
                <w:sz w:val="24"/>
              </w:rPr>
            </w:pPr>
          </w:p>
        </w:tc>
        <w:tc>
          <w:tcPr>
            <w:tcW w:w="441" w:type="pct"/>
            <w:vAlign w:val="center"/>
          </w:tcPr>
          <w:p w14:paraId="5CCF8614">
            <w:pPr>
              <w:adjustRightInd w:val="0"/>
              <w:snapToGrid w:val="0"/>
              <w:jc w:val="center"/>
              <w:rPr>
                <w:color w:val="000000"/>
                <w:spacing w:val="0"/>
                <w:kern w:val="0"/>
                <w:position w:val="0"/>
                <w:sz w:val="24"/>
              </w:rPr>
            </w:pPr>
          </w:p>
        </w:tc>
        <w:tc>
          <w:tcPr>
            <w:tcW w:w="441" w:type="pct"/>
            <w:vAlign w:val="center"/>
          </w:tcPr>
          <w:p w14:paraId="1AA98634">
            <w:pPr>
              <w:adjustRightInd w:val="0"/>
              <w:snapToGrid w:val="0"/>
              <w:jc w:val="left"/>
              <w:rPr>
                <w:color w:val="000000"/>
                <w:spacing w:val="0"/>
                <w:kern w:val="0"/>
                <w:position w:val="0"/>
                <w:sz w:val="24"/>
              </w:rPr>
            </w:pPr>
          </w:p>
        </w:tc>
        <w:tc>
          <w:tcPr>
            <w:tcW w:w="360" w:type="pct"/>
            <w:vAlign w:val="center"/>
          </w:tcPr>
          <w:p w14:paraId="748E3607">
            <w:pPr>
              <w:adjustRightInd w:val="0"/>
              <w:snapToGrid w:val="0"/>
              <w:jc w:val="left"/>
              <w:rPr>
                <w:color w:val="000000"/>
                <w:spacing w:val="0"/>
                <w:kern w:val="0"/>
                <w:position w:val="0"/>
                <w:sz w:val="24"/>
              </w:rPr>
            </w:pPr>
          </w:p>
        </w:tc>
        <w:tc>
          <w:tcPr>
            <w:tcW w:w="292" w:type="pct"/>
            <w:vAlign w:val="center"/>
          </w:tcPr>
          <w:p w14:paraId="0EBBB324">
            <w:pPr>
              <w:adjustRightInd w:val="0"/>
              <w:snapToGrid w:val="0"/>
              <w:jc w:val="left"/>
              <w:rPr>
                <w:color w:val="000000"/>
                <w:spacing w:val="0"/>
                <w:kern w:val="0"/>
                <w:position w:val="0"/>
                <w:sz w:val="24"/>
              </w:rPr>
            </w:pPr>
          </w:p>
        </w:tc>
        <w:tc>
          <w:tcPr>
            <w:tcW w:w="359" w:type="pct"/>
            <w:vAlign w:val="center"/>
          </w:tcPr>
          <w:p w14:paraId="51D424A6">
            <w:pPr>
              <w:adjustRightInd w:val="0"/>
              <w:snapToGrid w:val="0"/>
              <w:jc w:val="left"/>
              <w:rPr>
                <w:color w:val="000000"/>
                <w:spacing w:val="0"/>
                <w:kern w:val="0"/>
                <w:position w:val="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pacing w:val="0"/>
                <w:kern w:val="0"/>
                <w:position w:val="0"/>
                <w:sz w:val="24"/>
              </w:rPr>
            </w:pPr>
            <w:r>
              <w:rPr>
                <w:color w:val="000000"/>
                <w:spacing w:val="0"/>
                <w:kern w:val="0"/>
                <w:position w:val="0"/>
                <w:sz w:val="24"/>
              </w:rPr>
              <w:t>…</w:t>
            </w:r>
          </w:p>
        </w:tc>
        <w:tc>
          <w:tcPr>
            <w:tcW w:w="370" w:type="pct"/>
            <w:vAlign w:val="center"/>
          </w:tcPr>
          <w:p w14:paraId="3248172A">
            <w:pPr>
              <w:adjustRightInd w:val="0"/>
              <w:snapToGrid w:val="0"/>
              <w:jc w:val="left"/>
              <w:rPr>
                <w:color w:val="000000"/>
                <w:spacing w:val="0"/>
                <w:kern w:val="0"/>
                <w:position w:val="0"/>
                <w:sz w:val="24"/>
              </w:rPr>
            </w:pPr>
          </w:p>
        </w:tc>
        <w:tc>
          <w:tcPr>
            <w:tcW w:w="466" w:type="pct"/>
            <w:vAlign w:val="center"/>
          </w:tcPr>
          <w:p w14:paraId="12AD68B9">
            <w:pPr>
              <w:adjustRightInd w:val="0"/>
              <w:snapToGrid w:val="0"/>
              <w:jc w:val="left"/>
              <w:rPr>
                <w:color w:val="000000"/>
                <w:spacing w:val="0"/>
                <w:kern w:val="0"/>
                <w:position w:val="0"/>
                <w:sz w:val="24"/>
              </w:rPr>
            </w:pPr>
          </w:p>
        </w:tc>
        <w:tc>
          <w:tcPr>
            <w:tcW w:w="332" w:type="pct"/>
          </w:tcPr>
          <w:p w14:paraId="2197391B">
            <w:pPr>
              <w:adjustRightInd w:val="0"/>
              <w:snapToGrid w:val="0"/>
              <w:jc w:val="left"/>
              <w:rPr>
                <w:color w:val="000000"/>
                <w:spacing w:val="0"/>
                <w:kern w:val="0"/>
                <w:position w:val="0"/>
                <w:sz w:val="24"/>
              </w:rPr>
            </w:pPr>
          </w:p>
        </w:tc>
        <w:tc>
          <w:tcPr>
            <w:tcW w:w="441" w:type="pct"/>
            <w:vAlign w:val="center"/>
          </w:tcPr>
          <w:p w14:paraId="5BF4C54D">
            <w:pPr>
              <w:adjustRightInd w:val="0"/>
              <w:snapToGrid w:val="0"/>
              <w:jc w:val="center"/>
              <w:rPr>
                <w:color w:val="000000"/>
                <w:spacing w:val="0"/>
                <w:kern w:val="0"/>
                <w:position w:val="0"/>
                <w:sz w:val="24"/>
              </w:rPr>
            </w:pPr>
          </w:p>
        </w:tc>
        <w:tc>
          <w:tcPr>
            <w:tcW w:w="441" w:type="pct"/>
            <w:vAlign w:val="center"/>
          </w:tcPr>
          <w:p w14:paraId="58421255">
            <w:pPr>
              <w:adjustRightInd w:val="0"/>
              <w:snapToGrid w:val="0"/>
              <w:jc w:val="center"/>
              <w:rPr>
                <w:color w:val="000000"/>
                <w:spacing w:val="0"/>
                <w:kern w:val="0"/>
                <w:position w:val="0"/>
                <w:sz w:val="24"/>
              </w:rPr>
            </w:pPr>
          </w:p>
        </w:tc>
        <w:tc>
          <w:tcPr>
            <w:tcW w:w="441" w:type="pct"/>
          </w:tcPr>
          <w:p w14:paraId="76EDFFC5">
            <w:pPr>
              <w:adjustRightInd w:val="0"/>
              <w:snapToGrid w:val="0"/>
              <w:jc w:val="center"/>
              <w:rPr>
                <w:color w:val="000000"/>
                <w:spacing w:val="0"/>
                <w:kern w:val="0"/>
                <w:position w:val="0"/>
                <w:sz w:val="24"/>
              </w:rPr>
            </w:pPr>
          </w:p>
        </w:tc>
        <w:tc>
          <w:tcPr>
            <w:tcW w:w="441" w:type="pct"/>
          </w:tcPr>
          <w:p w14:paraId="03AF1E2A">
            <w:pPr>
              <w:adjustRightInd w:val="0"/>
              <w:snapToGrid w:val="0"/>
              <w:jc w:val="center"/>
              <w:rPr>
                <w:color w:val="000000"/>
                <w:spacing w:val="0"/>
                <w:kern w:val="0"/>
                <w:position w:val="0"/>
                <w:sz w:val="24"/>
              </w:rPr>
            </w:pPr>
          </w:p>
        </w:tc>
        <w:tc>
          <w:tcPr>
            <w:tcW w:w="441" w:type="pct"/>
            <w:vAlign w:val="center"/>
          </w:tcPr>
          <w:p w14:paraId="79C62E47">
            <w:pPr>
              <w:adjustRightInd w:val="0"/>
              <w:snapToGrid w:val="0"/>
              <w:jc w:val="center"/>
              <w:rPr>
                <w:color w:val="000000"/>
                <w:spacing w:val="0"/>
                <w:kern w:val="0"/>
                <w:position w:val="0"/>
                <w:sz w:val="24"/>
              </w:rPr>
            </w:pPr>
          </w:p>
        </w:tc>
        <w:tc>
          <w:tcPr>
            <w:tcW w:w="441" w:type="pct"/>
            <w:vAlign w:val="center"/>
          </w:tcPr>
          <w:p w14:paraId="4176879E">
            <w:pPr>
              <w:adjustRightInd w:val="0"/>
              <w:snapToGrid w:val="0"/>
              <w:jc w:val="left"/>
              <w:rPr>
                <w:color w:val="000000"/>
                <w:spacing w:val="0"/>
                <w:kern w:val="0"/>
                <w:position w:val="0"/>
                <w:sz w:val="24"/>
              </w:rPr>
            </w:pPr>
          </w:p>
        </w:tc>
        <w:tc>
          <w:tcPr>
            <w:tcW w:w="360" w:type="pct"/>
            <w:vAlign w:val="center"/>
          </w:tcPr>
          <w:p w14:paraId="7B3D84D2">
            <w:pPr>
              <w:adjustRightInd w:val="0"/>
              <w:snapToGrid w:val="0"/>
              <w:jc w:val="left"/>
              <w:rPr>
                <w:color w:val="000000"/>
                <w:spacing w:val="0"/>
                <w:kern w:val="0"/>
                <w:position w:val="0"/>
                <w:sz w:val="24"/>
              </w:rPr>
            </w:pPr>
          </w:p>
        </w:tc>
        <w:tc>
          <w:tcPr>
            <w:tcW w:w="292" w:type="pct"/>
            <w:vAlign w:val="center"/>
          </w:tcPr>
          <w:p w14:paraId="021D76FC">
            <w:pPr>
              <w:adjustRightInd w:val="0"/>
              <w:snapToGrid w:val="0"/>
              <w:jc w:val="left"/>
              <w:rPr>
                <w:color w:val="000000"/>
                <w:spacing w:val="0"/>
                <w:kern w:val="0"/>
                <w:position w:val="0"/>
                <w:sz w:val="24"/>
              </w:rPr>
            </w:pPr>
          </w:p>
        </w:tc>
        <w:tc>
          <w:tcPr>
            <w:tcW w:w="359" w:type="pct"/>
            <w:vAlign w:val="center"/>
          </w:tcPr>
          <w:p w14:paraId="3F6A5D6A">
            <w:pPr>
              <w:adjustRightInd w:val="0"/>
              <w:snapToGrid w:val="0"/>
              <w:jc w:val="left"/>
              <w:rPr>
                <w:color w:val="000000"/>
                <w:spacing w:val="0"/>
                <w:kern w:val="0"/>
                <w:position w:val="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pacing w:val="0"/>
                <w:kern w:val="0"/>
                <w:position w:val="0"/>
                <w:sz w:val="24"/>
              </w:rPr>
            </w:pPr>
            <w:r>
              <w:rPr>
                <w:b/>
                <w:spacing w:val="0"/>
                <w:kern w:val="0"/>
                <w:position w:val="0"/>
                <w:sz w:val="24"/>
              </w:rPr>
              <w:t>总价（元）</w:t>
            </w:r>
          </w:p>
        </w:tc>
        <w:tc>
          <w:tcPr>
            <w:tcW w:w="359" w:type="pct"/>
            <w:vAlign w:val="center"/>
          </w:tcPr>
          <w:p w14:paraId="767523B9">
            <w:pPr>
              <w:adjustRightInd w:val="0"/>
              <w:snapToGrid w:val="0"/>
              <w:jc w:val="left"/>
              <w:rPr>
                <w:color w:val="000000"/>
                <w:spacing w:val="0"/>
                <w:kern w:val="0"/>
                <w:position w:val="0"/>
                <w:sz w:val="24"/>
              </w:rPr>
            </w:pPr>
          </w:p>
        </w:tc>
      </w:tr>
    </w:tbl>
    <w:p w14:paraId="0FF340A1">
      <w:pPr>
        <w:adjustRightInd w:val="0"/>
        <w:snapToGrid w:val="0"/>
        <w:jc w:val="left"/>
        <w:rPr>
          <w:b/>
          <w:i/>
          <w:color w:val="FF0000"/>
          <w:spacing w:val="0"/>
          <w:kern w:val="0"/>
          <w:position w:val="0"/>
          <w:sz w:val="24"/>
        </w:rPr>
      </w:pPr>
      <w:r>
        <w:rPr>
          <w:b/>
          <w:i/>
          <w:color w:val="FF0000"/>
          <w:spacing w:val="0"/>
          <w:kern w:val="0"/>
          <w:position w:val="0"/>
          <w:sz w:val="24"/>
        </w:rPr>
        <w:t>说明：制造商规模请填写</w:t>
      </w:r>
      <w:bookmarkStart w:id="1057" w:name="_Hlk168431944"/>
      <w:r>
        <w:rPr>
          <w:b/>
          <w:i/>
          <w:color w:val="FF0000"/>
          <w:spacing w:val="0"/>
          <w:kern w:val="0"/>
          <w:position w:val="0"/>
          <w:sz w:val="24"/>
        </w:rPr>
        <w:t>“</w:t>
      </w:r>
      <w:r>
        <w:rPr>
          <w:rFonts w:hint="eastAsia"/>
          <w:b/>
          <w:i/>
          <w:color w:val="FF0000"/>
          <w:spacing w:val="0"/>
          <w:kern w:val="0"/>
          <w:position w:val="0"/>
          <w:sz w:val="24"/>
        </w:rPr>
        <w:t>大</w:t>
      </w:r>
      <w:r>
        <w:rPr>
          <w:b/>
          <w:i/>
          <w:color w:val="FF0000"/>
          <w:spacing w:val="0"/>
          <w:kern w:val="0"/>
          <w:position w:val="0"/>
          <w:sz w:val="24"/>
        </w:rPr>
        <w:t>型”、</w:t>
      </w:r>
      <w:bookmarkEnd w:id="1057"/>
      <w:r>
        <w:rPr>
          <w:b/>
          <w:i/>
          <w:color w:val="FF0000"/>
          <w:spacing w:val="0"/>
          <w:kern w:val="0"/>
          <w:position w:val="0"/>
          <w:sz w:val="24"/>
        </w:rPr>
        <w:t>“中型”、“小型”、“微型”或“其他”，中小企业的定义见第二章《投标人须知》。</w:t>
      </w:r>
    </w:p>
    <w:p w14:paraId="0667DC36">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制造商所属性别请填写“男”</w:t>
      </w:r>
      <w:r>
        <w:rPr>
          <w:rFonts w:hint="eastAsia"/>
          <w:b/>
          <w:i/>
          <w:color w:val="FF0000"/>
          <w:spacing w:val="0"/>
          <w:kern w:val="0"/>
          <w:position w:val="0"/>
          <w:sz w:val="24"/>
        </w:rPr>
        <w:t>或</w:t>
      </w:r>
      <w:r>
        <w:rPr>
          <w:b/>
          <w:i/>
          <w:color w:val="FF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b/>
          <w:i/>
          <w:color w:val="FF0000"/>
          <w:spacing w:val="0"/>
          <w:kern w:val="0"/>
          <w:position w:val="0"/>
          <w:sz w:val="24"/>
        </w:rPr>
        <w:t>。</w:t>
      </w:r>
    </w:p>
    <w:p w14:paraId="07B81F8E">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外商投资类型请填写“外商单独投资”、“外商部分投资”</w:t>
      </w:r>
      <w:r>
        <w:rPr>
          <w:rFonts w:hint="eastAsia"/>
          <w:b/>
          <w:i/>
          <w:color w:val="FF0000"/>
          <w:spacing w:val="0"/>
          <w:kern w:val="0"/>
          <w:position w:val="0"/>
          <w:sz w:val="24"/>
        </w:rPr>
        <w:t>或</w:t>
      </w:r>
      <w:r>
        <w:rPr>
          <w:b/>
          <w:i/>
          <w:color w:val="FF0000"/>
          <w:spacing w:val="0"/>
          <w:kern w:val="0"/>
          <w:position w:val="0"/>
          <w:sz w:val="24"/>
        </w:rPr>
        <w:t>“内资”。</w:t>
      </w:r>
    </w:p>
    <w:p w14:paraId="21C21A27">
      <w:pPr>
        <w:tabs>
          <w:tab w:val="left" w:pos="1800"/>
          <w:tab w:val="left" w:pos="5580"/>
        </w:tabs>
        <w:jc w:val="left"/>
        <w:rPr>
          <w:b/>
          <w:i/>
          <w:color w:val="FF0000"/>
          <w:spacing w:val="0"/>
          <w:kern w:val="0"/>
          <w:position w:val="0"/>
          <w:sz w:val="24"/>
        </w:rPr>
      </w:pPr>
    </w:p>
    <w:p w14:paraId="53A092C3">
      <w:pPr>
        <w:tabs>
          <w:tab w:val="left" w:pos="1800"/>
          <w:tab w:val="left" w:pos="5580"/>
        </w:tabs>
        <w:jc w:val="left"/>
        <w:rPr>
          <w:b/>
          <w:i/>
          <w:color w:val="FF0000"/>
          <w:spacing w:val="0"/>
          <w:kern w:val="0"/>
          <w:position w:val="0"/>
          <w:sz w:val="24"/>
        </w:rPr>
      </w:pPr>
    </w:p>
    <w:p w14:paraId="1D49E434">
      <w:pPr>
        <w:tabs>
          <w:tab w:val="left" w:pos="1800"/>
          <w:tab w:val="left" w:pos="5580"/>
        </w:tabs>
        <w:jc w:val="left"/>
        <w:rPr>
          <w:color w:val="000000"/>
          <w:spacing w:val="0"/>
          <w:kern w:val="0"/>
          <w:position w:val="0"/>
          <w:sz w:val="24"/>
        </w:rPr>
      </w:pPr>
      <w:r>
        <w:rPr>
          <w:color w:val="000000"/>
          <w:spacing w:val="0"/>
          <w:kern w:val="0"/>
          <w:position w:val="0"/>
          <w:sz w:val="24"/>
        </w:rPr>
        <w:t>注：1.本表应按包分别填写。</w:t>
      </w:r>
    </w:p>
    <w:p w14:paraId="4EBAED76">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2.如果不提供分项报价将视为没有实质性响应招标文件。</w:t>
      </w:r>
    </w:p>
    <w:p w14:paraId="1ED3F359">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3.上述各项的详细规格（如有），可另页描述。</w:t>
      </w:r>
    </w:p>
    <w:p w14:paraId="3B24F3B3">
      <w:pPr>
        <w:tabs>
          <w:tab w:val="left" w:pos="1800"/>
          <w:tab w:val="left" w:pos="5580"/>
        </w:tabs>
        <w:ind w:firstLine="480" w:firstLineChars="200"/>
        <w:jc w:val="left"/>
        <w:rPr>
          <w:color w:val="000000"/>
          <w:spacing w:val="0"/>
          <w:kern w:val="0"/>
          <w:position w:val="0"/>
          <w:sz w:val="24"/>
        </w:rPr>
      </w:pPr>
      <w:r>
        <w:rPr>
          <w:rFonts w:eastAsiaTheme="minorEastAsia"/>
          <w:color w:val="000000"/>
          <w:spacing w:val="0"/>
          <w:kern w:val="0"/>
          <w:position w:val="0"/>
          <w:sz w:val="24"/>
        </w:rPr>
        <w:t>4.制造商规模列应填写</w:t>
      </w:r>
      <w:r>
        <w:rPr>
          <w:rFonts w:hint="eastAsia" w:eastAsiaTheme="minorEastAsia"/>
          <w:color w:val="000000"/>
          <w:spacing w:val="0"/>
          <w:kern w:val="0"/>
          <w:position w:val="0"/>
          <w:sz w:val="24"/>
        </w:rPr>
        <w:t>“大型”、</w:t>
      </w:r>
      <w:r>
        <w:rPr>
          <w:rFonts w:eastAsiaTheme="minorEastAsia"/>
          <w:color w:val="000000"/>
          <w:spacing w:val="0"/>
          <w:kern w:val="0"/>
          <w:position w:val="0"/>
          <w:sz w:val="24"/>
        </w:rPr>
        <w:t>“中型”、“小型”、“微型”或“其他”，且不应与《中小企业声明函》或《拟分包情况说明》中内容矛盾。制造商所属性别请填写“男”</w:t>
      </w:r>
      <w:r>
        <w:rPr>
          <w:rFonts w:hint="eastAsia" w:eastAsiaTheme="minorEastAsia"/>
          <w:color w:val="000000"/>
          <w:spacing w:val="0"/>
          <w:kern w:val="0"/>
          <w:position w:val="0"/>
          <w:sz w:val="24"/>
        </w:rPr>
        <w:t>或</w:t>
      </w:r>
      <w:r>
        <w:rPr>
          <w:rFonts w:eastAsiaTheme="minorEastAsia"/>
          <w:color w:val="00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rFonts w:eastAsiaTheme="minorEastAsia"/>
          <w:color w:val="000000"/>
          <w:spacing w:val="0"/>
          <w:kern w:val="0"/>
          <w:position w:val="0"/>
          <w:sz w:val="24"/>
        </w:rPr>
        <w:t>。外商投资类型请填写“外商单独投资”、“外商部分投资”</w:t>
      </w:r>
      <w:r>
        <w:rPr>
          <w:rFonts w:hint="eastAsia" w:eastAsiaTheme="minorEastAsia"/>
          <w:color w:val="000000"/>
          <w:spacing w:val="0"/>
          <w:kern w:val="0"/>
          <w:position w:val="0"/>
          <w:sz w:val="24"/>
        </w:rPr>
        <w:t>或</w:t>
      </w:r>
      <w:r>
        <w:rPr>
          <w:rFonts w:eastAsiaTheme="minorEastAsia"/>
          <w:color w:val="000000"/>
          <w:spacing w:val="0"/>
          <w:kern w:val="0"/>
          <w:position w:val="0"/>
          <w:sz w:val="24"/>
        </w:rPr>
        <w:t>“内资”。</w:t>
      </w:r>
    </w:p>
    <w:p w14:paraId="729E7FA6">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7"/>
        </w:numPr>
        <w:tabs>
          <w:tab w:val="left" w:pos="360"/>
        </w:tabs>
        <w:snapToGrid w:val="0"/>
        <w:spacing w:line="360" w:lineRule="auto"/>
        <w:outlineLvl w:val="1"/>
        <w:rPr>
          <w:color w:val="000000"/>
          <w:spacing w:val="0"/>
          <w:kern w:val="0"/>
          <w:position w:val="0"/>
          <w:sz w:val="24"/>
          <w:szCs w:val="20"/>
        </w:rPr>
        <w:sectPr>
          <w:pgSz w:w="16840" w:h="11907" w:orient="landscape"/>
          <w:pgMar w:top="1701" w:right="1418" w:bottom="1134" w:left="1418" w:header="851" w:footer="851" w:gutter="0"/>
          <w:pgNumType w:fmt="decimal"/>
          <w:cols w:space="720" w:num="1"/>
          <w:docGrid w:linePitch="462" w:charSpace="0"/>
        </w:sectPr>
      </w:pPr>
      <w:bookmarkStart w:id="1058" w:name="_Toc226965751"/>
      <w:bookmarkStart w:id="1059" w:name="_Toc150480798"/>
      <w:bookmarkStart w:id="1060" w:name="_Toc127151562"/>
      <w:bookmarkStart w:id="1061" w:name="_Toc226337258"/>
      <w:bookmarkStart w:id="1062" w:name="_Toc226965835"/>
      <w:bookmarkStart w:id="1063" w:name="_Toc264969252"/>
      <w:bookmarkStart w:id="1064" w:name="_Toc265228400"/>
      <w:bookmarkStart w:id="1065" w:name="_Toc142311062"/>
      <w:bookmarkStart w:id="1066" w:name="_Toc305158829"/>
      <w:bookmarkStart w:id="1067" w:name="_Toc150774765"/>
      <w:bookmarkStart w:id="1068" w:name="_Toc264969251"/>
      <w:bookmarkStart w:id="1069" w:name="_Toc226965834"/>
      <w:bookmarkStart w:id="1070" w:name="_Toc226337257"/>
      <w:bookmarkStart w:id="1071" w:name="_Toc305158830"/>
      <w:bookmarkStart w:id="1072" w:name="_Toc226965752"/>
      <w:bookmarkStart w:id="1073" w:name="_Toc150774764"/>
      <w:bookmarkStart w:id="1074" w:name="_Toc265228399"/>
      <w:bookmarkStart w:id="1075" w:name="_Toc305158903"/>
      <w:bookmarkStart w:id="1076" w:name="_Toc150480797"/>
      <w:bookmarkStart w:id="1077" w:name="_Toc226309806"/>
      <w:bookmarkStart w:id="1078" w:name="_Toc195842927"/>
      <w:bookmarkStart w:id="1079" w:name="_Toc142311061"/>
      <w:bookmarkStart w:id="1080" w:name="_Toc305158904"/>
      <w:bookmarkStart w:id="1081" w:name="_Toc195842926"/>
      <w:bookmarkStart w:id="1082" w:name="_Toc127151561"/>
      <w:bookmarkStart w:id="1083" w:name="_Toc226309805"/>
    </w:p>
    <w:p w14:paraId="1BD690DA">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337ADBDC">
      <w:pPr>
        <w:tabs>
          <w:tab w:val="left" w:pos="1800"/>
          <w:tab w:val="left" w:pos="5580"/>
        </w:tabs>
        <w:jc w:val="left"/>
        <w:rPr>
          <w:spacing w:val="0"/>
          <w:kern w:val="0"/>
          <w:position w:val="0"/>
          <w:sz w:val="24"/>
        </w:rPr>
      </w:pPr>
    </w:p>
    <w:p w14:paraId="0B5163E9">
      <w:pPr>
        <w:tabs>
          <w:tab w:val="left" w:pos="1800"/>
          <w:tab w:val="left" w:pos="5580"/>
        </w:tabs>
        <w:jc w:val="left"/>
        <w:rPr>
          <w:color w:val="000000"/>
          <w:spacing w:val="0"/>
          <w:kern w:val="0"/>
          <w:position w:val="0"/>
          <w:sz w:val="24"/>
        </w:rPr>
      </w:pPr>
    </w:p>
    <w:p w14:paraId="4C72A514">
      <w:pPr>
        <w:rPr>
          <w:color w:val="000000"/>
          <w:spacing w:val="0"/>
          <w:kern w:val="0"/>
          <w:position w:val="0"/>
          <w:sz w:val="24"/>
          <w:szCs w:val="20"/>
        </w:rPr>
      </w:pPr>
    </w:p>
    <w:p w14:paraId="6533DC6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19A9FEE">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6E5039B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312B79A">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401A71C7">
      <w:pPr>
        <w:autoSpaceDE w:val="0"/>
        <w:autoSpaceDN w:val="0"/>
        <w:spacing w:line="360" w:lineRule="auto"/>
        <w:ind w:left="220" w:right="415" w:firstLine="640"/>
        <w:jc w:val="left"/>
        <w:rPr>
          <w:spacing w:val="0"/>
          <w:kern w:val="0"/>
          <w:position w:val="0"/>
          <w:sz w:val="24"/>
        </w:rPr>
      </w:pPr>
      <w:r>
        <w:rPr>
          <w:spacing w:val="0"/>
          <w:kern w:val="0"/>
          <w:position w:val="0"/>
          <w:sz w:val="24"/>
        </w:rPr>
        <w:t>本公司（联合体）郑重声明，根据《政府采购促进中小企业发展管理办法》（财库﹝2020﹞46号）的规定，本公司（联合体）参加</w:t>
      </w:r>
      <w:r>
        <w:rPr>
          <w:i/>
          <w:spacing w:val="0"/>
          <w:kern w:val="0"/>
          <w:position w:val="0"/>
          <w:sz w:val="24"/>
          <w:u w:val="single"/>
        </w:rPr>
        <w:t>（单位名称）</w:t>
      </w:r>
      <w:r>
        <w:rPr>
          <w:spacing w:val="0"/>
          <w:kern w:val="0"/>
          <w:position w:val="0"/>
          <w:sz w:val="24"/>
        </w:rPr>
        <w:t>的</w:t>
      </w:r>
      <w:r>
        <w:rPr>
          <w:i/>
          <w:spacing w:val="0"/>
          <w:kern w:val="0"/>
          <w:position w:val="0"/>
          <w:sz w:val="24"/>
          <w:u w:val="single"/>
        </w:rPr>
        <w:t>（项目名称）</w:t>
      </w:r>
      <w:r>
        <w:rPr>
          <w:spacing w:val="0"/>
          <w:kern w:val="0"/>
          <w:position w:val="0"/>
          <w:sz w:val="24"/>
        </w:rPr>
        <w:t>采购活动，提供的货物全部由符合政策要求的中小企业制造。相关企业（含联合体中的中小企业、签订分包意向协议的中小企业）的具体情况如下：</w:t>
      </w:r>
    </w:p>
    <w:p w14:paraId="518BA92C">
      <w:pPr>
        <w:numPr>
          <w:ilvl w:val="0"/>
          <w:numId w:val="18"/>
        </w:numPr>
        <w:tabs>
          <w:tab w:val="left" w:pos="1183"/>
          <w:tab w:val="left" w:pos="1484"/>
          <w:tab w:val="left" w:pos="4662"/>
          <w:tab w:val="left" w:pos="6903"/>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75E5DA91">
      <w:pPr>
        <w:numPr>
          <w:ilvl w:val="0"/>
          <w:numId w:val="18"/>
        </w:numPr>
        <w:tabs>
          <w:tab w:val="left" w:pos="1165"/>
          <w:tab w:val="left" w:pos="1183"/>
          <w:tab w:val="left" w:pos="4362"/>
          <w:tab w:val="left" w:pos="6577"/>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0DFEE7DC">
      <w:pPr>
        <w:autoSpaceDE w:val="0"/>
        <w:autoSpaceDN w:val="0"/>
        <w:spacing w:line="360" w:lineRule="auto"/>
        <w:ind w:left="860"/>
        <w:jc w:val="left"/>
        <w:rPr>
          <w:spacing w:val="0"/>
          <w:kern w:val="0"/>
          <w:position w:val="0"/>
          <w:sz w:val="24"/>
        </w:rPr>
      </w:pPr>
      <w:r>
        <w:rPr>
          <w:spacing w:val="0"/>
          <w:kern w:val="0"/>
          <w:position w:val="0"/>
          <w:sz w:val="24"/>
        </w:rPr>
        <w:t>……</w:t>
      </w:r>
    </w:p>
    <w:p w14:paraId="0711AE14">
      <w:pPr>
        <w:autoSpaceDE w:val="0"/>
        <w:autoSpaceDN w:val="0"/>
        <w:spacing w:line="360" w:lineRule="auto"/>
        <w:ind w:left="220" w:right="417" w:firstLine="645"/>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spacing w:val="0"/>
          <w:kern w:val="0"/>
          <w:position w:val="0"/>
          <w:sz w:val="24"/>
        </w:rPr>
      </w:pPr>
      <w:r>
        <w:rPr>
          <w:spacing w:val="0"/>
          <w:kern w:val="0"/>
          <w:position w:val="0"/>
          <w:sz w:val="24"/>
        </w:rPr>
        <w:t>本企业对上述声明内容的真实性负责。如有虚假，将依法承担相应责任。</w:t>
      </w:r>
    </w:p>
    <w:p w14:paraId="31B1A669">
      <w:pPr>
        <w:spacing w:line="360" w:lineRule="auto"/>
        <w:ind w:firstLine="504"/>
        <w:rPr>
          <w:spacing w:val="0"/>
          <w:kern w:val="0"/>
          <w:position w:val="0"/>
          <w:sz w:val="24"/>
        </w:rPr>
      </w:pPr>
    </w:p>
    <w:p w14:paraId="0749DBAC">
      <w:pPr>
        <w:spacing w:line="360" w:lineRule="auto"/>
        <w:ind w:firstLine="504"/>
        <w:rPr>
          <w:spacing w:val="0"/>
          <w:kern w:val="0"/>
          <w:position w:val="0"/>
          <w:sz w:val="24"/>
        </w:rPr>
      </w:pPr>
    </w:p>
    <w:p w14:paraId="377CFA93">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50A5AFDE">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7F58C903">
      <w:pPr>
        <w:spacing w:line="360" w:lineRule="auto"/>
        <w:ind w:right="360" w:firstLine="480"/>
        <w:jc w:val="right"/>
        <w:rPr>
          <w:color w:val="000000"/>
          <w:spacing w:val="0"/>
          <w:kern w:val="0"/>
          <w:position w:val="0"/>
          <w:sz w:val="24"/>
        </w:rPr>
      </w:pPr>
    </w:p>
    <w:p w14:paraId="0C24717A">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1084"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1085"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1085"/>
    </w:p>
    <w:bookmarkEnd w:id="1084"/>
    <w:p w14:paraId="2880330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69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69F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CD2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4CD2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7"/>
  </w:num>
  <w:num w:numId="13">
    <w:abstractNumId w:val="13"/>
  </w:num>
  <w:num w:numId="14">
    <w:abstractNumId w:val="16"/>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2E42DB9"/>
    <w:rsid w:val="02F01399"/>
    <w:rsid w:val="03EC5263"/>
    <w:rsid w:val="04E55C6E"/>
    <w:rsid w:val="098D115F"/>
    <w:rsid w:val="09C457F1"/>
    <w:rsid w:val="0B103645"/>
    <w:rsid w:val="0B2C27CD"/>
    <w:rsid w:val="0B660C1A"/>
    <w:rsid w:val="0C004C5B"/>
    <w:rsid w:val="0D2E35AF"/>
    <w:rsid w:val="0D5A25F6"/>
    <w:rsid w:val="0DD40678"/>
    <w:rsid w:val="0DE9130A"/>
    <w:rsid w:val="0FD22917"/>
    <w:rsid w:val="10415B61"/>
    <w:rsid w:val="13363671"/>
    <w:rsid w:val="13416C9C"/>
    <w:rsid w:val="13EB470F"/>
    <w:rsid w:val="14832432"/>
    <w:rsid w:val="14B8020C"/>
    <w:rsid w:val="15477903"/>
    <w:rsid w:val="161D04A1"/>
    <w:rsid w:val="170830C2"/>
    <w:rsid w:val="17654071"/>
    <w:rsid w:val="17F93E0B"/>
    <w:rsid w:val="18514F34"/>
    <w:rsid w:val="18A51FFB"/>
    <w:rsid w:val="1AA2382E"/>
    <w:rsid w:val="1C1673CD"/>
    <w:rsid w:val="1C455CA5"/>
    <w:rsid w:val="1C5525D4"/>
    <w:rsid w:val="1CA924F7"/>
    <w:rsid w:val="1D2C69D2"/>
    <w:rsid w:val="1E2B5AF5"/>
    <w:rsid w:val="1FE741BD"/>
    <w:rsid w:val="202331F2"/>
    <w:rsid w:val="20F95756"/>
    <w:rsid w:val="216602EA"/>
    <w:rsid w:val="236E0751"/>
    <w:rsid w:val="239E00B4"/>
    <w:rsid w:val="24F26FF6"/>
    <w:rsid w:val="24F57412"/>
    <w:rsid w:val="251E74A4"/>
    <w:rsid w:val="26456041"/>
    <w:rsid w:val="27821E79"/>
    <w:rsid w:val="27843CE5"/>
    <w:rsid w:val="2876559C"/>
    <w:rsid w:val="2940493E"/>
    <w:rsid w:val="298F1827"/>
    <w:rsid w:val="29E811E5"/>
    <w:rsid w:val="2A113EF2"/>
    <w:rsid w:val="2BAC62BA"/>
    <w:rsid w:val="2BDD3B36"/>
    <w:rsid w:val="2D462127"/>
    <w:rsid w:val="2D74780B"/>
    <w:rsid w:val="2DA85C50"/>
    <w:rsid w:val="2EB110D0"/>
    <w:rsid w:val="2F154B48"/>
    <w:rsid w:val="2FCC4331"/>
    <w:rsid w:val="30A06323"/>
    <w:rsid w:val="329F4483"/>
    <w:rsid w:val="32D86A10"/>
    <w:rsid w:val="32EB653A"/>
    <w:rsid w:val="34EA39B0"/>
    <w:rsid w:val="35BF1FF7"/>
    <w:rsid w:val="36E475B5"/>
    <w:rsid w:val="38E1236A"/>
    <w:rsid w:val="3B3D5859"/>
    <w:rsid w:val="3BCB6780"/>
    <w:rsid w:val="3C8B6ACE"/>
    <w:rsid w:val="3CB3723D"/>
    <w:rsid w:val="3ED8393F"/>
    <w:rsid w:val="3EEC47C8"/>
    <w:rsid w:val="3EF1757D"/>
    <w:rsid w:val="3F1823ED"/>
    <w:rsid w:val="3FCB0095"/>
    <w:rsid w:val="40451211"/>
    <w:rsid w:val="42BA311E"/>
    <w:rsid w:val="42C20C8A"/>
    <w:rsid w:val="42CD0A98"/>
    <w:rsid w:val="431A0C09"/>
    <w:rsid w:val="431B69D1"/>
    <w:rsid w:val="43394AC8"/>
    <w:rsid w:val="435B22FC"/>
    <w:rsid w:val="43654197"/>
    <w:rsid w:val="44A616A1"/>
    <w:rsid w:val="44B43423"/>
    <w:rsid w:val="4537679D"/>
    <w:rsid w:val="45965CFE"/>
    <w:rsid w:val="461E795D"/>
    <w:rsid w:val="480E2158"/>
    <w:rsid w:val="4AEB2393"/>
    <w:rsid w:val="4B65373A"/>
    <w:rsid w:val="4C520604"/>
    <w:rsid w:val="4C9B5863"/>
    <w:rsid w:val="4D00163A"/>
    <w:rsid w:val="4E0336C0"/>
    <w:rsid w:val="4F0F5BE3"/>
    <w:rsid w:val="4F4A53A9"/>
    <w:rsid w:val="4F7448F9"/>
    <w:rsid w:val="50950CB1"/>
    <w:rsid w:val="52422029"/>
    <w:rsid w:val="529165E2"/>
    <w:rsid w:val="52EB0BC7"/>
    <w:rsid w:val="54FC70BB"/>
    <w:rsid w:val="55040901"/>
    <w:rsid w:val="551E7647"/>
    <w:rsid w:val="553D44F9"/>
    <w:rsid w:val="55F47FE6"/>
    <w:rsid w:val="55F52245"/>
    <w:rsid w:val="55F93BD0"/>
    <w:rsid w:val="5647080A"/>
    <w:rsid w:val="56D1121B"/>
    <w:rsid w:val="56DF05DE"/>
    <w:rsid w:val="571E6D47"/>
    <w:rsid w:val="5731703D"/>
    <w:rsid w:val="577F424A"/>
    <w:rsid w:val="578F2469"/>
    <w:rsid w:val="57FC6189"/>
    <w:rsid w:val="5ACC4C55"/>
    <w:rsid w:val="5AD64523"/>
    <w:rsid w:val="5AE306A7"/>
    <w:rsid w:val="5BBE331C"/>
    <w:rsid w:val="5BF925A6"/>
    <w:rsid w:val="5C476060"/>
    <w:rsid w:val="5CEE707E"/>
    <w:rsid w:val="5D54174E"/>
    <w:rsid w:val="5D7C523D"/>
    <w:rsid w:val="5EAB402C"/>
    <w:rsid w:val="5F073306"/>
    <w:rsid w:val="5F5F73B9"/>
    <w:rsid w:val="5F976276"/>
    <w:rsid w:val="5FBC131B"/>
    <w:rsid w:val="626F711E"/>
    <w:rsid w:val="639E343B"/>
    <w:rsid w:val="63CB4828"/>
    <w:rsid w:val="64A5697F"/>
    <w:rsid w:val="653D3504"/>
    <w:rsid w:val="66D957E8"/>
    <w:rsid w:val="67184229"/>
    <w:rsid w:val="677D63AA"/>
    <w:rsid w:val="6838144E"/>
    <w:rsid w:val="687B0965"/>
    <w:rsid w:val="68961CEF"/>
    <w:rsid w:val="68AA7398"/>
    <w:rsid w:val="6BFA07E9"/>
    <w:rsid w:val="6CB11A07"/>
    <w:rsid w:val="6D3C22F3"/>
    <w:rsid w:val="6E171271"/>
    <w:rsid w:val="6E217E67"/>
    <w:rsid w:val="6E56558E"/>
    <w:rsid w:val="6EFF3EF1"/>
    <w:rsid w:val="6F0106C9"/>
    <w:rsid w:val="6F935F28"/>
    <w:rsid w:val="70BF188D"/>
    <w:rsid w:val="72EA5A4A"/>
    <w:rsid w:val="73851852"/>
    <w:rsid w:val="73A01533"/>
    <w:rsid w:val="742C597A"/>
    <w:rsid w:val="748204FA"/>
    <w:rsid w:val="74AD1092"/>
    <w:rsid w:val="74D765F4"/>
    <w:rsid w:val="75387844"/>
    <w:rsid w:val="758B206A"/>
    <w:rsid w:val="770A48E1"/>
    <w:rsid w:val="783E7829"/>
    <w:rsid w:val="78D6184E"/>
    <w:rsid w:val="79DB2C2E"/>
    <w:rsid w:val="7A4A1526"/>
    <w:rsid w:val="7A9C2F78"/>
    <w:rsid w:val="7AD305A5"/>
    <w:rsid w:val="7ADB75EF"/>
    <w:rsid w:val="7AEC0C8C"/>
    <w:rsid w:val="7B971768"/>
    <w:rsid w:val="7B9E4B23"/>
    <w:rsid w:val="7BED557B"/>
    <w:rsid w:val="7C50734D"/>
    <w:rsid w:val="7D580A83"/>
    <w:rsid w:val="7DF869DB"/>
    <w:rsid w:val="7E1D2F31"/>
    <w:rsid w:val="7EBC7738"/>
    <w:rsid w:val="7F99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14539</Words>
  <Characters>15250</Characters>
  <Lines>249</Lines>
  <Paragraphs>70</Paragraphs>
  <TotalTime>1</TotalTime>
  <ScaleCrop>false</ScaleCrop>
  <LinksUpToDate>false</LinksUpToDate>
  <CharactersWithSpaces>15459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2025-09-19T01:10:15Z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eyJoZGlkIjoiMWU1NDVjZDE4M2EzNWU1NTIxOGRjNzVlZTNhYjg4ZjkiLCJ1c2VySWQiOiIyMTY2OTk3MTYifQ==</vt:lpwstr>
  </property>
</Properties>
</file>